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969D5" w14:textId="04B95E42" w:rsidR="00EE2F62" w:rsidRPr="00AE05A1" w:rsidRDefault="006961E0" w:rsidP="006B6304">
      <w:pPr>
        <w:pStyle w:val="Heading1"/>
        <w:ind w:left="720"/>
        <w:jc w:val="center"/>
        <w:rPr>
          <w:sz w:val="30"/>
        </w:rPr>
      </w:pPr>
      <w:bookmarkStart w:id="0" w:name="_Toc101003222"/>
      <w:bookmarkStart w:id="1" w:name="_Toc101048058"/>
      <w:r w:rsidRPr="00AE05A1">
        <w:rPr>
          <w:shd w:val="clear" w:color="auto" w:fill="FFFFFF"/>
        </w:rPr>
        <w:t xml:space="preserve">IMPROVED AND SUSTAINABLE MANAGEMENT OF ECONOMICALLY IMPORTANT </w:t>
      </w:r>
      <w:r>
        <w:rPr>
          <w:shd w:val="clear" w:color="auto" w:fill="FFFFFF"/>
        </w:rPr>
        <w:t>PLANT-</w:t>
      </w:r>
      <w:r w:rsidRPr="00AE05A1">
        <w:rPr>
          <w:shd w:val="clear" w:color="auto" w:fill="FFFFFF"/>
        </w:rPr>
        <w:t xml:space="preserve">PARASITIC NEMATODES OF FIELD CROPS AND </w:t>
      </w:r>
      <w:r>
        <w:rPr>
          <w:shd w:val="clear" w:color="auto" w:fill="FFFFFF"/>
        </w:rPr>
        <w:t xml:space="preserve">FUNGAL </w:t>
      </w:r>
      <w:r w:rsidRPr="00AE05A1">
        <w:rPr>
          <w:shd w:val="clear" w:color="auto" w:fill="FFFFFF"/>
        </w:rPr>
        <w:t>DISEASES OF SOYBEAN AND HEMP IN TENNESSEE</w:t>
      </w:r>
      <w:bookmarkEnd w:id="0"/>
      <w:bookmarkEnd w:id="1"/>
    </w:p>
    <w:p w14:paraId="5F97680C" w14:textId="77777777" w:rsidR="00A76CBA" w:rsidRPr="00AE05A1" w:rsidRDefault="00A76CBA" w:rsidP="006B6304">
      <w:pPr>
        <w:pStyle w:val="Title"/>
        <w:ind w:left="720"/>
        <w:rPr>
          <w:sz w:val="28"/>
          <w:szCs w:val="28"/>
        </w:rPr>
      </w:pPr>
    </w:p>
    <w:p w14:paraId="4E7F83A1" w14:textId="77777777" w:rsidR="00A76CBA" w:rsidRPr="008E2CD0" w:rsidRDefault="00A76CBA" w:rsidP="006B6304">
      <w:pPr>
        <w:pStyle w:val="BodyText"/>
        <w:ind w:left="720"/>
        <w:rPr>
          <w:rFonts w:cs="Times New Roman"/>
          <w:b/>
          <w:sz w:val="30"/>
        </w:rPr>
      </w:pPr>
    </w:p>
    <w:p w14:paraId="0CE98737" w14:textId="77777777" w:rsidR="00A76CBA" w:rsidRPr="008E2CD0" w:rsidRDefault="00A76CBA" w:rsidP="006B6304">
      <w:pPr>
        <w:pStyle w:val="BodyText"/>
        <w:ind w:left="720"/>
        <w:rPr>
          <w:rFonts w:cs="Times New Roman"/>
          <w:b/>
          <w:sz w:val="30"/>
        </w:rPr>
      </w:pPr>
    </w:p>
    <w:p w14:paraId="75F506A5" w14:textId="77777777" w:rsidR="00A76CBA" w:rsidRPr="008E2CD0" w:rsidRDefault="00A76CBA" w:rsidP="006B6304">
      <w:pPr>
        <w:pStyle w:val="BodyText"/>
        <w:ind w:left="720"/>
        <w:rPr>
          <w:rFonts w:cs="Times New Roman"/>
          <w:b/>
          <w:sz w:val="30"/>
        </w:rPr>
      </w:pPr>
    </w:p>
    <w:p w14:paraId="0B446705" w14:textId="77777777" w:rsidR="00A76CBA" w:rsidRPr="008E2CD0" w:rsidRDefault="00A76CBA" w:rsidP="006B6304">
      <w:pPr>
        <w:pStyle w:val="BodyText"/>
        <w:ind w:left="720"/>
        <w:rPr>
          <w:rFonts w:cs="Times New Roman"/>
          <w:b/>
          <w:sz w:val="30"/>
        </w:rPr>
      </w:pPr>
    </w:p>
    <w:p w14:paraId="5A30ED34" w14:textId="77777777" w:rsidR="00A76CBA" w:rsidRPr="008E2CD0" w:rsidRDefault="00A76CBA" w:rsidP="006B6304">
      <w:pPr>
        <w:pStyle w:val="BodyText"/>
        <w:ind w:left="720"/>
        <w:rPr>
          <w:rFonts w:cs="Times New Roman"/>
          <w:b/>
          <w:sz w:val="30"/>
        </w:rPr>
      </w:pPr>
    </w:p>
    <w:p w14:paraId="2208BB2F" w14:textId="77777777" w:rsidR="00A76CBA" w:rsidRPr="008E2CD0" w:rsidRDefault="00A76CBA" w:rsidP="006B6304">
      <w:pPr>
        <w:pStyle w:val="BodyText"/>
        <w:ind w:left="720"/>
        <w:rPr>
          <w:rFonts w:cs="Times New Roman"/>
          <w:b/>
          <w:sz w:val="30"/>
        </w:rPr>
      </w:pPr>
    </w:p>
    <w:p w14:paraId="4401C501" w14:textId="77777777" w:rsidR="00A76CBA" w:rsidRPr="008E2CD0" w:rsidRDefault="00A76CBA" w:rsidP="006B6304">
      <w:pPr>
        <w:pStyle w:val="BodyText"/>
        <w:ind w:left="720"/>
        <w:rPr>
          <w:rFonts w:cs="Times New Roman"/>
          <w:b/>
          <w:sz w:val="30"/>
        </w:rPr>
      </w:pPr>
    </w:p>
    <w:p w14:paraId="12EF836B" w14:textId="77777777" w:rsidR="00A76CBA" w:rsidRPr="008E2CD0" w:rsidRDefault="00A76CBA" w:rsidP="006B6304">
      <w:pPr>
        <w:pStyle w:val="BodyText"/>
        <w:ind w:left="720"/>
        <w:rPr>
          <w:rFonts w:cs="Times New Roman"/>
          <w:b/>
          <w:sz w:val="30"/>
        </w:rPr>
      </w:pPr>
    </w:p>
    <w:p w14:paraId="0991615D" w14:textId="77777777" w:rsidR="00A76CBA" w:rsidRPr="008E2CD0" w:rsidRDefault="00A76CBA" w:rsidP="006B6304">
      <w:pPr>
        <w:pStyle w:val="BodyText"/>
        <w:spacing w:before="11"/>
        <w:ind w:left="720"/>
        <w:rPr>
          <w:rFonts w:cs="Times New Roman"/>
          <w:b/>
          <w:sz w:val="28"/>
          <w:szCs w:val="28"/>
        </w:rPr>
      </w:pPr>
    </w:p>
    <w:p w14:paraId="4C50204A" w14:textId="570DB3E2" w:rsidR="000A5134" w:rsidRPr="008E2CD0" w:rsidRDefault="000A5134" w:rsidP="006B6304">
      <w:pPr>
        <w:ind w:left="720"/>
        <w:jc w:val="center"/>
        <w:rPr>
          <w:rFonts w:cs="Times New Roman"/>
          <w:b/>
          <w:sz w:val="28"/>
          <w:szCs w:val="28"/>
        </w:rPr>
      </w:pPr>
      <w:r w:rsidRPr="008E2CD0">
        <w:rPr>
          <w:rFonts w:cs="Times New Roman"/>
          <w:b/>
          <w:sz w:val="28"/>
          <w:szCs w:val="28"/>
        </w:rPr>
        <w:t xml:space="preserve">A </w:t>
      </w:r>
      <w:r w:rsidR="00A84DDA" w:rsidRPr="008E2CD0">
        <w:rPr>
          <w:rFonts w:cs="Times New Roman"/>
          <w:b/>
          <w:sz w:val="28"/>
          <w:szCs w:val="28"/>
        </w:rPr>
        <w:t xml:space="preserve">Dissertation </w:t>
      </w:r>
      <w:r w:rsidRPr="008E2CD0">
        <w:rPr>
          <w:rFonts w:cs="Times New Roman"/>
          <w:b/>
          <w:sz w:val="28"/>
          <w:szCs w:val="28"/>
        </w:rPr>
        <w:t>Presented for the</w:t>
      </w:r>
    </w:p>
    <w:p w14:paraId="43A44086" w14:textId="77777777" w:rsidR="000A5134" w:rsidRPr="008E2CD0" w:rsidRDefault="000A5134" w:rsidP="006B6304">
      <w:pPr>
        <w:ind w:left="720"/>
        <w:jc w:val="center"/>
        <w:rPr>
          <w:rFonts w:cs="Times New Roman"/>
          <w:b/>
          <w:sz w:val="28"/>
          <w:szCs w:val="28"/>
        </w:rPr>
      </w:pPr>
      <w:r w:rsidRPr="008E2CD0">
        <w:rPr>
          <w:rFonts w:cs="Times New Roman"/>
          <w:b/>
          <w:sz w:val="28"/>
          <w:szCs w:val="28"/>
        </w:rPr>
        <w:t xml:space="preserve"> Doctor of Philosophy </w:t>
      </w:r>
    </w:p>
    <w:p w14:paraId="1D4E0C4F" w14:textId="3EDD1CBC" w:rsidR="00A76CBA" w:rsidRPr="008E2CD0" w:rsidRDefault="000A5134" w:rsidP="006B6304">
      <w:pPr>
        <w:ind w:left="720"/>
        <w:jc w:val="center"/>
        <w:rPr>
          <w:rFonts w:cs="Times New Roman"/>
          <w:b/>
          <w:sz w:val="28"/>
          <w:szCs w:val="28"/>
        </w:rPr>
      </w:pPr>
      <w:r w:rsidRPr="008E2CD0">
        <w:rPr>
          <w:rFonts w:cs="Times New Roman"/>
          <w:b/>
          <w:sz w:val="28"/>
          <w:szCs w:val="28"/>
        </w:rPr>
        <w:t>Degree</w:t>
      </w:r>
    </w:p>
    <w:p w14:paraId="563AFA41" w14:textId="2799BB9E" w:rsidR="00A76CBA" w:rsidRPr="008E2CD0" w:rsidRDefault="000A5134" w:rsidP="006B6304">
      <w:pPr>
        <w:ind w:left="720"/>
        <w:jc w:val="center"/>
        <w:rPr>
          <w:rFonts w:cs="Times New Roman"/>
          <w:b/>
          <w:sz w:val="28"/>
          <w:szCs w:val="28"/>
        </w:rPr>
      </w:pPr>
      <w:r w:rsidRPr="008E2CD0">
        <w:rPr>
          <w:rFonts w:cs="Times New Roman"/>
          <w:b/>
          <w:sz w:val="28"/>
          <w:szCs w:val="28"/>
        </w:rPr>
        <w:t>The University of Tennessee, Knoxville</w:t>
      </w:r>
    </w:p>
    <w:p w14:paraId="2F9F7B5D" w14:textId="77777777" w:rsidR="00A76CBA" w:rsidRPr="008E2CD0" w:rsidRDefault="00A76CBA" w:rsidP="006B6304">
      <w:pPr>
        <w:ind w:left="720"/>
        <w:jc w:val="center"/>
        <w:rPr>
          <w:rFonts w:cs="Times New Roman"/>
          <w:b/>
          <w:sz w:val="28"/>
          <w:szCs w:val="28"/>
        </w:rPr>
      </w:pPr>
    </w:p>
    <w:p w14:paraId="144C59E8" w14:textId="77777777" w:rsidR="00A76CBA" w:rsidRPr="008E2CD0" w:rsidRDefault="00A76CBA" w:rsidP="006B6304">
      <w:pPr>
        <w:ind w:left="720"/>
        <w:jc w:val="center"/>
        <w:rPr>
          <w:rFonts w:cs="Times New Roman"/>
          <w:b/>
          <w:sz w:val="28"/>
          <w:szCs w:val="28"/>
        </w:rPr>
      </w:pPr>
    </w:p>
    <w:p w14:paraId="5021D8D2" w14:textId="77777777" w:rsidR="00A76CBA" w:rsidRPr="008E2CD0" w:rsidRDefault="00A76CBA" w:rsidP="006B6304">
      <w:pPr>
        <w:ind w:left="720"/>
        <w:jc w:val="center"/>
        <w:rPr>
          <w:rFonts w:cs="Times New Roman"/>
          <w:b/>
          <w:sz w:val="28"/>
          <w:szCs w:val="28"/>
        </w:rPr>
      </w:pPr>
    </w:p>
    <w:p w14:paraId="3D87CB54" w14:textId="77777777" w:rsidR="00A76CBA" w:rsidRPr="008E2CD0" w:rsidRDefault="00A76CBA" w:rsidP="006B6304">
      <w:pPr>
        <w:pStyle w:val="BodyText"/>
        <w:ind w:left="720"/>
        <w:jc w:val="center"/>
        <w:rPr>
          <w:rFonts w:cs="Times New Roman"/>
          <w:b/>
          <w:sz w:val="28"/>
          <w:szCs w:val="28"/>
        </w:rPr>
      </w:pPr>
    </w:p>
    <w:p w14:paraId="1D902398" w14:textId="77777777" w:rsidR="00A76CBA" w:rsidRPr="008E2CD0" w:rsidRDefault="00A76CBA" w:rsidP="006B6304">
      <w:pPr>
        <w:pStyle w:val="BodyText"/>
        <w:ind w:left="720"/>
        <w:jc w:val="center"/>
        <w:rPr>
          <w:rFonts w:cs="Times New Roman"/>
          <w:b/>
          <w:sz w:val="28"/>
          <w:szCs w:val="28"/>
        </w:rPr>
      </w:pPr>
    </w:p>
    <w:p w14:paraId="3DB23C09" w14:textId="77777777" w:rsidR="00A76CBA" w:rsidRPr="008E2CD0" w:rsidRDefault="00A76CBA" w:rsidP="006B6304">
      <w:pPr>
        <w:pStyle w:val="BodyText"/>
        <w:ind w:left="720"/>
        <w:rPr>
          <w:rFonts w:cs="Times New Roman"/>
          <w:b/>
          <w:sz w:val="28"/>
          <w:szCs w:val="28"/>
        </w:rPr>
      </w:pPr>
    </w:p>
    <w:p w14:paraId="79B5F97C" w14:textId="77777777" w:rsidR="00A76CBA" w:rsidRPr="008E2CD0" w:rsidRDefault="00A76CBA" w:rsidP="006B6304">
      <w:pPr>
        <w:pStyle w:val="BodyText"/>
        <w:ind w:left="720"/>
        <w:rPr>
          <w:rFonts w:cs="Times New Roman"/>
          <w:b/>
          <w:sz w:val="28"/>
          <w:szCs w:val="28"/>
        </w:rPr>
      </w:pPr>
    </w:p>
    <w:p w14:paraId="5531108B" w14:textId="77777777" w:rsidR="00A76CBA" w:rsidRPr="008E2CD0" w:rsidRDefault="00A76CBA" w:rsidP="006B6304">
      <w:pPr>
        <w:pStyle w:val="BodyText"/>
        <w:ind w:left="720"/>
        <w:rPr>
          <w:rFonts w:cs="Times New Roman"/>
          <w:b/>
          <w:sz w:val="28"/>
          <w:szCs w:val="28"/>
        </w:rPr>
      </w:pPr>
    </w:p>
    <w:p w14:paraId="56548022" w14:textId="77777777" w:rsidR="00A76CBA" w:rsidRPr="008E2CD0" w:rsidRDefault="00A76CBA" w:rsidP="006B6304">
      <w:pPr>
        <w:pStyle w:val="BodyText"/>
        <w:ind w:left="720"/>
        <w:rPr>
          <w:rFonts w:cs="Times New Roman"/>
          <w:b/>
          <w:sz w:val="28"/>
          <w:szCs w:val="28"/>
        </w:rPr>
      </w:pPr>
    </w:p>
    <w:p w14:paraId="02C477D0" w14:textId="77777777" w:rsidR="00A76CBA" w:rsidRPr="008E2CD0" w:rsidRDefault="00A76CBA" w:rsidP="006B6304">
      <w:pPr>
        <w:pStyle w:val="BodyText"/>
        <w:ind w:left="720"/>
        <w:rPr>
          <w:rFonts w:cs="Times New Roman"/>
          <w:b/>
          <w:sz w:val="28"/>
          <w:szCs w:val="28"/>
        </w:rPr>
      </w:pPr>
    </w:p>
    <w:p w14:paraId="463529C6" w14:textId="77777777" w:rsidR="00A76CBA" w:rsidRPr="008E2CD0" w:rsidRDefault="00A76CBA" w:rsidP="006B6304">
      <w:pPr>
        <w:pStyle w:val="BodyText"/>
        <w:ind w:left="720"/>
        <w:rPr>
          <w:rFonts w:cs="Times New Roman"/>
          <w:b/>
          <w:sz w:val="28"/>
          <w:szCs w:val="28"/>
        </w:rPr>
      </w:pPr>
    </w:p>
    <w:p w14:paraId="00906827" w14:textId="77777777" w:rsidR="00A76CBA" w:rsidRPr="008E2CD0" w:rsidRDefault="00A76CBA" w:rsidP="006B6304">
      <w:pPr>
        <w:ind w:left="720"/>
        <w:jc w:val="center"/>
        <w:rPr>
          <w:rFonts w:cs="Times New Roman"/>
          <w:b/>
          <w:sz w:val="28"/>
          <w:szCs w:val="28"/>
        </w:rPr>
      </w:pPr>
    </w:p>
    <w:p w14:paraId="3EF854C5" w14:textId="524589CB" w:rsidR="0071576B" w:rsidRPr="008E2CD0" w:rsidRDefault="000A5134" w:rsidP="006B6304">
      <w:pPr>
        <w:ind w:left="720"/>
        <w:jc w:val="center"/>
        <w:rPr>
          <w:rFonts w:cs="Times New Roman"/>
          <w:b/>
          <w:sz w:val="28"/>
          <w:szCs w:val="28"/>
        </w:rPr>
      </w:pPr>
      <w:r w:rsidRPr="008E2CD0">
        <w:rPr>
          <w:rFonts w:cs="Times New Roman"/>
          <w:b/>
          <w:sz w:val="28"/>
          <w:szCs w:val="28"/>
        </w:rPr>
        <w:t>Rufus J. Akinrinlola</w:t>
      </w:r>
    </w:p>
    <w:p w14:paraId="57D8D0AC" w14:textId="5733083D" w:rsidR="00A76CBA" w:rsidRPr="008E2CD0" w:rsidRDefault="0090512B" w:rsidP="006B6304">
      <w:pPr>
        <w:ind w:left="720"/>
        <w:jc w:val="center"/>
        <w:rPr>
          <w:rFonts w:cs="Times New Roman"/>
          <w:b/>
          <w:sz w:val="28"/>
          <w:szCs w:val="28"/>
        </w:rPr>
      </w:pPr>
      <w:r w:rsidRPr="008E2CD0">
        <w:rPr>
          <w:rFonts w:cs="Times New Roman"/>
          <w:b/>
          <w:sz w:val="28"/>
          <w:szCs w:val="28"/>
        </w:rPr>
        <w:t>May 202</w:t>
      </w:r>
      <w:r w:rsidR="00757BDE" w:rsidRPr="008E2CD0">
        <w:rPr>
          <w:rFonts w:cs="Times New Roman"/>
          <w:b/>
          <w:sz w:val="28"/>
          <w:szCs w:val="28"/>
        </w:rPr>
        <w:t>2</w:t>
      </w:r>
    </w:p>
    <w:p w14:paraId="33CA4A40" w14:textId="0F8374B5" w:rsidR="00F923C0" w:rsidRPr="008E2CD0" w:rsidRDefault="00F923C0" w:rsidP="006B6304">
      <w:pPr>
        <w:ind w:left="720"/>
        <w:rPr>
          <w:rFonts w:cs="Times New Roman"/>
          <w:sz w:val="28"/>
        </w:rPr>
      </w:pPr>
      <w:r w:rsidRPr="008E2CD0">
        <w:rPr>
          <w:rFonts w:cs="Times New Roman"/>
          <w:sz w:val="28"/>
        </w:rPr>
        <w:br w:type="page"/>
      </w:r>
    </w:p>
    <w:p w14:paraId="617CC8F7" w14:textId="3748F25A" w:rsidR="00F923C0" w:rsidRPr="008E2CD0" w:rsidRDefault="00F923C0" w:rsidP="003C484D">
      <w:pPr>
        <w:pStyle w:val="Default"/>
        <w:ind w:left="720"/>
        <w:rPr>
          <w:color w:val="auto"/>
        </w:rPr>
      </w:pPr>
      <w:r w:rsidRPr="008E2CD0">
        <w:rPr>
          <w:color w:val="auto"/>
        </w:rPr>
        <w:lastRenderedPageBreak/>
        <w:t xml:space="preserve">Copyright © 2022 by Rufus J. Akinrinlola </w:t>
      </w:r>
    </w:p>
    <w:p w14:paraId="4121052B" w14:textId="0B369AB4" w:rsidR="00F923C0" w:rsidRPr="008E2CD0" w:rsidRDefault="00F923C0" w:rsidP="003C484D">
      <w:pPr>
        <w:ind w:left="720"/>
        <w:rPr>
          <w:rFonts w:cs="Times New Roman"/>
          <w:szCs w:val="24"/>
        </w:rPr>
      </w:pPr>
      <w:r w:rsidRPr="008E2CD0">
        <w:rPr>
          <w:rFonts w:cs="Times New Roman"/>
          <w:szCs w:val="24"/>
        </w:rPr>
        <w:t>All rights reserved.</w:t>
      </w:r>
    </w:p>
    <w:p w14:paraId="4E96B838" w14:textId="77777777" w:rsidR="00A76CBA" w:rsidRPr="008E2CD0" w:rsidRDefault="00A76CBA" w:rsidP="003C484D">
      <w:pPr>
        <w:ind w:left="720"/>
        <w:jc w:val="center"/>
        <w:rPr>
          <w:rFonts w:cs="Times New Roman"/>
          <w:sz w:val="28"/>
        </w:rPr>
        <w:sectPr w:rsidR="00A76CBA" w:rsidRPr="008E2CD0" w:rsidSect="00BD0EA8">
          <w:footerReference w:type="first" r:id="rId8"/>
          <w:pgSz w:w="12240" w:h="15840" w:code="1"/>
          <w:pgMar w:top="1440" w:right="1440" w:bottom="1440" w:left="1440" w:header="720" w:footer="720" w:gutter="0"/>
          <w:cols w:space="720"/>
        </w:sectPr>
      </w:pPr>
    </w:p>
    <w:p w14:paraId="728F4513" w14:textId="1BC3E05F" w:rsidR="00A76CBA" w:rsidRPr="008E2CD0" w:rsidRDefault="0090512B" w:rsidP="003C484D">
      <w:pPr>
        <w:ind w:left="720"/>
        <w:jc w:val="center"/>
        <w:rPr>
          <w:rFonts w:cs="Times New Roman"/>
          <w:b/>
          <w:sz w:val="28"/>
          <w:szCs w:val="28"/>
        </w:rPr>
      </w:pPr>
      <w:bookmarkStart w:id="2" w:name="_Toc96513814"/>
      <w:r w:rsidRPr="008E2CD0">
        <w:rPr>
          <w:rFonts w:cs="Times New Roman"/>
          <w:b/>
          <w:sz w:val="28"/>
          <w:szCs w:val="28"/>
        </w:rPr>
        <w:t>DEDICATION</w:t>
      </w:r>
      <w:bookmarkEnd w:id="2"/>
    </w:p>
    <w:p w14:paraId="7D59E335" w14:textId="77777777" w:rsidR="00A76CBA" w:rsidRPr="008E2CD0" w:rsidRDefault="00A76CBA" w:rsidP="003C484D">
      <w:pPr>
        <w:pStyle w:val="BodyText"/>
        <w:spacing w:before="1"/>
        <w:ind w:left="720"/>
        <w:rPr>
          <w:rFonts w:cs="Times New Roman"/>
          <w:b/>
        </w:rPr>
      </w:pPr>
    </w:p>
    <w:p w14:paraId="7C6E6B73" w14:textId="0993CE5D" w:rsidR="00A76CBA" w:rsidRPr="008E2CD0" w:rsidRDefault="0090512B" w:rsidP="003C484D">
      <w:pPr>
        <w:pStyle w:val="BodyText"/>
        <w:ind w:left="720" w:right="709"/>
        <w:jc w:val="center"/>
        <w:rPr>
          <w:rFonts w:cs="Times New Roman"/>
        </w:rPr>
      </w:pPr>
      <w:r w:rsidRPr="008E2CD0">
        <w:rPr>
          <w:rFonts w:cs="Times New Roman"/>
        </w:rPr>
        <w:t xml:space="preserve">I dedicate my work to </w:t>
      </w:r>
      <w:r w:rsidR="0071576B" w:rsidRPr="008E2CD0">
        <w:rPr>
          <w:rFonts w:cs="Times New Roman"/>
        </w:rPr>
        <w:t xml:space="preserve">God who </w:t>
      </w:r>
      <w:r w:rsidR="008410F9">
        <w:rPr>
          <w:rFonts w:cs="Times New Roman"/>
        </w:rPr>
        <w:t xml:space="preserve">always </w:t>
      </w:r>
      <w:r w:rsidR="008F768D" w:rsidRPr="008E2CD0">
        <w:rPr>
          <w:rFonts w:cs="Times New Roman"/>
        </w:rPr>
        <w:t>keep</w:t>
      </w:r>
      <w:r w:rsidR="0095213A" w:rsidRPr="008E2CD0">
        <w:rPr>
          <w:rFonts w:cs="Times New Roman"/>
        </w:rPr>
        <w:t>s</w:t>
      </w:r>
      <w:r w:rsidR="008F768D" w:rsidRPr="008E2CD0">
        <w:rPr>
          <w:rFonts w:cs="Times New Roman"/>
        </w:rPr>
        <w:t xml:space="preserve"> and give</w:t>
      </w:r>
      <w:r w:rsidR="008410F9">
        <w:rPr>
          <w:rFonts w:cs="Times New Roman"/>
        </w:rPr>
        <w:t>s</w:t>
      </w:r>
      <w:r w:rsidR="008F768D" w:rsidRPr="008E2CD0">
        <w:rPr>
          <w:rFonts w:cs="Times New Roman"/>
        </w:rPr>
        <w:t xml:space="preserve"> me favor in life, </w:t>
      </w:r>
      <w:r w:rsidR="0071576B" w:rsidRPr="008E2CD0">
        <w:rPr>
          <w:rFonts w:cs="Times New Roman"/>
        </w:rPr>
        <w:t>my late bro</w:t>
      </w:r>
      <w:r w:rsidR="008F768D" w:rsidRPr="008E2CD0">
        <w:rPr>
          <w:rFonts w:cs="Times New Roman"/>
        </w:rPr>
        <w:t xml:space="preserve">ther Wilson O. Akinrinlola who </w:t>
      </w:r>
      <w:r w:rsidR="0071576B" w:rsidRPr="008E2CD0">
        <w:rPr>
          <w:rFonts w:cs="Times New Roman"/>
        </w:rPr>
        <w:t xml:space="preserve">taught me how to read and set me up for </w:t>
      </w:r>
      <w:r w:rsidR="00EE732C" w:rsidRPr="008E2CD0">
        <w:rPr>
          <w:rFonts w:cs="Times New Roman"/>
        </w:rPr>
        <w:t>a successful a</w:t>
      </w:r>
      <w:r w:rsidR="0071576B" w:rsidRPr="008E2CD0">
        <w:rPr>
          <w:rFonts w:cs="Times New Roman"/>
        </w:rPr>
        <w:t>cademic</w:t>
      </w:r>
      <w:r w:rsidR="008F768D" w:rsidRPr="008E2CD0">
        <w:rPr>
          <w:rFonts w:cs="Times New Roman"/>
        </w:rPr>
        <w:t xml:space="preserve"> </w:t>
      </w:r>
      <w:r w:rsidR="0071576B" w:rsidRPr="008E2CD0">
        <w:rPr>
          <w:rFonts w:cs="Times New Roman"/>
        </w:rPr>
        <w:t>career</w:t>
      </w:r>
      <w:r w:rsidR="008F768D" w:rsidRPr="008E2CD0">
        <w:rPr>
          <w:rFonts w:cs="Times New Roman"/>
        </w:rPr>
        <w:t>, my brother Ilesanmi</w:t>
      </w:r>
      <w:r w:rsidR="00EE732C" w:rsidRPr="008E2CD0">
        <w:rPr>
          <w:rFonts w:cs="Times New Roman"/>
        </w:rPr>
        <w:t xml:space="preserve"> O.</w:t>
      </w:r>
      <w:r w:rsidR="008F768D" w:rsidRPr="008E2CD0">
        <w:rPr>
          <w:rFonts w:cs="Times New Roman"/>
        </w:rPr>
        <w:t xml:space="preserve"> Akinrinlola who supported my academic pursuits, and my beloved wife </w:t>
      </w:r>
      <w:r w:rsidR="008F768D" w:rsidRPr="008E2CD0">
        <w:rPr>
          <w:rFonts w:cs="Times New Roman"/>
          <w:i/>
        </w:rPr>
        <w:t>Ayanfe</w:t>
      </w:r>
      <w:r w:rsidR="008F768D" w:rsidRPr="008E2CD0">
        <w:rPr>
          <w:rFonts w:cs="Times New Roman"/>
        </w:rPr>
        <w:t xml:space="preserve"> Oluwayemisi </w:t>
      </w:r>
      <w:r w:rsidR="00EE732C" w:rsidRPr="008E2CD0">
        <w:rPr>
          <w:rFonts w:cs="Times New Roman"/>
        </w:rPr>
        <w:t xml:space="preserve">Akinrinlola </w:t>
      </w:r>
      <w:r w:rsidR="008F768D" w:rsidRPr="008E2CD0">
        <w:rPr>
          <w:rFonts w:cs="Times New Roman"/>
        </w:rPr>
        <w:t xml:space="preserve">for her unreserved supports for me </w:t>
      </w:r>
      <w:r w:rsidR="00846DA2" w:rsidRPr="008E2CD0">
        <w:rPr>
          <w:rFonts w:cs="Times New Roman"/>
        </w:rPr>
        <w:t>during my Ph</w:t>
      </w:r>
      <w:r w:rsidR="0095213A" w:rsidRPr="008E2CD0">
        <w:rPr>
          <w:rFonts w:cs="Times New Roman"/>
        </w:rPr>
        <w:t>.D.</w:t>
      </w:r>
      <w:r w:rsidR="00846DA2" w:rsidRPr="008E2CD0">
        <w:rPr>
          <w:rFonts w:cs="Times New Roman"/>
        </w:rPr>
        <w:t xml:space="preserve"> program.</w:t>
      </w:r>
    </w:p>
    <w:p w14:paraId="331D1D14" w14:textId="77777777" w:rsidR="00A76CBA" w:rsidRPr="008E2CD0" w:rsidRDefault="00A76CBA" w:rsidP="003C484D">
      <w:pPr>
        <w:ind w:left="720"/>
        <w:jc w:val="center"/>
        <w:rPr>
          <w:rFonts w:cs="Times New Roman"/>
        </w:rPr>
        <w:sectPr w:rsidR="00A76CBA" w:rsidRPr="008E2CD0" w:rsidSect="00055676">
          <w:footerReference w:type="default" r:id="rId9"/>
          <w:pgSz w:w="12240" w:h="15840" w:code="1"/>
          <w:pgMar w:top="1440" w:right="1440" w:bottom="1440" w:left="1440" w:header="0" w:footer="1440" w:gutter="0"/>
          <w:pgNumType w:fmt="lowerRoman"/>
          <w:cols w:space="720"/>
          <w:docGrid w:linePitch="326"/>
        </w:sectPr>
      </w:pPr>
    </w:p>
    <w:p w14:paraId="7EF15D4E" w14:textId="77777777" w:rsidR="00A76CBA" w:rsidRPr="008E2CD0" w:rsidRDefault="0090512B" w:rsidP="003C484D">
      <w:pPr>
        <w:ind w:left="720"/>
        <w:jc w:val="center"/>
        <w:rPr>
          <w:rFonts w:cs="Times New Roman"/>
          <w:b/>
          <w:sz w:val="28"/>
          <w:szCs w:val="28"/>
        </w:rPr>
      </w:pPr>
      <w:r w:rsidRPr="008E2CD0">
        <w:rPr>
          <w:rFonts w:cs="Times New Roman"/>
          <w:b/>
          <w:sz w:val="28"/>
          <w:szCs w:val="28"/>
        </w:rPr>
        <w:t>ACKNOWLEDGEMENTS</w:t>
      </w:r>
    </w:p>
    <w:p w14:paraId="0C957FC3" w14:textId="77777777" w:rsidR="00A76CBA" w:rsidRPr="008E2CD0" w:rsidRDefault="00A76CBA" w:rsidP="003C484D">
      <w:pPr>
        <w:pStyle w:val="BodyText"/>
        <w:ind w:left="720"/>
        <w:rPr>
          <w:rFonts w:cs="Times New Roman"/>
          <w:b/>
          <w:sz w:val="30"/>
        </w:rPr>
      </w:pPr>
    </w:p>
    <w:p w14:paraId="5E530A38" w14:textId="7994C157" w:rsidR="00A76CBA" w:rsidRPr="008E2CD0" w:rsidRDefault="0090512B" w:rsidP="00FD1FC5">
      <w:pPr>
        <w:pStyle w:val="BodyText"/>
        <w:spacing w:before="208" w:line="360" w:lineRule="auto"/>
        <w:ind w:left="720" w:right="670" w:firstLine="720"/>
        <w:rPr>
          <w:rFonts w:cs="Times New Roman"/>
        </w:rPr>
      </w:pPr>
      <w:r w:rsidRPr="008E2CD0">
        <w:rPr>
          <w:rFonts w:cs="Times New Roman"/>
        </w:rPr>
        <w:t>I</w:t>
      </w:r>
      <w:r w:rsidRPr="008E2CD0">
        <w:rPr>
          <w:rFonts w:cs="Times New Roman"/>
          <w:spacing w:val="2"/>
        </w:rPr>
        <w:t xml:space="preserve"> </w:t>
      </w:r>
      <w:r w:rsidRPr="008E2CD0">
        <w:rPr>
          <w:rFonts w:cs="Times New Roman"/>
        </w:rPr>
        <w:t>would</w:t>
      </w:r>
      <w:r w:rsidRPr="008E2CD0">
        <w:rPr>
          <w:rFonts w:cs="Times New Roman"/>
          <w:spacing w:val="3"/>
        </w:rPr>
        <w:t xml:space="preserve"> </w:t>
      </w:r>
      <w:r w:rsidRPr="008E2CD0">
        <w:rPr>
          <w:rFonts w:cs="Times New Roman"/>
        </w:rPr>
        <w:t>like to</w:t>
      </w:r>
      <w:r w:rsidRPr="008E2CD0">
        <w:rPr>
          <w:rFonts w:cs="Times New Roman"/>
          <w:spacing w:val="2"/>
        </w:rPr>
        <w:t xml:space="preserve"> </w:t>
      </w:r>
      <w:r w:rsidRPr="008E2CD0">
        <w:rPr>
          <w:rFonts w:cs="Times New Roman"/>
        </w:rPr>
        <w:t>thank</w:t>
      </w:r>
      <w:r w:rsidRPr="008E2CD0">
        <w:rPr>
          <w:rFonts w:cs="Times New Roman"/>
          <w:spacing w:val="2"/>
        </w:rPr>
        <w:t xml:space="preserve"> </w:t>
      </w:r>
      <w:r w:rsidRPr="008E2CD0">
        <w:rPr>
          <w:rFonts w:cs="Times New Roman"/>
        </w:rPr>
        <w:t>Dr</w:t>
      </w:r>
      <w:r w:rsidR="000A5134" w:rsidRPr="008E2CD0">
        <w:rPr>
          <w:rFonts w:cs="Times New Roman"/>
        </w:rPr>
        <w:t>s</w:t>
      </w:r>
      <w:r w:rsidRPr="008E2CD0">
        <w:rPr>
          <w:rFonts w:cs="Times New Roman"/>
        </w:rPr>
        <w:t>.</w:t>
      </w:r>
      <w:r w:rsidRPr="008E2CD0">
        <w:rPr>
          <w:rFonts w:cs="Times New Roman"/>
          <w:spacing w:val="3"/>
        </w:rPr>
        <w:t xml:space="preserve"> </w:t>
      </w:r>
      <w:r w:rsidRPr="008E2CD0">
        <w:rPr>
          <w:rFonts w:cs="Times New Roman"/>
        </w:rPr>
        <w:t>Heather</w:t>
      </w:r>
      <w:r w:rsidRPr="008E2CD0">
        <w:rPr>
          <w:rFonts w:cs="Times New Roman"/>
          <w:spacing w:val="3"/>
        </w:rPr>
        <w:t xml:space="preserve"> </w:t>
      </w:r>
      <w:r w:rsidRPr="008E2CD0">
        <w:rPr>
          <w:rFonts w:cs="Times New Roman"/>
        </w:rPr>
        <w:t>Kelly</w:t>
      </w:r>
      <w:r w:rsidRPr="008E2CD0">
        <w:rPr>
          <w:rFonts w:cs="Times New Roman"/>
          <w:spacing w:val="2"/>
        </w:rPr>
        <w:t xml:space="preserve"> </w:t>
      </w:r>
      <w:r w:rsidR="000A5134" w:rsidRPr="008E2CD0">
        <w:rPr>
          <w:rFonts w:cs="Times New Roman"/>
          <w:spacing w:val="2"/>
        </w:rPr>
        <w:t xml:space="preserve">and Zachariah Hansen </w:t>
      </w:r>
      <w:r w:rsidRPr="008E2CD0">
        <w:rPr>
          <w:rFonts w:cs="Times New Roman"/>
        </w:rPr>
        <w:t>for</w:t>
      </w:r>
      <w:r w:rsidRPr="008E2CD0">
        <w:rPr>
          <w:rFonts w:cs="Times New Roman"/>
          <w:spacing w:val="3"/>
        </w:rPr>
        <w:t xml:space="preserve"> </w:t>
      </w:r>
      <w:r w:rsidR="000A5134" w:rsidRPr="008E2CD0">
        <w:rPr>
          <w:rFonts w:cs="Times New Roman"/>
          <w:spacing w:val="3"/>
        </w:rPr>
        <w:t>their advisory roles and support for me</w:t>
      </w:r>
      <w:r w:rsidRPr="008E2CD0">
        <w:rPr>
          <w:rFonts w:cs="Times New Roman"/>
        </w:rPr>
        <w:t>.</w:t>
      </w:r>
      <w:r w:rsidRPr="008E2CD0">
        <w:rPr>
          <w:rFonts w:cs="Times New Roman"/>
          <w:spacing w:val="3"/>
        </w:rPr>
        <w:t xml:space="preserve"> </w:t>
      </w:r>
      <w:r w:rsidR="000A5134" w:rsidRPr="008E2CD0">
        <w:rPr>
          <w:rFonts w:cs="Times New Roman"/>
          <w:spacing w:val="3"/>
        </w:rPr>
        <w:t>A</w:t>
      </w:r>
      <w:r w:rsidR="000A5134" w:rsidRPr="008E2CD0">
        <w:rPr>
          <w:rFonts w:cs="Times New Roman"/>
        </w:rPr>
        <w:t xml:space="preserve">lso, I thank </w:t>
      </w:r>
      <w:r w:rsidRPr="008E2CD0">
        <w:rPr>
          <w:rFonts w:cs="Times New Roman"/>
        </w:rPr>
        <w:t xml:space="preserve">my committee members, Drs. </w:t>
      </w:r>
      <w:r w:rsidR="000A5134" w:rsidRPr="008E2CD0">
        <w:rPr>
          <w:rFonts w:cs="Times New Roman"/>
        </w:rPr>
        <w:t>Ernest Bernard, Alemu Mengistu, and Avat Shekoofa</w:t>
      </w:r>
      <w:r w:rsidR="00F317F0">
        <w:rPr>
          <w:rFonts w:cs="Times New Roman"/>
        </w:rPr>
        <w:t xml:space="preserve"> for</w:t>
      </w:r>
      <w:r w:rsidR="000A5134" w:rsidRPr="008E2CD0">
        <w:rPr>
          <w:rFonts w:cs="Times New Roman"/>
        </w:rPr>
        <w:t xml:space="preserve"> </w:t>
      </w:r>
      <w:r w:rsidRPr="008E2CD0">
        <w:rPr>
          <w:rFonts w:cs="Times New Roman"/>
        </w:rPr>
        <w:t>provid</w:t>
      </w:r>
      <w:r w:rsidR="00F317F0">
        <w:rPr>
          <w:rFonts w:cs="Times New Roman"/>
        </w:rPr>
        <w:t>ing</w:t>
      </w:r>
      <w:r w:rsidRPr="008E2CD0">
        <w:rPr>
          <w:rFonts w:cs="Times New Roman"/>
        </w:rPr>
        <w:t xml:space="preserve"> </w:t>
      </w:r>
      <w:r w:rsidR="000A5134" w:rsidRPr="008E2CD0">
        <w:rPr>
          <w:rFonts w:cs="Times New Roman"/>
        </w:rPr>
        <w:t>various contributions and overs</w:t>
      </w:r>
      <w:r w:rsidR="00F317F0">
        <w:rPr>
          <w:rFonts w:cs="Times New Roman"/>
        </w:rPr>
        <w:t>aw</w:t>
      </w:r>
      <w:r w:rsidR="000A5134" w:rsidRPr="008E2CD0">
        <w:rPr>
          <w:rFonts w:cs="Times New Roman"/>
        </w:rPr>
        <w:t xml:space="preserve"> my progress at every stage of the degree, especially during committee meetings and comprehensive exams. I must also say thank you to </w:t>
      </w:r>
      <w:r w:rsidRPr="008E2CD0">
        <w:rPr>
          <w:rFonts w:cs="Times New Roman"/>
        </w:rPr>
        <w:t>Wes Crowder and Rachel Guyer for</w:t>
      </w:r>
      <w:r w:rsidR="000A5134" w:rsidRPr="008E2CD0">
        <w:rPr>
          <w:rFonts w:cs="Times New Roman"/>
        </w:rPr>
        <w:t xml:space="preserve"> their help when I was in Jackson</w:t>
      </w:r>
      <w:r w:rsidR="00862F52">
        <w:rPr>
          <w:rFonts w:cs="Times New Roman"/>
        </w:rPr>
        <w:t>,</w:t>
      </w:r>
      <w:r w:rsidR="000A5134" w:rsidRPr="008E2CD0">
        <w:rPr>
          <w:rFonts w:cs="Times New Roman"/>
        </w:rPr>
        <w:t xml:space="preserve"> Tennessee</w:t>
      </w:r>
      <w:r w:rsidR="00862F52">
        <w:rPr>
          <w:rFonts w:cs="Times New Roman"/>
        </w:rPr>
        <w:t>,</w:t>
      </w:r>
      <w:r w:rsidR="000A5134" w:rsidRPr="008E2CD0">
        <w:rPr>
          <w:rFonts w:cs="Times New Roman"/>
        </w:rPr>
        <w:t xml:space="preserve"> for the first part of my research studies</w:t>
      </w:r>
      <w:r w:rsidRPr="008E2CD0">
        <w:rPr>
          <w:rFonts w:cs="Times New Roman"/>
        </w:rPr>
        <w:t>. And thank you to the</w:t>
      </w:r>
      <w:r w:rsidRPr="008E2CD0">
        <w:rPr>
          <w:rFonts w:cs="Times New Roman"/>
          <w:spacing w:val="1"/>
        </w:rPr>
        <w:t xml:space="preserve"> </w:t>
      </w:r>
      <w:r w:rsidR="002F7FAB" w:rsidRPr="008E2CD0">
        <w:rPr>
          <w:rFonts w:cs="Times New Roman"/>
          <w:spacing w:val="1"/>
        </w:rPr>
        <w:t xml:space="preserve">WTREC, </w:t>
      </w:r>
      <w:r w:rsidR="000A5134" w:rsidRPr="008E2CD0">
        <w:rPr>
          <w:rFonts w:cs="Times New Roman"/>
          <w:spacing w:val="1"/>
        </w:rPr>
        <w:t xml:space="preserve">USDA lab </w:t>
      </w:r>
      <w:r w:rsidRPr="008E2CD0">
        <w:rPr>
          <w:rFonts w:cs="Times New Roman"/>
        </w:rPr>
        <w:t>s</w:t>
      </w:r>
      <w:r w:rsidR="000A5134" w:rsidRPr="008E2CD0">
        <w:rPr>
          <w:rFonts w:cs="Times New Roman"/>
        </w:rPr>
        <w:t>taff</w:t>
      </w:r>
      <w:r w:rsidR="002F7FAB" w:rsidRPr="008E2CD0">
        <w:rPr>
          <w:rFonts w:cs="Times New Roman"/>
        </w:rPr>
        <w:t>,</w:t>
      </w:r>
      <w:r w:rsidR="000A5134" w:rsidRPr="008E2CD0">
        <w:rPr>
          <w:rFonts w:cs="Times New Roman"/>
        </w:rPr>
        <w:t xml:space="preserve"> and interns for their help </w:t>
      </w:r>
      <w:r w:rsidR="002F7FAB" w:rsidRPr="008E2CD0">
        <w:rPr>
          <w:rFonts w:cs="Times New Roman"/>
        </w:rPr>
        <w:t>and support when I was in Jackson</w:t>
      </w:r>
      <w:r w:rsidRPr="008E2CD0">
        <w:rPr>
          <w:rFonts w:cs="Times New Roman"/>
        </w:rPr>
        <w:t xml:space="preserve">. </w:t>
      </w:r>
      <w:r w:rsidR="002F7FAB" w:rsidRPr="008E2CD0">
        <w:rPr>
          <w:rFonts w:cs="Times New Roman"/>
        </w:rPr>
        <w:t>I also than</w:t>
      </w:r>
      <w:r w:rsidR="00BE3B31">
        <w:rPr>
          <w:rFonts w:cs="Times New Roman"/>
        </w:rPr>
        <w:t>k</w:t>
      </w:r>
      <w:r w:rsidR="002F7FAB" w:rsidRPr="008E2CD0">
        <w:rPr>
          <w:rFonts w:cs="Times New Roman"/>
        </w:rPr>
        <w:t xml:space="preserve"> Drs. Thomas Sinclair, Charles Opperman, and the USDA lab in Raleigh NC for their help when I was in Raleigh for the nitrogen-fixation study. </w:t>
      </w:r>
      <w:r w:rsidR="000A5134" w:rsidRPr="008E2CD0">
        <w:rPr>
          <w:rFonts w:cs="Times New Roman"/>
        </w:rPr>
        <w:t>I thank my f</w:t>
      </w:r>
      <w:r w:rsidRPr="008E2CD0">
        <w:rPr>
          <w:rFonts w:cs="Times New Roman"/>
        </w:rPr>
        <w:t xml:space="preserve">ellow graduate students: </w:t>
      </w:r>
      <w:r w:rsidR="002F7FAB" w:rsidRPr="008E2CD0">
        <w:rPr>
          <w:rFonts w:cs="Times New Roman"/>
        </w:rPr>
        <w:t xml:space="preserve">Ty Smith, Tim Sigenthaler, Shelly Pate, </w:t>
      </w:r>
      <w:r w:rsidRPr="008E2CD0">
        <w:rPr>
          <w:rFonts w:cs="Times New Roman"/>
        </w:rPr>
        <w:t>Elias</w:t>
      </w:r>
      <w:r w:rsidRPr="008E2CD0">
        <w:rPr>
          <w:rFonts w:cs="Times New Roman"/>
          <w:spacing w:val="1"/>
        </w:rPr>
        <w:t xml:space="preserve"> </w:t>
      </w:r>
      <w:r w:rsidRPr="008E2CD0">
        <w:rPr>
          <w:rFonts w:cs="Times New Roman"/>
        </w:rPr>
        <w:t>Zuchelli,</w:t>
      </w:r>
      <w:r w:rsidR="002F7FAB" w:rsidRPr="008E2CD0">
        <w:rPr>
          <w:rFonts w:cs="Times New Roman"/>
        </w:rPr>
        <w:t xml:space="preserve"> Autumn McLaughlin, and Sam Purdom, </w:t>
      </w:r>
      <w:r w:rsidRPr="008E2CD0">
        <w:rPr>
          <w:rFonts w:cs="Times New Roman"/>
        </w:rPr>
        <w:t xml:space="preserve">for making our time at the WTREC </w:t>
      </w:r>
      <w:r w:rsidR="002F7FAB" w:rsidRPr="008E2CD0">
        <w:rPr>
          <w:rFonts w:cs="Times New Roman"/>
        </w:rPr>
        <w:t xml:space="preserve">and Knoxville Campus a friendly and </w:t>
      </w:r>
      <w:r w:rsidRPr="008E2CD0">
        <w:rPr>
          <w:rFonts w:cs="Times New Roman"/>
        </w:rPr>
        <w:t>exciting one. Thank you to the University of Tennessee for the</w:t>
      </w:r>
      <w:r w:rsidRPr="008E2CD0">
        <w:rPr>
          <w:rFonts w:cs="Times New Roman"/>
          <w:spacing w:val="1"/>
        </w:rPr>
        <w:t xml:space="preserve"> </w:t>
      </w:r>
      <w:r w:rsidRPr="008E2CD0">
        <w:rPr>
          <w:rFonts w:cs="Times New Roman"/>
        </w:rPr>
        <w:t>opportunity.</w:t>
      </w:r>
      <w:r w:rsidRPr="008E2CD0">
        <w:rPr>
          <w:rFonts w:cs="Times New Roman"/>
          <w:spacing w:val="-4"/>
        </w:rPr>
        <w:t xml:space="preserve"> </w:t>
      </w:r>
      <w:r w:rsidRPr="008E2CD0">
        <w:rPr>
          <w:rFonts w:cs="Times New Roman"/>
        </w:rPr>
        <w:t>And</w:t>
      </w:r>
      <w:r w:rsidRPr="008E2CD0">
        <w:rPr>
          <w:rFonts w:cs="Times New Roman"/>
          <w:spacing w:val="-3"/>
        </w:rPr>
        <w:t xml:space="preserve"> </w:t>
      </w:r>
      <w:r w:rsidRPr="008E2CD0">
        <w:rPr>
          <w:rFonts w:cs="Times New Roman"/>
        </w:rPr>
        <w:t>lastly,</w:t>
      </w:r>
      <w:r w:rsidRPr="008E2CD0">
        <w:rPr>
          <w:rFonts w:cs="Times New Roman"/>
          <w:spacing w:val="-3"/>
        </w:rPr>
        <w:t xml:space="preserve"> </w:t>
      </w:r>
      <w:r w:rsidRPr="008E2CD0">
        <w:rPr>
          <w:rFonts w:cs="Times New Roman"/>
        </w:rPr>
        <w:t>I</w:t>
      </w:r>
      <w:r w:rsidRPr="008E2CD0">
        <w:rPr>
          <w:rFonts w:cs="Times New Roman"/>
          <w:spacing w:val="-3"/>
        </w:rPr>
        <w:t xml:space="preserve"> </w:t>
      </w:r>
      <w:r w:rsidRPr="008E2CD0">
        <w:rPr>
          <w:rFonts w:cs="Times New Roman"/>
        </w:rPr>
        <w:t>would</w:t>
      </w:r>
      <w:r w:rsidRPr="008E2CD0">
        <w:rPr>
          <w:rFonts w:cs="Times New Roman"/>
          <w:spacing w:val="-4"/>
        </w:rPr>
        <w:t xml:space="preserve"> </w:t>
      </w:r>
      <w:r w:rsidRPr="008E2CD0">
        <w:rPr>
          <w:rFonts w:cs="Times New Roman"/>
        </w:rPr>
        <w:t>like</w:t>
      </w:r>
      <w:r w:rsidRPr="008E2CD0">
        <w:rPr>
          <w:rFonts w:cs="Times New Roman"/>
          <w:spacing w:val="-2"/>
        </w:rPr>
        <w:t xml:space="preserve"> </w:t>
      </w:r>
      <w:r w:rsidRPr="008E2CD0">
        <w:rPr>
          <w:rFonts w:cs="Times New Roman"/>
        </w:rPr>
        <w:t>to</w:t>
      </w:r>
      <w:r w:rsidRPr="008E2CD0">
        <w:rPr>
          <w:rFonts w:cs="Times New Roman"/>
          <w:spacing w:val="-3"/>
        </w:rPr>
        <w:t xml:space="preserve"> </w:t>
      </w:r>
      <w:r w:rsidR="002F7FAB" w:rsidRPr="008E2CD0">
        <w:rPr>
          <w:rFonts w:cs="Times New Roman"/>
        </w:rPr>
        <w:t>thank</w:t>
      </w:r>
      <w:r w:rsidR="002F7FAB" w:rsidRPr="008E2CD0">
        <w:rPr>
          <w:rFonts w:cs="Times New Roman"/>
          <w:spacing w:val="-2"/>
        </w:rPr>
        <w:t xml:space="preserve"> the </w:t>
      </w:r>
      <w:r w:rsidRPr="008E2CD0">
        <w:rPr>
          <w:rFonts w:cs="Times New Roman"/>
        </w:rPr>
        <w:t>United</w:t>
      </w:r>
      <w:r w:rsidRPr="008E2CD0">
        <w:rPr>
          <w:rFonts w:cs="Times New Roman"/>
          <w:spacing w:val="-2"/>
        </w:rPr>
        <w:t xml:space="preserve"> </w:t>
      </w:r>
      <w:r w:rsidR="00E44D20" w:rsidRPr="008E2CD0">
        <w:rPr>
          <w:rFonts w:cs="Times New Roman"/>
        </w:rPr>
        <w:t>Soybean</w:t>
      </w:r>
      <w:r w:rsidR="00514597">
        <w:rPr>
          <w:rFonts w:cs="Times New Roman"/>
        </w:rPr>
        <w:t xml:space="preserve"> Board </w:t>
      </w:r>
      <w:r w:rsidR="002F7FAB" w:rsidRPr="008E2CD0">
        <w:rPr>
          <w:rFonts w:cs="Times New Roman"/>
        </w:rPr>
        <w:t xml:space="preserve">and </w:t>
      </w:r>
      <w:r w:rsidRPr="008E2CD0">
        <w:rPr>
          <w:rFonts w:cs="Times New Roman"/>
        </w:rPr>
        <w:t>Tennessee Soybean Promotion Board</w:t>
      </w:r>
      <w:r w:rsidR="002F7FAB" w:rsidRPr="008E2CD0">
        <w:rPr>
          <w:rFonts w:cs="Times New Roman"/>
        </w:rPr>
        <w:t xml:space="preserve"> </w:t>
      </w:r>
      <w:r w:rsidRPr="008E2CD0">
        <w:rPr>
          <w:rFonts w:cs="Times New Roman"/>
        </w:rPr>
        <w:t>for funding for this</w:t>
      </w:r>
      <w:r w:rsidRPr="008E2CD0">
        <w:rPr>
          <w:rFonts w:cs="Times New Roman"/>
          <w:spacing w:val="1"/>
        </w:rPr>
        <w:t xml:space="preserve"> </w:t>
      </w:r>
      <w:r w:rsidRPr="008E2CD0">
        <w:rPr>
          <w:rFonts w:cs="Times New Roman"/>
        </w:rPr>
        <w:t>project.</w:t>
      </w:r>
    </w:p>
    <w:p w14:paraId="32BBF0E5" w14:textId="77777777" w:rsidR="00A76CBA" w:rsidRPr="008E2CD0" w:rsidRDefault="00A76CBA" w:rsidP="00FD1FC5">
      <w:pPr>
        <w:spacing w:line="360" w:lineRule="auto"/>
        <w:ind w:left="720"/>
        <w:rPr>
          <w:rFonts w:cs="Times New Roman"/>
        </w:rPr>
        <w:sectPr w:rsidR="00A76CBA" w:rsidRPr="008E2CD0" w:rsidSect="00E13094">
          <w:pgSz w:w="12240" w:h="15840" w:code="1"/>
          <w:pgMar w:top="1440" w:right="1440" w:bottom="1440" w:left="1440" w:header="0" w:footer="1440" w:gutter="0"/>
          <w:pgNumType w:fmt="lowerRoman"/>
          <w:cols w:space="720"/>
          <w:titlePg/>
          <w:docGrid w:linePitch="326"/>
        </w:sectPr>
      </w:pPr>
    </w:p>
    <w:p w14:paraId="4AFB3248" w14:textId="77777777" w:rsidR="002F12F5" w:rsidRPr="008E2CD0" w:rsidRDefault="002F12F5" w:rsidP="00FD1FC5">
      <w:pPr>
        <w:spacing w:line="360" w:lineRule="auto"/>
        <w:ind w:left="720"/>
        <w:rPr>
          <w:rFonts w:cs="Times New Roman"/>
          <w:b/>
          <w:bCs/>
          <w:sz w:val="28"/>
          <w:szCs w:val="28"/>
        </w:rPr>
      </w:pPr>
      <w:r w:rsidRPr="008E2CD0">
        <w:rPr>
          <w:rFonts w:cs="Times New Roman"/>
        </w:rPr>
        <w:br w:type="page"/>
      </w:r>
    </w:p>
    <w:p w14:paraId="6F153FE7" w14:textId="0F8A0499" w:rsidR="00A76CBA" w:rsidRDefault="0090512B" w:rsidP="004955E6">
      <w:pPr>
        <w:ind w:left="720"/>
        <w:jc w:val="center"/>
        <w:rPr>
          <w:rFonts w:cs="Times New Roman"/>
          <w:b/>
          <w:sz w:val="28"/>
          <w:szCs w:val="28"/>
        </w:rPr>
      </w:pPr>
      <w:r w:rsidRPr="008E2CD0">
        <w:rPr>
          <w:rFonts w:cs="Times New Roman"/>
          <w:b/>
          <w:sz w:val="28"/>
          <w:szCs w:val="28"/>
        </w:rPr>
        <w:t>ABSTRACT</w:t>
      </w:r>
    </w:p>
    <w:p w14:paraId="3CDF2278" w14:textId="77777777" w:rsidR="00C7071C" w:rsidRPr="008E2CD0" w:rsidRDefault="00C7071C" w:rsidP="004955E6">
      <w:pPr>
        <w:spacing w:line="360" w:lineRule="auto"/>
        <w:ind w:left="720"/>
        <w:rPr>
          <w:rFonts w:cs="Times New Roman"/>
          <w:b/>
          <w:sz w:val="28"/>
          <w:szCs w:val="28"/>
        </w:rPr>
      </w:pPr>
    </w:p>
    <w:p w14:paraId="13C98437" w14:textId="628E721B" w:rsidR="00333938" w:rsidRPr="009145A9" w:rsidRDefault="00333938" w:rsidP="004955E6">
      <w:pPr>
        <w:pStyle w:val="BodyText"/>
        <w:spacing w:line="360" w:lineRule="auto"/>
        <w:ind w:left="720" w:right="728" w:firstLine="720"/>
      </w:pPr>
      <w:r>
        <w:t xml:space="preserve">Nematodes and diseases can limit field crops and hemp production in Tennessee. Therefore, </w:t>
      </w:r>
      <w:r w:rsidR="00216B4F">
        <w:t>seven</w:t>
      </w:r>
      <w:r>
        <w:t xml:space="preserve"> research objectives were undertaken to improve </w:t>
      </w:r>
      <w:r w:rsidR="007176B1">
        <w:t xml:space="preserve">the </w:t>
      </w:r>
      <w:r>
        <w:t xml:space="preserve">management of the crops: </w:t>
      </w:r>
      <w:r w:rsidR="004955E6" w:rsidRPr="00957B7D">
        <w:t>First, the prevalence and density o</w:t>
      </w:r>
      <w:r w:rsidR="004955E6" w:rsidRPr="00957B7D">
        <w:rPr>
          <w:rFonts w:cs="Times New Roman"/>
        </w:rPr>
        <w:t>f plant-parasitic nematode populations were evaluated across many field crop acreages in Tennessee t</w:t>
      </w:r>
      <w:r w:rsidR="004955E6">
        <w:rPr>
          <w:rFonts w:cs="Times New Roman"/>
        </w:rPr>
        <w:t>hr</w:t>
      </w:r>
      <w:r w:rsidR="004955E6" w:rsidRPr="00957B7D">
        <w:rPr>
          <w:rFonts w:cs="Times New Roman"/>
        </w:rPr>
        <w:t>ough a survey from 2018 through 2020. Second</w:t>
      </w:r>
      <w:r w:rsidR="004955E6">
        <w:rPr>
          <w:rFonts w:cs="Times New Roman"/>
        </w:rPr>
        <w:t>,</w:t>
      </w:r>
      <w:r w:rsidR="004955E6" w:rsidRPr="00957B7D">
        <w:rPr>
          <w:rFonts w:cs="Times New Roman"/>
        </w:rPr>
        <w:t xml:space="preserve"> the virulence phenotypes </w:t>
      </w:r>
      <w:r w:rsidR="004955E6">
        <w:rPr>
          <w:rFonts w:cs="Times New Roman"/>
        </w:rPr>
        <w:t xml:space="preserve">of </w:t>
      </w:r>
      <w:r w:rsidR="004955E6" w:rsidRPr="00957B7D">
        <w:rPr>
          <w:rFonts w:cs="Times New Roman"/>
        </w:rPr>
        <w:t xml:space="preserve">soybean cyst nematode (SCN), </w:t>
      </w:r>
      <w:r w:rsidR="004955E6">
        <w:rPr>
          <w:rFonts w:cs="Times New Roman"/>
        </w:rPr>
        <w:t>(</w:t>
      </w:r>
      <w:r w:rsidR="004955E6" w:rsidRPr="00957B7D">
        <w:rPr>
          <w:rFonts w:cs="Times New Roman"/>
          <w:i/>
        </w:rPr>
        <w:t>Heterodera glycines</w:t>
      </w:r>
      <w:r w:rsidR="004955E6">
        <w:rPr>
          <w:rFonts w:cs="Times New Roman"/>
        </w:rPr>
        <w:t xml:space="preserve"> [</w:t>
      </w:r>
      <w:r w:rsidR="004955E6" w:rsidRPr="00957B7D">
        <w:rPr>
          <w:rFonts w:cs="Times New Roman"/>
        </w:rPr>
        <w:t>HG</w:t>
      </w:r>
      <w:r w:rsidR="004955E6">
        <w:rPr>
          <w:rFonts w:cs="Times New Roman"/>
        </w:rPr>
        <w:t>])</w:t>
      </w:r>
      <w:r w:rsidR="004955E6" w:rsidRPr="00957B7D">
        <w:rPr>
          <w:rFonts w:cs="Times New Roman"/>
        </w:rPr>
        <w:t xml:space="preserve">, populations were assessed in Tennessee fields using the HG types test. Third, the impact of the virulent SCN </w:t>
      </w:r>
      <w:r w:rsidR="004955E6" w:rsidRPr="00957B7D">
        <w:rPr>
          <w:rFonts w:cs="Times New Roman"/>
          <w:bCs/>
        </w:rPr>
        <w:t xml:space="preserve">HG type 1.2.5.7 </w:t>
      </w:r>
      <w:r w:rsidR="004955E6" w:rsidRPr="00957B7D">
        <w:rPr>
          <w:rFonts w:cs="Times New Roman"/>
          <w:noProof/>
        </w:rPr>
        <w:t>on</w:t>
      </w:r>
      <w:r w:rsidR="004955E6" w:rsidRPr="00957B7D">
        <w:rPr>
          <w:rFonts w:cs="Times New Roman"/>
        </w:rPr>
        <w:t xml:space="preserve"> soybean nitrogen fixation</w:t>
      </w:r>
      <w:r w:rsidR="004955E6">
        <w:rPr>
          <w:rFonts w:cs="Times New Roman"/>
        </w:rPr>
        <w:t xml:space="preserve"> </w:t>
      </w:r>
      <w:r w:rsidR="004955E6" w:rsidRPr="00957B7D">
        <w:rPr>
          <w:rFonts w:cs="Times New Roman"/>
        </w:rPr>
        <w:t xml:space="preserve">activity and growth was evaluated on different soybean genotypes in the greenhouse. Fourth, the impact of different densities of </w:t>
      </w:r>
      <w:r w:rsidR="004955E6" w:rsidRPr="00957B7D">
        <w:rPr>
          <w:rFonts w:cs="Times New Roman"/>
          <w:i/>
        </w:rPr>
        <w:t xml:space="preserve">Macrophomina phaseolina [Mp] </w:t>
      </w:r>
      <w:r w:rsidR="004955E6" w:rsidRPr="00957B7D">
        <w:rPr>
          <w:rFonts w:cs="Times New Roman"/>
        </w:rPr>
        <w:t>microsclerotia on charcoal rot disease severity and soybean damage</w:t>
      </w:r>
      <w:r w:rsidR="004955E6">
        <w:rPr>
          <w:rFonts w:cs="Times New Roman"/>
        </w:rPr>
        <w:t xml:space="preserve"> were assessed. F</w:t>
      </w:r>
      <w:r w:rsidR="004955E6" w:rsidRPr="00957B7D">
        <w:rPr>
          <w:rFonts w:cs="Times New Roman"/>
        </w:rPr>
        <w:t xml:space="preserve">ifth, the impact of soybean varieties on </w:t>
      </w:r>
      <w:r w:rsidR="004955E6" w:rsidRPr="00957B7D">
        <w:rPr>
          <w:rFonts w:cs="Times New Roman"/>
          <w:i/>
        </w:rPr>
        <w:t>Mp</w:t>
      </w:r>
      <w:r w:rsidR="004955E6" w:rsidRPr="00957B7D">
        <w:rPr>
          <w:rFonts w:cs="Times New Roman"/>
        </w:rPr>
        <w:t xml:space="preserve"> density in soil and plant tissue w</w:t>
      </w:r>
      <w:r w:rsidR="004955E6">
        <w:rPr>
          <w:rFonts w:cs="Times New Roman"/>
        </w:rPr>
        <w:t>as</w:t>
      </w:r>
      <w:r w:rsidR="004955E6" w:rsidRPr="00957B7D">
        <w:rPr>
          <w:rFonts w:cs="Times New Roman"/>
        </w:rPr>
        <w:t xml:space="preserve"> eval</w:t>
      </w:r>
      <w:r w:rsidR="004955E6">
        <w:rPr>
          <w:rFonts w:cs="Times New Roman"/>
        </w:rPr>
        <w:t>ua</w:t>
      </w:r>
      <w:r w:rsidR="004955E6" w:rsidRPr="00957B7D">
        <w:rPr>
          <w:rFonts w:cs="Times New Roman"/>
        </w:rPr>
        <w:t>ted using greenhouse tests. Sixth, the causative pathogen of greenhouse hemp powdery mildew in Tennessee was identified using PCR and DNA sequencing</w:t>
      </w:r>
      <w:r w:rsidR="004955E6">
        <w:rPr>
          <w:rFonts w:cs="Times New Roman"/>
        </w:rPr>
        <w:t>.</w:t>
      </w:r>
      <w:r w:rsidR="004955E6" w:rsidRPr="00957B7D">
        <w:rPr>
          <w:rFonts w:cs="Times New Roman"/>
        </w:rPr>
        <w:t xml:space="preserve"> </w:t>
      </w:r>
      <w:r w:rsidR="004955E6">
        <w:rPr>
          <w:rFonts w:cs="Times New Roman"/>
        </w:rPr>
        <w:t>Finally</w:t>
      </w:r>
      <w:r w:rsidR="004955E6" w:rsidRPr="00957B7D">
        <w:rPr>
          <w:rFonts w:cs="Times New Roman"/>
        </w:rPr>
        <w:t xml:space="preserve">, </w:t>
      </w:r>
      <w:r w:rsidR="004955E6" w:rsidRPr="00957B7D">
        <w:rPr>
          <w:rFonts w:cs="Times New Roman"/>
          <w:color w:val="0E101A"/>
        </w:rPr>
        <w:t xml:space="preserve">multiple fungicides were screened for the control of hemp </w:t>
      </w:r>
      <w:r w:rsidR="009750A3" w:rsidRPr="00957B7D">
        <w:rPr>
          <w:rFonts w:cs="Times New Roman"/>
        </w:rPr>
        <w:t xml:space="preserve">powdery mildew </w:t>
      </w:r>
      <w:r w:rsidR="004955E6" w:rsidRPr="00957B7D">
        <w:rPr>
          <w:rFonts w:cs="Times New Roman"/>
          <w:color w:val="0E101A"/>
        </w:rPr>
        <w:t>and leaf spot</w:t>
      </w:r>
      <w:r w:rsidR="00CC6277">
        <w:rPr>
          <w:rFonts w:cs="Times New Roman"/>
          <w:color w:val="0E101A"/>
        </w:rPr>
        <w:t>s</w:t>
      </w:r>
      <w:r w:rsidR="004955E6" w:rsidRPr="00957B7D">
        <w:rPr>
          <w:rFonts w:cs="Times New Roman"/>
          <w:color w:val="0E101A"/>
        </w:rPr>
        <w:t xml:space="preserve"> in the greenhouse and fie</w:t>
      </w:r>
      <w:r w:rsidR="004955E6">
        <w:rPr>
          <w:rFonts w:cs="Times New Roman"/>
          <w:color w:val="0E101A"/>
        </w:rPr>
        <w:t>ld</w:t>
      </w:r>
      <w:r w:rsidR="004955E6" w:rsidRPr="00957B7D">
        <w:rPr>
          <w:rFonts w:cs="Times New Roman"/>
          <w:color w:val="0E101A"/>
        </w:rPr>
        <w:t>, respe</w:t>
      </w:r>
      <w:r w:rsidR="004955E6">
        <w:rPr>
          <w:rFonts w:cs="Times New Roman"/>
          <w:color w:val="0E101A"/>
        </w:rPr>
        <w:t>c</w:t>
      </w:r>
      <w:r w:rsidR="004955E6" w:rsidRPr="00957B7D">
        <w:rPr>
          <w:rFonts w:cs="Times New Roman"/>
          <w:color w:val="0E101A"/>
        </w:rPr>
        <w:t>tively.</w:t>
      </w:r>
    </w:p>
    <w:p w14:paraId="34E1EB87" w14:textId="1765A451" w:rsidR="00333938" w:rsidRPr="009145A9" w:rsidRDefault="00333938" w:rsidP="004955E6">
      <w:pPr>
        <w:pStyle w:val="BodyText"/>
        <w:spacing w:line="360" w:lineRule="auto"/>
        <w:ind w:left="720" w:right="728" w:firstLine="720"/>
        <w:rPr>
          <w:rFonts w:cs="Times New Roman"/>
        </w:rPr>
      </w:pPr>
      <w:r w:rsidRPr="009145A9">
        <w:rPr>
          <w:rFonts w:cs="Times New Roman"/>
        </w:rPr>
        <w:t xml:space="preserve">Fourteen </w:t>
      </w:r>
      <w:r w:rsidR="003743A7" w:rsidRPr="009145A9">
        <w:rPr>
          <w:rFonts w:cs="Times New Roman"/>
        </w:rPr>
        <w:t>nematode</w:t>
      </w:r>
      <w:r w:rsidR="003743A7">
        <w:rPr>
          <w:rFonts w:cs="Times New Roman"/>
        </w:rPr>
        <w:t xml:space="preserve"> taxa</w:t>
      </w:r>
      <w:r w:rsidRPr="009145A9">
        <w:rPr>
          <w:rFonts w:cs="Times New Roman"/>
        </w:rPr>
        <w:t xml:space="preserve"> occurred across</w:t>
      </w:r>
      <w:r>
        <w:rPr>
          <w:rFonts w:cs="Times New Roman"/>
        </w:rPr>
        <w:t xml:space="preserve"> </w:t>
      </w:r>
      <w:r w:rsidRPr="009145A9">
        <w:rPr>
          <w:rFonts w:cs="Times New Roman"/>
        </w:rPr>
        <w:t>samples</w:t>
      </w:r>
      <w:r w:rsidR="000B2AB1">
        <w:rPr>
          <w:rFonts w:cs="Times New Roman"/>
        </w:rPr>
        <w:t>. The most preval</w:t>
      </w:r>
      <w:r w:rsidR="00CC6277">
        <w:rPr>
          <w:rFonts w:cs="Times New Roman"/>
        </w:rPr>
        <w:t>ent</w:t>
      </w:r>
      <w:r w:rsidR="000B2AB1">
        <w:rPr>
          <w:rFonts w:cs="Times New Roman"/>
        </w:rPr>
        <w:t xml:space="preserve"> nematodes </w:t>
      </w:r>
      <w:r w:rsidR="00CC6277">
        <w:rPr>
          <w:rFonts w:cs="Times New Roman"/>
        </w:rPr>
        <w:t xml:space="preserve">across samples </w:t>
      </w:r>
      <w:r w:rsidR="000B2AB1">
        <w:rPr>
          <w:rFonts w:cs="Times New Roman"/>
        </w:rPr>
        <w:t>occurred at 83% (s</w:t>
      </w:r>
      <w:r w:rsidR="000B2AB1" w:rsidRPr="009145A9">
        <w:rPr>
          <w:rFonts w:cs="Times New Roman"/>
        </w:rPr>
        <w:t>piral</w:t>
      </w:r>
      <w:r w:rsidR="000B2AB1">
        <w:rPr>
          <w:rFonts w:cs="Times New Roman"/>
        </w:rPr>
        <w:t xml:space="preserve">, </w:t>
      </w:r>
      <w:r w:rsidR="000B2AB1" w:rsidRPr="000E16D5">
        <w:rPr>
          <w:rFonts w:cs="Times New Roman"/>
          <w:i/>
        </w:rPr>
        <w:t>Helicotylenchus</w:t>
      </w:r>
      <w:r w:rsidR="000B2AB1">
        <w:rPr>
          <w:rFonts w:cs="Times New Roman"/>
        </w:rPr>
        <w:t xml:space="preserve"> spp.</w:t>
      </w:r>
      <w:r w:rsidR="000B2AB1" w:rsidRPr="009145A9">
        <w:rPr>
          <w:rFonts w:cs="Times New Roman"/>
        </w:rPr>
        <w:t>)</w:t>
      </w:r>
      <w:r w:rsidR="000B2AB1">
        <w:rPr>
          <w:rFonts w:cs="Times New Roman"/>
        </w:rPr>
        <w:t>, 29% (</w:t>
      </w:r>
      <w:r w:rsidR="000B2AB1" w:rsidRPr="009145A9">
        <w:rPr>
          <w:rFonts w:cs="Times New Roman"/>
        </w:rPr>
        <w:t>lance</w:t>
      </w:r>
      <w:r w:rsidR="000B2AB1">
        <w:rPr>
          <w:rFonts w:cs="Times New Roman"/>
        </w:rPr>
        <w:t xml:space="preserve">, </w:t>
      </w:r>
      <w:r w:rsidR="000B2AB1" w:rsidRPr="000E16D5">
        <w:rPr>
          <w:rFonts w:cs="Times New Roman"/>
          <w:i/>
        </w:rPr>
        <w:t>Hoplolaimus</w:t>
      </w:r>
      <w:r w:rsidR="000B2AB1">
        <w:rPr>
          <w:rFonts w:cs="Times New Roman"/>
        </w:rPr>
        <w:t>)</w:t>
      </w:r>
      <w:r w:rsidR="000B2AB1" w:rsidRPr="009145A9">
        <w:rPr>
          <w:rFonts w:cs="Times New Roman"/>
        </w:rPr>
        <w:t xml:space="preserve">, </w:t>
      </w:r>
      <w:r w:rsidR="000B2AB1">
        <w:rPr>
          <w:rFonts w:cs="Times New Roman"/>
        </w:rPr>
        <w:t xml:space="preserve">25% (SCN, </w:t>
      </w:r>
      <w:r w:rsidR="000B2AB1" w:rsidRPr="000E16D5">
        <w:rPr>
          <w:rFonts w:cs="Times New Roman"/>
          <w:i/>
        </w:rPr>
        <w:t>Heterodera glycines</w:t>
      </w:r>
      <w:r w:rsidR="000B2AB1" w:rsidRPr="009145A9">
        <w:rPr>
          <w:rFonts w:cs="Times New Roman"/>
        </w:rPr>
        <w:t>),</w:t>
      </w:r>
      <w:r w:rsidR="000B2AB1">
        <w:rPr>
          <w:rFonts w:cs="Times New Roman"/>
        </w:rPr>
        <w:t xml:space="preserve"> 23% (lesion, </w:t>
      </w:r>
      <w:r w:rsidR="000B2AB1" w:rsidRPr="000E16D5">
        <w:rPr>
          <w:rFonts w:cs="Times New Roman"/>
          <w:i/>
        </w:rPr>
        <w:t>Pratylenchus</w:t>
      </w:r>
      <w:r w:rsidR="000B2AB1">
        <w:rPr>
          <w:rFonts w:cs="Times New Roman"/>
        </w:rPr>
        <w:t>), 20% (</w:t>
      </w:r>
      <w:r w:rsidR="000B2AB1" w:rsidRPr="009145A9">
        <w:rPr>
          <w:rFonts w:cs="Times New Roman"/>
        </w:rPr>
        <w:t>reniform</w:t>
      </w:r>
      <w:r w:rsidR="000B2AB1">
        <w:rPr>
          <w:rFonts w:cs="Times New Roman"/>
        </w:rPr>
        <w:t xml:space="preserve">, </w:t>
      </w:r>
      <w:r w:rsidR="000B2AB1" w:rsidRPr="000E16D5">
        <w:rPr>
          <w:rFonts w:cs="Times New Roman"/>
          <w:i/>
        </w:rPr>
        <w:t>Rotylenchulus</w:t>
      </w:r>
      <w:r w:rsidR="000B2AB1">
        <w:rPr>
          <w:rFonts w:cs="Times New Roman"/>
        </w:rPr>
        <w:t>)</w:t>
      </w:r>
      <w:r w:rsidR="00CC6277">
        <w:rPr>
          <w:rFonts w:cs="Times New Roman"/>
        </w:rPr>
        <w:t>,</w:t>
      </w:r>
      <w:r w:rsidR="000B2AB1">
        <w:rPr>
          <w:rFonts w:cs="Times New Roman"/>
        </w:rPr>
        <w:t xml:space="preserve"> 19% (</w:t>
      </w:r>
      <w:r w:rsidR="000B2AB1" w:rsidRPr="009145A9">
        <w:rPr>
          <w:rFonts w:cs="Times New Roman"/>
        </w:rPr>
        <w:t>stunt</w:t>
      </w:r>
      <w:r w:rsidR="000B2AB1">
        <w:rPr>
          <w:rFonts w:cs="Times New Roman"/>
        </w:rPr>
        <w:t xml:space="preserve">, </w:t>
      </w:r>
      <w:r w:rsidR="000B2AB1" w:rsidRPr="000E16D5">
        <w:rPr>
          <w:rFonts w:cs="Times New Roman"/>
          <w:i/>
        </w:rPr>
        <w:t>Tylenchorhynchus</w:t>
      </w:r>
      <w:r w:rsidR="000B2AB1" w:rsidRPr="009145A9">
        <w:rPr>
          <w:rFonts w:cs="Times New Roman"/>
        </w:rPr>
        <w:t>),</w:t>
      </w:r>
      <w:r w:rsidR="000B2AB1">
        <w:rPr>
          <w:rFonts w:cs="Times New Roman"/>
        </w:rPr>
        <w:t xml:space="preserve"> and 13% (</w:t>
      </w:r>
      <w:r w:rsidR="000B2AB1" w:rsidRPr="009145A9">
        <w:rPr>
          <w:rFonts w:cs="Times New Roman"/>
        </w:rPr>
        <w:t>root-knot</w:t>
      </w:r>
      <w:r w:rsidR="000B2AB1">
        <w:rPr>
          <w:rFonts w:cs="Times New Roman"/>
        </w:rPr>
        <w:t xml:space="preserve">, </w:t>
      </w:r>
      <w:r w:rsidR="000B2AB1" w:rsidRPr="00126DCE">
        <w:rPr>
          <w:rFonts w:cs="Times New Roman"/>
          <w:i/>
        </w:rPr>
        <w:t>Meloidogyne</w:t>
      </w:r>
      <w:r w:rsidR="000B2AB1">
        <w:rPr>
          <w:rFonts w:cs="Times New Roman"/>
        </w:rPr>
        <w:t xml:space="preserve">). Reniform, </w:t>
      </w:r>
      <w:r w:rsidRPr="009145A9">
        <w:rPr>
          <w:rFonts w:cs="Times New Roman"/>
        </w:rPr>
        <w:t>RKN</w:t>
      </w:r>
      <w:r w:rsidR="000B2AB1">
        <w:rPr>
          <w:rFonts w:cs="Times New Roman"/>
        </w:rPr>
        <w:t>, SCN, and lesion nematodes</w:t>
      </w:r>
      <w:r w:rsidRPr="009145A9">
        <w:rPr>
          <w:rFonts w:cs="Times New Roman"/>
        </w:rPr>
        <w:t xml:space="preserve"> occurred at high densit</w:t>
      </w:r>
      <w:r w:rsidR="00755873">
        <w:rPr>
          <w:rFonts w:cs="Times New Roman"/>
        </w:rPr>
        <w:t>ies</w:t>
      </w:r>
      <w:r w:rsidRPr="009145A9">
        <w:rPr>
          <w:rFonts w:cs="Times New Roman"/>
        </w:rPr>
        <w:t xml:space="preserve"> in samples. </w:t>
      </w:r>
      <w:r>
        <w:rPr>
          <w:rFonts w:cs="Times New Roman"/>
        </w:rPr>
        <w:t xml:space="preserve">All tested SCN </w:t>
      </w:r>
      <w:r w:rsidRPr="009145A9">
        <w:rPr>
          <w:rFonts w:cs="Times New Roman"/>
        </w:rPr>
        <w:t>populations were virulent (HG-types 1.2.5.</w:t>
      </w:r>
      <w:r>
        <w:rPr>
          <w:rFonts w:cs="Times New Roman"/>
        </w:rPr>
        <w:t xml:space="preserve">7, </w:t>
      </w:r>
      <w:r w:rsidRPr="009145A9">
        <w:rPr>
          <w:rFonts w:cs="Times New Roman"/>
        </w:rPr>
        <w:t>2.5.7</w:t>
      </w:r>
      <w:r>
        <w:rPr>
          <w:rFonts w:cs="Times New Roman"/>
        </w:rPr>
        <w:t>, and 7</w:t>
      </w:r>
      <w:r w:rsidRPr="009145A9">
        <w:rPr>
          <w:rFonts w:cs="Times New Roman"/>
        </w:rPr>
        <w:t xml:space="preserve">), and HG-type 1.2.5.7 </w:t>
      </w:r>
      <w:r>
        <w:rPr>
          <w:rFonts w:cs="Times New Roman"/>
        </w:rPr>
        <w:t xml:space="preserve">had varying </w:t>
      </w:r>
      <w:r w:rsidRPr="009145A9">
        <w:rPr>
          <w:rFonts w:cs="Times New Roman"/>
        </w:rPr>
        <w:t xml:space="preserve">effects on soybean NF and growth </w:t>
      </w:r>
      <w:r>
        <w:rPr>
          <w:rFonts w:cs="Times New Roman"/>
        </w:rPr>
        <w:t xml:space="preserve">among </w:t>
      </w:r>
      <w:r w:rsidRPr="009145A9">
        <w:rPr>
          <w:rFonts w:cs="Times New Roman"/>
        </w:rPr>
        <w:t>susceptible cultiva</w:t>
      </w:r>
      <w:r>
        <w:rPr>
          <w:rFonts w:cs="Times New Roman"/>
        </w:rPr>
        <w:t xml:space="preserve">rs, but no effect on the </w:t>
      </w:r>
      <w:r w:rsidRPr="009145A9">
        <w:rPr>
          <w:rFonts w:cs="Times New Roman"/>
        </w:rPr>
        <w:t>resistant cultivar</w:t>
      </w:r>
      <w:r>
        <w:rPr>
          <w:rFonts w:cs="Times New Roman"/>
        </w:rPr>
        <w:t>.</w:t>
      </w:r>
      <w:r w:rsidR="00A12CFA">
        <w:rPr>
          <w:rFonts w:cs="Times New Roman"/>
        </w:rPr>
        <w:t xml:space="preserve"> </w:t>
      </w:r>
      <w:r w:rsidR="007176B1" w:rsidRPr="007176B1">
        <w:rPr>
          <w:rFonts w:cs="Times New Roman"/>
          <w:i/>
        </w:rPr>
        <w:t>M</w:t>
      </w:r>
      <w:r w:rsidR="00A12CFA">
        <w:rPr>
          <w:rFonts w:cs="Times New Roman"/>
          <w:i/>
        </w:rPr>
        <w:t xml:space="preserve">acrophomina </w:t>
      </w:r>
      <w:r w:rsidR="007176B1" w:rsidRPr="007176B1">
        <w:rPr>
          <w:rFonts w:cs="Times New Roman"/>
          <w:i/>
        </w:rPr>
        <w:t>p</w:t>
      </w:r>
      <w:r w:rsidR="00A12CFA">
        <w:rPr>
          <w:rFonts w:cs="Times New Roman"/>
          <w:i/>
        </w:rPr>
        <w:t>haseolina</w:t>
      </w:r>
      <w:r w:rsidR="007176B1" w:rsidRPr="007176B1">
        <w:rPr>
          <w:rFonts w:cs="Times New Roman"/>
        </w:rPr>
        <w:t xml:space="preserve"> density of about</w:t>
      </w:r>
      <w:r w:rsidR="007176B1">
        <w:rPr>
          <w:rFonts w:cs="Times New Roman"/>
        </w:rPr>
        <w:t xml:space="preserve"> 327 CFU/gram of soil </w:t>
      </w:r>
      <w:r w:rsidR="007176B1" w:rsidRPr="008E2CD0">
        <w:rPr>
          <w:rFonts w:cs="Times New Roman"/>
        </w:rPr>
        <w:t>cause</w:t>
      </w:r>
      <w:r w:rsidR="007176B1">
        <w:rPr>
          <w:rFonts w:cs="Times New Roman"/>
        </w:rPr>
        <w:t>d</w:t>
      </w:r>
      <w:r w:rsidR="000B2AB1">
        <w:rPr>
          <w:rFonts w:cs="Times New Roman"/>
        </w:rPr>
        <w:t xml:space="preserve"> charcoal rot</w:t>
      </w:r>
      <w:r w:rsidR="007176B1">
        <w:rPr>
          <w:rFonts w:cs="Times New Roman"/>
        </w:rPr>
        <w:t xml:space="preserve"> </w:t>
      </w:r>
      <w:r w:rsidR="007176B1">
        <w:rPr>
          <w:rFonts w:cs="Times New Roman"/>
          <w:shd w:val="clear" w:color="auto" w:fill="FFFFFF"/>
        </w:rPr>
        <w:t xml:space="preserve">disease on a susceptible soybean. </w:t>
      </w:r>
      <w:r w:rsidR="00705DBC">
        <w:rPr>
          <w:rFonts w:cs="Times New Roman"/>
          <w:shd w:val="clear" w:color="auto" w:fill="FFFFFF"/>
        </w:rPr>
        <w:t>Moderately r</w:t>
      </w:r>
      <w:r w:rsidR="007176B1">
        <w:rPr>
          <w:rFonts w:cs="Times New Roman"/>
          <w:shd w:val="clear" w:color="auto" w:fill="FFFFFF"/>
        </w:rPr>
        <w:t>esistant soybean</w:t>
      </w:r>
      <w:r w:rsidR="00705DBC">
        <w:rPr>
          <w:rFonts w:cs="Times New Roman"/>
          <w:shd w:val="clear" w:color="auto" w:fill="FFFFFF"/>
        </w:rPr>
        <w:t xml:space="preserve"> cultivar</w:t>
      </w:r>
      <w:r w:rsidR="007176B1">
        <w:rPr>
          <w:rFonts w:cs="Times New Roman"/>
          <w:shd w:val="clear" w:color="auto" w:fill="FFFFFF"/>
        </w:rPr>
        <w:t xml:space="preserve"> suppressed </w:t>
      </w:r>
      <w:r w:rsidR="00A12CFA" w:rsidRPr="007176B1">
        <w:rPr>
          <w:rFonts w:cs="Times New Roman"/>
          <w:i/>
          <w:shd w:val="clear" w:color="auto" w:fill="FFFFFF"/>
        </w:rPr>
        <w:t>Mp</w:t>
      </w:r>
      <w:r w:rsidR="00A12CFA">
        <w:rPr>
          <w:rFonts w:cs="Times New Roman"/>
          <w:i/>
          <w:shd w:val="clear" w:color="auto" w:fill="FFFFFF"/>
        </w:rPr>
        <w:t xml:space="preserve"> </w:t>
      </w:r>
      <w:r w:rsidR="007176B1">
        <w:rPr>
          <w:rFonts w:cs="Times New Roman"/>
          <w:shd w:val="clear" w:color="auto" w:fill="FFFFFF"/>
        </w:rPr>
        <w:t xml:space="preserve">densities in soil. </w:t>
      </w:r>
      <w:r w:rsidRPr="009145A9">
        <w:rPr>
          <w:i/>
          <w:iCs/>
        </w:rPr>
        <w:t>G</w:t>
      </w:r>
      <w:r w:rsidR="00313AE3">
        <w:rPr>
          <w:i/>
          <w:iCs/>
        </w:rPr>
        <w:t>olovinomyces</w:t>
      </w:r>
      <w:r w:rsidRPr="009145A9">
        <w:rPr>
          <w:i/>
          <w:iCs/>
        </w:rPr>
        <w:t xml:space="preserve"> </w:t>
      </w:r>
      <w:r w:rsidR="00A12CFA">
        <w:rPr>
          <w:i/>
          <w:iCs/>
        </w:rPr>
        <w:t>a</w:t>
      </w:r>
      <w:r w:rsidRPr="009145A9">
        <w:rPr>
          <w:i/>
          <w:iCs/>
        </w:rPr>
        <w:t>mbrosiae</w:t>
      </w:r>
      <w:r w:rsidR="00A12CFA">
        <w:rPr>
          <w:i/>
          <w:iCs/>
        </w:rPr>
        <w:t xml:space="preserve"> </w:t>
      </w:r>
      <w:r w:rsidR="00A12CFA">
        <w:t xml:space="preserve">was identified as the pathogen causing hemp </w:t>
      </w:r>
      <w:r w:rsidR="009750A3" w:rsidRPr="00957B7D">
        <w:rPr>
          <w:rFonts w:cs="Times New Roman"/>
        </w:rPr>
        <w:t>powdery mildew</w:t>
      </w:r>
      <w:r w:rsidR="00D009DF">
        <w:t>.</w:t>
      </w:r>
      <w:r w:rsidR="00D009DF" w:rsidRPr="009145A9">
        <w:t xml:space="preserve"> </w:t>
      </w:r>
      <w:r w:rsidR="00D009DF">
        <w:t>A</w:t>
      </w:r>
      <w:r w:rsidRPr="009145A9">
        <w:t xml:space="preserve">ll tested fungicides </w:t>
      </w:r>
      <w:r>
        <w:t xml:space="preserve">suppressed </w:t>
      </w:r>
      <w:r w:rsidR="009750A3" w:rsidRPr="00957B7D">
        <w:rPr>
          <w:rFonts w:cs="Times New Roman"/>
        </w:rPr>
        <w:t>powdery mildew</w:t>
      </w:r>
      <w:r w:rsidRPr="009145A9">
        <w:t xml:space="preserve">, with Bonide sulfur, Cinnerate, Exile, MilStop, Regalia, </w:t>
      </w:r>
      <w:r>
        <w:t xml:space="preserve">and </w:t>
      </w:r>
      <w:r w:rsidRPr="009145A9">
        <w:t>Sil-Matrix</w:t>
      </w:r>
      <w:r w:rsidR="00081937">
        <w:t xml:space="preserve"> </w:t>
      </w:r>
      <w:r w:rsidR="00755873">
        <w:t xml:space="preserve">being </w:t>
      </w:r>
      <w:r w:rsidRPr="009145A9">
        <w:t xml:space="preserve">the </w:t>
      </w:r>
      <w:r>
        <w:t>most</w:t>
      </w:r>
      <w:r w:rsidRPr="009145A9">
        <w:t xml:space="preserve"> effective fungicides. </w:t>
      </w:r>
    </w:p>
    <w:p w14:paraId="1D418266" w14:textId="77777777" w:rsidR="00A76CBA" w:rsidRPr="008E2CD0" w:rsidRDefault="00A76CBA" w:rsidP="00333938">
      <w:pPr>
        <w:pStyle w:val="BodyText"/>
        <w:spacing w:line="360" w:lineRule="auto"/>
        <w:ind w:left="720"/>
        <w:rPr>
          <w:rFonts w:cs="Times New Roman"/>
          <w:b/>
          <w:sz w:val="30"/>
        </w:rPr>
      </w:pPr>
    </w:p>
    <w:p w14:paraId="7F3C3574" w14:textId="5BC385D0" w:rsidR="00AC7DE5" w:rsidRPr="008E2CD0" w:rsidRDefault="00AC7DE5" w:rsidP="00C7071C">
      <w:pPr>
        <w:pStyle w:val="BodyText"/>
        <w:spacing w:before="81" w:line="360" w:lineRule="auto"/>
        <w:ind w:left="720" w:right="804"/>
        <w:rPr>
          <w:rFonts w:cs="Times New Roman"/>
        </w:rPr>
      </w:pPr>
    </w:p>
    <w:p w14:paraId="61D2CFF9" w14:textId="032818B7" w:rsidR="00AC7DE5" w:rsidRPr="008E2CD0" w:rsidRDefault="00AC7DE5" w:rsidP="003C484D">
      <w:pPr>
        <w:pStyle w:val="BodyText"/>
        <w:spacing w:before="81" w:line="480" w:lineRule="auto"/>
        <w:ind w:left="720" w:right="804"/>
        <w:rPr>
          <w:rFonts w:cs="Times New Roman"/>
        </w:rPr>
      </w:pPr>
    </w:p>
    <w:p w14:paraId="3448E78B" w14:textId="49485A88" w:rsidR="00AC7DE5" w:rsidRPr="008E2CD0" w:rsidRDefault="00AC7DE5" w:rsidP="003C484D">
      <w:pPr>
        <w:pStyle w:val="BodyText"/>
        <w:spacing w:before="81" w:line="480" w:lineRule="auto"/>
        <w:ind w:left="720" w:right="804"/>
        <w:rPr>
          <w:rFonts w:cs="Times New Roman"/>
        </w:rPr>
      </w:pPr>
    </w:p>
    <w:p w14:paraId="77C5DCC2" w14:textId="27009EF5" w:rsidR="002F12F5" w:rsidRPr="008E2CD0" w:rsidRDefault="002F12F5" w:rsidP="003C484D">
      <w:pPr>
        <w:ind w:left="720"/>
        <w:rPr>
          <w:rFonts w:cs="Times New Roman"/>
          <w:szCs w:val="24"/>
        </w:rPr>
      </w:pPr>
      <w:r w:rsidRPr="008E2CD0">
        <w:rPr>
          <w:rFonts w:cs="Times New Roman"/>
        </w:rPr>
        <w:br w:type="page"/>
      </w:r>
    </w:p>
    <w:p w14:paraId="149519CF" w14:textId="50956DA5" w:rsidR="0003029D" w:rsidRPr="008E2CD0" w:rsidRDefault="00633DAB" w:rsidP="003C484D">
      <w:pPr>
        <w:pStyle w:val="Title"/>
        <w:ind w:left="720"/>
        <w:rPr>
          <w:rFonts w:cs="Times New Roman"/>
          <w:sz w:val="28"/>
          <w:szCs w:val="28"/>
        </w:rPr>
      </w:pPr>
      <w:r w:rsidRPr="008E2CD0">
        <w:rPr>
          <w:rFonts w:cs="Times New Roman"/>
          <w:sz w:val="28"/>
          <w:szCs w:val="28"/>
        </w:rPr>
        <w:t>TABLE</w:t>
      </w:r>
      <w:r w:rsidRPr="008E2CD0">
        <w:rPr>
          <w:rFonts w:cs="Times New Roman"/>
          <w:spacing w:val="-3"/>
          <w:sz w:val="28"/>
          <w:szCs w:val="28"/>
        </w:rPr>
        <w:t xml:space="preserve"> </w:t>
      </w:r>
      <w:r w:rsidRPr="008E2CD0">
        <w:rPr>
          <w:rFonts w:cs="Times New Roman"/>
          <w:sz w:val="28"/>
          <w:szCs w:val="28"/>
        </w:rPr>
        <w:t>OF</w:t>
      </w:r>
      <w:r w:rsidRPr="008E2CD0">
        <w:rPr>
          <w:rFonts w:cs="Times New Roman"/>
          <w:spacing w:val="-2"/>
          <w:sz w:val="28"/>
          <w:szCs w:val="28"/>
        </w:rPr>
        <w:t xml:space="preserve"> </w:t>
      </w:r>
      <w:r w:rsidRPr="008E2CD0">
        <w:rPr>
          <w:rFonts w:cs="Times New Roman"/>
          <w:sz w:val="28"/>
          <w:szCs w:val="28"/>
        </w:rPr>
        <w:t>CONTENTS</w:t>
      </w:r>
    </w:p>
    <w:p w14:paraId="3B122B17" w14:textId="47B21FD8" w:rsidR="000C62BB" w:rsidRDefault="00351EDC">
      <w:pPr>
        <w:pStyle w:val="TOC1"/>
        <w:rPr>
          <w:rFonts w:asciiTheme="minorHAnsi" w:eastAsiaTheme="minorEastAsia" w:hAnsiTheme="minorHAnsi" w:cstheme="minorBidi"/>
          <w:sz w:val="22"/>
          <w:szCs w:val="22"/>
        </w:rPr>
      </w:pPr>
      <w:r>
        <w:fldChar w:fldCharType="begin"/>
      </w:r>
      <w:r>
        <w:instrText xml:space="preserve"> TOC \o "1-3" \h \z \u </w:instrText>
      </w:r>
      <w:r>
        <w:fldChar w:fldCharType="separate"/>
      </w:r>
    </w:p>
    <w:p w14:paraId="430BE20E" w14:textId="3CC22F06" w:rsidR="000C62BB" w:rsidRPr="004D68C7" w:rsidRDefault="00035AE8">
      <w:pPr>
        <w:pStyle w:val="TOC1"/>
        <w:rPr>
          <w:rFonts w:asciiTheme="minorHAnsi" w:eastAsiaTheme="minorEastAsia" w:hAnsiTheme="minorHAnsi" w:cstheme="minorBidi"/>
          <w:sz w:val="22"/>
          <w:szCs w:val="22"/>
        </w:rPr>
      </w:pPr>
      <w:hyperlink w:anchor="_Toc101048059" w:history="1">
        <w:r w:rsidR="000C62BB" w:rsidRPr="004D68C7">
          <w:rPr>
            <w:rStyle w:val="Hyperlink"/>
          </w:rPr>
          <w:t>CHAPTER I. REVIEW OF LITERATURE</w:t>
        </w:r>
        <w:r w:rsidR="000C62BB" w:rsidRPr="004D68C7">
          <w:rPr>
            <w:webHidden/>
          </w:rPr>
          <w:tab/>
        </w:r>
      </w:hyperlink>
      <w:r w:rsidR="00CB7658">
        <w:t>1</w:t>
      </w:r>
    </w:p>
    <w:p w14:paraId="39EBFE9D" w14:textId="502083C7" w:rsidR="000C62BB" w:rsidRPr="004D68C7" w:rsidRDefault="00035AE8">
      <w:pPr>
        <w:pStyle w:val="TOC2"/>
        <w:rPr>
          <w:rFonts w:asciiTheme="minorHAnsi" w:eastAsiaTheme="minorEastAsia" w:hAnsiTheme="minorHAnsi" w:cstheme="minorBidi"/>
          <w:b w:val="0"/>
          <w:iCs w:val="0"/>
          <w:sz w:val="22"/>
          <w:szCs w:val="22"/>
        </w:rPr>
      </w:pPr>
      <w:hyperlink w:anchor="_Toc101048060" w:history="1">
        <w:r w:rsidR="000C62BB" w:rsidRPr="004D68C7">
          <w:rPr>
            <w:rStyle w:val="Hyperlink"/>
            <w:b w:val="0"/>
          </w:rPr>
          <w:t>Part 1: Plant-parasitic nematodes of field crops and biological control agents of nematodes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_Toc101048060 \h </w:instrText>
        </w:r>
        <w:r w:rsidR="000C62BB" w:rsidRPr="004D68C7">
          <w:rPr>
            <w:b w:val="0"/>
            <w:webHidden/>
          </w:rPr>
        </w:r>
        <w:r w:rsidR="000C62BB" w:rsidRPr="004D68C7">
          <w:rPr>
            <w:b w:val="0"/>
            <w:webHidden/>
          </w:rPr>
          <w:fldChar w:fldCharType="separate"/>
        </w:r>
        <w:r w:rsidR="009C2EDC">
          <w:rPr>
            <w:b w:val="0"/>
            <w:webHidden/>
          </w:rPr>
          <w:t>2</w:t>
        </w:r>
        <w:r w:rsidR="000C62BB" w:rsidRPr="004D68C7">
          <w:rPr>
            <w:b w:val="0"/>
            <w:webHidden/>
          </w:rPr>
          <w:fldChar w:fldCharType="end"/>
        </w:r>
      </w:hyperlink>
    </w:p>
    <w:p w14:paraId="2D93AA79" w14:textId="2993B4FB" w:rsidR="000C62BB" w:rsidRPr="004D68C7" w:rsidRDefault="00035AE8">
      <w:pPr>
        <w:pStyle w:val="TOC2"/>
        <w:rPr>
          <w:rFonts w:asciiTheme="minorHAnsi" w:eastAsiaTheme="minorEastAsia" w:hAnsiTheme="minorHAnsi" w:cstheme="minorBidi"/>
          <w:b w:val="0"/>
          <w:iCs w:val="0"/>
          <w:sz w:val="22"/>
          <w:szCs w:val="22"/>
        </w:rPr>
      </w:pPr>
      <w:hyperlink w:anchor="_Toc101048061" w:history="1">
        <w:r w:rsidR="000C62BB" w:rsidRPr="004D68C7">
          <w:rPr>
            <w:rStyle w:val="Hyperlink"/>
            <w:b w:val="0"/>
          </w:rPr>
          <w:t>Major plant-parasitic nematodes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_Toc101048061 \h </w:instrText>
        </w:r>
        <w:r w:rsidR="000C62BB" w:rsidRPr="004D68C7">
          <w:rPr>
            <w:b w:val="0"/>
            <w:webHidden/>
          </w:rPr>
        </w:r>
        <w:r w:rsidR="000C62BB" w:rsidRPr="004D68C7">
          <w:rPr>
            <w:b w:val="0"/>
            <w:webHidden/>
          </w:rPr>
          <w:fldChar w:fldCharType="separate"/>
        </w:r>
        <w:r w:rsidR="009C2EDC">
          <w:rPr>
            <w:b w:val="0"/>
            <w:webHidden/>
          </w:rPr>
          <w:t>2</w:t>
        </w:r>
        <w:r w:rsidR="000C62BB" w:rsidRPr="004D68C7">
          <w:rPr>
            <w:b w:val="0"/>
            <w:webHidden/>
          </w:rPr>
          <w:fldChar w:fldCharType="end"/>
        </w:r>
      </w:hyperlink>
    </w:p>
    <w:p w14:paraId="14FFAAD8" w14:textId="73F828BB"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62" w:history="1">
        <w:r w:rsidR="000C62BB" w:rsidRPr="004D68C7">
          <w:rPr>
            <w:rStyle w:val="Hyperlink"/>
            <w:noProof/>
          </w:rPr>
          <w:t>Migratory ectoparasites</w:t>
        </w:r>
        <w:r w:rsidR="000C62BB" w:rsidRPr="004D68C7">
          <w:rPr>
            <w:rStyle w:val="Hyperlink"/>
            <w:noProof/>
            <w:lang w:val="en-GB" w:eastAsia="en-GB"/>
          </w:rPr>
          <w:t>.</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_Toc101048062 \h </w:instrText>
        </w:r>
        <w:r w:rsidR="000C62BB" w:rsidRPr="004D68C7">
          <w:rPr>
            <w:noProof/>
            <w:webHidden/>
          </w:rPr>
        </w:r>
        <w:r w:rsidR="000C62BB" w:rsidRPr="004D68C7">
          <w:rPr>
            <w:noProof/>
            <w:webHidden/>
          </w:rPr>
          <w:fldChar w:fldCharType="separate"/>
        </w:r>
        <w:r w:rsidR="009C2EDC">
          <w:rPr>
            <w:noProof/>
            <w:webHidden/>
          </w:rPr>
          <w:t>2</w:t>
        </w:r>
        <w:r w:rsidR="000C62BB" w:rsidRPr="004D68C7">
          <w:rPr>
            <w:noProof/>
            <w:webHidden/>
          </w:rPr>
          <w:fldChar w:fldCharType="end"/>
        </w:r>
      </w:hyperlink>
    </w:p>
    <w:p w14:paraId="2F49CD81" w14:textId="2C001DAB"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63" w:history="1">
        <w:r w:rsidR="000C62BB" w:rsidRPr="004D68C7">
          <w:rPr>
            <w:rStyle w:val="Hyperlink"/>
            <w:noProof/>
          </w:rPr>
          <w:t>Migratory endo-parasites.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_Toc101048063 \h </w:instrText>
        </w:r>
        <w:r w:rsidR="000C62BB" w:rsidRPr="004D68C7">
          <w:rPr>
            <w:noProof/>
            <w:webHidden/>
          </w:rPr>
        </w:r>
        <w:r w:rsidR="000C62BB" w:rsidRPr="004D68C7">
          <w:rPr>
            <w:noProof/>
            <w:webHidden/>
          </w:rPr>
          <w:fldChar w:fldCharType="separate"/>
        </w:r>
        <w:r w:rsidR="009C2EDC">
          <w:rPr>
            <w:noProof/>
            <w:webHidden/>
          </w:rPr>
          <w:t>3</w:t>
        </w:r>
        <w:r w:rsidR="000C62BB" w:rsidRPr="004D68C7">
          <w:rPr>
            <w:noProof/>
            <w:webHidden/>
          </w:rPr>
          <w:fldChar w:fldCharType="end"/>
        </w:r>
      </w:hyperlink>
    </w:p>
    <w:p w14:paraId="3D5D87B5" w14:textId="71DB11F6"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64" w:history="1">
        <w:r w:rsidR="000C62BB" w:rsidRPr="004D68C7">
          <w:rPr>
            <w:rStyle w:val="Hyperlink"/>
            <w:noProof/>
          </w:rPr>
          <w:t>Semi-endoparasites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_Toc101048064 \h </w:instrText>
        </w:r>
        <w:r w:rsidR="000C62BB" w:rsidRPr="004D68C7">
          <w:rPr>
            <w:noProof/>
            <w:webHidden/>
          </w:rPr>
        </w:r>
        <w:r w:rsidR="000C62BB" w:rsidRPr="004D68C7">
          <w:rPr>
            <w:noProof/>
            <w:webHidden/>
          </w:rPr>
          <w:fldChar w:fldCharType="separate"/>
        </w:r>
        <w:r w:rsidR="009C2EDC">
          <w:rPr>
            <w:noProof/>
            <w:webHidden/>
          </w:rPr>
          <w:t>3</w:t>
        </w:r>
        <w:r w:rsidR="000C62BB" w:rsidRPr="004D68C7">
          <w:rPr>
            <w:noProof/>
            <w:webHidden/>
          </w:rPr>
          <w:fldChar w:fldCharType="end"/>
        </w:r>
      </w:hyperlink>
    </w:p>
    <w:p w14:paraId="482C0D49" w14:textId="2F28DC6A"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65" w:history="1">
        <w:r w:rsidR="000C62BB" w:rsidRPr="004D68C7">
          <w:rPr>
            <w:rStyle w:val="Hyperlink"/>
            <w:noProof/>
          </w:rPr>
          <w:t>Sedentary endoparasites.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_Toc101048065 \h </w:instrText>
        </w:r>
        <w:r w:rsidR="000C62BB" w:rsidRPr="004D68C7">
          <w:rPr>
            <w:noProof/>
            <w:webHidden/>
          </w:rPr>
        </w:r>
        <w:r w:rsidR="000C62BB" w:rsidRPr="004D68C7">
          <w:rPr>
            <w:noProof/>
            <w:webHidden/>
          </w:rPr>
          <w:fldChar w:fldCharType="separate"/>
        </w:r>
        <w:r w:rsidR="009C2EDC">
          <w:rPr>
            <w:noProof/>
            <w:webHidden/>
          </w:rPr>
          <w:t>3</w:t>
        </w:r>
        <w:r w:rsidR="000C62BB" w:rsidRPr="004D68C7">
          <w:rPr>
            <w:noProof/>
            <w:webHidden/>
          </w:rPr>
          <w:fldChar w:fldCharType="end"/>
        </w:r>
      </w:hyperlink>
    </w:p>
    <w:p w14:paraId="5D067DE3" w14:textId="0DC53214" w:rsidR="000C62BB" w:rsidRPr="004D68C7" w:rsidRDefault="00035AE8">
      <w:pPr>
        <w:pStyle w:val="TOC2"/>
        <w:rPr>
          <w:rFonts w:asciiTheme="minorHAnsi" w:eastAsiaTheme="minorEastAsia" w:hAnsiTheme="minorHAnsi" w:cstheme="minorBidi"/>
          <w:b w:val="0"/>
          <w:iCs w:val="0"/>
          <w:sz w:val="22"/>
          <w:szCs w:val="22"/>
        </w:rPr>
      </w:pPr>
      <w:hyperlink w:anchor="_Toc101048066" w:history="1">
        <w:r w:rsidR="000C62BB" w:rsidRPr="004D68C7">
          <w:rPr>
            <w:rStyle w:val="Hyperlink"/>
            <w:b w:val="0"/>
          </w:rPr>
          <w:t>Typical features and life cycle</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_Toc101048066 \h </w:instrText>
        </w:r>
        <w:r w:rsidR="000C62BB" w:rsidRPr="004D68C7">
          <w:rPr>
            <w:b w:val="0"/>
            <w:webHidden/>
          </w:rPr>
        </w:r>
        <w:r w:rsidR="000C62BB" w:rsidRPr="004D68C7">
          <w:rPr>
            <w:b w:val="0"/>
            <w:webHidden/>
          </w:rPr>
          <w:fldChar w:fldCharType="separate"/>
        </w:r>
        <w:r w:rsidR="009C2EDC">
          <w:rPr>
            <w:b w:val="0"/>
            <w:webHidden/>
          </w:rPr>
          <w:t>3</w:t>
        </w:r>
        <w:r w:rsidR="000C62BB" w:rsidRPr="004D68C7">
          <w:rPr>
            <w:b w:val="0"/>
            <w:webHidden/>
          </w:rPr>
          <w:fldChar w:fldCharType="end"/>
        </w:r>
      </w:hyperlink>
    </w:p>
    <w:p w14:paraId="5D185B88" w14:textId="76580A17" w:rsidR="000C62BB" w:rsidRPr="004D68C7" w:rsidRDefault="00035AE8">
      <w:pPr>
        <w:pStyle w:val="TOC2"/>
        <w:rPr>
          <w:rFonts w:asciiTheme="minorHAnsi" w:eastAsiaTheme="minorEastAsia" w:hAnsiTheme="minorHAnsi" w:cstheme="minorBidi"/>
          <w:b w:val="0"/>
          <w:iCs w:val="0"/>
          <w:sz w:val="22"/>
          <w:szCs w:val="22"/>
        </w:rPr>
      </w:pPr>
      <w:hyperlink w:anchor="_Toc101048067" w:history="1">
        <w:r w:rsidR="000C62BB" w:rsidRPr="004D68C7">
          <w:rPr>
            <w:rStyle w:val="Hyperlink"/>
            <w:b w:val="0"/>
          </w:rPr>
          <w:t>Management</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_Toc101048067 \h </w:instrText>
        </w:r>
        <w:r w:rsidR="000C62BB" w:rsidRPr="004D68C7">
          <w:rPr>
            <w:b w:val="0"/>
            <w:webHidden/>
          </w:rPr>
        </w:r>
        <w:r w:rsidR="000C62BB" w:rsidRPr="004D68C7">
          <w:rPr>
            <w:b w:val="0"/>
            <w:webHidden/>
          </w:rPr>
          <w:fldChar w:fldCharType="separate"/>
        </w:r>
        <w:r w:rsidR="009C2EDC">
          <w:rPr>
            <w:b w:val="0"/>
            <w:webHidden/>
          </w:rPr>
          <w:t>4</w:t>
        </w:r>
        <w:r w:rsidR="000C62BB" w:rsidRPr="004D68C7">
          <w:rPr>
            <w:b w:val="0"/>
            <w:webHidden/>
          </w:rPr>
          <w:fldChar w:fldCharType="end"/>
        </w:r>
      </w:hyperlink>
    </w:p>
    <w:p w14:paraId="0A7C6A18" w14:textId="421EFCF9"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68" w:history="1">
        <w:r w:rsidR="000C62BB" w:rsidRPr="004D68C7">
          <w:rPr>
            <w:rStyle w:val="Hyperlink"/>
            <w:noProof/>
          </w:rPr>
          <w:t>Soybean cyst nematode.</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_Toc101048068 \h </w:instrText>
        </w:r>
        <w:r w:rsidR="000C62BB" w:rsidRPr="004D68C7">
          <w:rPr>
            <w:noProof/>
            <w:webHidden/>
          </w:rPr>
        </w:r>
        <w:r w:rsidR="000C62BB" w:rsidRPr="004D68C7">
          <w:rPr>
            <w:noProof/>
            <w:webHidden/>
          </w:rPr>
          <w:fldChar w:fldCharType="separate"/>
        </w:r>
        <w:r w:rsidR="009C2EDC">
          <w:rPr>
            <w:noProof/>
            <w:webHidden/>
          </w:rPr>
          <w:t>4</w:t>
        </w:r>
        <w:r w:rsidR="000C62BB" w:rsidRPr="004D68C7">
          <w:rPr>
            <w:noProof/>
            <w:webHidden/>
          </w:rPr>
          <w:fldChar w:fldCharType="end"/>
        </w:r>
      </w:hyperlink>
    </w:p>
    <w:p w14:paraId="61FECD98" w14:textId="3A890ED4"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69" w:history="1">
        <w:r w:rsidR="000C62BB" w:rsidRPr="004D68C7">
          <w:rPr>
            <w:rStyle w:val="Hyperlink"/>
            <w:noProof/>
          </w:rPr>
          <w:t>Root-knot nematode.</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_Toc101048069 \h </w:instrText>
        </w:r>
        <w:r w:rsidR="000C62BB" w:rsidRPr="004D68C7">
          <w:rPr>
            <w:noProof/>
            <w:webHidden/>
          </w:rPr>
        </w:r>
        <w:r w:rsidR="000C62BB" w:rsidRPr="004D68C7">
          <w:rPr>
            <w:noProof/>
            <w:webHidden/>
          </w:rPr>
          <w:fldChar w:fldCharType="separate"/>
        </w:r>
        <w:r w:rsidR="009C2EDC">
          <w:rPr>
            <w:noProof/>
            <w:webHidden/>
          </w:rPr>
          <w:t>5</w:t>
        </w:r>
        <w:r w:rsidR="000C62BB" w:rsidRPr="004D68C7">
          <w:rPr>
            <w:noProof/>
            <w:webHidden/>
          </w:rPr>
          <w:fldChar w:fldCharType="end"/>
        </w:r>
      </w:hyperlink>
    </w:p>
    <w:p w14:paraId="072226E0" w14:textId="30086FE6"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70" w:history="1">
        <w:r w:rsidR="000C62BB" w:rsidRPr="004D68C7">
          <w:rPr>
            <w:rStyle w:val="Hyperlink"/>
            <w:noProof/>
          </w:rPr>
          <w:t>Lesion nematode.</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_Toc101048070 \h </w:instrText>
        </w:r>
        <w:r w:rsidR="000C62BB" w:rsidRPr="004D68C7">
          <w:rPr>
            <w:noProof/>
            <w:webHidden/>
          </w:rPr>
        </w:r>
        <w:r w:rsidR="000C62BB" w:rsidRPr="004D68C7">
          <w:rPr>
            <w:noProof/>
            <w:webHidden/>
          </w:rPr>
          <w:fldChar w:fldCharType="separate"/>
        </w:r>
        <w:r w:rsidR="009C2EDC">
          <w:rPr>
            <w:noProof/>
            <w:webHidden/>
          </w:rPr>
          <w:t>6</w:t>
        </w:r>
        <w:r w:rsidR="000C62BB" w:rsidRPr="004D68C7">
          <w:rPr>
            <w:noProof/>
            <w:webHidden/>
          </w:rPr>
          <w:fldChar w:fldCharType="end"/>
        </w:r>
      </w:hyperlink>
    </w:p>
    <w:p w14:paraId="443A0D02" w14:textId="3E35DE4B"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71" w:history="1">
        <w:r w:rsidR="000C62BB" w:rsidRPr="004D68C7">
          <w:rPr>
            <w:rStyle w:val="Hyperlink"/>
            <w:noProof/>
          </w:rPr>
          <w:t>Reniform nematodes.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_Toc101048071 \h </w:instrText>
        </w:r>
        <w:r w:rsidR="000C62BB" w:rsidRPr="004D68C7">
          <w:rPr>
            <w:noProof/>
            <w:webHidden/>
          </w:rPr>
        </w:r>
        <w:r w:rsidR="000C62BB" w:rsidRPr="004D68C7">
          <w:rPr>
            <w:noProof/>
            <w:webHidden/>
          </w:rPr>
          <w:fldChar w:fldCharType="separate"/>
        </w:r>
        <w:r w:rsidR="009C2EDC">
          <w:rPr>
            <w:noProof/>
            <w:webHidden/>
          </w:rPr>
          <w:t>7</w:t>
        </w:r>
        <w:r w:rsidR="000C62BB" w:rsidRPr="004D68C7">
          <w:rPr>
            <w:noProof/>
            <w:webHidden/>
          </w:rPr>
          <w:fldChar w:fldCharType="end"/>
        </w:r>
      </w:hyperlink>
    </w:p>
    <w:p w14:paraId="0211D0F5" w14:textId="442CB505" w:rsidR="000C62BB" w:rsidRPr="004D68C7" w:rsidRDefault="00035AE8">
      <w:pPr>
        <w:pStyle w:val="TOC2"/>
        <w:rPr>
          <w:rFonts w:asciiTheme="minorHAnsi" w:eastAsiaTheme="minorEastAsia" w:hAnsiTheme="minorHAnsi" w:cstheme="minorBidi"/>
          <w:b w:val="0"/>
          <w:iCs w:val="0"/>
          <w:sz w:val="22"/>
          <w:szCs w:val="22"/>
        </w:rPr>
      </w:pPr>
      <w:hyperlink w:anchor="_Toc101048072" w:history="1">
        <w:r w:rsidR="000C62BB" w:rsidRPr="004D68C7">
          <w:rPr>
            <w:rStyle w:val="Hyperlink"/>
            <w:b w:val="0"/>
          </w:rPr>
          <w:t>Biological control agents of plant-parasitic nematodes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_Toc101048072 \h </w:instrText>
        </w:r>
        <w:r w:rsidR="000C62BB" w:rsidRPr="004D68C7">
          <w:rPr>
            <w:b w:val="0"/>
            <w:webHidden/>
          </w:rPr>
        </w:r>
        <w:r w:rsidR="000C62BB" w:rsidRPr="004D68C7">
          <w:rPr>
            <w:b w:val="0"/>
            <w:webHidden/>
          </w:rPr>
          <w:fldChar w:fldCharType="separate"/>
        </w:r>
        <w:r w:rsidR="009C2EDC">
          <w:rPr>
            <w:b w:val="0"/>
            <w:webHidden/>
          </w:rPr>
          <w:t>8</w:t>
        </w:r>
        <w:r w:rsidR="000C62BB" w:rsidRPr="004D68C7">
          <w:rPr>
            <w:b w:val="0"/>
            <w:webHidden/>
          </w:rPr>
          <w:fldChar w:fldCharType="end"/>
        </w:r>
      </w:hyperlink>
    </w:p>
    <w:p w14:paraId="008A0892" w14:textId="07065687" w:rsidR="000C62BB" w:rsidRPr="004D68C7" w:rsidRDefault="00035AE8">
      <w:pPr>
        <w:pStyle w:val="TOC2"/>
        <w:rPr>
          <w:rFonts w:asciiTheme="minorHAnsi" w:eastAsiaTheme="minorEastAsia" w:hAnsiTheme="minorHAnsi" w:cstheme="minorBidi"/>
          <w:b w:val="0"/>
          <w:iCs w:val="0"/>
          <w:sz w:val="22"/>
          <w:szCs w:val="22"/>
        </w:rPr>
      </w:pPr>
      <w:hyperlink w:anchor="_Toc101048073" w:history="1">
        <w:r w:rsidR="000C62BB" w:rsidRPr="004D68C7">
          <w:rPr>
            <w:rStyle w:val="Hyperlink"/>
            <w:b w:val="0"/>
          </w:rPr>
          <w:t>Bacteria</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_Toc101048073 \h </w:instrText>
        </w:r>
        <w:r w:rsidR="000C62BB" w:rsidRPr="004D68C7">
          <w:rPr>
            <w:b w:val="0"/>
            <w:webHidden/>
          </w:rPr>
        </w:r>
        <w:r w:rsidR="000C62BB" w:rsidRPr="004D68C7">
          <w:rPr>
            <w:b w:val="0"/>
            <w:webHidden/>
          </w:rPr>
          <w:fldChar w:fldCharType="separate"/>
        </w:r>
        <w:r w:rsidR="009C2EDC">
          <w:rPr>
            <w:b w:val="0"/>
            <w:webHidden/>
          </w:rPr>
          <w:t>8</w:t>
        </w:r>
        <w:r w:rsidR="000C62BB" w:rsidRPr="004D68C7">
          <w:rPr>
            <w:b w:val="0"/>
            <w:webHidden/>
          </w:rPr>
          <w:fldChar w:fldCharType="end"/>
        </w:r>
      </w:hyperlink>
    </w:p>
    <w:p w14:paraId="4A777A0B" w14:textId="33DD3EC0"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74" w:history="1">
        <w:r w:rsidR="000C62BB" w:rsidRPr="004D68C7">
          <w:rPr>
            <w:rStyle w:val="Hyperlink"/>
            <w:noProof/>
          </w:rPr>
          <w:t>Pasteuria  penetrans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_Toc101048074 \h </w:instrText>
        </w:r>
        <w:r w:rsidR="000C62BB" w:rsidRPr="004D68C7">
          <w:rPr>
            <w:noProof/>
            <w:webHidden/>
          </w:rPr>
        </w:r>
        <w:r w:rsidR="000C62BB" w:rsidRPr="004D68C7">
          <w:rPr>
            <w:noProof/>
            <w:webHidden/>
          </w:rPr>
          <w:fldChar w:fldCharType="separate"/>
        </w:r>
        <w:r w:rsidR="009C2EDC">
          <w:rPr>
            <w:noProof/>
            <w:webHidden/>
          </w:rPr>
          <w:t>8</w:t>
        </w:r>
        <w:r w:rsidR="000C62BB" w:rsidRPr="004D68C7">
          <w:rPr>
            <w:noProof/>
            <w:webHidden/>
          </w:rPr>
          <w:fldChar w:fldCharType="end"/>
        </w:r>
      </w:hyperlink>
    </w:p>
    <w:p w14:paraId="6491E0E3" w14:textId="79170AED"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75" w:history="1">
        <w:r w:rsidR="000C62BB" w:rsidRPr="004D68C7">
          <w:rPr>
            <w:rStyle w:val="Hyperlink"/>
            <w:noProof/>
          </w:rPr>
          <w:t>Bacillus spp.</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_Toc101048075 \h </w:instrText>
        </w:r>
        <w:r w:rsidR="000C62BB" w:rsidRPr="004D68C7">
          <w:rPr>
            <w:noProof/>
            <w:webHidden/>
          </w:rPr>
        </w:r>
        <w:r w:rsidR="000C62BB" w:rsidRPr="004D68C7">
          <w:rPr>
            <w:noProof/>
            <w:webHidden/>
          </w:rPr>
          <w:fldChar w:fldCharType="separate"/>
        </w:r>
        <w:r w:rsidR="009C2EDC">
          <w:rPr>
            <w:noProof/>
            <w:webHidden/>
          </w:rPr>
          <w:t>8</w:t>
        </w:r>
        <w:r w:rsidR="000C62BB" w:rsidRPr="004D68C7">
          <w:rPr>
            <w:noProof/>
            <w:webHidden/>
          </w:rPr>
          <w:fldChar w:fldCharType="end"/>
        </w:r>
      </w:hyperlink>
    </w:p>
    <w:p w14:paraId="4B6D5CF3" w14:textId="370634F8"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76" w:history="1">
        <w:r w:rsidR="000C62BB" w:rsidRPr="004D68C7">
          <w:rPr>
            <w:rStyle w:val="Hyperlink"/>
            <w:noProof/>
          </w:rPr>
          <w:t>Burkholderia capacia</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_Toc101048076 \h </w:instrText>
        </w:r>
        <w:r w:rsidR="000C62BB" w:rsidRPr="004D68C7">
          <w:rPr>
            <w:noProof/>
            <w:webHidden/>
          </w:rPr>
        </w:r>
        <w:r w:rsidR="000C62BB" w:rsidRPr="004D68C7">
          <w:rPr>
            <w:noProof/>
            <w:webHidden/>
          </w:rPr>
          <w:fldChar w:fldCharType="separate"/>
        </w:r>
        <w:r w:rsidR="009C2EDC">
          <w:rPr>
            <w:noProof/>
            <w:webHidden/>
          </w:rPr>
          <w:t>9</w:t>
        </w:r>
        <w:r w:rsidR="000C62BB" w:rsidRPr="004D68C7">
          <w:rPr>
            <w:noProof/>
            <w:webHidden/>
          </w:rPr>
          <w:fldChar w:fldCharType="end"/>
        </w:r>
      </w:hyperlink>
    </w:p>
    <w:p w14:paraId="3D93B31D" w14:textId="7CEB2F2D"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77" w:history="1">
        <w:r w:rsidR="000C62BB" w:rsidRPr="004D68C7">
          <w:rPr>
            <w:rStyle w:val="Hyperlink"/>
            <w:noProof/>
          </w:rPr>
          <w:t xml:space="preserve">Pseudomonas </w:t>
        </w:r>
        <w:r w:rsidR="000C62BB" w:rsidRPr="004D68C7">
          <w:rPr>
            <w:rStyle w:val="Hyperlink"/>
            <w:rFonts w:cs="Arial"/>
            <w:noProof/>
          </w:rPr>
          <w:t>spp</w:t>
        </w:r>
        <w:r w:rsidR="000C62BB" w:rsidRPr="004D68C7">
          <w:rPr>
            <w:rStyle w:val="Hyperlink"/>
            <w:noProof/>
          </w:rPr>
          <w:t>.</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_Toc101048077 \h </w:instrText>
        </w:r>
        <w:r w:rsidR="000C62BB" w:rsidRPr="004D68C7">
          <w:rPr>
            <w:noProof/>
            <w:webHidden/>
          </w:rPr>
        </w:r>
        <w:r w:rsidR="000C62BB" w:rsidRPr="004D68C7">
          <w:rPr>
            <w:noProof/>
            <w:webHidden/>
          </w:rPr>
          <w:fldChar w:fldCharType="separate"/>
        </w:r>
        <w:r w:rsidR="009C2EDC">
          <w:rPr>
            <w:noProof/>
            <w:webHidden/>
          </w:rPr>
          <w:t>9</w:t>
        </w:r>
        <w:r w:rsidR="000C62BB" w:rsidRPr="004D68C7">
          <w:rPr>
            <w:noProof/>
            <w:webHidden/>
          </w:rPr>
          <w:fldChar w:fldCharType="end"/>
        </w:r>
      </w:hyperlink>
    </w:p>
    <w:p w14:paraId="664B3B65" w14:textId="235368A2" w:rsidR="000C62BB" w:rsidRPr="004D68C7" w:rsidRDefault="00035AE8">
      <w:pPr>
        <w:pStyle w:val="TOC2"/>
        <w:rPr>
          <w:rFonts w:asciiTheme="minorHAnsi" w:eastAsiaTheme="minorEastAsia" w:hAnsiTheme="minorHAnsi" w:cstheme="minorBidi"/>
          <w:b w:val="0"/>
          <w:iCs w:val="0"/>
          <w:sz w:val="22"/>
          <w:szCs w:val="22"/>
        </w:rPr>
      </w:pPr>
      <w:hyperlink w:anchor="_Toc101048078" w:history="1">
        <w:r w:rsidR="000C62BB" w:rsidRPr="004D68C7">
          <w:rPr>
            <w:rStyle w:val="Hyperlink"/>
            <w:b w:val="0"/>
          </w:rPr>
          <w:t>Fungi</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_Toc101048078 \h </w:instrText>
        </w:r>
        <w:r w:rsidR="000C62BB" w:rsidRPr="004D68C7">
          <w:rPr>
            <w:b w:val="0"/>
            <w:webHidden/>
          </w:rPr>
        </w:r>
        <w:r w:rsidR="000C62BB" w:rsidRPr="004D68C7">
          <w:rPr>
            <w:b w:val="0"/>
            <w:webHidden/>
          </w:rPr>
          <w:fldChar w:fldCharType="separate"/>
        </w:r>
        <w:r w:rsidR="009C2EDC">
          <w:rPr>
            <w:b w:val="0"/>
            <w:webHidden/>
          </w:rPr>
          <w:t>9</w:t>
        </w:r>
        <w:r w:rsidR="000C62BB" w:rsidRPr="004D68C7">
          <w:rPr>
            <w:b w:val="0"/>
            <w:webHidden/>
          </w:rPr>
          <w:fldChar w:fldCharType="end"/>
        </w:r>
      </w:hyperlink>
    </w:p>
    <w:p w14:paraId="6F32860D" w14:textId="61A8CB7B"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79" w:history="1">
        <w:r w:rsidR="000C62BB" w:rsidRPr="004D68C7">
          <w:rPr>
            <w:rStyle w:val="Hyperlink"/>
            <w:noProof/>
          </w:rPr>
          <w:t>Paecilomyces spp.</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_Toc101048079 \h </w:instrText>
        </w:r>
        <w:r w:rsidR="000C62BB" w:rsidRPr="004D68C7">
          <w:rPr>
            <w:noProof/>
            <w:webHidden/>
          </w:rPr>
        </w:r>
        <w:r w:rsidR="000C62BB" w:rsidRPr="004D68C7">
          <w:rPr>
            <w:noProof/>
            <w:webHidden/>
          </w:rPr>
          <w:fldChar w:fldCharType="separate"/>
        </w:r>
        <w:r w:rsidR="009C2EDC">
          <w:rPr>
            <w:noProof/>
            <w:webHidden/>
          </w:rPr>
          <w:t>9</w:t>
        </w:r>
        <w:r w:rsidR="000C62BB" w:rsidRPr="004D68C7">
          <w:rPr>
            <w:noProof/>
            <w:webHidden/>
          </w:rPr>
          <w:fldChar w:fldCharType="end"/>
        </w:r>
      </w:hyperlink>
    </w:p>
    <w:p w14:paraId="004DA44D" w14:textId="5DBC2D02"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0" w:history="1">
        <w:r w:rsidR="000C62BB" w:rsidRPr="004D68C7">
          <w:rPr>
            <w:rStyle w:val="Hyperlink"/>
            <w:noProof/>
          </w:rPr>
          <w:t>Pochonia chlamydosporia</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_Toc101048080 \h </w:instrText>
        </w:r>
        <w:r w:rsidR="000C62BB" w:rsidRPr="004D68C7">
          <w:rPr>
            <w:noProof/>
            <w:webHidden/>
          </w:rPr>
        </w:r>
        <w:r w:rsidR="000C62BB" w:rsidRPr="004D68C7">
          <w:rPr>
            <w:noProof/>
            <w:webHidden/>
          </w:rPr>
          <w:fldChar w:fldCharType="separate"/>
        </w:r>
        <w:r w:rsidR="009C2EDC">
          <w:rPr>
            <w:noProof/>
            <w:webHidden/>
          </w:rPr>
          <w:t>10</w:t>
        </w:r>
        <w:r w:rsidR="000C62BB" w:rsidRPr="004D68C7">
          <w:rPr>
            <w:noProof/>
            <w:webHidden/>
          </w:rPr>
          <w:fldChar w:fldCharType="end"/>
        </w:r>
      </w:hyperlink>
    </w:p>
    <w:p w14:paraId="3DA4CFF3" w14:textId="00231A33"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1" w:history="1">
        <w:r w:rsidR="000C62BB" w:rsidRPr="004D68C7">
          <w:rPr>
            <w:rStyle w:val="Hyperlink"/>
            <w:noProof/>
          </w:rPr>
          <w:t>Trichoderma spp.</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_Toc101048081 \h </w:instrText>
        </w:r>
        <w:r w:rsidR="000C62BB" w:rsidRPr="004D68C7">
          <w:rPr>
            <w:noProof/>
            <w:webHidden/>
          </w:rPr>
        </w:r>
        <w:r w:rsidR="000C62BB" w:rsidRPr="004D68C7">
          <w:rPr>
            <w:noProof/>
            <w:webHidden/>
          </w:rPr>
          <w:fldChar w:fldCharType="separate"/>
        </w:r>
        <w:r w:rsidR="009C2EDC">
          <w:rPr>
            <w:noProof/>
            <w:webHidden/>
          </w:rPr>
          <w:t>10</w:t>
        </w:r>
        <w:r w:rsidR="000C62BB" w:rsidRPr="004D68C7">
          <w:rPr>
            <w:noProof/>
            <w:webHidden/>
          </w:rPr>
          <w:fldChar w:fldCharType="end"/>
        </w:r>
      </w:hyperlink>
    </w:p>
    <w:p w14:paraId="76CA7D09" w14:textId="6153C4C5" w:rsidR="000C62BB" w:rsidRPr="004D68C7" w:rsidRDefault="00035AE8">
      <w:pPr>
        <w:pStyle w:val="TOC2"/>
        <w:rPr>
          <w:rFonts w:asciiTheme="minorHAnsi" w:eastAsiaTheme="minorEastAsia" w:hAnsiTheme="minorHAnsi" w:cstheme="minorBidi"/>
          <w:b w:val="0"/>
          <w:iCs w:val="0"/>
          <w:sz w:val="22"/>
          <w:szCs w:val="22"/>
        </w:rPr>
      </w:pPr>
      <w:hyperlink w:anchor="_Toc101048082" w:history="1">
        <w:r w:rsidR="000C62BB" w:rsidRPr="004D68C7">
          <w:rPr>
            <w:rStyle w:val="Hyperlink"/>
            <w:b w:val="0"/>
          </w:rPr>
          <w:t>Nematodes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_Toc101048082 \h </w:instrText>
        </w:r>
        <w:r w:rsidR="000C62BB" w:rsidRPr="004D68C7">
          <w:rPr>
            <w:b w:val="0"/>
            <w:webHidden/>
          </w:rPr>
        </w:r>
        <w:r w:rsidR="000C62BB" w:rsidRPr="004D68C7">
          <w:rPr>
            <w:b w:val="0"/>
            <w:webHidden/>
          </w:rPr>
          <w:fldChar w:fldCharType="separate"/>
        </w:r>
        <w:r w:rsidR="009C2EDC">
          <w:rPr>
            <w:b w:val="0"/>
            <w:webHidden/>
          </w:rPr>
          <w:t>11</w:t>
        </w:r>
        <w:r w:rsidR="000C62BB" w:rsidRPr="004D68C7">
          <w:rPr>
            <w:b w:val="0"/>
            <w:webHidden/>
          </w:rPr>
          <w:fldChar w:fldCharType="end"/>
        </w:r>
      </w:hyperlink>
    </w:p>
    <w:p w14:paraId="512BAFBD" w14:textId="43AEDBF6"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3" w:history="1">
        <w:r w:rsidR="000C62BB" w:rsidRPr="004D68C7">
          <w:rPr>
            <w:rStyle w:val="Hyperlink"/>
            <w:noProof/>
          </w:rPr>
          <w:t>Predatory diplogastrid nematodes.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_Toc101048083 \h </w:instrText>
        </w:r>
        <w:r w:rsidR="000C62BB" w:rsidRPr="004D68C7">
          <w:rPr>
            <w:noProof/>
            <w:webHidden/>
          </w:rPr>
        </w:r>
        <w:r w:rsidR="000C62BB" w:rsidRPr="004D68C7">
          <w:rPr>
            <w:noProof/>
            <w:webHidden/>
          </w:rPr>
          <w:fldChar w:fldCharType="separate"/>
        </w:r>
        <w:r w:rsidR="009C2EDC">
          <w:rPr>
            <w:noProof/>
            <w:webHidden/>
          </w:rPr>
          <w:t>11</w:t>
        </w:r>
        <w:r w:rsidR="000C62BB" w:rsidRPr="004D68C7">
          <w:rPr>
            <w:noProof/>
            <w:webHidden/>
          </w:rPr>
          <w:fldChar w:fldCharType="end"/>
        </w:r>
      </w:hyperlink>
    </w:p>
    <w:p w14:paraId="1401CE0A" w14:textId="7C2229A0"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4" w:history="1">
        <w:r w:rsidR="000C62BB" w:rsidRPr="004D68C7">
          <w:rPr>
            <w:rStyle w:val="Hyperlink"/>
            <w:noProof/>
          </w:rPr>
          <w:t>Steinernema and Heterorhabditis.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_Toc101048084 \h </w:instrText>
        </w:r>
        <w:r w:rsidR="000C62BB" w:rsidRPr="004D68C7">
          <w:rPr>
            <w:noProof/>
            <w:webHidden/>
          </w:rPr>
        </w:r>
        <w:r w:rsidR="000C62BB" w:rsidRPr="004D68C7">
          <w:rPr>
            <w:noProof/>
            <w:webHidden/>
          </w:rPr>
          <w:fldChar w:fldCharType="separate"/>
        </w:r>
        <w:r w:rsidR="009C2EDC">
          <w:rPr>
            <w:noProof/>
            <w:webHidden/>
          </w:rPr>
          <w:t>11</w:t>
        </w:r>
        <w:r w:rsidR="000C62BB" w:rsidRPr="004D68C7">
          <w:rPr>
            <w:noProof/>
            <w:webHidden/>
          </w:rPr>
          <w:fldChar w:fldCharType="end"/>
        </w:r>
      </w:hyperlink>
    </w:p>
    <w:p w14:paraId="244A0A16" w14:textId="37E42C0F" w:rsidR="000C62BB" w:rsidRPr="004D68C7" w:rsidRDefault="00035AE8">
      <w:pPr>
        <w:pStyle w:val="TOC2"/>
        <w:rPr>
          <w:rFonts w:asciiTheme="minorHAnsi" w:eastAsiaTheme="minorEastAsia" w:hAnsiTheme="minorHAnsi" w:cstheme="minorBidi"/>
          <w:b w:val="0"/>
          <w:iCs w:val="0"/>
          <w:sz w:val="22"/>
          <w:szCs w:val="22"/>
        </w:rPr>
      </w:pPr>
      <w:hyperlink w:anchor="_Toc101048085" w:history="1">
        <w:r w:rsidR="000C62BB" w:rsidRPr="004D68C7">
          <w:rPr>
            <w:rStyle w:val="Hyperlink"/>
            <w:b w:val="0"/>
          </w:rPr>
          <w:t>Part 2: Charcoal rot of soybean by Macrophomina phaseolina</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_Toc101048085 \h </w:instrText>
        </w:r>
        <w:r w:rsidR="000C62BB" w:rsidRPr="004D68C7">
          <w:rPr>
            <w:b w:val="0"/>
            <w:webHidden/>
          </w:rPr>
        </w:r>
        <w:r w:rsidR="000C62BB" w:rsidRPr="004D68C7">
          <w:rPr>
            <w:b w:val="0"/>
            <w:webHidden/>
          </w:rPr>
          <w:fldChar w:fldCharType="separate"/>
        </w:r>
        <w:r w:rsidR="009C2EDC">
          <w:rPr>
            <w:b w:val="0"/>
            <w:webHidden/>
          </w:rPr>
          <w:t>13</w:t>
        </w:r>
        <w:r w:rsidR="000C62BB" w:rsidRPr="004D68C7">
          <w:rPr>
            <w:b w:val="0"/>
            <w:webHidden/>
          </w:rPr>
          <w:fldChar w:fldCharType="end"/>
        </w:r>
      </w:hyperlink>
    </w:p>
    <w:p w14:paraId="4771A72A" w14:textId="5537C8B9"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6" w:history="1">
        <w:r w:rsidR="000C62BB" w:rsidRPr="004D68C7">
          <w:rPr>
            <w:rStyle w:val="Hyperlink"/>
            <w:noProof/>
          </w:rPr>
          <w:t>Prevalence in agricultural soils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_Toc101048086 \h </w:instrText>
        </w:r>
        <w:r w:rsidR="000C62BB" w:rsidRPr="004D68C7">
          <w:rPr>
            <w:noProof/>
            <w:webHidden/>
          </w:rPr>
        </w:r>
        <w:r w:rsidR="000C62BB" w:rsidRPr="004D68C7">
          <w:rPr>
            <w:noProof/>
            <w:webHidden/>
          </w:rPr>
          <w:fldChar w:fldCharType="separate"/>
        </w:r>
        <w:r w:rsidR="009C2EDC">
          <w:rPr>
            <w:noProof/>
            <w:webHidden/>
          </w:rPr>
          <w:t>13</w:t>
        </w:r>
        <w:r w:rsidR="000C62BB" w:rsidRPr="004D68C7">
          <w:rPr>
            <w:noProof/>
            <w:webHidden/>
          </w:rPr>
          <w:fldChar w:fldCharType="end"/>
        </w:r>
      </w:hyperlink>
    </w:p>
    <w:p w14:paraId="6E26C06F" w14:textId="4D5CF52E"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7" w:history="1">
        <w:r w:rsidR="000C62BB" w:rsidRPr="004D68C7">
          <w:rPr>
            <w:rStyle w:val="Hyperlink"/>
            <w:noProof/>
          </w:rPr>
          <w:t>Infection process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_Toc101048087 \h </w:instrText>
        </w:r>
        <w:r w:rsidR="000C62BB" w:rsidRPr="004D68C7">
          <w:rPr>
            <w:noProof/>
            <w:webHidden/>
          </w:rPr>
        </w:r>
        <w:r w:rsidR="000C62BB" w:rsidRPr="004D68C7">
          <w:rPr>
            <w:noProof/>
            <w:webHidden/>
          </w:rPr>
          <w:fldChar w:fldCharType="separate"/>
        </w:r>
        <w:r w:rsidR="009C2EDC">
          <w:rPr>
            <w:noProof/>
            <w:webHidden/>
          </w:rPr>
          <w:t>13</w:t>
        </w:r>
        <w:r w:rsidR="000C62BB" w:rsidRPr="004D68C7">
          <w:rPr>
            <w:noProof/>
            <w:webHidden/>
          </w:rPr>
          <w:fldChar w:fldCharType="end"/>
        </w:r>
      </w:hyperlink>
    </w:p>
    <w:p w14:paraId="5FB15BC8" w14:textId="07F80610"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8" w:history="1">
        <w:r w:rsidR="000C62BB" w:rsidRPr="004D68C7">
          <w:rPr>
            <w:rStyle w:val="Hyperlink"/>
            <w:noProof/>
          </w:rPr>
          <w:t>Symptoms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_Toc101048088 \h </w:instrText>
        </w:r>
        <w:r w:rsidR="000C62BB" w:rsidRPr="004D68C7">
          <w:rPr>
            <w:noProof/>
            <w:webHidden/>
          </w:rPr>
        </w:r>
        <w:r w:rsidR="000C62BB" w:rsidRPr="004D68C7">
          <w:rPr>
            <w:noProof/>
            <w:webHidden/>
          </w:rPr>
          <w:fldChar w:fldCharType="separate"/>
        </w:r>
        <w:r w:rsidR="009C2EDC">
          <w:rPr>
            <w:noProof/>
            <w:webHidden/>
          </w:rPr>
          <w:t>14</w:t>
        </w:r>
        <w:r w:rsidR="000C62BB" w:rsidRPr="004D68C7">
          <w:rPr>
            <w:noProof/>
            <w:webHidden/>
          </w:rPr>
          <w:fldChar w:fldCharType="end"/>
        </w:r>
      </w:hyperlink>
    </w:p>
    <w:p w14:paraId="321AF26E" w14:textId="07D90F01"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89" w:history="1">
        <w:r w:rsidR="000C62BB" w:rsidRPr="004D68C7">
          <w:rPr>
            <w:rStyle w:val="Hyperlink"/>
            <w:noProof/>
          </w:rPr>
          <w:t>Factors affecting charcoal rot severity</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_Toc101048089 \h </w:instrText>
        </w:r>
        <w:r w:rsidR="000C62BB" w:rsidRPr="004D68C7">
          <w:rPr>
            <w:noProof/>
            <w:webHidden/>
          </w:rPr>
        </w:r>
        <w:r w:rsidR="000C62BB" w:rsidRPr="004D68C7">
          <w:rPr>
            <w:noProof/>
            <w:webHidden/>
          </w:rPr>
          <w:fldChar w:fldCharType="separate"/>
        </w:r>
        <w:r w:rsidR="009C2EDC">
          <w:rPr>
            <w:noProof/>
            <w:webHidden/>
          </w:rPr>
          <w:t>14</w:t>
        </w:r>
        <w:r w:rsidR="000C62BB" w:rsidRPr="004D68C7">
          <w:rPr>
            <w:noProof/>
            <w:webHidden/>
          </w:rPr>
          <w:fldChar w:fldCharType="end"/>
        </w:r>
      </w:hyperlink>
    </w:p>
    <w:p w14:paraId="4ED33995" w14:textId="7445467A" w:rsidR="000C62BB" w:rsidRPr="004D68C7" w:rsidRDefault="00035AE8">
      <w:pPr>
        <w:pStyle w:val="TOC2"/>
        <w:rPr>
          <w:rFonts w:asciiTheme="minorHAnsi" w:eastAsiaTheme="minorEastAsia" w:hAnsiTheme="minorHAnsi" w:cstheme="minorBidi"/>
          <w:b w:val="0"/>
          <w:iCs w:val="0"/>
          <w:sz w:val="22"/>
          <w:szCs w:val="22"/>
        </w:rPr>
      </w:pPr>
      <w:hyperlink w:anchor="_Toc101048090" w:history="1">
        <w:r w:rsidR="000C62BB" w:rsidRPr="004D68C7">
          <w:rPr>
            <w:rStyle w:val="Hyperlink"/>
            <w:b w:val="0"/>
          </w:rPr>
          <w:t>Management</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_Toc101048090 \h </w:instrText>
        </w:r>
        <w:r w:rsidR="000C62BB" w:rsidRPr="004D68C7">
          <w:rPr>
            <w:b w:val="0"/>
            <w:webHidden/>
          </w:rPr>
        </w:r>
        <w:r w:rsidR="000C62BB" w:rsidRPr="004D68C7">
          <w:rPr>
            <w:b w:val="0"/>
            <w:webHidden/>
          </w:rPr>
          <w:fldChar w:fldCharType="separate"/>
        </w:r>
        <w:r w:rsidR="009C2EDC">
          <w:rPr>
            <w:b w:val="0"/>
            <w:webHidden/>
          </w:rPr>
          <w:t>15</w:t>
        </w:r>
        <w:r w:rsidR="000C62BB" w:rsidRPr="004D68C7">
          <w:rPr>
            <w:b w:val="0"/>
            <w:webHidden/>
          </w:rPr>
          <w:fldChar w:fldCharType="end"/>
        </w:r>
      </w:hyperlink>
    </w:p>
    <w:p w14:paraId="1854D7E2" w14:textId="433484F2"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91" w:history="1">
        <w:r w:rsidR="000C62BB" w:rsidRPr="004D68C7">
          <w:rPr>
            <w:rStyle w:val="Hyperlink"/>
            <w:noProof/>
          </w:rPr>
          <w:t>Crop rotation and resistance cultivars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_Toc101048091 \h </w:instrText>
        </w:r>
        <w:r w:rsidR="000C62BB" w:rsidRPr="004D68C7">
          <w:rPr>
            <w:noProof/>
            <w:webHidden/>
          </w:rPr>
        </w:r>
        <w:r w:rsidR="000C62BB" w:rsidRPr="004D68C7">
          <w:rPr>
            <w:noProof/>
            <w:webHidden/>
          </w:rPr>
          <w:fldChar w:fldCharType="separate"/>
        </w:r>
        <w:r w:rsidR="009C2EDC">
          <w:rPr>
            <w:noProof/>
            <w:webHidden/>
          </w:rPr>
          <w:t>15</w:t>
        </w:r>
        <w:r w:rsidR="000C62BB" w:rsidRPr="004D68C7">
          <w:rPr>
            <w:noProof/>
            <w:webHidden/>
          </w:rPr>
          <w:fldChar w:fldCharType="end"/>
        </w:r>
      </w:hyperlink>
    </w:p>
    <w:p w14:paraId="09EAA8E9" w14:textId="49B1A54C"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92" w:history="1">
        <w:r w:rsidR="000C62BB" w:rsidRPr="004D68C7">
          <w:rPr>
            <w:rStyle w:val="Hyperlink"/>
            <w:noProof/>
          </w:rPr>
          <w:t>Other strategies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_Toc101048092 \h </w:instrText>
        </w:r>
        <w:r w:rsidR="000C62BB" w:rsidRPr="004D68C7">
          <w:rPr>
            <w:noProof/>
            <w:webHidden/>
          </w:rPr>
        </w:r>
        <w:r w:rsidR="000C62BB" w:rsidRPr="004D68C7">
          <w:rPr>
            <w:noProof/>
            <w:webHidden/>
          </w:rPr>
          <w:fldChar w:fldCharType="separate"/>
        </w:r>
        <w:r w:rsidR="009C2EDC">
          <w:rPr>
            <w:noProof/>
            <w:webHidden/>
          </w:rPr>
          <w:t>16</w:t>
        </w:r>
        <w:r w:rsidR="000C62BB" w:rsidRPr="004D68C7">
          <w:rPr>
            <w:noProof/>
            <w:webHidden/>
          </w:rPr>
          <w:fldChar w:fldCharType="end"/>
        </w:r>
      </w:hyperlink>
    </w:p>
    <w:p w14:paraId="0A5EA1C7" w14:textId="2A5422CE" w:rsidR="000C62BB" w:rsidRPr="004D68C7" w:rsidRDefault="00035AE8">
      <w:pPr>
        <w:pStyle w:val="TOC2"/>
        <w:rPr>
          <w:rFonts w:asciiTheme="minorHAnsi" w:eastAsiaTheme="minorEastAsia" w:hAnsiTheme="minorHAnsi" w:cstheme="minorBidi"/>
          <w:b w:val="0"/>
          <w:iCs w:val="0"/>
          <w:sz w:val="22"/>
          <w:szCs w:val="22"/>
        </w:rPr>
      </w:pPr>
      <w:hyperlink w:anchor="_Toc101048093" w:history="1">
        <w:r w:rsidR="000C62BB" w:rsidRPr="004D68C7">
          <w:rPr>
            <w:rStyle w:val="Hyperlink"/>
            <w:b w:val="0"/>
          </w:rPr>
          <w:t>Part 3. Status and major diseases of hemp in Tennessee</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_Toc101048093 \h </w:instrText>
        </w:r>
        <w:r w:rsidR="000C62BB" w:rsidRPr="004D68C7">
          <w:rPr>
            <w:b w:val="0"/>
            <w:webHidden/>
          </w:rPr>
        </w:r>
        <w:r w:rsidR="000C62BB" w:rsidRPr="004D68C7">
          <w:rPr>
            <w:b w:val="0"/>
            <w:webHidden/>
          </w:rPr>
          <w:fldChar w:fldCharType="separate"/>
        </w:r>
        <w:r w:rsidR="009C2EDC">
          <w:rPr>
            <w:b w:val="0"/>
            <w:webHidden/>
          </w:rPr>
          <w:t>16</w:t>
        </w:r>
        <w:r w:rsidR="000C62BB" w:rsidRPr="004D68C7">
          <w:rPr>
            <w:b w:val="0"/>
            <w:webHidden/>
          </w:rPr>
          <w:fldChar w:fldCharType="end"/>
        </w:r>
      </w:hyperlink>
    </w:p>
    <w:p w14:paraId="6B710C6F" w14:textId="2B598CDD"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94" w:history="1">
        <w:r w:rsidR="000C62BB" w:rsidRPr="004D68C7">
          <w:rPr>
            <w:rStyle w:val="Hyperlink"/>
            <w:noProof/>
          </w:rPr>
          <w:t>Brief history</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_Toc101048094 \h </w:instrText>
        </w:r>
        <w:r w:rsidR="000C62BB" w:rsidRPr="004D68C7">
          <w:rPr>
            <w:noProof/>
            <w:webHidden/>
          </w:rPr>
        </w:r>
        <w:r w:rsidR="000C62BB" w:rsidRPr="004D68C7">
          <w:rPr>
            <w:noProof/>
            <w:webHidden/>
          </w:rPr>
          <w:fldChar w:fldCharType="separate"/>
        </w:r>
        <w:r w:rsidR="009C2EDC">
          <w:rPr>
            <w:noProof/>
            <w:webHidden/>
          </w:rPr>
          <w:t>16</w:t>
        </w:r>
        <w:r w:rsidR="000C62BB" w:rsidRPr="004D68C7">
          <w:rPr>
            <w:noProof/>
            <w:webHidden/>
          </w:rPr>
          <w:fldChar w:fldCharType="end"/>
        </w:r>
      </w:hyperlink>
    </w:p>
    <w:p w14:paraId="6AF6E08E" w14:textId="628297DF"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95" w:history="1">
        <w:r w:rsidR="000C62BB" w:rsidRPr="004D68C7">
          <w:rPr>
            <w:rStyle w:val="Hyperlink"/>
            <w:noProof/>
          </w:rPr>
          <w:t>Use and demand for hemp products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_Toc101048095 \h </w:instrText>
        </w:r>
        <w:r w:rsidR="000C62BB" w:rsidRPr="004D68C7">
          <w:rPr>
            <w:noProof/>
            <w:webHidden/>
          </w:rPr>
        </w:r>
        <w:r w:rsidR="000C62BB" w:rsidRPr="004D68C7">
          <w:rPr>
            <w:noProof/>
            <w:webHidden/>
          </w:rPr>
          <w:fldChar w:fldCharType="separate"/>
        </w:r>
        <w:r w:rsidR="009C2EDC">
          <w:rPr>
            <w:noProof/>
            <w:webHidden/>
          </w:rPr>
          <w:t>17</w:t>
        </w:r>
        <w:r w:rsidR="000C62BB" w:rsidRPr="004D68C7">
          <w:rPr>
            <w:noProof/>
            <w:webHidden/>
          </w:rPr>
          <w:fldChar w:fldCharType="end"/>
        </w:r>
      </w:hyperlink>
    </w:p>
    <w:p w14:paraId="1C118686" w14:textId="45EF2AA8"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96" w:history="1">
        <w:r w:rsidR="000C62BB" w:rsidRPr="004D68C7">
          <w:rPr>
            <w:rStyle w:val="Hyperlink"/>
            <w:noProof/>
          </w:rPr>
          <w:t>Tennessee hemp production acreage</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_Toc101048096 \h </w:instrText>
        </w:r>
        <w:r w:rsidR="000C62BB" w:rsidRPr="004D68C7">
          <w:rPr>
            <w:noProof/>
            <w:webHidden/>
          </w:rPr>
        </w:r>
        <w:r w:rsidR="000C62BB" w:rsidRPr="004D68C7">
          <w:rPr>
            <w:noProof/>
            <w:webHidden/>
          </w:rPr>
          <w:fldChar w:fldCharType="separate"/>
        </w:r>
        <w:r w:rsidR="009C2EDC">
          <w:rPr>
            <w:noProof/>
            <w:webHidden/>
          </w:rPr>
          <w:t>17</w:t>
        </w:r>
        <w:r w:rsidR="000C62BB" w:rsidRPr="004D68C7">
          <w:rPr>
            <w:noProof/>
            <w:webHidden/>
          </w:rPr>
          <w:fldChar w:fldCharType="end"/>
        </w:r>
      </w:hyperlink>
    </w:p>
    <w:p w14:paraId="67627B8C" w14:textId="6FCE8C1C" w:rsidR="000C62BB" w:rsidRPr="004D68C7" w:rsidRDefault="00035AE8">
      <w:pPr>
        <w:pStyle w:val="TOC2"/>
        <w:rPr>
          <w:rFonts w:asciiTheme="minorHAnsi" w:eastAsiaTheme="minorEastAsia" w:hAnsiTheme="minorHAnsi" w:cstheme="minorBidi"/>
          <w:b w:val="0"/>
          <w:iCs w:val="0"/>
          <w:sz w:val="22"/>
          <w:szCs w:val="22"/>
        </w:rPr>
      </w:pPr>
      <w:hyperlink w:anchor="_Toc101048097" w:history="1">
        <w:r w:rsidR="000C62BB" w:rsidRPr="004D68C7">
          <w:rPr>
            <w:rStyle w:val="Hyperlink"/>
            <w:b w:val="0"/>
          </w:rPr>
          <w:t>Major diseases of hemp in Tennessee</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_Toc101048097 \h </w:instrText>
        </w:r>
        <w:r w:rsidR="000C62BB" w:rsidRPr="004D68C7">
          <w:rPr>
            <w:b w:val="0"/>
            <w:webHidden/>
          </w:rPr>
        </w:r>
        <w:r w:rsidR="000C62BB" w:rsidRPr="004D68C7">
          <w:rPr>
            <w:b w:val="0"/>
            <w:webHidden/>
          </w:rPr>
          <w:fldChar w:fldCharType="separate"/>
        </w:r>
        <w:r w:rsidR="009C2EDC">
          <w:rPr>
            <w:b w:val="0"/>
            <w:webHidden/>
          </w:rPr>
          <w:t>17</w:t>
        </w:r>
        <w:r w:rsidR="000C62BB" w:rsidRPr="004D68C7">
          <w:rPr>
            <w:b w:val="0"/>
            <w:webHidden/>
          </w:rPr>
          <w:fldChar w:fldCharType="end"/>
        </w:r>
      </w:hyperlink>
    </w:p>
    <w:p w14:paraId="482AA4E4" w14:textId="35E17D7C" w:rsidR="000C62BB" w:rsidRPr="004D68C7" w:rsidRDefault="00035AE8">
      <w:pPr>
        <w:pStyle w:val="TOC2"/>
        <w:rPr>
          <w:rFonts w:asciiTheme="minorHAnsi" w:eastAsiaTheme="minorEastAsia" w:hAnsiTheme="minorHAnsi" w:cstheme="minorBidi"/>
          <w:b w:val="0"/>
          <w:iCs w:val="0"/>
          <w:sz w:val="22"/>
          <w:szCs w:val="22"/>
        </w:rPr>
      </w:pPr>
      <w:hyperlink w:anchor="_Toc101048098" w:history="1">
        <w:r w:rsidR="000C62BB" w:rsidRPr="004D68C7">
          <w:rPr>
            <w:rStyle w:val="Hyperlink"/>
            <w:b w:val="0"/>
          </w:rPr>
          <w:t>Powdery mildew</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_Toc101048098 \h </w:instrText>
        </w:r>
        <w:r w:rsidR="000C62BB" w:rsidRPr="004D68C7">
          <w:rPr>
            <w:b w:val="0"/>
            <w:webHidden/>
          </w:rPr>
        </w:r>
        <w:r w:rsidR="000C62BB" w:rsidRPr="004D68C7">
          <w:rPr>
            <w:b w:val="0"/>
            <w:webHidden/>
          </w:rPr>
          <w:fldChar w:fldCharType="separate"/>
        </w:r>
        <w:r w:rsidR="009C2EDC">
          <w:rPr>
            <w:b w:val="0"/>
            <w:webHidden/>
          </w:rPr>
          <w:t>18</w:t>
        </w:r>
        <w:r w:rsidR="000C62BB" w:rsidRPr="004D68C7">
          <w:rPr>
            <w:b w:val="0"/>
            <w:webHidden/>
          </w:rPr>
          <w:fldChar w:fldCharType="end"/>
        </w:r>
      </w:hyperlink>
    </w:p>
    <w:p w14:paraId="2704A269" w14:textId="29FFD41D"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099" w:history="1">
        <w:r w:rsidR="000C62BB" w:rsidRPr="004D68C7">
          <w:rPr>
            <w:rStyle w:val="Hyperlink"/>
            <w:noProof/>
          </w:rPr>
          <w:t>Symptoms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_Toc101048099 \h </w:instrText>
        </w:r>
        <w:r w:rsidR="000C62BB" w:rsidRPr="004D68C7">
          <w:rPr>
            <w:noProof/>
            <w:webHidden/>
          </w:rPr>
        </w:r>
        <w:r w:rsidR="000C62BB" w:rsidRPr="004D68C7">
          <w:rPr>
            <w:noProof/>
            <w:webHidden/>
          </w:rPr>
          <w:fldChar w:fldCharType="separate"/>
        </w:r>
        <w:r w:rsidR="009C2EDC">
          <w:rPr>
            <w:noProof/>
            <w:webHidden/>
          </w:rPr>
          <w:t>18</w:t>
        </w:r>
        <w:r w:rsidR="000C62BB" w:rsidRPr="004D68C7">
          <w:rPr>
            <w:noProof/>
            <w:webHidden/>
          </w:rPr>
          <w:fldChar w:fldCharType="end"/>
        </w:r>
      </w:hyperlink>
    </w:p>
    <w:p w14:paraId="77D758FA" w14:textId="000B9660"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00" w:history="1">
        <w:r w:rsidR="000C62BB" w:rsidRPr="004D68C7">
          <w:rPr>
            <w:rStyle w:val="Hyperlink"/>
            <w:noProof/>
          </w:rPr>
          <w:t>Host range</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_Toc101048100 \h </w:instrText>
        </w:r>
        <w:r w:rsidR="000C62BB" w:rsidRPr="004D68C7">
          <w:rPr>
            <w:noProof/>
            <w:webHidden/>
          </w:rPr>
        </w:r>
        <w:r w:rsidR="000C62BB" w:rsidRPr="004D68C7">
          <w:rPr>
            <w:noProof/>
            <w:webHidden/>
          </w:rPr>
          <w:fldChar w:fldCharType="separate"/>
        </w:r>
        <w:r w:rsidR="009C2EDC">
          <w:rPr>
            <w:noProof/>
            <w:webHidden/>
          </w:rPr>
          <w:t>18</w:t>
        </w:r>
        <w:r w:rsidR="000C62BB" w:rsidRPr="004D68C7">
          <w:rPr>
            <w:noProof/>
            <w:webHidden/>
          </w:rPr>
          <w:fldChar w:fldCharType="end"/>
        </w:r>
      </w:hyperlink>
    </w:p>
    <w:p w14:paraId="1B7D6FED" w14:textId="7893834F"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01" w:history="1">
        <w:r w:rsidR="000C62BB" w:rsidRPr="004D68C7">
          <w:rPr>
            <w:rStyle w:val="Hyperlink"/>
            <w:noProof/>
          </w:rPr>
          <w:t>Management</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_Toc101048101 \h </w:instrText>
        </w:r>
        <w:r w:rsidR="000C62BB" w:rsidRPr="004D68C7">
          <w:rPr>
            <w:noProof/>
            <w:webHidden/>
          </w:rPr>
        </w:r>
        <w:r w:rsidR="000C62BB" w:rsidRPr="004D68C7">
          <w:rPr>
            <w:noProof/>
            <w:webHidden/>
          </w:rPr>
          <w:fldChar w:fldCharType="separate"/>
        </w:r>
        <w:r w:rsidR="009C2EDC">
          <w:rPr>
            <w:noProof/>
            <w:webHidden/>
          </w:rPr>
          <w:t>19</w:t>
        </w:r>
        <w:r w:rsidR="000C62BB" w:rsidRPr="004D68C7">
          <w:rPr>
            <w:noProof/>
            <w:webHidden/>
          </w:rPr>
          <w:fldChar w:fldCharType="end"/>
        </w:r>
      </w:hyperlink>
    </w:p>
    <w:p w14:paraId="363B8960" w14:textId="70268F41" w:rsidR="000C62BB" w:rsidRPr="004D68C7" w:rsidRDefault="00035AE8">
      <w:pPr>
        <w:pStyle w:val="TOC2"/>
        <w:rPr>
          <w:rFonts w:asciiTheme="minorHAnsi" w:eastAsiaTheme="minorEastAsia" w:hAnsiTheme="minorHAnsi" w:cstheme="minorBidi"/>
          <w:b w:val="0"/>
          <w:iCs w:val="0"/>
          <w:sz w:val="22"/>
          <w:szCs w:val="22"/>
        </w:rPr>
      </w:pPr>
      <w:hyperlink w:anchor="_Toc101048102" w:history="1">
        <w:r w:rsidR="000C62BB" w:rsidRPr="004D68C7">
          <w:rPr>
            <w:rStyle w:val="Hyperlink"/>
            <w:b w:val="0"/>
          </w:rPr>
          <w:t>Southern blight</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_Toc101048102 \h </w:instrText>
        </w:r>
        <w:r w:rsidR="000C62BB" w:rsidRPr="004D68C7">
          <w:rPr>
            <w:b w:val="0"/>
            <w:webHidden/>
          </w:rPr>
        </w:r>
        <w:r w:rsidR="000C62BB" w:rsidRPr="004D68C7">
          <w:rPr>
            <w:b w:val="0"/>
            <w:webHidden/>
          </w:rPr>
          <w:fldChar w:fldCharType="separate"/>
        </w:r>
        <w:r w:rsidR="009C2EDC">
          <w:rPr>
            <w:b w:val="0"/>
            <w:webHidden/>
          </w:rPr>
          <w:t>19</w:t>
        </w:r>
        <w:r w:rsidR="000C62BB" w:rsidRPr="004D68C7">
          <w:rPr>
            <w:b w:val="0"/>
            <w:webHidden/>
          </w:rPr>
          <w:fldChar w:fldCharType="end"/>
        </w:r>
      </w:hyperlink>
    </w:p>
    <w:p w14:paraId="2511FD25" w14:textId="09F42CA3"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03" w:history="1">
        <w:r w:rsidR="000C62BB" w:rsidRPr="004D68C7">
          <w:rPr>
            <w:rStyle w:val="Hyperlink"/>
            <w:noProof/>
          </w:rPr>
          <w:t>Symptoms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_Toc101048103 \h </w:instrText>
        </w:r>
        <w:r w:rsidR="000C62BB" w:rsidRPr="004D68C7">
          <w:rPr>
            <w:noProof/>
            <w:webHidden/>
          </w:rPr>
        </w:r>
        <w:r w:rsidR="000C62BB" w:rsidRPr="004D68C7">
          <w:rPr>
            <w:noProof/>
            <w:webHidden/>
          </w:rPr>
          <w:fldChar w:fldCharType="separate"/>
        </w:r>
        <w:r w:rsidR="009C2EDC">
          <w:rPr>
            <w:noProof/>
            <w:webHidden/>
          </w:rPr>
          <w:t>20</w:t>
        </w:r>
        <w:r w:rsidR="000C62BB" w:rsidRPr="004D68C7">
          <w:rPr>
            <w:noProof/>
            <w:webHidden/>
          </w:rPr>
          <w:fldChar w:fldCharType="end"/>
        </w:r>
      </w:hyperlink>
    </w:p>
    <w:p w14:paraId="3E29430B" w14:textId="6623069D"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04" w:history="1">
        <w:r w:rsidR="000C62BB" w:rsidRPr="004D68C7">
          <w:rPr>
            <w:rStyle w:val="Hyperlink"/>
            <w:noProof/>
          </w:rPr>
          <w:t>Management</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_Toc101048104 \h </w:instrText>
        </w:r>
        <w:r w:rsidR="000C62BB" w:rsidRPr="004D68C7">
          <w:rPr>
            <w:noProof/>
            <w:webHidden/>
          </w:rPr>
        </w:r>
        <w:r w:rsidR="000C62BB" w:rsidRPr="004D68C7">
          <w:rPr>
            <w:noProof/>
            <w:webHidden/>
          </w:rPr>
          <w:fldChar w:fldCharType="separate"/>
        </w:r>
        <w:r w:rsidR="009C2EDC">
          <w:rPr>
            <w:noProof/>
            <w:webHidden/>
          </w:rPr>
          <w:t>20</w:t>
        </w:r>
        <w:r w:rsidR="000C62BB" w:rsidRPr="004D68C7">
          <w:rPr>
            <w:noProof/>
            <w:webHidden/>
          </w:rPr>
          <w:fldChar w:fldCharType="end"/>
        </w:r>
      </w:hyperlink>
    </w:p>
    <w:p w14:paraId="4FFDC53A" w14:textId="680E10F4" w:rsidR="000C62BB" w:rsidRPr="004D68C7" w:rsidRDefault="00035AE8">
      <w:pPr>
        <w:pStyle w:val="TOC2"/>
        <w:rPr>
          <w:rFonts w:asciiTheme="minorHAnsi" w:eastAsiaTheme="minorEastAsia" w:hAnsiTheme="minorHAnsi" w:cstheme="minorBidi"/>
          <w:b w:val="0"/>
          <w:iCs w:val="0"/>
          <w:sz w:val="22"/>
          <w:szCs w:val="22"/>
        </w:rPr>
      </w:pPr>
      <w:hyperlink w:anchor="_Toc101048105" w:history="1">
        <w:r w:rsidR="000C62BB" w:rsidRPr="004D68C7">
          <w:rPr>
            <w:rStyle w:val="Hyperlink"/>
            <w:b w:val="0"/>
          </w:rPr>
          <w:t>Fusarium wilt</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_Toc101048105 \h </w:instrText>
        </w:r>
        <w:r w:rsidR="000C62BB" w:rsidRPr="004D68C7">
          <w:rPr>
            <w:b w:val="0"/>
            <w:webHidden/>
          </w:rPr>
        </w:r>
        <w:r w:rsidR="000C62BB" w:rsidRPr="004D68C7">
          <w:rPr>
            <w:b w:val="0"/>
            <w:webHidden/>
          </w:rPr>
          <w:fldChar w:fldCharType="separate"/>
        </w:r>
        <w:r w:rsidR="009C2EDC">
          <w:rPr>
            <w:b w:val="0"/>
            <w:webHidden/>
          </w:rPr>
          <w:t>20</w:t>
        </w:r>
        <w:r w:rsidR="000C62BB" w:rsidRPr="004D68C7">
          <w:rPr>
            <w:b w:val="0"/>
            <w:webHidden/>
          </w:rPr>
          <w:fldChar w:fldCharType="end"/>
        </w:r>
      </w:hyperlink>
    </w:p>
    <w:p w14:paraId="55841FCE" w14:textId="5A9D24D5"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06" w:history="1">
        <w:r w:rsidR="000C62BB" w:rsidRPr="004D68C7">
          <w:rPr>
            <w:rStyle w:val="Hyperlink"/>
            <w:noProof/>
          </w:rPr>
          <w:t>Symptoms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_Toc101048106 \h </w:instrText>
        </w:r>
        <w:r w:rsidR="000C62BB" w:rsidRPr="004D68C7">
          <w:rPr>
            <w:noProof/>
            <w:webHidden/>
          </w:rPr>
        </w:r>
        <w:r w:rsidR="000C62BB" w:rsidRPr="004D68C7">
          <w:rPr>
            <w:noProof/>
            <w:webHidden/>
          </w:rPr>
          <w:fldChar w:fldCharType="separate"/>
        </w:r>
        <w:r w:rsidR="009C2EDC">
          <w:rPr>
            <w:noProof/>
            <w:webHidden/>
          </w:rPr>
          <w:t>21</w:t>
        </w:r>
        <w:r w:rsidR="000C62BB" w:rsidRPr="004D68C7">
          <w:rPr>
            <w:noProof/>
            <w:webHidden/>
          </w:rPr>
          <w:fldChar w:fldCharType="end"/>
        </w:r>
      </w:hyperlink>
    </w:p>
    <w:p w14:paraId="48C50497" w14:textId="25947F1F"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07" w:history="1">
        <w:r w:rsidR="000C62BB" w:rsidRPr="004D68C7">
          <w:rPr>
            <w:rStyle w:val="Hyperlink"/>
            <w:noProof/>
          </w:rPr>
          <w:t>Management</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_Toc101048107 \h </w:instrText>
        </w:r>
        <w:r w:rsidR="000C62BB" w:rsidRPr="004D68C7">
          <w:rPr>
            <w:noProof/>
            <w:webHidden/>
          </w:rPr>
        </w:r>
        <w:r w:rsidR="000C62BB" w:rsidRPr="004D68C7">
          <w:rPr>
            <w:noProof/>
            <w:webHidden/>
          </w:rPr>
          <w:fldChar w:fldCharType="separate"/>
        </w:r>
        <w:r w:rsidR="009C2EDC">
          <w:rPr>
            <w:noProof/>
            <w:webHidden/>
          </w:rPr>
          <w:t>21</w:t>
        </w:r>
        <w:r w:rsidR="000C62BB" w:rsidRPr="004D68C7">
          <w:rPr>
            <w:noProof/>
            <w:webHidden/>
          </w:rPr>
          <w:fldChar w:fldCharType="end"/>
        </w:r>
      </w:hyperlink>
    </w:p>
    <w:p w14:paraId="494DFE21" w14:textId="687C0C59" w:rsidR="000C62BB" w:rsidRPr="004D68C7" w:rsidRDefault="00035AE8">
      <w:pPr>
        <w:pStyle w:val="TOC2"/>
        <w:rPr>
          <w:rFonts w:asciiTheme="minorHAnsi" w:eastAsiaTheme="minorEastAsia" w:hAnsiTheme="minorHAnsi" w:cstheme="minorBidi"/>
          <w:b w:val="0"/>
          <w:iCs w:val="0"/>
          <w:sz w:val="22"/>
          <w:szCs w:val="22"/>
        </w:rPr>
      </w:pPr>
      <w:hyperlink w:anchor="_Toc101048108" w:history="1">
        <w:r w:rsidR="000C62BB" w:rsidRPr="004D68C7">
          <w:rPr>
            <w:rStyle w:val="Hyperlink"/>
            <w:b w:val="0"/>
          </w:rPr>
          <w:t>Hemp leaf spots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_Toc101048108 \h </w:instrText>
        </w:r>
        <w:r w:rsidR="000C62BB" w:rsidRPr="004D68C7">
          <w:rPr>
            <w:b w:val="0"/>
            <w:webHidden/>
          </w:rPr>
        </w:r>
        <w:r w:rsidR="000C62BB" w:rsidRPr="004D68C7">
          <w:rPr>
            <w:b w:val="0"/>
            <w:webHidden/>
          </w:rPr>
          <w:fldChar w:fldCharType="separate"/>
        </w:r>
        <w:r w:rsidR="009C2EDC">
          <w:rPr>
            <w:b w:val="0"/>
            <w:webHidden/>
          </w:rPr>
          <w:t>21</w:t>
        </w:r>
        <w:r w:rsidR="000C62BB" w:rsidRPr="004D68C7">
          <w:rPr>
            <w:b w:val="0"/>
            <w:webHidden/>
          </w:rPr>
          <w:fldChar w:fldCharType="end"/>
        </w:r>
      </w:hyperlink>
    </w:p>
    <w:p w14:paraId="501B19B2" w14:textId="6A0C393D"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09" w:history="1">
        <w:r w:rsidR="000C62BB" w:rsidRPr="004D68C7">
          <w:rPr>
            <w:rStyle w:val="Hyperlink"/>
            <w:noProof/>
          </w:rPr>
          <w:t>Symptoms</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_Toc101048109 \h </w:instrText>
        </w:r>
        <w:r w:rsidR="000C62BB" w:rsidRPr="004D68C7">
          <w:rPr>
            <w:noProof/>
            <w:webHidden/>
          </w:rPr>
        </w:r>
        <w:r w:rsidR="000C62BB" w:rsidRPr="004D68C7">
          <w:rPr>
            <w:noProof/>
            <w:webHidden/>
          </w:rPr>
          <w:fldChar w:fldCharType="separate"/>
        </w:r>
        <w:r w:rsidR="009C2EDC">
          <w:rPr>
            <w:noProof/>
            <w:webHidden/>
          </w:rPr>
          <w:t>22</w:t>
        </w:r>
        <w:r w:rsidR="000C62BB" w:rsidRPr="004D68C7">
          <w:rPr>
            <w:noProof/>
            <w:webHidden/>
          </w:rPr>
          <w:fldChar w:fldCharType="end"/>
        </w:r>
      </w:hyperlink>
    </w:p>
    <w:p w14:paraId="3AB5961C" w14:textId="0A542BAC"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10" w:history="1">
        <w:r w:rsidR="000C62BB" w:rsidRPr="004D68C7">
          <w:rPr>
            <w:rStyle w:val="Hyperlink"/>
            <w:noProof/>
          </w:rPr>
          <w:t>Bipolaris leaf spot</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_Toc101048110 \h </w:instrText>
        </w:r>
        <w:r w:rsidR="000C62BB" w:rsidRPr="004D68C7">
          <w:rPr>
            <w:noProof/>
            <w:webHidden/>
          </w:rPr>
        </w:r>
        <w:r w:rsidR="000C62BB" w:rsidRPr="004D68C7">
          <w:rPr>
            <w:noProof/>
            <w:webHidden/>
          </w:rPr>
          <w:fldChar w:fldCharType="separate"/>
        </w:r>
        <w:r w:rsidR="009C2EDC">
          <w:rPr>
            <w:noProof/>
            <w:webHidden/>
          </w:rPr>
          <w:t>22</w:t>
        </w:r>
        <w:r w:rsidR="000C62BB" w:rsidRPr="004D68C7">
          <w:rPr>
            <w:noProof/>
            <w:webHidden/>
          </w:rPr>
          <w:fldChar w:fldCharType="end"/>
        </w:r>
      </w:hyperlink>
    </w:p>
    <w:p w14:paraId="634C7ED8" w14:textId="00B780E9"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11" w:history="1">
        <w:r w:rsidR="000C62BB" w:rsidRPr="004D68C7">
          <w:rPr>
            <w:rStyle w:val="Hyperlink"/>
            <w:noProof/>
          </w:rPr>
          <w:t>Management</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_Toc101048111 \h </w:instrText>
        </w:r>
        <w:r w:rsidR="000C62BB" w:rsidRPr="004D68C7">
          <w:rPr>
            <w:noProof/>
            <w:webHidden/>
          </w:rPr>
        </w:r>
        <w:r w:rsidR="000C62BB" w:rsidRPr="004D68C7">
          <w:rPr>
            <w:noProof/>
            <w:webHidden/>
          </w:rPr>
          <w:fldChar w:fldCharType="separate"/>
        </w:r>
        <w:r w:rsidR="009C2EDC">
          <w:rPr>
            <w:noProof/>
            <w:webHidden/>
          </w:rPr>
          <w:t>23</w:t>
        </w:r>
        <w:r w:rsidR="000C62BB" w:rsidRPr="004D68C7">
          <w:rPr>
            <w:noProof/>
            <w:webHidden/>
          </w:rPr>
          <w:fldChar w:fldCharType="end"/>
        </w:r>
      </w:hyperlink>
    </w:p>
    <w:p w14:paraId="08AB1A09" w14:textId="135D3FDB" w:rsidR="000C62BB" w:rsidRPr="004D68C7" w:rsidRDefault="00035AE8">
      <w:pPr>
        <w:pStyle w:val="TOC1"/>
        <w:rPr>
          <w:rFonts w:asciiTheme="minorHAnsi" w:eastAsiaTheme="minorEastAsia" w:hAnsiTheme="minorHAnsi" w:cstheme="minorBidi"/>
          <w:sz w:val="22"/>
          <w:szCs w:val="22"/>
        </w:rPr>
      </w:pPr>
      <w:hyperlink w:anchor="_Toc101048112" w:history="1">
        <w:r w:rsidR="000C62BB" w:rsidRPr="004D68C7">
          <w:rPr>
            <w:rStyle w:val="Hyperlink"/>
          </w:rPr>
          <w:t>References</w:t>
        </w:r>
        <w:r w:rsidR="000C62BB" w:rsidRPr="004D68C7">
          <w:rPr>
            <w:webHidden/>
          </w:rPr>
          <w:tab/>
        </w:r>
        <w:r w:rsidR="000C62BB" w:rsidRPr="004D68C7">
          <w:rPr>
            <w:webHidden/>
          </w:rPr>
          <w:fldChar w:fldCharType="begin"/>
        </w:r>
        <w:r w:rsidR="000C62BB" w:rsidRPr="004D68C7">
          <w:rPr>
            <w:webHidden/>
          </w:rPr>
          <w:instrText xml:space="preserve"> PAGEREF _Toc101048112 \h </w:instrText>
        </w:r>
        <w:r w:rsidR="000C62BB" w:rsidRPr="004D68C7">
          <w:rPr>
            <w:webHidden/>
          </w:rPr>
        </w:r>
        <w:r w:rsidR="000C62BB" w:rsidRPr="004D68C7">
          <w:rPr>
            <w:webHidden/>
          </w:rPr>
          <w:fldChar w:fldCharType="separate"/>
        </w:r>
        <w:r w:rsidR="009C2EDC">
          <w:rPr>
            <w:webHidden/>
          </w:rPr>
          <w:t>24</w:t>
        </w:r>
        <w:r w:rsidR="000C62BB" w:rsidRPr="004D68C7">
          <w:rPr>
            <w:webHidden/>
          </w:rPr>
          <w:fldChar w:fldCharType="end"/>
        </w:r>
      </w:hyperlink>
    </w:p>
    <w:p w14:paraId="27127E86" w14:textId="4ABCAF9B" w:rsidR="000C62BB" w:rsidRPr="004D68C7" w:rsidRDefault="00035AE8">
      <w:pPr>
        <w:pStyle w:val="TOC1"/>
        <w:rPr>
          <w:rFonts w:asciiTheme="minorHAnsi" w:eastAsiaTheme="minorEastAsia" w:hAnsiTheme="minorHAnsi" w:cstheme="minorBidi"/>
          <w:sz w:val="22"/>
          <w:szCs w:val="22"/>
        </w:rPr>
      </w:pPr>
      <w:hyperlink w:anchor="_Toc101048113" w:history="1">
        <w:r w:rsidR="000C62BB" w:rsidRPr="004D68C7">
          <w:rPr>
            <w:rStyle w:val="Hyperlink"/>
          </w:rPr>
          <w:t>CHAPTER</w:t>
        </w:r>
        <w:r w:rsidR="000C62BB" w:rsidRPr="004D68C7">
          <w:rPr>
            <w:rStyle w:val="Hyperlink"/>
            <w:spacing w:val="-5"/>
          </w:rPr>
          <w:t xml:space="preserve"> </w:t>
        </w:r>
        <w:r w:rsidR="000C62BB" w:rsidRPr="004D68C7">
          <w:rPr>
            <w:rStyle w:val="Hyperlink"/>
          </w:rPr>
          <w:t>II.</w:t>
        </w:r>
        <w:r w:rsidR="000C62BB" w:rsidRPr="004D68C7">
          <w:rPr>
            <w:rStyle w:val="Hyperlink"/>
            <w:spacing w:val="-6"/>
          </w:rPr>
          <w:t xml:space="preserve"> </w:t>
        </w:r>
        <w:r w:rsidR="000C62BB" w:rsidRPr="004D68C7">
          <w:rPr>
            <w:rStyle w:val="Hyperlink"/>
          </w:rPr>
          <w:t xml:space="preserve">NEMATODE POPULATION DYNAMICS AND </w:t>
        </w:r>
        <w:r w:rsidR="000C62BB" w:rsidRPr="004D68C7">
          <w:rPr>
            <w:rStyle w:val="Hyperlink"/>
            <w:i/>
          </w:rPr>
          <w:t>HETERODERA GLYCINES</w:t>
        </w:r>
        <w:r w:rsidR="000C62BB" w:rsidRPr="004D68C7">
          <w:rPr>
            <w:rStyle w:val="Hyperlink"/>
          </w:rPr>
          <w:t xml:space="preserve"> HG TYPES IN TENNESSEE, 2018-2020</w:t>
        </w:r>
        <w:r w:rsidR="000C62BB" w:rsidRPr="004D68C7">
          <w:rPr>
            <w:webHidden/>
          </w:rPr>
          <w:tab/>
        </w:r>
        <w:r w:rsidR="000C62BB" w:rsidRPr="004D68C7">
          <w:rPr>
            <w:webHidden/>
          </w:rPr>
          <w:fldChar w:fldCharType="begin"/>
        </w:r>
        <w:r w:rsidR="000C62BB" w:rsidRPr="004D68C7">
          <w:rPr>
            <w:webHidden/>
          </w:rPr>
          <w:instrText xml:space="preserve"> PAGEREF _Toc101048113 \h </w:instrText>
        </w:r>
        <w:r w:rsidR="000C62BB" w:rsidRPr="004D68C7">
          <w:rPr>
            <w:webHidden/>
          </w:rPr>
        </w:r>
        <w:r w:rsidR="000C62BB" w:rsidRPr="004D68C7">
          <w:rPr>
            <w:webHidden/>
          </w:rPr>
          <w:fldChar w:fldCharType="separate"/>
        </w:r>
        <w:r w:rsidR="009C2EDC">
          <w:rPr>
            <w:webHidden/>
          </w:rPr>
          <w:t>37</w:t>
        </w:r>
        <w:r w:rsidR="000C62BB" w:rsidRPr="004D68C7">
          <w:rPr>
            <w:webHidden/>
          </w:rPr>
          <w:fldChar w:fldCharType="end"/>
        </w:r>
      </w:hyperlink>
    </w:p>
    <w:p w14:paraId="0B8C9773" w14:textId="60F69206" w:rsidR="000C62BB" w:rsidRPr="004D68C7" w:rsidRDefault="00035AE8">
      <w:pPr>
        <w:pStyle w:val="TOC1"/>
        <w:rPr>
          <w:rFonts w:asciiTheme="minorHAnsi" w:eastAsiaTheme="minorEastAsia" w:hAnsiTheme="minorHAnsi" w:cstheme="minorBidi"/>
          <w:sz w:val="22"/>
          <w:szCs w:val="22"/>
        </w:rPr>
      </w:pPr>
      <w:hyperlink w:anchor="_Toc101048114" w:history="1">
        <w:r w:rsidR="000C62BB" w:rsidRPr="004D68C7">
          <w:rPr>
            <w:rStyle w:val="Hyperlink"/>
          </w:rPr>
          <w:t>Abstract</w:t>
        </w:r>
        <w:r w:rsidR="000C62BB" w:rsidRPr="004D68C7">
          <w:rPr>
            <w:webHidden/>
          </w:rPr>
          <w:tab/>
        </w:r>
        <w:r w:rsidR="000C62BB" w:rsidRPr="004D68C7">
          <w:rPr>
            <w:webHidden/>
          </w:rPr>
          <w:fldChar w:fldCharType="begin"/>
        </w:r>
        <w:r w:rsidR="000C62BB" w:rsidRPr="004D68C7">
          <w:rPr>
            <w:webHidden/>
          </w:rPr>
          <w:instrText xml:space="preserve"> PAGEREF _Toc101048114 \h </w:instrText>
        </w:r>
        <w:r w:rsidR="000C62BB" w:rsidRPr="004D68C7">
          <w:rPr>
            <w:webHidden/>
          </w:rPr>
        </w:r>
        <w:r w:rsidR="000C62BB" w:rsidRPr="004D68C7">
          <w:rPr>
            <w:webHidden/>
          </w:rPr>
          <w:fldChar w:fldCharType="separate"/>
        </w:r>
        <w:r w:rsidR="009C2EDC">
          <w:rPr>
            <w:webHidden/>
          </w:rPr>
          <w:t>38</w:t>
        </w:r>
        <w:r w:rsidR="000C62BB" w:rsidRPr="004D68C7">
          <w:rPr>
            <w:webHidden/>
          </w:rPr>
          <w:fldChar w:fldCharType="end"/>
        </w:r>
      </w:hyperlink>
    </w:p>
    <w:p w14:paraId="2B9AD62B" w14:textId="14FA1BF4" w:rsidR="000C62BB" w:rsidRPr="004D68C7" w:rsidRDefault="00035AE8">
      <w:pPr>
        <w:pStyle w:val="TOC1"/>
        <w:rPr>
          <w:rFonts w:asciiTheme="minorHAnsi" w:eastAsiaTheme="minorEastAsia" w:hAnsiTheme="minorHAnsi" w:cstheme="minorBidi"/>
          <w:sz w:val="22"/>
          <w:szCs w:val="22"/>
        </w:rPr>
      </w:pPr>
      <w:hyperlink w:anchor="_Toc101048115" w:history="1">
        <w:r w:rsidR="000C62BB" w:rsidRPr="004D68C7">
          <w:rPr>
            <w:rStyle w:val="Hyperlink"/>
          </w:rPr>
          <w:t>Introduction</w:t>
        </w:r>
        <w:r w:rsidR="000C62BB" w:rsidRPr="004D68C7">
          <w:rPr>
            <w:webHidden/>
          </w:rPr>
          <w:tab/>
        </w:r>
        <w:r w:rsidR="000C62BB" w:rsidRPr="004D68C7">
          <w:rPr>
            <w:webHidden/>
          </w:rPr>
          <w:fldChar w:fldCharType="begin"/>
        </w:r>
        <w:r w:rsidR="000C62BB" w:rsidRPr="004D68C7">
          <w:rPr>
            <w:webHidden/>
          </w:rPr>
          <w:instrText xml:space="preserve"> PAGEREF _Toc101048115 \h </w:instrText>
        </w:r>
        <w:r w:rsidR="000C62BB" w:rsidRPr="004D68C7">
          <w:rPr>
            <w:webHidden/>
          </w:rPr>
        </w:r>
        <w:r w:rsidR="000C62BB" w:rsidRPr="004D68C7">
          <w:rPr>
            <w:webHidden/>
          </w:rPr>
          <w:fldChar w:fldCharType="separate"/>
        </w:r>
        <w:r w:rsidR="009C2EDC">
          <w:rPr>
            <w:webHidden/>
          </w:rPr>
          <w:t>39</w:t>
        </w:r>
        <w:r w:rsidR="000C62BB" w:rsidRPr="004D68C7">
          <w:rPr>
            <w:webHidden/>
          </w:rPr>
          <w:fldChar w:fldCharType="end"/>
        </w:r>
      </w:hyperlink>
    </w:p>
    <w:p w14:paraId="6E16FCB8" w14:textId="11E11A9B" w:rsidR="000C62BB" w:rsidRPr="004D68C7" w:rsidRDefault="00035AE8">
      <w:pPr>
        <w:pStyle w:val="TOC1"/>
        <w:rPr>
          <w:rFonts w:asciiTheme="minorHAnsi" w:eastAsiaTheme="minorEastAsia" w:hAnsiTheme="minorHAnsi" w:cstheme="minorBidi"/>
          <w:sz w:val="22"/>
          <w:szCs w:val="22"/>
        </w:rPr>
      </w:pPr>
      <w:hyperlink w:anchor="_Toc101048116" w:history="1">
        <w:r w:rsidR="000C62BB" w:rsidRPr="004D68C7">
          <w:rPr>
            <w:rStyle w:val="Hyperlink"/>
          </w:rPr>
          <w:t>Materials and methods</w:t>
        </w:r>
        <w:r w:rsidR="000C62BB" w:rsidRPr="004D68C7">
          <w:rPr>
            <w:webHidden/>
          </w:rPr>
          <w:tab/>
        </w:r>
        <w:r w:rsidR="000C62BB" w:rsidRPr="004D68C7">
          <w:rPr>
            <w:webHidden/>
          </w:rPr>
          <w:fldChar w:fldCharType="begin"/>
        </w:r>
        <w:r w:rsidR="000C62BB" w:rsidRPr="004D68C7">
          <w:rPr>
            <w:webHidden/>
          </w:rPr>
          <w:instrText xml:space="preserve"> PAGEREF _Toc101048116 \h </w:instrText>
        </w:r>
        <w:r w:rsidR="000C62BB" w:rsidRPr="004D68C7">
          <w:rPr>
            <w:webHidden/>
          </w:rPr>
        </w:r>
        <w:r w:rsidR="000C62BB" w:rsidRPr="004D68C7">
          <w:rPr>
            <w:webHidden/>
          </w:rPr>
          <w:fldChar w:fldCharType="separate"/>
        </w:r>
        <w:r w:rsidR="009C2EDC">
          <w:rPr>
            <w:webHidden/>
          </w:rPr>
          <w:t>41</w:t>
        </w:r>
        <w:r w:rsidR="000C62BB" w:rsidRPr="004D68C7">
          <w:rPr>
            <w:webHidden/>
          </w:rPr>
          <w:fldChar w:fldCharType="end"/>
        </w:r>
      </w:hyperlink>
    </w:p>
    <w:p w14:paraId="02EA1B87" w14:textId="6BE8389A" w:rsidR="000C62BB" w:rsidRPr="004D68C7" w:rsidRDefault="00035AE8">
      <w:pPr>
        <w:pStyle w:val="TOC2"/>
        <w:rPr>
          <w:rFonts w:asciiTheme="minorHAnsi" w:eastAsiaTheme="minorEastAsia" w:hAnsiTheme="minorHAnsi" w:cstheme="minorBidi"/>
          <w:b w:val="0"/>
          <w:iCs w:val="0"/>
          <w:sz w:val="22"/>
          <w:szCs w:val="22"/>
        </w:rPr>
      </w:pPr>
      <w:hyperlink w:anchor="_Toc101048117" w:history="1">
        <w:r w:rsidR="000C62BB" w:rsidRPr="004D68C7">
          <w:rPr>
            <w:rStyle w:val="Hyperlink"/>
            <w:b w:val="0"/>
          </w:rPr>
          <w:t>Soil sample sources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_Toc101048117 \h </w:instrText>
        </w:r>
        <w:r w:rsidR="000C62BB" w:rsidRPr="004D68C7">
          <w:rPr>
            <w:b w:val="0"/>
            <w:webHidden/>
          </w:rPr>
        </w:r>
        <w:r w:rsidR="000C62BB" w:rsidRPr="004D68C7">
          <w:rPr>
            <w:b w:val="0"/>
            <w:webHidden/>
          </w:rPr>
          <w:fldChar w:fldCharType="separate"/>
        </w:r>
        <w:r w:rsidR="009C2EDC">
          <w:rPr>
            <w:b w:val="0"/>
            <w:webHidden/>
          </w:rPr>
          <w:t>41</w:t>
        </w:r>
        <w:r w:rsidR="000C62BB" w:rsidRPr="004D68C7">
          <w:rPr>
            <w:b w:val="0"/>
            <w:webHidden/>
          </w:rPr>
          <w:fldChar w:fldCharType="end"/>
        </w:r>
      </w:hyperlink>
    </w:p>
    <w:p w14:paraId="6A2EC71B" w14:textId="45393AE5" w:rsidR="000C62BB" w:rsidRPr="004D68C7" w:rsidRDefault="00035AE8">
      <w:pPr>
        <w:pStyle w:val="TOC2"/>
        <w:rPr>
          <w:rFonts w:asciiTheme="minorHAnsi" w:eastAsiaTheme="minorEastAsia" w:hAnsiTheme="minorHAnsi" w:cstheme="minorBidi"/>
          <w:b w:val="0"/>
          <w:iCs w:val="0"/>
          <w:sz w:val="22"/>
          <w:szCs w:val="22"/>
        </w:rPr>
      </w:pPr>
      <w:hyperlink w:anchor="_Toc101048118" w:history="1">
        <w:r w:rsidR="000C62BB" w:rsidRPr="004D68C7">
          <w:rPr>
            <w:rStyle w:val="Hyperlink"/>
            <w:b w:val="0"/>
          </w:rPr>
          <w:t>Determination of nematode density in samples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_Toc101048118 \h </w:instrText>
        </w:r>
        <w:r w:rsidR="000C62BB" w:rsidRPr="004D68C7">
          <w:rPr>
            <w:b w:val="0"/>
            <w:webHidden/>
          </w:rPr>
        </w:r>
        <w:r w:rsidR="000C62BB" w:rsidRPr="004D68C7">
          <w:rPr>
            <w:b w:val="0"/>
            <w:webHidden/>
          </w:rPr>
          <w:fldChar w:fldCharType="separate"/>
        </w:r>
        <w:r w:rsidR="009C2EDC">
          <w:rPr>
            <w:b w:val="0"/>
            <w:webHidden/>
          </w:rPr>
          <w:t>42</w:t>
        </w:r>
        <w:r w:rsidR="000C62BB" w:rsidRPr="004D68C7">
          <w:rPr>
            <w:b w:val="0"/>
            <w:webHidden/>
          </w:rPr>
          <w:fldChar w:fldCharType="end"/>
        </w:r>
      </w:hyperlink>
    </w:p>
    <w:p w14:paraId="1F995870" w14:textId="5D10B988" w:rsidR="000C62BB" w:rsidRPr="004D68C7" w:rsidRDefault="00035AE8">
      <w:pPr>
        <w:pStyle w:val="TOC2"/>
        <w:rPr>
          <w:rFonts w:asciiTheme="minorHAnsi" w:eastAsiaTheme="minorEastAsia" w:hAnsiTheme="minorHAnsi" w:cstheme="minorBidi"/>
          <w:b w:val="0"/>
          <w:iCs w:val="0"/>
          <w:sz w:val="22"/>
          <w:szCs w:val="22"/>
        </w:rPr>
      </w:pPr>
      <w:hyperlink w:anchor="_Toc101048119" w:history="1">
        <w:r w:rsidR="000C62BB" w:rsidRPr="004D68C7">
          <w:rPr>
            <w:rStyle w:val="Hyperlink"/>
            <w:b w:val="0"/>
          </w:rPr>
          <w:t>SCN HG types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_Toc101048119 \h </w:instrText>
        </w:r>
        <w:r w:rsidR="000C62BB" w:rsidRPr="004D68C7">
          <w:rPr>
            <w:b w:val="0"/>
            <w:webHidden/>
          </w:rPr>
        </w:r>
        <w:r w:rsidR="000C62BB" w:rsidRPr="004D68C7">
          <w:rPr>
            <w:b w:val="0"/>
            <w:webHidden/>
          </w:rPr>
          <w:fldChar w:fldCharType="separate"/>
        </w:r>
        <w:r w:rsidR="009C2EDC">
          <w:rPr>
            <w:b w:val="0"/>
            <w:webHidden/>
          </w:rPr>
          <w:t>42</w:t>
        </w:r>
        <w:r w:rsidR="000C62BB" w:rsidRPr="004D68C7">
          <w:rPr>
            <w:b w:val="0"/>
            <w:webHidden/>
          </w:rPr>
          <w:fldChar w:fldCharType="end"/>
        </w:r>
      </w:hyperlink>
    </w:p>
    <w:p w14:paraId="58E2944E" w14:textId="58923C2F" w:rsidR="000C62BB" w:rsidRPr="004D68C7" w:rsidRDefault="00035AE8">
      <w:pPr>
        <w:pStyle w:val="TOC2"/>
        <w:rPr>
          <w:rFonts w:asciiTheme="minorHAnsi" w:eastAsiaTheme="minorEastAsia" w:hAnsiTheme="minorHAnsi" w:cstheme="minorBidi"/>
          <w:b w:val="0"/>
          <w:iCs w:val="0"/>
          <w:sz w:val="22"/>
          <w:szCs w:val="22"/>
        </w:rPr>
      </w:pPr>
      <w:hyperlink w:anchor="_Toc101048120" w:history="1">
        <w:r w:rsidR="000C62BB" w:rsidRPr="004D68C7">
          <w:rPr>
            <w:rStyle w:val="Hyperlink"/>
            <w:b w:val="0"/>
          </w:rPr>
          <w:t>Data analysis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_Toc101048120 \h </w:instrText>
        </w:r>
        <w:r w:rsidR="000C62BB" w:rsidRPr="004D68C7">
          <w:rPr>
            <w:b w:val="0"/>
            <w:webHidden/>
          </w:rPr>
        </w:r>
        <w:r w:rsidR="000C62BB" w:rsidRPr="004D68C7">
          <w:rPr>
            <w:b w:val="0"/>
            <w:webHidden/>
          </w:rPr>
          <w:fldChar w:fldCharType="separate"/>
        </w:r>
        <w:r w:rsidR="009C2EDC">
          <w:rPr>
            <w:b w:val="0"/>
            <w:webHidden/>
          </w:rPr>
          <w:t>44</w:t>
        </w:r>
        <w:r w:rsidR="000C62BB" w:rsidRPr="004D68C7">
          <w:rPr>
            <w:b w:val="0"/>
            <w:webHidden/>
          </w:rPr>
          <w:fldChar w:fldCharType="end"/>
        </w:r>
      </w:hyperlink>
    </w:p>
    <w:p w14:paraId="07606974" w14:textId="2CB1D7E9" w:rsidR="000C62BB" w:rsidRPr="004D68C7" w:rsidRDefault="00035AE8">
      <w:pPr>
        <w:pStyle w:val="TOC1"/>
        <w:rPr>
          <w:rFonts w:asciiTheme="minorHAnsi" w:eastAsiaTheme="minorEastAsia" w:hAnsiTheme="minorHAnsi" w:cstheme="minorBidi"/>
          <w:sz w:val="22"/>
          <w:szCs w:val="22"/>
        </w:rPr>
      </w:pPr>
      <w:hyperlink w:anchor="_Toc101048121" w:history="1">
        <w:r w:rsidR="000C62BB" w:rsidRPr="004D68C7">
          <w:rPr>
            <w:rStyle w:val="Hyperlink"/>
          </w:rPr>
          <w:t>Results</w:t>
        </w:r>
        <w:r w:rsidR="000C62BB" w:rsidRPr="004D68C7">
          <w:rPr>
            <w:webHidden/>
          </w:rPr>
          <w:tab/>
        </w:r>
        <w:r w:rsidR="000C62BB" w:rsidRPr="004D68C7">
          <w:rPr>
            <w:webHidden/>
          </w:rPr>
          <w:fldChar w:fldCharType="begin"/>
        </w:r>
        <w:r w:rsidR="000C62BB" w:rsidRPr="004D68C7">
          <w:rPr>
            <w:webHidden/>
          </w:rPr>
          <w:instrText xml:space="preserve"> PAGEREF _Toc101048121 \h </w:instrText>
        </w:r>
        <w:r w:rsidR="000C62BB" w:rsidRPr="004D68C7">
          <w:rPr>
            <w:webHidden/>
          </w:rPr>
        </w:r>
        <w:r w:rsidR="000C62BB" w:rsidRPr="004D68C7">
          <w:rPr>
            <w:webHidden/>
          </w:rPr>
          <w:fldChar w:fldCharType="separate"/>
        </w:r>
        <w:r w:rsidR="009C2EDC">
          <w:rPr>
            <w:webHidden/>
          </w:rPr>
          <w:t>44</w:t>
        </w:r>
        <w:r w:rsidR="000C62BB" w:rsidRPr="004D68C7">
          <w:rPr>
            <w:webHidden/>
          </w:rPr>
          <w:fldChar w:fldCharType="end"/>
        </w:r>
      </w:hyperlink>
    </w:p>
    <w:p w14:paraId="18BA36F3" w14:textId="5D843A03" w:rsidR="000C62BB" w:rsidRPr="004D68C7" w:rsidRDefault="00035AE8">
      <w:pPr>
        <w:pStyle w:val="TOC2"/>
        <w:rPr>
          <w:rFonts w:asciiTheme="minorHAnsi" w:eastAsiaTheme="minorEastAsia" w:hAnsiTheme="minorHAnsi" w:cstheme="minorBidi"/>
          <w:b w:val="0"/>
          <w:iCs w:val="0"/>
          <w:sz w:val="22"/>
          <w:szCs w:val="22"/>
        </w:rPr>
      </w:pPr>
      <w:hyperlink w:anchor="_Toc101048122" w:history="1">
        <w:r w:rsidR="000C62BB" w:rsidRPr="004D68C7">
          <w:rPr>
            <w:rStyle w:val="Hyperlink"/>
            <w:b w:val="0"/>
          </w:rPr>
          <w:t>Sample sources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_Toc101048122 \h </w:instrText>
        </w:r>
        <w:r w:rsidR="000C62BB" w:rsidRPr="004D68C7">
          <w:rPr>
            <w:b w:val="0"/>
            <w:webHidden/>
          </w:rPr>
        </w:r>
        <w:r w:rsidR="000C62BB" w:rsidRPr="004D68C7">
          <w:rPr>
            <w:b w:val="0"/>
            <w:webHidden/>
          </w:rPr>
          <w:fldChar w:fldCharType="separate"/>
        </w:r>
        <w:r w:rsidR="009C2EDC">
          <w:rPr>
            <w:b w:val="0"/>
            <w:webHidden/>
          </w:rPr>
          <w:t>44</w:t>
        </w:r>
        <w:r w:rsidR="000C62BB" w:rsidRPr="004D68C7">
          <w:rPr>
            <w:b w:val="0"/>
            <w:webHidden/>
          </w:rPr>
          <w:fldChar w:fldCharType="end"/>
        </w:r>
      </w:hyperlink>
    </w:p>
    <w:p w14:paraId="3ADAB768" w14:textId="3CF2FF79" w:rsidR="000C62BB" w:rsidRPr="004D68C7" w:rsidRDefault="00035AE8">
      <w:pPr>
        <w:pStyle w:val="TOC2"/>
        <w:rPr>
          <w:rFonts w:asciiTheme="minorHAnsi" w:eastAsiaTheme="minorEastAsia" w:hAnsiTheme="minorHAnsi" w:cstheme="minorBidi"/>
          <w:b w:val="0"/>
          <w:iCs w:val="0"/>
          <w:sz w:val="22"/>
          <w:szCs w:val="22"/>
        </w:rPr>
      </w:pPr>
      <w:hyperlink w:anchor="_Toc101048123" w:history="1">
        <w:r w:rsidR="000C62BB" w:rsidRPr="004D68C7">
          <w:rPr>
            <w:rStyle w:val="Hyperlink"/>
            <w:b w:val="0"/>
          </w:rPr>
          <w:t>Nematode diversity and distribution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_Toc101048123 \h </w:instrText>
        </w:r>
        <w:r w:rsidR="000C62BB" w:rsidRPr="004D68C7">
          <w:rPr>
            <w:b w:val="0"/>
            <w:webHidden/>
          </w:rPr>
        </w:r>
        <w:r w:rsidR="000C62BB" w:rsidRPr="004D68C7">
          <w:rPr>
            <w:b w:val="0"/>
            <w:webHidden/>
          </w:rPr>
          <w:fldChar w:fldCharType="separate"/>
        </w:r>
        <w:r w:rsidR="009C2EDC">
          <w:rPr>
            <w:b w:val="0"/>
            <w:webHidden/>
          </w:rPr>
          <w:t>45</w:t>
        </w:r>
        <w:r w:rsidR="000C62BB" w:rsidRPr="004D68C7">
          <w:rPr>
            <w:b w:val="0"/>
            <w:webHidden/>
          </w:rPr>
          <w:fldChar w:fldCharType="end"/>
        </w:r>
      </w:hyperlink>
    </w:p>
    <w:p w14:paraId="73BAF448" w14:textId="11E0FC98" w:rsidR="000C62BB" w:rsidRPr="004D68C7" w:rsidRDefault="00035AE8">
      <w:pPr>
        <w:pStyle w:val="TOC2"/>
        <w:rPr>
          <w:rFonts w:asciiTheme="minorHAnsi" w:eastAsiaTheme="minorEastAsia" w:hAnsiTheme="minorHAnsi" w:cstheme="minorBidi"/>
          <w:b w:val="0"/>
          <w:iCs w:val="0"/>
          <w:sz w:val="22"/>
          <w:szCs w:val="22"/>
        </w:rPr>
      </w:pPr>
      <w:hyperlink w:anchor="_Toc101048124" w:history="1">
        <w:r w:rsidR="000C62BB" w:rsidRPr="004D68C7">
          <w:rPr>
            <w:rStyle w:val="Hyperlink"/>
            <w:b w:val="0"/>
          </w:rPr>
          <w:t>Nematode frequency and density</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_Toc101048124 \h </w:instrText>
        </w:r>
        <w:r w:rsidR="000C62BB" w:rsidRPr="004D68C7">
          <w:rPr>
            <w:b w:val="0"/>
            <w:webHidden/>
          </w:rPr>
        </w:r>
        <w:r w:rsidR="000C62BB" w:rsidRPr="004D68C7">
          <w:rPr>
            <w:b w:val="0"/>
            <w:webHidden/>
          </w:rPr>
          <w:fldChar w:fldCharType="separate"/>
        </w:r>
        <w:r w:rsidR="009C2EDC">
          <w:rPr>
            <w:b w:val="0"/>
            <w:webHidden/>
          </w:rPr>
          <w:t>45</w:t>
        </w:r>
        <w:r w:rsidR="000C62BB" w:rsidRPr="004D68C7">
          <w:rPr>
            <w:b w:val="0"/>
            <w:webHidden/>
          </w:rPr>
          <w:fldChar w:fldCharType="end"/>
        </w:r>
      </w:hyperlink>
    </w:p>
    <w:p w14:paraId="663A76C0" w14:textId="6306AA44" w:rsidR="000C62BB" w:rsidRPr="004D68C7" w:rsidRDefault="00035AE8">
      <w:pPr>
        <w:pStyle w:val="TOC2"/>
        <w:rPr>
          <w:rFonts w:asciiTheme="minorHAnsi" w:eastAsiaTheme="minorEastAsia" w:hAnsiTheme="minorHAnsi" w:cstheme="minorBidi"/>
          <w:b w:val="0"/>
          <w:iCs w:val="0"/>
          <w:sz w:val="22"/>
          <w:szCs w:val="22"/>
        </w:rPr>
      </w:pPr>
      <w:hyperlink w:anchor="_Toc101048125" w:history="1">
        <w:r w:rsidR="000C62BB" w:rsidRPr="004D68C7">
          <w:rPr>
            <w:rStyle w:val="Hyperlink"/>
            <w:b w:val="0"/>
          </w:rPr>
          <w:t>Population density across fields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_Toc101048125 \h </w:instrText>
        </w:r>
        <w:r w:rsidR="000C62BB" w:rsidRPr="004D68C7">
          <w:rPr>
            <w:b w:val="0"/>
            <w:webHidden/>
          </w:rPr>
        </w:r>
        <w:r w:rsidR="000C62BB" w:rsidRPr="004D68C7">
          <w:rPr>
            <w:b w:val="0"/>
            <w:webHidden/>
          </w:rPr>
          <w:fldChar w:fldCharType="separate"/>
        </w:r>
        <w:r w:rsidR="009C2EDC">
          <w:rPr>
            <w:b w:val="0"/>
            <w:webHidden/>
          </w:rPr>
          <w:t>46</w:t>
        </w:r>
        <w:r w:rsidR="000C62BB" w:rsidRPr="004D68C7">
          <w:rPr>
            <w:b w:val="0"/>
            <w:webHidden/>
          </w:rPr>
          <w:fldChar w:fldCharType="end"/>
        </w:r>
      </w:hyperlink>
    </w:p>
    <w:p w14:paraId="6BEA82AF" w14:textId="614C3010" w:rsidR="000C62BB" w:rsidRPr="004D68C7" w:rsidRDefault="00035AE8">
      <w:pPr>
        <w:pStyle w:val="TOC2"/>
        <w:rPr>
          <w:rFonts w:asciiTheme="minorHAnsi" w:eastAsiaTheme="minorEastAsia" w:hAnsiTheme="minorHAnsi" w:cstheme="minorBidi"/>
          <w:b w:val="0"/>
          <w:iCs w:val="0"/>
          <w:sz w:val="22"/>
          <w:szCs w:val="22"/>
        </w:rPr>
      </w:pPr>
      <w:hyperlink w:anchor="_Toc101048126" w:history="1">
        <w:r w:rsidR="000C62BB" w:rsidRPr="004D68C7">
          <w:rPr>
            <w:rStyle w:val="Hyperlink"/>
            <w:b w:val="0"/>
          </w:rPr>
          <w:t>SCN density across soybean fields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_Toc101048126 \h </w:instrText>
        </w:r>
        <w:r w:rsidR="000C62BB" w:rsidRPr="004D68C7">
          <w:rPr>
            <w:b w:val="0"/>
            <w:webHidden/>
          </w:rPr>
        </w:r>
        <w:r w:rsidR="000C62BB" w:rsidRPr="004D68C7">
          <w:rPr>
            <w:b w:val="0"/>
            <w:webHidden/>
          </w:rPr>
          <w:fldChar w:fldCharType="separate"/>
        </w:r>
        <w:r w:rsidR="009C2EDC">
          <w:rPr>
            <w:b w:val="0"/>
            <w:webHidden/>
          </w:rPr>
          <w:t>47</w:t>
        </w:r>
        <w:r w:rsidR="000C62BB" w:rsidRPr="004D68C7">
          <w:rPr>
            <w:b w:val="0"/>
            <w:webHidden/>
          </w:rPr>
          <w:fldChar w:fldCharType="end"/>
        </w:r>
      </w:hyperlink>
    </w:p>
    <w:p w14:paraId="1EA452BC" w14:textId="2700AEB4" w:rsidR="000C62BB" w:rsidRPr="004D68C7" w:rsidRDefault="00035AE8">
      <w:pPr>
        <w:pStyle w:val="TOC2"/>
        <w:rPr>
          <w:rFonts w:asciiTheme="minorHAnsi" w:eastAsiaTheme="minorEastAsia" w:hAnsiTheme="minorHAnsi" w:cstheme="minorBidi"/>
          <w:b w:val="0"/>
          <w:iCs w:val="0"/>
          <w:sz w:val="22"/>
          <w:szCs w:val="22"/>
        </w:rPr>
      </w:pPr>
      <w:hyperlink w:anchor="_Toc101048127" w:history="1">
        <w:r w:rsidR="000C62BB" w:rsidRPr="004D68C7">
          <w:rPr>
            <w:rStyle w:val="Hyperlink"/>
            <w:b w:val="0"/>
          </w:rPr>
          <w:t>SCN reproduction on soybean lines, female index, and HG types.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_Toc101048127 \h </w:instrText>
        </w:r>
        <w:r w:rsidR="000C62BB" w:rsidRPr="004D68C7">
          <w:rPr>
            <w:b w:val="0"/>
            <w:webHidden/>
          </w:rPr>
        </w:r>
        <w:r w:rsidR="000C62BB" w:rsidRPr="004D68C7">
          <w:rPr>
            <w:b w:val="0"/>
            <w:webHidden/>
          </w:rPr>
          <w:fldChar w:fldCharType="separate"/>
        </w:r>
        <w:r w:rsidR="009C2EDC">
          <w:rPr>
            <w:b w:val="0"/>
            <w:webHidden/>
          </w:rPr>
          <w:t>47</w:t>
        </w:r>
        <w:r w:rsidR="000C62BB" w:rsidRPr="004D68C7">
          <w:rPr>
            <w:b w:val="0"/>
            <w:webHidden/>
          </w:rPr>
          <w:fldChar w:fldCharType="end"/>
        </w:r>
      </w:hyperlink>
    </w:p>
    <w:p w14:paraId="2106C426" w14:textId="529BFC97" w:rsidR="000C62BB" w:rsidRPr="004D68C7" w:rsidRDefault="00035AE8">
      <w:pPr>
        <w:pStyle w:val="TOC1"/>
        <w:rPr>
          <w:rFonts w:asciiTheme="minorHAnsi" w:eastAsiaTheme="minorEastAsia" w:hAnsiTheme="minorHAnsi" w:cstheme="minorBidi"/>
          <w:sz w:val="22"/>
          <w:szCs w:val="22"/>
        </w:rPr>
      </w:pPr>
      <w:hyperlink w:anchor="_Toc101048128" w:history="1">
        <w:r w:rsidR="000C62BB" w:rsidRPr="004D68C7">
          <w:rPr>
            <w:rStyle w:val="Hyperlink"/>
          </w:rPr>
          <w:t>Discussion</w:t>
        </w:r>
        <w:r w:rsidR="000C62BB" w:rsidRPr="004D68C7">
          <w:rPr>
            <w:webHidden/>
          </w:rPr>
          <w:tab/>
        </w:r>
        <w:r w:rsidR="000C62BB" w:rsidRPr="004D68C7">
          <w:rPr>
            <w:webHidden/>
          </w:rPr>
          <w:fldChar w:fldCharType="begin"/>
        </w:r>
        <w:r w:rsidR="000C62BB" w:rsidRPr="004D68C7">
          <w:rPr>
            <w:webHidden/>
          </w:rPr>
          <w:instrText xml:space="preserve"> PAGEREF _Toc101048128 \h </w:instrText>
        </w:r>
        <w:r w:rsidR="000C62BB" w:rsidRPr="004D68C7">
          <w:rPr>
            <w:webHidden/>
          </w:rPr>
        </w:r>
        <w:r w:rsidR="000C62BB" w:rsidRPr="004D68C7">
          <w:rPr>
            <w:webHidden/>
          </w:rPr>
          <w:fldChar w:fldCharType="separate"/>
        </w:r>
        <w:r w:rsidR="009C2EDC">
          <w:rPr>
            <w:webHidden/>
          </w:rPr>
          <w:t>48</w:t>
        </w:r>
        <w:r w:rsidR="000C62BB" w:rsidRPr="004D68C7">
          <w:rPr>
            <w:webHidden/>
          </w:rPr>
          <w:fldChar w:fldCharType="end"/>
        </w:r>
      </w:hyperlink>
    </w:p>
    <w:p w14:paraId="1B9FB515" w14:textId="44C86B0B" w:rsidR="000C62BB" w:rsidRPr="004D68C7" w:rsidRDefault="00035AE8">
      <w:pPr>
        <w:pStyle w:val="TOC1"/>
        <w:rPr>
          <w:rFonts w:asciiTheme="minorHAnsi" w:eastAsiaTheme="minorEastAsia" w:hAnsiTheme="minorHAnsi" w:cstheme="minorBidi"/>
          <w:sz w:val="22"/>
          <w:szCs w:val="22"/>
        </w:rPr>
      </w:pPr>
      <w:hyperlink w:anchor="_Toc101048129" w:history="1">
        <w:r w:rsidR="000C62BB" w:rsidRPr="004D68C7">
          <w:rPr>
            <w:rStyle w:val="Hyperlink"/>
          </w:rPr>
          <w:t>References</w:t>
        </w:r>
        <w:r w:rsidR="000C62BB" w:rsidRPr="004D68C7">
          <w:rPr>
            <w:webHidden/>
          </w:rPr>
          <w:tab/>
        </w:r>
        <w:r w:rsidR="000C62BB" w:rsidRPr="004D68C7">
          <w:rPr>
            <w:webHidden/>
          </w:rPr>
          <w:fldChar w:fldCharType="begin"/>
        </w:r>
        <w:r w:rsidR="000C62BB" w:rsidRPr="004D68C7">
          <w:rPr>
            <w:webHidden/>
          </w:rPr>
          <w:instrText xml:space="preserve"> PAGEREF _Toc101048129 \h </w:instrText>
        </w:r>
        <w:r w:rsidR="000C62BB" w:rsidRPr="004D68C7">
          <w:rPr>
            <w:webHidden/>
          </w:rPr>
        </w:r>
        <w:r w:rsidR="000C62BB" w:rsidRPr="004D68C7">
          <w:rPr>
            <w:webHidden/>
          </w:rPr>
          <w:fldChar w:fldCharType="separate"/>
        </w:r>
        <w:r w:rsidR="009C2EDC">
          <w:rPr>
            <w:webHidden/>
          </w:rPr>
          <w:t>59</w:t>
        </w:r>
        <w:r w:rsidR="000C62BB" w:rsidRPr="004D68C7">
          <w:rPr>
            <w:webHidden/>
          </w:rPr>
          <w:fldChar w:fldCharType="end"/>
        </w:r>
      </w:hyperlink>
    </w:p>
    <w:p w14:paraId="58F2A0D9" w14:textId="63278F1A" w:rsidR="000C62BB" w:rsidRPr="004D68C7" w:rsidRDefault="00035AE8">
      <w:pPr>
        <w:pStyle w:val="TOC1"/>
        <w:rPr>
          <w:rFonts w:asciiTheme="minorHAnsi" w:eastAsiaTheme="minorEastAsia" w:hAnsiTheme="minorHAnsi" w:cstheme="minorBidi"/>
          <w:sz w:val="22"/>
          <w:szCs w:val="22"/>
        </w:rPr>
      </w:pPr>
      <w:hyperlink w:anchor="_Toc101048130" w:history="1">
        <w:r w:rsidR="000C62BB" w:rsidRPr="004D68C7">
          <w:rPr>
            <w:rStyle w:val="Hyperlink"/>
          </w:rPr>
          <w:t>Appendix</w:t>
        </w:r>
        <w:r w:rsidR="000C62BB" w:rsidRPr="004D68C7">
          <w:rPr>
            <w:webHidden/>
          </w:rPr>
          <w:tab/>
        </w:r>
        <w:r w:rsidR="000C62BB" w:rsidRPr="004D68C7">
          <w:rPr>
            <w:webHidden/>
          </w:rPr>
          <w:fldChar w:fldCharType="begin"/>
        </w:r>
        <w:r w:rsidR="000C62BB" w:rsidRPr="004D68C7">
          <w:rPr>
            <w:webHidden/>
          </w:rPr>
          <w:instrText xml:space="preserve"> PAGEREF _Toc101048130 \h </w:instrText>
        </w:r>
        <w:r w:rsidR="000C62BB" w:rsidRPr="004D68C7">
          <w:rPr>
            <w:webHidden/>
          </w:rPr>
        </w:r>
        <w:r w:rsidR="000C62BB" w:rsidRPr="004D68C7">
          <w:rPr>
            <w:webHidden/>
          </w:rPr>
          <w:fldChar w:fldCharType="separate"/>
        </w:r>
        <w:r w:rsidR="009C2EDC">
          <w:rPr>
            <w:webHidden/>
          </w:rPr>
          <w:t>65</w:t>
        </w:r>
        <w:r w:rsidR="000C62BB" w:rsidRPr="004D68C7">
          <w:rPr>
            <w:webHidden/>
          </w:rPr>
          <w:fldChar w:fldCharType="end"/>
        </w:r>
      </w:hyperlink>
    </w:p>
    <w:p w14:paraId="6F1183D7" w14:textId="30457CDC" w:rsidR="000C62BB" w:rsidRPr="004D68C7" w:rsidRDefault="00035AE8">
      <w:pPr>
        <w:pStyle w:val="TOC1"/>
        <w:rPr>
          <w:rFonts w:asciiTheme="minorHAnsi" w:eastAsiaTheme="minorEastAsia" w:hAnsiTheme="minorHAnsi" w:cstheme="minorBidi"/>
          <w:sz w:val="22"/>
          <w:szCs w:val="22"/>
        </w:rPr>
      </w:pPr>
      <w:hyperlink w:anchor="_Toc101048131" w:history="1">
        <w:r w:rsidR="000C62BB" w:rsidRPr="004D68C7">
          <w:rPr>
            <w:rStyle w:val="Hyperlink"/>
          </w:rPr>
          <w:t xml:space="preserve">CHAPTER III. IMPACT OF </w:t>
        </w:r>
        <w:r w:rsidR="000C62BB" w:rsidRPr="004D68C7">
          <w:rPr>
            <w:rStyle w:val="Hyperlink"/>
            <w:i/>
          </w:rPr>
          <w:t>HETERODERA GLYCINES</w:t>
        </w:r>
        <w:r w:rsidR="000C62BB" w:rsidRPr="004D68C7">
          <w:rPr>
            <w:rStyle w:val="Hyperlink"/>
          </w:rPr>
          <w:t xml:space="preserve"> HG TYPE 1.2.5.7 ON SOYBEAN NITROGEN FIXATION AND GROWTH PARAMETERS</w:t>
        </w:r>
        <w:r w:rsidR="000C62BB" w:rsidRPr="004D68C7">
          <w:rPr>
            <w:webHidden/>
          </w:rPr>
          <w:tab/>
        </w:r>
        <w:r w:rsidR="000C62BB" w:rsidRPr="004D68C7">
          <w:rPr>
            <w:webHidden/>
          </w:rPr>
          <w:fldChar w:fldCharType="begin"/>
        </w:r>
        <w:r w:rsidR="000C62BB" w:rsidRPr="004D68C7">
          <w:rPr>
            <w:webHidden/>
          </w:rPr>
          <w:instrText xml:space="preserve"> PAGEREF _Toc101048131 \h </w:instrText>
        </w:r>
        <w:r w:rsidR="000C62BB" w:rsidRPr="004D68C7">
          <w:rPr>
            <w:webHidden/>
          </w:rPr>
        </w:r>
        <w:r w:rsidR="000C62BB" w:rsidRPr="004D68C7">
          <w:rPr>
            <w:webHidden/>
          </w:rPr>
          <w:fldChar w:fldCharType="separate"/>
        </w:r>
        <w:r w:rsidR="009C2EDC">
          <w:rPr>
            <w:webHidden/>
          </w:rPr>
          <w:t>73</w:t>
        </w:r>
        <w:r w:rsidR="000C62BB" w:rsidRPr="004D68C7">
          <w:rPr>
            <w:webHidden/>
          </w:rPr>
          <w:fldChar w:fldCharType="end"/>
        </w:r>
      </w:hyperlink>
    </w:p>
    <w:p w14:paraId="0DFBB53C" w14:textId="7D0C693C" w:rsidR="000C62BB" w:rsidRPr="004D68C7" w:rsidRDefault="00035AE8">
      <w:pPr>
        <w:pStyle w:val="TOC1"/>
        <w:rPr>
          <w:rFonts w:asciiTheme="minorHAnsi" w:eastAsiaTheme="minorEastAsia" w:hAnsiTheme="minorHAnsi" w:cstheme="minorBidi"/>
          <w:sz w:val="22"/>
          <w:szCs w:val="22"/>
        </w:rPr>
      </w:pPr>
      <w:hyperlink w:anchor="_Toc101048132" w:history="1">
        <w:r w:rsidR="000C62BB" w:rsidRPr="004D68C7">
          <w:rPr>
            <w:rStyle w:val="Hyperlink"/>
          </w:rPr>
          <w:t>Abstract</w:t>
        </w:r>
        <w:r w:rsidR="000C62BB" w:rsidRPr="004D68C7">
          <w:rPr>
            <w:webHidden/>
          </w:rPr>
          <w:tab/>
        </w:r>
        <w:r w:rsidR="000C62BB" w:rsidRPr="004D68C7">
          <w:rPr>
            <w:webHidden/>
          </w:rPr>
          <w:fldChar w:fldCharType="begin"/>
        </w:r>
        <w:r w:rsidR="000C62BB" w:rsidRPr="004D68C7">
          <w:rPr>
            <w:webHidden/>
          </w:rPr>
          <w:instrText xml:space="preserve"> PAGEREF _Toc101048132 \h </w:instrText>
        </w:r>
        <w:r w:rsidR="000C62BB" w:rsidRPr="004D68C7">
          <w:rPr>
            <w:webHidden/>
          </w:rPr>
        </w:r>
        <w:r w:rsidR="000C62BB" w:rsidRPr="004D68C7">
          <w:rPr>
            <w:webHidden/>
          </w:rPr>
          <w:fldChar w:fldCharType="separate"/>
        </w:r>
        <w:r w:rsidR="009C2EDC">
          <w:rPr>
            <w:webHidden/>
          </w:rPr>
          <w:t>74</w:t>
        </w:r>
        <w:r w:rsidR="000C62BB" w:rsidRPr="004D68C7">
          <w:rPr>
            <w:webHidden/>
          </w:rPr>
          <w:fldChar w:fldCharType="end"/>
        </w:r>
      </w:hyperlink>
    </w:p>
    <w:p w14:paraId="0C648874" w14:textId="653B0629" w:rsidR="000C62BB" w:rsidRPr="004D68C7" w:rsidRDefault="00035AE8">
      <w:pPr>
        <w:pStyle w:val="TOC1"/>
        <w:rPr>
          <w:rFonts w:asciiTheme="minorHAnsi" w:eastAsiaTheme="minorEastAsia" w:hAnsiTheme="minorHAnsi" w:cstheme="minorBidi"/>
          <w:sz w:val="22"/>
          <w:szCs w:val="22"/>
        </w:rPr>
      </w:pPr>
      <w:hyperlink w:anchor="_Toc101048133" w:history="1">
        <w:r w:rsidR="000C62BB" w:rsidRPr="004D68C7">
          <w:rPr>
            <w:rStyle w:val="Hyperlink"/>
          </w:rPr>
          <w:t>Introduction</w:t>
        </w:r>
        <w:r w:rsidR="000C62BB" w:rsidRPr="004D68C7">
          <w:rPr>
            <w:webHidden/>
          </w:rPr>
          <w:tab/>
        </w:r>
        <w:r w:rsidR="000C62BB" w:rsidRPr="004D68C7">
          <w:rPr>
            <w:webHidden/>
          </w:rPr>
          <w:fldChar w:fldCharType="begin"/>
        </w:r>
        <w:r w:rsidR="000C62BB" w:rsidRPr="004D68C7">
          <w:rPr>
            <w:webHidden/>
          </w:rPr>
          <w:instrText xml:space="preserve"> PAGEREF _Toc101048133 \h </w:instrText>
        </w:r>
        <w:r w:rsidR="000C62BB" w:rsidRPr="004D68C7">
          <w:rPr>
            <w:webHidden/>
          </w:rPr>
        </w:r>
        <w:r w:rsidR="000C62BB" w:rsidRPr="004D68C7">
          <w:rPr>
            <w:webHidden/>
          </w:rPr>
          <w:fldChar w:fldCharType="separate"/>
        </w:r>
        <w:r w:rsidR="009C2EDC">
          <w:rPr>
            <w:webHidden/>
          </w:rPr>
          <w:t>75</w:t>
        </w:r>
        <w:r w:rsidR="000C62BB" w:rsidRPr="004D68C7">
          <w:rPr>
            <w:webHidden/>
          </w:rPr>
          <w:fldChar w:fldCharType="end"/>
        </w:r>
      </w:hyperlink>
    </w:p>
    <w:p w14:paraId="07D392D3" w14:textId="4BA8988C" w:rsidR="000C62BB" w:rsidRPr="004D68C7" w:rsidRDefault="00035AE8">
      <w:pPr>
        <w:pStyle w:val="TOC1"/>
        <w:rPr>
          <w:rFonts w:asciiTheme="minorHAnsi" w:eastAsiaTheme="minorEastAsia" w:hAnsiTheme="minorHAnsi" w:cstheme="minorBidi"/>
          <w:sz w:val="22"/>
          <w:szCs w:val="22"/>
        </w:rPr>
      </w:pPr>
      <w:hyperlink w:anchor="_Toc101048134" w:history="1">
        <w:r w:rsidR="000C62BB" w:rsidRPr="004D68C7">
          <w:rPr>
            <w:rStyle w:val="Hyperlink"/>
          </w:rPr>
          <w:t>Materials</w:t>
        </w:r>
        <w:r w:rsidR="000C62BB" w:rsidRPr="004D68C7">
          <w:rPr>
            <w:rStyle w:val="Hyperlink"/>
            <w:spacing w:val="-4"/>
          </w:rPr>
          <w:t xml:space="preserve"> </w:t>
        </w:r>
        <w:r w:rsidR="000C62BB" w:rsidRPr="004D68C7">
          <w:rPr>
            <w:rStyle w:val="Hyperlink"/>
          </w:rPr>
          <w:t>and</w:t>
        </w:r>
        <w:r w:rsidR="000C62BB" w:rsidRPr="004D68C7">
          <w:rPr>
            <w:rStyle w:val="Hyperlink"/>
            <w:spacing w:val="-4"/>
          </w:rPr>
          <w:t xml:space="preserve"> </w:t>
        </w:r>
        <w:r w:rsidR="000C62BB" w:rsidRPr="004D68C7">
          <w:rPr>
            <w:rStyle w:val="Hyperlink"/>
          </w:rPr>
          <w:t>Methods</w:t>
        </w:r>
        <w:r w:rsidR="000C62BB" w:rsidRPr="004D68C7">
          <w:rPr>
            <w:webHidden/>
          </w:rPr>
          <w:tab/>
        </w:r>
        <w:r w:rsidR="000C62BB" w:rsidRPr="004D68C7">
          <w:rPr>
            <w:webHidden/>
          </w:rPr>
          <w:fldChar w:fldCharType="begin"/>
        </w:r>
        <w:r w:rsidR="000C62BB" w:rsidRPr="004D68C7">
          <w:rPr>
            <w:webHidden/>
          </w:rPr>
          <w:instrText xml:space="preserve"> PAGEREF _Toc101048134 \h </w:instrText>
        </w:r>
        <w:r w:rsidR="000C62BB" w:rsidRPr="004D68C7">
          <w:rPr>
            <w:webHidden/>
          </w:rPr>
        </w:r>
        <w:r w:rsidR="000C62BB" w:rsidRPr="004D68C7">
          <w:rPr>
            <w:webHidden/>
          </w:rPr>
          <w:fldChar w:fldCharType="separate"/>
        </w:r>
        <w:r w:rsidR="009C2EDC">
          <w:rPr>
            <w:webHidden/>
          </w:rPr>
          <w:t>76</w:t>
        </w:r>
        <w:r w:rsidR="000C62BB" w:rsidRPr="004D68C7">
          <w:rPr>
            <w:webHidden/>
          </w:rPr>
          <w:fldChar w:fldCharType="end"/>
        </w:r>
      </w:hyperlink>
    </w:p>
    <w:p w14:paraId="5AB46378" w14:textId="42646D81" w:rsidR="000C62BB" w:rsidRPr="004D68C7" w:rsidRDefault="00035AE8">
      <w:pPr>
        <w:pStyle w:val="TOC2"/>
        <w:rPr>
          <w:rFonts w:asciiTheme="minorHAnsi" w:eastAsiaTheme="minorEastAsia" w:hAnsiTheme="minorHAnsi" w:cstheme="minorBidi"/>
          <w:b w:val="0"/>
          <w:iCs w:val="0"/>
          <w:sz w:val="22"/>
          <w:szCs w:val="22"/>
        </w:rPr>
      </w:pPr>
      <w:hyperlink w:anchor="_Toc101048135" w:history="1">
        <w:r w:rsidR="000C62BB" w:rsidRPr="004D68C7">
          <w:rPr>
            <w:rStyle w:val="Hyperlink"/>
            <w:b w:val="0"/>
          </w:rPr>
          <w:t>Test SCN population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_Toc101048135 \h </w:instrText>
        </w:r>
        <w:r w:rsidR="000C62BB" w:rsidRPr="004D68C7">
          <w:rPr>
            <w:b w:val="0"/>
            <w:webHidden/>
          </w:rPr>
        </w:r>
        <w:r w:rsidR="000C62BB" w:rsidRPr="004D68C7">
          <w:rPr>
            <w:b w:val="0"/>
            <w:webHidden/>
          </w:rPr>
          <w:fldChar w:fldCharType="separate"/>
        </w:r>
        <w:r w:rsidR="009C2EDC">
          <w:rPr>
            <w:b w:val="0"/>
            <w:webHidden/>
          </w:rPr>
          <w:t>76</w:t>
        </w:r>
        <w:r w:rsidR="000C62BB" w:rsidRPr="004D68C7">
          <w:rPr>
            <w:b w:val="0"/>
            <w:webHidden/>
          </w:rPr>
          <w:fldChar w:fldCharType="end"/>
        </w:r>
      </w:hyperlink>
    </w:p>
    <w:p w14:paraId="5558E2FC" w14:textId="52D44F06" w:rsidR="000C62BB" w:rsidRPr="004D68C7" w:rsidRDefault="00035AE8">
      <w:pPr>
        <w:pStyle w:val="TOC2"/>
        <w:rPr>
          <w:rFonts w:asciiTheme="minorHAnsi" w:eastAsiaTheme="minorEastAsia" w:hAnsiTheme="minorHAnsi" w:cstheme="minorBidi"/>
          <w:b w:val="0"/>
          <w:iCs w:val="0"/>
          <w:sz w:val="22"/>
          <w:szCs w:val="22"/>
        </w:rPr>
      </w:pPr>
      <w:hyperlink w:anchor="_Toc101048136" w:history="1">
        <w:r w:rsidR="000C62BB" w:rsidRPr="004D68C7">
          <w:rPr>
            <w:rStyle w:val="Hyperlink"/>
            <w:b w:val="0"/>
          </w:rPr>
          <w:t>Soybean genotypes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_Toc101048136 \h </w:instrText>
        </w:r>
        <w:r w:rsidR="000C62BB" w:rsidRPr="004D68C7">
          <w:rPr>
            <w:b w:val="0"/>
            <w:webHidden/>
          </w:rPr>
        </w:r>
        <w:r w:rsidR="000C62BB" w:rsidRPr="004D68C7">
          <w:rPr>
            <w:b w:val="0"/>
            <w:webHidden/>
          </w:rPr>
          <w:fldChar w:fldCharType="separate"/>
        </w:r>
        <w:r w:rsidR="009C2EDC">
          <w:rPr>
            <w:b w:val="0"/>
            <w:webHidden/>
          </w:rPr>
          <w:t>77</w:t>
        </w:r>
        <w:r w:rsidR="000C62BB" w:rsidRPr="004D68C7">
          <w:rPr>
            <w:b w:val="0"/>
            <w:webHidden/>
          </w:rPr>
          <w:fldChar w:fldCharType="end"/>
        </w:r>
      </w:hyperlink>
    </w:p>
    <w:p w14:paraId="4E08C912" w14:textId="2FF64AFC" w:rsidR="000C62BB" w:rsidRPr="004D68C7" w:rsidRDefault="00035AE8">
      <w:pPr>
        <w:pStyle w:val="TOC2"/>
        <w:rPr>
          <w:rFonts w:asciiTheme="minorHAnsi" w:eastAsiaTheme="minorEastAsia" w:hAnsiTheme="minorHAnsi" w:cstheme="minorBidi"/>
          <w:b w:val="0"/>
          <w:iCs w:val="0"/>
          <w:sz w:val="22"/>
          <w:szCs w:val="22"/>
        </w:rPr>
      </w:pPr>
      <w:hyperlink w:anchor="_Toc101048137" w:history="1">
        <w:r w:rsidR="000C62BB" w:rsidRPr="004D68C7">
          <w:rPr>
            <w:rStyle w:val="Hyperlink"/>
            <w:b w:val="0"/>
          </w:rPr>
          <w:t>Infestation of soybean seedlings with SCN eggs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_Toc101048137 \h </w:instrText>
        </w:r>
        <w:r w:rsidR="000C62BB" w:rsidRPr="004D68C7">
          <w:rPr>
            <w:b w:val="0"/>
            <w:webHidden/>
          </w:rPr>
        </w:r>
        <w:r w:rsidR="000C62BB" w:rsidRPr="004D68C7">
          <w:rPr>
            <w:b w:val="0"/>
            <w:webHidden/>
          </w:rPr>
          <w:fldChar w:fldCharType="separate"/>
        </w:r>
        <w:r w:rsidR="009C2EDC">
          <w:rPr>
            <w:b w:val="0"/>
            <w:webHidden/>
          </w:rPr>
          <w:t>77</w:t>
        </w:r>
        <w:r w:rsidR="000C62BB" w:rsidRPr="004D68C7">
          <w:rPr>
            <w:b w:val="0"/>
            <w:webHidden/>
          </w:rPr>
          <w:fldChar w:fldCharType="end"/>
        </w:r>
      </w:hyperlink>
    </w:p>
    <w:p w14:paraId="4216841E" w14:textId="2F1195B4" w:rsidR="000C62BB" w:rsidRPr="004D68C7" w:rsidRDefault="00035AE8">
      <w:pPr>
        <w:pStyle w:val="TOC2"/>
        <w:rPr>
          <w:rFonts w:asciiTheme="minorHAnsi" w:eastAsiaTheme="minorEastAsia" w:hAnsiTheme="minorHAnsi" w:cstheme="minorBidi"/>
          <w:b w:val="0"/>
          <w:iCs w:val="0"/>
          <w:sz w:val="22"/>
          <w:szCs w:val="22"/>
        </w:rPr>
      </w:pPr>
      <w:hyperlink w:anchor="_Toc101048138" w:history="1">
        <w:r w:rsidR="000C62BB" w:rsidRPr="004D68C7">
          <w:rPr>
            <w:rStyle w:val="Hyperlink"/>
            <w:b w:val="0"/>
          </w:rPr>
          <w:t>Measurement of NF activity via in-situ flow-through acetylene reduction assay</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_Toc101048138 \h </w:instrText>
        </w:r>
        <w:r w:rsidR="000C62BB" w:rsidRPr="004D68C7">
          <w:rPr>
            <w:b w:val="0"/>
            <w:webHidden/>
          </w:rPr>
        </w:r>
        <w:r w:rsidR="000C62BB" w:rsidRPr="004D68C7">
          <w:rPr>
            <w:b w:val="0"/>
            <w:webHidden/>
          </w:rPr>
          <w:fldChar w:fldCharType="separate"/>
        </w:r>
        <w:r w:rsidR="009C2EDC">
          <w:rPr>
            <w:b w:val="0"/>
            <w:webHidden/>
          </w:rPr>
          <w:t>78</w:t>
        </w:r>
        <w:r w:rsidR="000C62BB" w:rsidRPr="004D68C7">
          <w:rPr>
            <w:b w:val="0"/>
            <w:webHidden/>
          </w:rPr>
          <w:fldChar w:fldCharType="end"/>
        </w:r>
      </w:hyperlink>
    </w:p>
    <w:p w14:paraId="74D73ECC" w14:textId="7B4CBD02" w:rsidR="000C62BB" w:rsidRPr="004D68C7" w:rsidRDefault="00035AE8">
      <w:pPr>
        <w:pStyle w:val="TOC2"/>
        <w:rPr>
          <w:rFonts w:asciiTheme="minorHAnsi" w:eastAsiaTheme="minorEastAsia" w:hAnsiTheme="minorHAnsi" w:cstheme="minorBidi"/>
          <w:b w:val="0"/>
          <w:iCs w:val="0"/>
          <w:sz w:val="22"/>
          <w:szCs w:val="22"/>
        </w:rPr>
      </w:pPr>
      <w:hyperlink w:anchor="_Toc101048139" w:history="1">
        <w:r w:rsidR="000C62BB" w:rsidRPr="004D68C7">
          <w:rPr>
            <w:rStyle w:val="Hyperlink"/>
            <w:b w:val="0"/>
          </w:rPr>
          <w:t>Measurement of leaf growth parameters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_Toc101048139 \h </w:instrText>
        </w:r>
        <w:r w:rsidR="000C62BB" w:rsidRPr="004D68C7">
          <w:rPr>
            <w:b w:val="0"/>
            <w:webHidden/>
          </w:rPr>
        </w:r>
        <w:r w:rsidR="000C62BB" w:rsidRPr="004D68C7">
          <w:rPr>
            <w:b w:val="0"/>
            <w:webHidden/>
          </w:rPr>
          <w:fldChar w:fldCharType="separate"/>
        </w:r>
        <w:r w:rsidR="009C2EDC">
          <w:rPr>
            <w:b w:val="0"/>
            <w:webHidden/>
          </w:rPr>
          <w:t>79</w:t>
        </w:r>
        <w:r w:rsidR="000C62BB" w:rsidRPr="004D68C7">
          <w:rPr>
            <w:b w:val="0"/>
            <w:webHidden/>
          </w:rPr>
          <w:fldChar w:fldCharType="end"/>
        </w:r>
      </w:hyperlink>
    </w:p>
    <w:p w14:paraId="00911864" w14:textId="633E8FF6" w:rsidR="000C62BB" w:rsidRPr="004D68C7" w:rsidRDefault="00035AE8">
      <w:pPr>
        <w:pStyle w:val="TOC2"/>
        <w:rPr>
          <w:rFonts w:asciiTheme="minorHAnsi" w:eastAsiaTheme="minorEastAsia" w:hAnsiTheme="minorHAnsi" w:cstheme="minorBidi"/>
          <w:b w:val="0"/>
          <w:iCs w:val="0"/>
          <w:sz w:val="22"/>
          <w:szCs w:val="22"/>
        </w:rPr>
      </w:pPr>
      <w:hyperlink w:anchor="_Toc101048140" w:history="1">
        <w:r w:rsidR="000C62BB" w:rsidRPr="004D68C7">
          <w:rPr>
            <w:rStyle w:val="Hyperlink"/>
            <w:b w:val="0"/>
          </w:rPr>
          <w:t>Measurement of leaf N content</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_Toc101048140 \h </w:instrText>
        </w:r>
        <w:r w:rsidR="000C62BB" w:rsidRPr="004D68C7">
          <w:rPr>
            <w:b w:val="0"/>
            <w:webHidden/>
          </w:rPr>
        </w:r>
        <w:r w:rsidR="000C62BB" w:rsidRPr="004D68C7">
          <w:rPr>
            <w:b w:val="0"/>
            <w:webHidden/>
          </w:rPr>
          <w:fldChar w:fldCharType="separate"/>
        </w:r>
        <w:r w:rsidR="009C2EDC">
          <w:rPr>
            <w:b w:val="0"/>
            <w:webHidden/>
          </w:rPr>
          <w:t>79</w:t>
        </w:r>
        <w:r w:rsidR="000C62BB" w:rsidRPr="004D68C7">
          <w:rPr>
            <w:b w:val="0"/>
            <w:webHidden/>
          </w:rPr>
          <w:fldChar w:fldCharType="end"/>
        </w:r>
      </w:hyperlink>
    </w:p>
    <w:p w14:paraId="5961669B" w14:textId="2BA611EB" w:rsidR="000C62BB" w:rsidRPr="004D68C7" w:rsidRDefault="00035AE8">
      <w:pPr>
        <w:pStyle w:val="TOC2"/>
        <w:rPr>
          <w:rFonts w:asciiTheme="minorHAnsi" w:eastAsiaTheme="minorEastAsia" w:hAnsiTheme="minorHAnsi" w:cstheme="minorBidi"/>
          <w:b w:val="0"/>
          <w:iCs w:val="0"/>
          <w:sz w:val="22"/>
          <w:szCs w:val="22"/>
        </w:rPr>
      </w:pPr>
      <w:hyperlink w:anchor="_Toc101048141" w:history="1">
        <w:r w:rsidR="000C62BB" w:rsidRPr="004D68C7">
          <w:rPr>
            <w:rStyle w:val="Hyperlink"/>
            <w:b w:val="0"/>
          </w:rPr>
          <w:t>Measurement of root growth parameters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_Toc101048141 \h </w:instrText>
        </w:r>
        <w:r w:rsidR="000C62BB" w:rsidRPr="004D68C7">
          <w:rPr>
            <w:b w:val="0"/>
            <w:webHidden/>
          </w:rPr>
        </w:r>
        <w:r w:rsidR="000C62BB" w:rsidRPr="004D68C7">
          <w:rPr>
            <w:b w:val="0"/>
            <w:webHidden/>
          </w:rPr>
          <w:fldChar w:fldCharType="separate"/>
        </w:r>
        <w:r w:rsidR="009C2EDC">
          <w:rPr>
            <w:b w:val="0"/>
            <w:webHidden/>
          </w:rPr>
          <w:t>80</w:t>
        </w:r>
        <w:r w:rsidR="000C62BB" w:rsidRPr="004D68C7">
          <w:rPr>
            <w:b w:val="0"/>
            <w:webHidden/>
          </w:rPr>
          <w:fldChar w:fldCharType="end"/>
        </w:r>
      </w:hyperlink>
    </w:p>
    <w:p w14:paraId="08AA1D95" w14:textId="2866E450" w:rsidR="000C62BB" w:rsidRPr="004D68C7" w:rsidRDefault="00035AE8">
      <w:pPr>
        <w:pStyle w:val="TOC2"/>
        <w:rPr>
          <w:rFonts w:asciiTheme="minorHAnsi" w:eastAsiaTheme="minorEastAsia" w:hAnsiTheme="minorHAnsi" w:cstheme="minorBidi"/>
          <w:b w:val="0"/>
          <w:iCs w:val="0"/>
          <w:sz w:val="22"/>
          <w:szCs w:val="22"/>
        </w:rPr>
      </w:pPr>
      <w:hyperlink w:anchor="_Toc101048142" w:history="1">
        <w:r w:rsidR="000C62BB" w:rsidRPr="004D68C7">
          <w:rPr>
            <w:rStyle w:val="Hyperlink"/>
            <w:b w:val="0"/>
          </w:rPr>
          <w:t>Final densities of SCN on soybean roots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_Toc101048142 \h </w:instrText>
        </w:r>
        <w:r w:rsidR="000C62BB" w:rsidRPr="004D68C7">
          <w:rPr>
            <w:b w:val="0"/>
            <w:webHidden/>
          </w:rPr>
        </w:r>
        <w:r w:rsidR="000C62BB" w:rsidRPr="004D68C7">
          <w:rPr>
            <w:b w:val="0"/>
            <w:webHidden/>
          </w:rPr>
          <w:fldChar w:fldCharType="separate"/>
        </w:r>
        <w:r w:rsidR="009C2EDC">
          <w:rPr>
            <w:b w:val="0"/>
            <w:webHidden/>
          </w:rPr>
          <w:t>80</w:t>
        </w:r>
        <w:r w:rsidR="000C62BB" w:rsidRPr="004D68C7">
          <w:rPr>
            <w:b w:val="0"/>
            <w:webHidden/>
          </w:rPr>
          <w:fldChar w:fldCharType="end"/>
        </w:r>
      </w:hyperlink>
    </w:p>
    <w:p w14:paraId="013D90D5" w14:textId="6E442F85" w:rsidR="000C62BB" w:rsidRPr="004D68C7" w:rsidRDefault="00035AE8">
      <w:pPr>
        <w:pStyle w:val="TOC2"/>
        <w:rPr>
          <w:rFonts w:asciiTheme="minorHAnsi" w:eastAsiaTheme="minorEastAsia" w:hAnsiTheme="minorHAnsi" w:cstheme="minorBidi"/>
          <w:b w:val="0"/>
          <w:iCs w:val="0"/>
          <w:sz w:val="22"/>
          <w:szCs w:val="22"/>
        </w:rPr>
      </w:pPr>
      <w:hyperlink w:anchor="_Toc101048143" w:history="1">
        <w:r w:rsidR="000C62BB" w:rsidRPr="004D68C7">
          <w:rPr>
            <w:rStyle w:val="Hyperlink"/>
            <w:b w:val="0"/>
          </w:rPr>
          <w:t>Data analysis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_Toc101048143 \h </w:instrText>
        </w:r>
        <w:r w:rsidR="000C62BB" w:rsidRPr="004D68C7">
          <w:rPr>
            <w:b w:val="0"/>
            <w:webHidden/>
          </w:rPr>
        </w:r>
        <w:r w:rsidR="000C62BB" w:rsidRPr="004D68C7">
          <w:rPr>
            <w:b w:val="0"/>
            <w:webHidden/>
          </w:rPr>
          <w:fldChar w:fldCharType="separate"/>
        </w:r>
        <w:r w:rsidR="009C2EDC">
          <w:rPr>
            <w:b w:val="0"/>
            <w:webHidden/>
          </w:rPr>
          <w:t>80</w:t>
        </w:r>
        <w:r w:rsidR="000C62BB" w:rsidRPr="004D68C7">
          <w:rPr>
            <w:b w:val="0"/>
            <w:webHidden/>
          </w:rPr>
          <w:fldChar w:fldCharType="end"/>
        </w:r>
      </w:hyperlink>
    </w:p>
    <w:p w14:paraId="31E9FB98" w14:textId="50740D6E" w:rsidR="000C62BB" w:rsidRPr="004D68C7" w:rsidRDefault="00035AE8">
      <w:pPr>
        <w:pStyle w:val="TOC1"/>
        <w:rPr>
          <w:rFonts w:asciiTheme="minorHAnsi" w:eastAsiaTheme="minorEastAsia" w:hAnsiTheme="minorHAnsi" w:cstheme="minorBidi"/>
          <w:sz w:val="22"/>
          <w:szCs w:val="22"/>
        </w:rPr>
      </w:pPr>
      <w:hyperlink w:anchor="_Toc101048144" w:history="1">
        <w:r w:rsidR="000C62BB" w:rsidRPr="004D68C7">
          <w:rPr>
            <w:rStyle w:val="Hyperlink"/>
          </w:rPr>
          <w:t>Results</w:t>
        </w:r>
        <w:r w:rsidR="000C62BB" w:rsidRPr="004D68C7">
          <w:rPr>
            <w:webHidden/>
          </w:rPr>
          <w:tab/>
        </w:r>
        <w:r w:rsidR="000C62BB" w:rsidRPr="004D68C7">
          <w:rPr>
            <w:webHidden/>
          </w:rPr>
          <w:fldChar w:fldCharType="begin"/>
        </w:r>
        <w:r w:rsidR="000C62BB" w:rsidRPr="004D68C7">
          <w:rPr>
            <w:webHidden/>
          </w:rPr>
          <w:instrText xml:space="preserve"> PAGEREF _Toc101048144 \h </w:instrText>
        </w:r>
        <w:r w:rsidR="000C62BB" w:rsidRPr="004D68C7">
          <w:rPr>
            <w:webHidden/>
          </w:rPr>
        </w:r>
        <w:r w:rsidR="000C62BB" w:rsidRPr="004D68C7">
          <w:rPr>
            <w:webHidden/>
          </w:rPr>
          <w:fldChar w:fldCharType="separate"/>
        </w:r>
        <w:r w:rsidR="009C2EDC">
          <w:rPr>
            <w:webHidden/>
          </w:rPr>
          <w:t>81</w:t>
        </w:r>
        <w:r w:rsidR="000C62BB" w:rsidRPr="004D68C7">
          <w:rPr>
            <w:webHidden/>
          </w:rPr>
          <w:fldChar w:fldCharType="end"/>
        </w:r>
      </w:hyperlink>
    </w:p>
    <w:p w14:paraId="7865C33E" w14:textId="5D256941" w:rsidR="000C62BB" w:rsidRPr="004D68C7" w:rsidRDefault="00035AE8">
      <w:pPr>
        <w:pStyle w:val="TOC2"/>
        <w:rPr>
          <w:rFonts w:asciiTheme="minorHAnsi" w:eastAsiaTheme="minorEastAsia" w:hAnsiTheme="minorHAnsi" w:cstheme="minorBidi"/>
          <w:b w:val="0"/>
          <w:iCs w:val="0"/>
          <w:sz w:val="22"/>
          <w:szCs w:val="22"/>
        </w:rPr>
      </w:pPr>
      <w:hyperlink w:anchor="_Toc101048145" w:history="1">
        <w:r w:rsidR="000C62BB" w:rsidRPr="004D68C7">
          <w:rPr>
            <w:rStyle w:val="Hyperlink"/>
            <w:b w:val="0"/>
          </w:rPr>
          <w:t>Impact of infestation on NF activity.</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_Toc101048145 \h </w:instrText>
        </w:r>
        <w:r w:rsidR="000C62BB" w:rsidRPr="004D68C7">
          <w:rPr>
            <w:b w:val="0"/>
            <w:webHidden/>
          </w:rPr>
        </w:r>
        <w:r w:rsidR="000C62BB" w:rsidRPr="004D68C7">
          <w:rPr>
            <w:b w:val="0"/>
            <w:webHidden/>
          </w:rPr>
          <w:fldChar w:fldCharType="separate"/>
        </w:r>
        <w:r w:rsidR="009C2EDC">
          <w:rPr>
            <w:b w:val="0"/>
            <w:webHidden/>
          </w:rPr>
          <w:t>81</w:t>
        </w:r>
        <w:r w:rsidR="000C62BB" w:rsidRPr="004D68C7">
          <w:rPr>
            <w:b w:val="0"/>
            <w:webHidden/>
          </w:rPr>
          <w:fldChar w:fldCharType="end"/>
        </w:r>
      </w:hyperlink>
    </w:p>
    <w:p w14:paraId="730022BC" w14:textId="647C217E" w:rsidR="000C62BB" w:rsidRPr="004D68C7" w:rsidRDefault="00035AE8">
      <w:pPr>
        <w:pStyle w:val="TOC2"/>
        <w:rPr>
          <w:rFonts w:asciiTheme="minorHAnsi" w:eastAsiaTheme="minorEastAsia" w:hAnsiTheme="minorHAnsi" w:cstheme="minorBidi"/>
          <w:b w:val="0"/>
          <w:iCs w:val="0"/>
          <w:sz w:val="22"/>
          <w:szCs w:val="22"/>
        </w:rPr>
      </w:pPr>
      <w:hyperlink w:anchor="_Toc101048146" w:history="1">
        <w:r w:rsidR="000C62BB" w:rsidRPr="004D68C7">
          <w:rPr>
            <w:rStyle w:val="Hyperlink"/>
            <w:b w:val="0"/>
          </w:rPr>
          <w:t>Impact of infestation on leaf color</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_Toc101048146 \h </w:instrText>
        </w:r>
        <w:r w:rsidR="000C62BB" w:rsidRPr="004D68C7">
          <w:rPr>
            <w:b w:val="0"/>
            <w:webHidden/>
          </w:rPr>
        </w:r>
        <w:r w:rsidR="000C62BB" w:rsidRPr="004D68C7">
          <w:rPr>
            <w:b w:val="0"/>
            <w:webHidden/>
          </w:rPr>
          <w:fldChar w:fldCharType="separate"/>
        </w:r>
        <w:r w:rsidR="009C2EDC">
          <w:rPr>
            <w:b w:val="0"/>
            <w:webHidden/>
          </w:rPr>
          <w:t>81</w:t>
        </w:r>
        <w:r w:rsidR="000C62BB" w:rsidRPr="004D68C7">
          <w:rPr>
            <w:b w:val="0"/>
            <w:webHidden/>
          </w:rPr>
          <w:fldChar w:fldCharType="end"/>
        </w:r>
      </w:hyperlink>
    </w:p>
    <w:p w14:paraId="67417C9B" w14:textId="56795719" w:rsidR="000C62BB" w:rsidRPr="004D68C7" w:rsidRDefault="00035AE8">
      <w:pPr>
        <w:pStyle w:val="TOC2"/>
        <w:rPr>
          <w:rFonts w:asciiTheme="minorHAnsi" w:eastAsiaTheme="minorEastAsia" w:hAnsiTheme="minorHAnsi" w:cstheme="minorBidi"/>
          <w:b w:val="0"/>
          <w:iCs w:val="0"/>
          <w:sz w:val="22"/>
          <w:szCs w:val="22"/>
        </w:rPr>
      </w:pPr>
      <w:hyperlink w:anchor="_Toc101048147" w:history="1">
        <w:r w:rsidR="000C62BB" w:rsidRPr="004D68C7">
          <w:rPr>
            <w:rStyle w:val="Hyperlink"/>
            <w:b w:val="0"/>
          </w:rPr>
          <w:t>Impact of infestation on leaf area</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_Toc101048147 \h </w:instrText>
        </w:r>
        <w:r w:rsidR="000C62BB" w:rsidRPr="004D68C7">
          <w:rPr>
            <w:b w:val="0"/>
            <w:webHidden/>
          </w:rPr>
        </w:r>
        <w:r w:rsidR="000C62BB" w:rsidRPr="004D68C7">
          <w:rPr>
            <w:b w:val="0"/>
            <w:webHidden/>
          </w:rPr>
          <w:fldChar w:fldCharType="separate"/>
        </w:r>
        <w:r w:rsidR="009C2EDC">
          <w:rPr>
            <w:b w:val="0"/>
            <w:webHidden/>
          </w:rPr>
          <w:t>82</w:t>
        </w:r>
        <w:r w:rsidR="000C62BB" w:rsidRPr="004D68C7">
          <w:rPr>
            <w:b w:val="0"/>
            <w:webHidden/>
          </w:rPr>
          <w:fldChar w:fldCharType="end"/>
        </w:r>
      </w:hyperlink>
    </w:p>
    <w:p w14:paraId="56563F51" w14:textId="4E6986D0" w:rsidR="000C62BB" w:rsidRPr="004D68C7" w:rsidRDefault="00035AE8">
      <w:pPr>
        <w:pStyle w:val="TOC2"/>
        <w:rPr>
          <w:rFonts w:asciiTheme="minorHAnsi" w:eastAsiaTheme="minorEastAsia" w:hAnsiTheme="minorHAnsi" w:cstheme="minorBidi"/>
          <w:b w:val="0"/>
          <w:iCs w:val="0"/>
          <w:sz w:val="22"/>
          <w:szCs w:val="22"/>
        </w:rPr>
      </w:pPr>
      <w:hyperlink w:anchor="_Toc101048148" w:history="1">
        <w:r w:rsidR="000C62BB" w:rsidRPr="004D68C7">
          <w:rPr>
            <w:rStyle w:val="Hyperlink"/>
            <w:b w:val="0"/>
          </w:rPr>
          <w:t>Impact of infestation on leaf N content</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_Toc101048148 \h </w:instrText>
        </w:r>
        <w:r w:rsidR="000C62BB" w:rsidRPr="004D68C7">
          <w:rPr>
            <w:b w:val="0"/>
            <w:webHidden/>
          </w:rPr>
        </w:r>
        <w:r w:rsidR="000C62BB" w:rsidRPr="004D68C7">
          <w:rPr>
            <w:b w:val="0"/>
            <w:webHidden/>
          </w:rPr>
          <w:fldChar w:fldCharType="separate"/>
        </w:r>
        <w:r w:rsidR="009C2EDC">
          <w:rPr>
            <w:b w:val="0"/>
            <w:webHidden/>
          </w:rPr>
          <w:t>82</w:t>
        </w:r>
        <w:r w:rsidR="000C62BB" w:rsidRPr="004D68C7">
          <w:rPr>
            <w:b w:val="0"/>
            <w:webHidden/>
          </w:rPr>
          <w:fldChar w:fldCharType="end"/>
        </w:r>
      </w:hyperlink>
    </w:p>
    <w:p w14:paraId="45C7EDAD" w14:textId="7840E9D3" w:rsidR="000C62BB" w:rsidRPr="004D68C7" w:rsidRDefault="00035AE8">
      <w:pPr>
        <w:pStyle w:val="TOC2"/>
        <w:rPr>
          <w:rFonts w:asciiTheme="minorHAnsi" w:eastAsiaTheme="minorEastAsia" w:hAnsiTheme="minorHAnsi" w:cstheme="minorBidi"/>
          <w:b w:val="0"/>
          <w:iCs w:val="0"/>
          <w:sz w:val="22"/>
          <w:szCs w:val="22"/>
        </w:rPr>
      </w:pPr>
      <w:hyperlink w:anchor="_Toc101048149" w:history="1">
        <w:r w:rsidR="000C62BB" w:rsidRPr="004D68C7">
          <w:rPr>
            <w:rStyle w:val="Hyperlink"/>
            <w:b w:val="0"/>
          </w:rPr>
          <w:t>Impact of infestation on root length and surface area</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_Toc101048149 \h </w:instrText>
        </w:r>
        <w:r w:rsidR="000C62BB" w:rsidRPr="004D68C7">
          <w:rPr>
            <w:b w:val="0"/>
            <w:webHidden/>
          </w:rPr>
        </w:r>
        <w:r w:rsidR="000C62BB" w:rsidRPr="004D68C7">
          <w:rPr>
            <w:b w:val="0"/>
            <w:webHidden/>
          </w:rPr>
          <w:fldChar w:fldCharType="separate"/>
        </w:r>
        <w:r w:rsidR="009C2EDC">
          <w:rPr>
            <w:b w:val="0"/>
            <w:webHidden/>
          </w:rPr>
          <w:t>82</w:t>
        </w:r>
        <w:r w:rsidR="000C62BB" w:rsidRPr="004D68C7">
          <w:rPr>
            <w:b w:val="0"/>
            <w:webHidden/>
          </w:rPr>
          <w:fldChar w:fldCharType="end"/>
        </w:r>
      </w:hyperlink>
    </w:p>
    <w:p w14:paraId="21F5EB3A" w14:textId="46F88422" w:rsidR="000C62BB" w:rsidRPr="004D68C7" w:rsidRDefault="00035AE8">
      <w:pPr>
        <w:pStyle w:val="TOC2"/>
        <w:rPr>
          <w:rFonts w:asciiTheme="minorHAnsi" w:eastAsiaTheme="minorEastAsia" w:hAnsiTheme="minorHAnsi" w:cstheme="minorBidi"/>
          <w:b w:val="0"/>
          <w:iCs w:val="0"/>
          <w:sz w:val="22"/>
          <w:szCs w:val="22"/>
        </w:rPr>
      </w:pPr>
      <w:hyperlink w:anchor="_Toc101048150" w:history="1">
        <w:r w:rsidR="000C62BB" w:rsidRPr="004D68C7">
          <w:rPr>
            <w:rStyle w:val="Hyperlink"/>
            <w:b w:val="0"/>
          </w:rPr>
          <w:t>SCN egg densities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_Toc101048150 \h </w:instrText>
        </w:r>
        <w:r w:rsidR="000C62BB" w:rsidRPr="004D68C7">
          <w:rPr>
            <w:b w:val="0"/>
            <w:webHidden/>
          </w:rPr>
        </w:r>
        <w:r w:rsidR="000C62BB" w:rsidRPr="004D68C7">
          <w:rPr>
            <w:b w:val="0"/>
            <w:webHidden/>
          </w:rPr>
          <w:fldChar w:fldCharType="separate"/>
        </w:r>
        <w:r w:rsidR="009C2EDC">
          <w:rPr>
            <w:b w:val="0"/>
            <w:webHidden/>
          </w:rPr>
          <w:t>82</w:t>
        </w:r>
        <w:r w:rsidR="000C62BB" w:rsidRPr="004D68C7">
          <w:rPr>
            <w:b w:val="0"/>
            <w:webHidden/>
          </w:rPr>
          <w:fldChar w:fldCharType="end"/>
        </w:r>
      </w:hyperlink>
    </w:p>
    <w:p w14:paraId="724DE0B1" w14:textId="4B07213A" w:rsidR="000C62BB" w:rsidRPr="004D68C7" w:rsidRDefault="00035AE8">
      <w:pPr>
        <w:pStyle w:val="TOC1"/>
        <w:rPr>
          <w:rFonts w:asciiTheme="minorHAnsi" w:eastAsiaTheme="minorEastAsia" w:hAnsiTheme="minorHAnsi" w:cstheme="minorBidi"/>
          <w:sz w:val="22"/>
          <w:szCs w:val="22"/>
        </w:rPr>
      </w:pPr>
      <w:hyperlink w:anchor="_Toc101048151" w:history="1">
        <w:r w:rsidR="000C62BB" w:rsidRPr="004D68C7">
          <w:rPr>
            <w:rStyle w:val="Hyperlink"/>
          </w:rPr>
          <w:t>Discussion</w:t>
        </w:r>
        <w:r w:rsidR="000C62BB" w:rsidRPr="004D68C7">
          <w:rPr>
            <w:webHidden/>
          </w:rPr>
          <w:tab/>
        </w:r>
        <w:r w:rsidR="000C62BB" w:rsidRPr="004D68C7">
          <w:rPr>
            <w:webHidden/>
          </w:rPr>
          <w:fldChar w:fldCharType="begin"/>
        </w:r>
        <w:r w:rsidR="000C62BB" w:rsidRPr="004D68C7">
          <w:rPr>
            <w:webHidden/>
          </w:rPr>
          <w:instrText xml:space="preserve"> PAGEREF _Toc101048151 \h </w:instrText>
        </w:r>
        <w:r w:rsidR="000C62BB" w:rsidRPr="004D68C7">
          <w:rPr>
            <w:webHidden/>
          </w:rPr>
        </w:r>
        <w:r w:rsidR="000C62BB" w:rsidRPr="004D68C7">
          <w:rPr>
            <w:webHidden/>
          </w:rPr>
          <w:fldChar w:fldCharType="separate"/>
        </w:r>
        <w:r w:rsidR="009C2EDC">
          <w:rPr>
            <w:webHidden/>
          </w:rPr>
          <w:t>83</w:t>
        </w:r>
        <w:r w:rsidR="000C62BB" w:rsidRPr="004D68C7">
          <w:rPr>
            <w:webHidden/>
          </w:rPr>
          <w:fldChar w:fldCharType="end"/>
        </w:r>
      </w:hyperlink>
    </w:p>
    <w:p w14:paraId="30B1D13A" w14:textId="7265E56E" w:rsidR="000C62BB" w:rsidRDefault="00035AE8">
      <w:pPr>
        <w:pStyle w:val="TOC1"/>
        <w:rPr>
          <w:rFonts w:asciiTheme="minorHAnsi" w:eastAsiaTheme="minorEastAsia" w:hAnsiTheme="minorHAnsi" w:cstheme="minorBidi"/>
          <w:sz w:val="22"/>
          <w:szCs w:val="22"/>
        </w:rPr>
      </w:pPr>
      <w:hyperlink w:anchor="_Toc101048152" w:history="1">
        <w:r w:rsidR="000C62BB" w:rsidRPr="00B26BC9">
          <w:rPr>
            <w:rStyle w:val="Hyperlink"/>
          </w:rPr>
          <w:t>References</w:t>
        </w:r>
        <w:r w:rsidR="000C62BB">
          <w:rPr>
            <w:webHidden/>
          </w:rPr>
          <w:tab/>
        </w:r>
        <w:r w:rsidR="000C62BB">
          <w:rPr>
            <w:webHidden/>
          </w:rPr>
          <w:fldChar w:fldCharType="begin"/>
        </w:r>
        <w:r w:rsidR="000C62BB">
          <w:rPr>
            <w:webHidden/>
          </w:rPr>
          <w:instrText xml:space="preserve"> PAGEREF _Toc101048152 \h </w:instrText>
        </w:r>
        <w:r w:rsidR="000C62BB">
          <w:rPr>
            <w:webHidden/>
          </w:rPr>
        </w:r>
        <w:r w:rsidR="000C62BB">
          <w:rPr>
            <w:webHidden/>
          </w:rPr>
          <w:fldChar w:fldCharType="separate"/>
        </w:r>
        <w:r w:rsidR="009C2EDC">
          <w:rPr>
            <w:webHidden/>
          </w:rPr>
          <w:t>87</w:t>
        </w:r>
        <w:r w:rsidR="000C62BB">
          <w:rPr>
            <w:webHidden/>
          </w:rPr>
          <w:fldChar w:fldCharType="end"/>
        </w:r>
      </w:hyperlink>
    </w:p>
    <w:p w14:paraId="30B45957" w14:textId="3B5D005A" w:rsidR="000C62BB" w:rsidRDefault="00035AE8">
      <w:pPr>
        <w:pStyle w:val="TOC1"/>
        <w:rPr>
          <w:rFonts w:asciiTheme="minorHAnsi" w:eastAsiaTheme="minorEastAsia" w:hAnsiTheme="minorHAnsi" w:cstheme="minorBidi"/>
          <w:sz w:val="22"/>
          <w:szCs w:val="22"/>
        </w:rPr>
      </w:pPr>
      <w:hyperlink w:anchor="_Toc101048153" w:history="1">
        <w:r w:rsidR="000C62BB" w:rsidRPr="00B26BC9">
          <w:rPr>
            <w:rStyle w:val="Hyperlink"/>
          </w:rPr>
          <w:t>Appendix</w:t>
        </w:r>
        <w:r w:rsidR="000C62BB">
          <w:rPr>
            <w:webHidden/>
          </w:rPr>
          <w:tab/>
        </w:r>
        <w:r w:rsidR="000C62BB">
          <w:rPr>
            <w:webHidden/>
          </w:rPr>
          <w:fldChar w:fldCharType="begin"/>
        </w:r>
        <w:r w:rsidR="000C62BB">
          <w:rPr>
            <w:webHidden/>
          </w:rPr>
          <w:instrText xml:space="preserve"> PAGEREF _Toc101048153 \h </w:instrText>
        </w:r>
        <w:r w:rsidR="000C62BB">
          <w:rPr>
            <w:webHidden/>
          </w:rPr>
        </w:r>
        <w:r w:rsidR="000C62BB">
          <w:rPr>
            <w:webHidden/>
          </w:rPr>
          <w:fldChar w:fldCharType="separate"/>
        </w:r>
        <w:r w:rsidR="009C2EDC">
          <w:rPr>
            <w:webHidden/>
          </w:rPr>
          <w:t>91</w:t>
        </w:r>
        <w:r w:rsidR="000C62BB">
          <w:rPr>
            <w:webHidden/>
          </w:rPr>
          <w:fldChar w:fldCharType="end"/>
        </w:r>
      </w:hyperlink>
    </w:p>
    <w:p w14:paraId="13ABF46D" w14:textId="0314EB9E" w:rsidR="000C62BB" w:rsidRDefault="00035AE8">
      <w:pPr>
        <w:pStyle w:val="TOC1"/>
        <w:rPr>
          <w:rFonts w:asciiTheme="minorHAnsi" w:eastAsiaTheme="minorEastAsia" w:hAnsiTheme="minorHAnsi" w:cstheme="minorBidi"/>
          <w:sz w:val="22"/>
          <w:szCs w:val="22"/>
        </w:rPr>
      </w:pPr>
      <w:hyperlink w:anchor="_Toc101048155" w:history="1">
        <w:r w:rsidR="000C62BB" w:rsidRPr="00B26BC9">
          <w:rPr>
            <w:rStyle w:val="Hyperlink"/>
          </w:rPr>
          <w:t xml:space="preserve">CHAPTER IV. </w:t>
        </w:r>
        <w:r w:rsidR="000C62BB" w:rsidRPr="00B26BC9">
          <w:rPr>
            <w:rStyle w:val="Hyperlink"/>
            <w:i/>
          </w:rPr>
          <w:t>MACROPHOMINA PHASEOLINA</w:t>
        </w:r>
        <w:r w:rsidR="000C62BB" w:rsidRPr="00B26BC9">
          <w:rPr>
            <w:rStyle w:val="Hyperlink"/>
          </w:rPr>
          <w:t xml:space="preserve"> MICROSCLEROTIAL PATHOGENICITY ON SOYBEAN, AND SOYBEAN VARIETY INFLUENCE ON CHARCOAL ROT</w:t>
        </w:r>
        <w:r w:rsidR="000C62BB">
          <w:rPr>
            <w:webHidden/>
          </w:rPr>
          <w:tab/>
        </w:r>
        <w:r w:rsidR="000C62BB">
          <w:rPr>
            <w:webHidden/>
          </w:rPr>
          <w:fldChar w:fldCharType="begin"/>
        </w:r>
        <w:r w:rsidR="000C62BB">
          <w:rPr>
            <w:webHidden/>
          </w:rPr>
          <w:instrText xml:space="preserve"> PAGEREF _Toc101048155 \h </w:instrText>
        </w:r>
        <w:r w:rsidR="000C62BB">
          <w:rPr>
            <w:webHidden/>
          </w:rPr>
        </w:r>
        <w:r w:rsidR="000C62BB">
          <w:rPr>
            <w:webHidden/>
          </w:rPr>
          <w:fldChar w:fldCharType="separate"/>
        </w:r>
        <w:r w:rsidR="009C2EDC">
          <w:rPr>
            <w:webHidden/>
          </w:rPr>
          <w:t>99</w:t>
        </w:r>
        <w:r w:rsidR="000C62BB">
          <w:rPr>
            <w:webHidden/>
          </w:rPr>
          <w:fldChar w:fldCharType="end"/>
        </w:r>
      </w:hyperlink>
    </w:p>
    <w:p w14:paraId="46CCC86C" w14:textId="0D745E5E" w:rsidR="000C62BB" w:rsidRDefault="00035AE8">
      <w:pPr>
        <w:pStyle w:val="TOC1"/>
        <w:rPr>
          <w:rFonts w:asciiTheme="minorHAnsi" w:eastAsiaTheme="minorEastAsia" w:hAnsiTheme="minorHAnsi" w:cstheme="minorBidi"/>
          <w:sz w:val="22"/>
          <w:szCs w:val="22"/>
        </w:rPr>
      </w:pPr>
      <w:hyperlink w:anchor="_Toc101048156" w:history="1">
        <w:r w:rsidR="000C62BB" w:rsidRPr="00B26BC9">
          <w:rPr>
            <w:rStyle w:val="Hyperlink"/>
          </w:rPr>
          <w:t>Abstract</w:t>
        </w:r>
        <w:r w:rsidR="000C62BB">
          <w:rPr>
            <w:webHidden/>
          </w:rPr>
          <w:tab/>
        </w:r>
        <w:r w:rsidR="000C62BB">
          <w:rPr>
            <w:webHidden/>
          </w:rPr>
          <w:fldChar w:fldCharType="begin"/>
        </w:r>
        <w:r w:rsidR="000C62BB">
          <w:rPr>
            <w:webHidden/>
          </w:rPr>
          <w:instrText xml:space="preserve"> PAGEREF _Toc101048156 \h </w:instrText>
        </w:r>
        <w:r w:rsidR="000C62BB">
          <w:rPr>
            <w:webHidden/>
          </w:rPr>
        </w:r>
        <w:r w:rsidR="000C62BB">
          <w:rPr>
            <w:webHidden/>
          </w:rPr>
          <w:fldChar w:fldCharType="separate"/>
        </w:r>
        <w:r w:rsidR="009C2EDC">
          <w:rPr>
            <w:webHidden/>
          </w:rPr>
          <w:t>100</w:t>
        </w:r>
        <w:r w:rsidR="000C62BB">
          <w:rPr>
            <w:webHidden/>
          </w:rPr>
          <w:fldChar w:fldCharType="end"/>
        </w:r>
      </w:hyperlink>
    </w:p>
    <w:p w14:paraId="3931B45F" w14:textId="083A8D28" w:rsidR="000C62BB" w:rsidRDefault="00035AE8">
      <w:pPr>
        <w:pStyle w:val="TOC1"/>
        <w:rPr>
          <w:rFonts w:asciiTheme="minorHAnsi" w:eastAsiaTheme="minorEastAsia" w:hAnsiTheme="minorHAnsi" w:cstheme="minorBidi"/>
          <w:sz w:val="22"/>
          <w:szCs w:val="22"/>
        </w:rPr>
      </w:pPr>
      <w:hyperlink w:anchor="_Toc101048157" w:history="1">
        <w:r w:rsidR="000C62BB" w:rsidRPr="00B26BC9">
          <w:rPr>
            <w:rStyle w:val="Hyperlink"/>
          </w:rPr>
          <w:t>Introduction</w:t>
        </w:r>
        <w:r w:rsidR="000C62BB">
          <w:rPr>
            <w:webHidden/>
          </w:rPr>
          <w:tab/>
        </w:r>
        <w:r w:rsidR="000C62BB">
          <w:rPr>
            <w:webHidden/>
          </w:rPr>
          <w:fldChar w:fldCharType="begin"/>
        </w:r>
        <w:r w:rsidR="000C62BB">
          <w:rPr>
            <w:webHidden/>
          </w:rPr>
          <w:instrText xml:space="preserve"> PAGEREF _Toc101048157 \h </w:instrText>
        </w:r>
        <w:r w:rsidR="000C62BB">
          <w:rPr>
            <w:webHidden/>
          </w:rPr>
        </w:r>
        <w:r w:rsidR="000C62BB">
          <w:rPr>
            <w:webHidden/>
          </w:rPr>
          <w:fldChar w:fldCharType="separate"/>
        </w:r>
        <w:r w:rsidR="009C2EDC">
          <w:rPr>
            <w:webHidden/>
          </w:rPr>
          <w:t>101</w:t>
        </w:r>
        <w:r w:rsidR="000C62BB">
          <w:rPr>
            <w:webHidden/>
          </w:rPr>
          <w:fldChar w:fldCharType="end"/>
        </w:r>
      </w:hyperlink>
    </w:p>
    <w:p w14:paraId="42E171E2" w14:textId="19D42339" w:rsidR="000C62BB" w:rsidRPr="004D68C7" w:rsidRDefault="00035AE8">
      <w:pPr>
        <w:pStyle w:val="TOC1"/>
        <w:rPr>
          <w:rFonts w:asciiTheme="minorHAnsi" w:eastAsiaTheme="minorEastAsia" w:hAnsiTheme="minorHAnsi" w:cstheme="minorBidi"/>
          <w:sz w:val="22"/>
          <w:szCs w:val="22"/>
        </w:rPr>
      </w:pPr>
      <w:hyperlink w:anchor="_Toc101048158" w:history="1">
        <w:r w:rsidR="000C62BB" w:rsidRPr="004D68C7">
          <w:rPr>
            <w:rStyle w:val="Hyperlink"/>
          </w:rPr>
          <w:t>Materials and methods</w:t>
        </w:r>
        <w:r w:rsidR="000C62BB" w:rsidRPr="004D68C7">
          <w:rPr>
            <w:webHidden/>
          </w:rPr>
          <w:tab/>
        </w:r>
        <w:r w:rsidR="000C62BB" w:rsidRPr="004D68C7">
          <w:rPr>
            <w:webHidden/>
          </w:rPr>
          <w:fldChar w:fldCharType="begin"/>
        </w:r>
        <w:r w:rsidR="000C62BB" w:rsidRPr="004D68C7">
          <w:rPr>
            <w:webHidden/>
          </w:rPr>
          <w:instrText xml:space="preserve"> PAGEREF _Toc101048158 \h </w:instrText>
        </w:r>
        <w:r w:rsidR="000C62BB" w:rsidRPr="004D68C7">
          <w:rPr>
            <w:webHidden/>
          </w:rPr>
        </w:r>
        <w:r w:rsidR="000C62BB" w:rsidRPr="004D68C7">
          <w:rPr>
            <w:webHidden/>
          </w:rPr>
          <w:fldChar w:fldCharType="separate"/>
        </w:r>
        <w:r w:rsidR="009C2EDC">
          <w:rPr>
            <w:webHidden/>
          </w:rPr>
          <w:t>103</w:t>
        </w:r>
        <w:r w:rsidR="000C62BB" w:rsidRPr="004D68C7">
          <w:rPr>
            <w:webHidden/>
          </w:rPr>
          <w:fldChar w:fldCharType="end"/>
        </w:r>
      </w:hyperlink>
    </w:p>
    <w:p w14:paraId="5DDACEFB" w14:textId="1A604984" w:rsidR="000C62BB" w:rsidRPr="004D68C7" w:rsidRDefault="00035AE8">
      <w:pPr>
        <w:pStyle w:val="TOC2"/>
        <w:rPr>
          <w:rFonts w:asciiTheme="minorHAnsi" w:eastAsiaTheme="minorEastAsia" w:hAnsiTheme="minorHAnsi" w:cstheme="minorBidi"/>
          <w:b w:val="0"/>
          <w:iCs w:val="0"/>
          <w:sz w:val="22"/>
          <w:szCs w:val="22"/>
        </w:rPr>
      </w:pPr>
      <w:hyperlink w:anchor="_Toc101048159" w:history="1">
        <w:r w:rsidR="000C62BB" w:rsidRPr="004D68C7">
          <w:rPr>
            <w:rStyle w:val="Hyperlink"/>
            <w:b w:val="0"/>
          </w:rPr>
          <w:t>Soybean varieties and fungal isolate</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_Toc101048159 \h </w:instrText>
        </w:r>
        <w:r w:rsidR="000C62BB" w:rsidRPr="004D68C7">
          <w:rPr>
            <w:b w:val="0"/>
            <w:webHidden/>
          </w:rPr>
        </w:r>
        <w:r w:rsidR="000C62BB" w:rsidRPr="004D68C7">
          <w:rPr>
            <w:b w:val="0"/>
            <w:webHidden/>
          </w:rPr>
          <w:fldChar w:fldCharType="separate"/>
        </w:r>
        <w:r w:rsidR="009C2EDC">
          <w:rPr>
            <w:b w:val="0"/>
            <w:webHidden/>
          </w:rPr>
          <w:t>103</w:t>
        </w:r>
        <w:r w:rsidR="000C62BB" w:rsidRPr="004D68C7">
          <w:rPr>
            <w:b w:val="0"/>
            <w:webHidden/>
          </w:rPr>
          <w:fldChar w:fldCharType="end"/>
        </w:r>
      </w:hyperlink>
    </w:p>
    <w:p w14:paraId="2E4351E5" w14:textId="0F111AF1" w:rsidR="000C62BB" w:rsidRPr="004D68C7" w:rsidRDefault="00035AE8">
      <w:pPr>
        <w:pStyle w:val="TOC2"/>
        <w:rPr>
          <w:rFonts w:asciiTheme="minorHAnsi" w:eastAsiaTheme="minorEastAsia" w:hAnsiTheme="minorHAnsi" w:cstheme="minorBidi"/>
          <w:b w:val="0"/>
          <w:iCs w:val="0"/>
          <w:sz w:val="22"/>
          <w:szCs w:val="22"/>
        </w:rPr>
      </w:pPr>
      <w:hyperlink w:anchor="_Toc101048160" w:history="1">
        <w:r w:rsidR="000C62BB" w:rsidRPr="004D68C7">
          <w:rPr>
            <w:rStyle w:val="Hyperlink"/>
            <w:b w:val="0"/>
          </w:rPr>
          <w:t>Microsclerotial inoculum preparation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_Toc101048160 \h </w:instrText>
        </w:r>
        <w:r w:rsidR="000C62BB" w:rsidRPr="004D68C7">
          <w:rPr>
            <w:b w:val="0"/>
            <w:webHidden/>
          </w:rPr>
        </w:r>
        <w:r w:rsidR="000C62BB" w:rsidRPr="004D68C7">
          <w:rPr>
            <w:b w:val="0"/>
            <w:webHidden/>
          </w:rPr>
          <w:fldChar w:fldCharType="separate"/>
        </w:r>
        <w:r w:rsidR="009C2EDC">
          <w:rPr>
            <w:b w:val="0"/>
            <w:webHidden/>
          </w:rPr>
          <w:t>103</w:t>
        </w:r>
        <w:r w:rsidR="000C62BB" w:rsidRPr="004D68C7">
          <w:rPr>
            <w:b w:val="0"/>
            <w:webHidden/>
          </w:rPr>
          <w:fldChar w:fldCharType="end"/>
        </w:r>
      </w:hyperlink>
    </w:p>
    <w:p w14:paraId="67A98871" w14:textId="14C2BCFA" w:rsidR="000C62BB" w:rsidRPr="004D68C7" w:rsidRDefault="00035AE8">
      <w:pPr>
        <w:pStyle w:val="TOC2"/>
        <w:rPr>
          <w:rFonts w:asciiTheme="minorHAnsi" w:eastAsiaTheme="minorEastAsia" w:hAnsiTheme="minorHAnsi" w:cstheme="minorBidi"/>
          <w:b w:val="0"/>
          <w:iCs w:val="0"/>
          <w:sz w:val="22"/>
          <w:szCs w:val="22"/>
        </w:rPr>
      </w:pPr>
      <w:hyperlink w:anchor="_Toc101048161" w:history="1">
        <w:r w:rsidR="000C62BB" w:rsidRPr="004D68C7">
          <w:rPr>
            <w:rStyle w:val="Hyperlink"/>
            <w:b w:val="0"/>
          </w:rPr>
          <w:t>Greenhouse experiment design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_Toc101048161 \h </w:instrText>
        </w:r>
        <w:r w:rsidR="000C62BB" w:rsidRPr="004D68C7">
          <w:rPr>
            <w:b w:val="0"/>
            <w:webHidden/>
          </w:rPr>
        </w:r>
        <w:r w:rsidR="000C62BB" w:rsidRPr="004D68C7">
          <w:rPr>
            <w:b w:val="0"/>
            <w:webHidden/>
          </w:rPr>
          <w:fldChar w:fldCharType="separate"/>
        </w:r>
        <w:r w:rsidR="009C2EDC">
          <w:rPr>
            <w:b w:val="0"/>
            <w:webHidden/>
          </w:rPr>
          <w:t>104</w:t>
        </w:r>
        <w:r w:rsidR="000C62BB" w:rsidRPr="004D68C7">
          <w:rPr>
            <w:b w:val="0"/>
            <w:webHidden/>
          </w:rPr>
          <w:fldChar w:fldCharType="end"/>
        </w:r>
      </w:hyperlink>
    </w:p>
    <w:p w14:paraId="6DE4577A" w14:textId="46BD3692" w:rsidR="000C62BB" w:rsidRPr="004D68C7" w:rsidRDefault="00035AE8">
      <w:pPr>
        <w:pStyle w:val="TOC2"/>
        <w:rPr>
          <w:rFonts w:asciiTheme="minorHAnsi" w:eastAsiaTheme="minorEastAsia" w:hAnsiTheme="minorHAnsi" w:cstheme="minorBidi"/>
          <w:b w:val="0"/>
          <w:iCs w:val="0"/>
          <w:sz w:val="22"/>
          <w:szCs w:val="22"/>
        </w:rPr>
      </w:pPr>
      <w:hyperlink w:anchor="_Toc101048162" w:history="1">
        <w:r w:rsidR="000C62BB" w:rsidRPr="004D68C7">
          <w:rPr>
            <w:rStyle w:val="Hyperlink"/>
            <w:b w:val="0"/>
          </w:rPr>
          <w:t>Sampling and data collection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_Toc101048162 \h </w:instrText>
        </w:r>
        <w:r w:rsidR="000C62BB" w:rsidRPr="004D68C7">
          <w:rPr>
            <w:b w:val="0"/>
            <w:webHidden/>
          </w:rPr>
        </w:r>
        <w:r w:rsidR="000C62BB" w:rsidRPr="004D68C7">
          <w:rPr>
            <w:b w:val="0"/>
            <w:webHidden/>
          </w:rPr>
          <w:fldChar w:fldCharType="separate"/>
        </w:r>
        <w:r w:rsidR="009C2EDC">
          <w:rPr>
            <w:b w:val="0"/>
            <w:webHidden/>
          </w:rPr>
          <w:t>105</w:t>
        </w:r>
        <w:r w:rsidR="000C62BB" w:rsidRPr="004D68C7">
          <w:rPr>
            <w:b w:val="0"/>
            <w:webHidden/>
          </w:rPr>
          <w:fldChar w:fldCharType="end"/>
        </w:r>
      </w:hyperlink>
    </w:p>
    <w:p w14:paraId="6BFCC9E5" w14:textId="24A4781A" w:rsidR="000C62BB" w:rsidRPr="004D68C7" w:rsidRDefault="00035AE8">
      <w:pPr>
        <w:pStyle w:val="TOC2"/>
        <w:rPr>
          <w:rFonts w:asciiTheme="minorHAnsi" w:eastAsiaTheme="minorEastAsia" w:hAnsiTheme="minorHAnsi" w:cstheme="minorBidi"/>
          <w:b w:val="0"/>
          <w:iCs w:val="0"/>
          <w:sz w:val="22"/>
          <w:szCs w:val="22"/>
        </w:rPr>
      </w:pPr>
      <w:hyperlink w:anchor="_Toc101048163" w:history="1">
        <w:r w:rsidR="000C62BB" w:rsidRPr="004D68C7">
          <w:rPr>
            <w:rStyle w:val="Hyperlink"/>
            <w:b w:val="0"/>
          </w:rPr>
          <w:t>Charcoal rot severity, and soybean growth and yield</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_Toc101048163 \h </w:instrText>
        </w:r>
        <w:r w:rsidR="000C62BB" w:rsidRPr="004D68C7">
          <w:rPr>
            <w:b w:val="0"/>
            <w:webHidden/>
          </w:rPr>
        </w:r>
        <w:r w:rsidR="000C62BB" w:rsidRPr="004D68C7">
          <w:rPr>
            <w:b w:val="0"/>
            <w:webHidden/>
          </w:rPr>
          <w:fldChar w:fldCharType="separate"/>
        </w:r>
        <w:r w:rsidR="009C2EDC">
          <w:rPr>
            <w:b w:val="0"/>
            <w:webHidden/>
          </w:rPr>
          <w:t>105</w:t>
        </w:r>
        <w:r w:rsidR="000C62BB" w:rsidRPr="004D68C7">
          <w:rPr>
            <w:b w:val="0"/>
            <w:webHidden/>
          </w:rPr>
          <w:fldChar w:fldCharType="end"/>
        </w:r>
      </w:hyperlink>
    </w:p>
    <w:p w14:paraId="5BDA49A8" w14:textId="21F74E99" w:rsidR="000C62BB" w:rsidRPr="004D68C7" w:rsidRDefault="00035AE8">
      <w:pPr>
        <w:pStyle w:val="TOC2"/>
        <w:rPr>
          <w:rFonts w:asciiTheme="minorHAnsi" w:eastAsiaTheme="minorEastAsia" w:hAnsiTheme="minorHAnsi" w:cstheme="minorBidi"/>
          <w:b w:val="0"/>
          <w:iCs w:val="0"/>
          <w:sz w:val="22"/>
          <w:szCs w:val="22"/>
        </w:rPr>
      </w:pPr>
      <w:hyperlink w:anchor="_Toc101048164" w:history="1">
        <w:r w:rsidR="000C62BB" w:rsidRPr="004D68C7">
          <w:rPr>
            <w:rStyle w:val="Hyperlink"/>
            <w:b w:val="0"/>
          </w:rPr>
          <w:t>Microsclerotial densities at harvest</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_Toc101048164 \h </w:instrText>
        </w:r>
        <w:r w:rsidR="000C62BB" w:rsidRPr="004D68C7">
          <w:rPr>
            <w:b w:val="0"/>
            <w:webHidden/>
          </w:rPr>
        </w:r>
        <w:r w:rsidR="000C62BB" w:rsidRPr="004D68C7">
          <w:rPr>
            <w:b w:val="0"/>
            <w:webHidden/>
          </w:rPr>
          <w:fldChar w:fldCharType="separate"/>
        </w:r>
        <w:r w:rsidR="009C2EDC">
          <w:rPr>
            <w:b w:val="0"/>
            <w:webHidden/>
          </w:rPr>
          <w:t>106</w:t>
        </w:r>
        <w:r w:rsidR="000C62BB" w:rsidRPr="004D68C7">
          <w:rPr>
            <w:b w:val="0"/>
            <w:webHidden/>
          </w:rPr>
          <w:fldChar w:fldCharType="end"/>
        </w:r>
      </w:hyperlink>
    </w:p>
    <w:p w14:paraId="6048886C" w14:textId="32CB4A92" w:rsidR="000C62BB" w:rsidRPr="004D68C7" w:rsidRDefault="00035AE8">
      <w:pPr>
        <w:pStyle w:val="TOC2"/>
        <w:rPr>
          <w:rFonts w:asciiTheme="minorHAnsi" w:eastAsiaTheme="minorEastAsia" w:hAnsiTheme="minorHAnsi" w:cstheme="minorBidi"/>
          <w:b w:val="0"/>
          <w:iCs w:val="0"/>
          <w:sz w:val="22"/>
          <w:szCs w:val="22"/>
        </w:rPr>
      </w:pPr>
      <w:hyperlink w:anchor="_Toc101048165" w:history="1">
        <w:r w:rsidR="000C62BB" w:rsidRPr="004D68C7">
          <w:rPr>
            <w:rStyle w:val="Hyperlink"/>
            <w:b w:val="0"/>
          </w:rPr>
          <w:t>Data analysis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_Toc101048165 \h </w:instrText>
        </w:r>
        <w:r w:rsidR="000C62BB" w:rsidRPr="004D68C7">
          <w:rPr>
            <w:b w:val="0"/>
            <w:webHidden/>
          </w:rPr>
        </w:r>
        <w:r w:rsidR="000C62BB" w:rsidRPr="004D68C7">
          <w:rPr>
            <w:b w:val="0"/>
            <w:webHidden/>
          </w:rPr>
          <w:fldChar w:fldCharType="separate"/>
        </w:r>
        <w:r w:rsidR="009C2EDC">
          <w:rPr>
            <w:b w:val="0"/>
            <w:webHidden/>
          </w:rPr>
          <w:t>106</w:t>
        </w:r>
        <w:r w:rsidR="000C62BB" w:rsidRPr="004D68C7">
          <w:rPr>
            <w:b w:val="0"/>
            <w:webHidden/>
          </w:rPr>
          <w:fldChar w:fldCharType="end"/>
        </w:r>
      </w:hyperlink>
    </w:p>
    <w:p w14:paraId="59A681A2" w14:textId="49EC8953" w:rsidR="000C62BB" w:rsidRPr="004D68C7" w:rsidRDefault="00035AE8">
      <w:pPr>
        <w:pStyle w:val="TOC1"/>
        <w:rPr>
          <w:rFonts w:asciiTheme="minorHAnsi" w:eastAsiaTheme="minorEastAsia" w:hAnsiTheme="minorHAnsi" w:cstheme="minorBidi"/>
          <w:sz w:val="22"/>
          <w:szCs w:val="22"/>
        </w:rPr>
      </w:pPr>
      <w:hyperlink w:anchor="_Toc101048166" w:history="1">
        <w:r w:rsidR="000C62BB" w:rsidRPr="004D68C7">
          <w:rPr>
            <w:rStyle w:val="Hyperlink"/>
          </w:rPr>
          <w:t>Results</w:t>
        </w:r>
        <w:r w:rsidR="000C62BB" w:rsidRPr="004D68C7">
          <w:rPr>
            <w:webHidden/>
          </w:rPr>
          <w:tab/>
        </w:r>
        <w:r w:rsidR="000C62BB" w:rsidRPr="004D68C7">
          <w:rPr>
            <w:webHidden/>
          </w:rPr>
          <w:fldChar w:fldCharType="begin"/>
        </w:r>
        <w:r w:rsidR="000C62BB" w:rsidRPr="004D68C7">
          <w:rPr>
            <w:webHidden/>
          </w:rPr>
          <w:instrText xml:space="preserve"> PAGEREF _Toc101048166 \h </w:instrText>
        </w:r>
        <w:r w:rsidR="000C62BB" w:rsidRPr="004D68C7">
          <w:rPr>
            <w:webHidden/>
          </w:rPr>
        </w:r>
        <w:r w:rsidR="000C62BB" w:rsidRPr="004D68C7">
          <w:rPr>
            <w:webHidden/>
          </w:rPr>
          <w:fldChar w:fldCharType="separate"/>
        </w:r>
        <w:r w:rsidR="009C2EDC">
          <w:rPr>
            <w:webHidden/>
          </w:rPr>
          <w:t>106</w:t>
        </w:r>
        <w:r w:rsidR="000C62BB" w:rsidRPr="004D68C7">
          <w:rPr>
            <w:webHidden/>
          </w:rPr>
          <w:fldChar w:fldCharType="end"/>
        </w:r>
      </w:hyperlink>
    </w:p>
    <w:p w14:paraId="63C7FAFE" w14:textId="1A22D4C5" w:rsidR="000C62BB" w:rsidRPr="004D68C7" w:rsidRDefault="00035AE8">
      <w:pPr>
        <w:pStyle w:val="TOC2"/>
        <w:rPr>
          <w:rFonts w:asciiTheme="minorHAnsi" w:eastAsiaTheme="minorEastAsia" w:hAnsiTheme="minorHAnsi" w:cstheme="minorBidi"/>
          <w:b w:val="0"/>
          <w:iCs w:val="0"/>
          <w:sz w:val="22"/>
          <w:szCs w:val="22"/>
        </w:rPr>
      </w:pPr>
      <w:hyperlink w:anchor="_Toc101048167" w:history="1">
        <w:r w:rsidR="000C62BB" w:rsidRPr="004D68C7">
          <w:rPr>
            <w:rStyle w:val="Hyperlink"/>
            <w:b w:val="0"/>
          </w:rPr>
          <w:t>Impact of microsclerotial treatments on charcoal rot severity</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_Toc101048167 \h </w:instrText>
        </w:r>
        <w:r w:rsidR="000C62BB" w:rsidRPr="004D68C7">
          <w:rPr>
            <w:b w:val="0"/>
            <w:webHidden/>
          </w:rPr>
        </w:r>
        <w:r w:rsidR="000C62BB" w:rsidRPr="004D68C7">
          <w:rPr>
            <w:b w:val="0"/>
            <w:webHidden/>
          </w:rPr>
          <w:fldChar w:fldCharType="separate"/>
        </w:r>
        <w:r w:rsidR="009C2EDC">
          <w:rPr>
            <w:b w:val="0"/>
            <w:webHidden/>
          </w:rPr>
          <w:t>106</w:t>
        </w:r>
        <w:r w:rsidR="000C62BB" w:rsidRPr="004D68C7">
          <w:rPr>
            <w:b w:val="0"/>
            <w:webHidden/>
          </w:rPr>
          <w:fldChar w:fldCharType="end"/>
        </w:r>
      </w:hyperlink>
    </w:p>
    <w:p w14:paraId="09F4C5A2" w14:textId="2A242DB7" w:rsidR="000C62BB" w:rsidRPr="004D68C7" w:rsidRDefault="00035AE8">
      <w:pPr>
        <w:pStyle w:val="TOC2"/>
        <w:rPr>
          <w:rFonts w:asciiTheme="minorHAnsi" w:eastAsiaTheme="minorEastAsia" w:hAnsiTheme="minorHAnsi" w:cstheme="minorBidi"/>
          <w:b w:val="0"/>
          <w:iCs w:val="0"/>
          <w:sz w:val="22"/>
          <w:szCs w:val="22"/>
        </w:rPr>
      </w:pPr>
      <w:hyperlink w:anchor="_Toc101048168" w:history="1">
        <w:r w:rsidR="000C62BB" w:rsidRPr="004D68C7">
          <w:rPr>
            <w:rStyle w:val="Hyperlink"/>
            <w:b w:val="0"/>
          </w:rPr>
          <w:t>Impact of microsclerotial treatments on soybean growth and yield parameters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_Toc101048168 \h </w:instrText>
        </w:r>
        <w:r w:rsidR="000C62BB" w:rsidRPr="004D68C7">
          <w:rPr>
            <w:b w:val="0"/>
            <w:webHidden/>
          </w:rPr>
        </w:r>
        <w:r w:rsidR="000C62BB" w:rsidRPr="004D68C7">
          <w:rPr>
            <w:b w:val="0"/>
            <w:webHidden/>
          </w:rPr>
          <w:fldChar w:fldCharType="separate"/>
        </w:r>
        <w:r w:rsidR="009C2EDC">
          <w:rPr>
            <w:b w:val="0"/>
            <w:webHidden/>
          </w:rPr>
          <w:t>107</w:t>
        </w:r>
        <w:r w:rsidR="000C62BB" w:rsidRPr="004D68C7">
          <w:rPr>
            <w:b w:val="0"/>
            <w:webHidden/>
          </w:rPr>
          <w:fldChar w:fldCharType="end"/>
        </w:r>
      </w:hyperlink>
    </w:p>
    <w:p w14:paraId="0E4E85C9" w14:textId="4FD074B4" w:rsidR="000C62BB" w:rsidRPr="004D68C7" w:rsidRDefault="00035AE8">
      <w:pPr>
        <w:pStyle w:val="TOC2"/>
        <w:rPr>
          <w:rFonts w:asciiTheme="minorHAnsi" w:eastAsiaTheme="minorEastAsia" w:hAnsiTheme="minorHAnsi" w:cstheme="minorBidi"/>
          <w:b w:val="0"/>
          <w:iCs w:val="0"/>
          <w:sz w:val="22"/>
          <w:szCs w:val="22"/>
        </w:rPr>
      </w:pPr>
      <w:hyperlink w:anchor="_Toc101048169" w:history="1">
        <w:r w:rsidR="000C62BB" w:rsidRPr="004D68C7">
          <w:rPr>
            <w:rStyle w:val="Hyperlink"/>
            <w:b w:val="0"/>
          </w:rPr>
          <w:t>Impact of variety on charcoal rot and growth parameters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_Toc101048169 \h </w:instrText>
        </w:r>
        <w:r w:rsidR="000C62BB" w:rsidRPr="004D68C7">
          <w:rPr>
            <w:b w:val="0"/>
            <w:webHidden/>
          </w:rPr>
        </w:r>
        <w:r w:rsidR="000C62BB" w:rsidRPr="004D68C7">
          <w:rPr>
            <w:b w:val="0"/>
            <w:webHidden/>
          </w:rPr>
          <w:fldChar w:fldCharType="separate"/>
        </w:r>
        <w:r w:rsidR="009C2EDC">
          <w:rPr>
            <w:b w:val="0"/>
            <w:webHidden/>
          </w:rPr>
          <w:t>107</w:t>
        </w:r>
        <w:r w:rsidR="000C62BB" w:rsidRPr="004D68C7">
          <w:rPr>
            <w:b w:val="0"/>
            <w:webHidden/>
          </w:rPr>
          <w:fldChar w:fldCharType="end"/>
        </w:r>
      </w:hyperlink>
    </w:p>
    <w:p w14:paraId="756F30C1" w14:textId="00DA8554" w:rsidR="000C62BB" w:rsidRPr="004D68C7" w:rsidRDefault="00035AE8">
      <w:pPr>
        <w:pStyle w:val="TOC1"/>
        <w:rPr>
          <w:rFonts w:asciiTheme="minorHAnsi" w:eastAsiaTheme="minorEastAsia" w:hAnsiTheme="minorHAnsi" w:cstheme="minorBidi"/>
          <w:sz w:val="22"/>
          <w:szCs w:val="22"/>
        </w:rPr>
      </w:pPr>
      <w:hyperlink w:anchor="_Toc101048170" w:history="1">
        <w:r w:rsidR="000C62BB" w:rsidRPr="004D68C7">
          <w:rPr>
            <w:rStyle w:val="Hyperlink"/>
          </w:rPr>
          <w:t>Discussion</w:t>
        </w:r>
        <w:r w:rsidR="000C62BB" w:rsidRPr="004D68C7">
          <w:rPr>
            <w:webHidden/>
          </w:rPr>
          <w:tab/>
        </w:r>
        <w:r w:rsidR="000C62BB" w:rsidRPr="004D68C7">
          <w:rPr>
            <w:webHidden/>
          </w:rPr>
          <w:fldChar w:fldCharType="begin"/>
        </w:r>
        <w:r w:rsidR="000C62BB" w:rsidRPr="004D68C7">
          <w:rPr>
            <w:webHidden/>
          </w:rPr>
          <w:instrText xml:space="preserve"> PAGEREF _Toc101048170 \h </w:instrText>
        </w:r>
        <w:r w:rsidR="000C62BB" w:rsidRPr="004D68C7">
          <w:rPr>
            <w:webHidden/>
          </w:rPr>
        </w:r>
        <w:r w:rsidR="000C62BB" w:rsidRPr="004D68C7">
          <w:rPr>
            <w:webHidden/>
          </w:rPr>
          <w:fldChar w:fldCharType="separate"/>
        </w:r>
        <w:r w:rsidR="009C2EDC">
          <w:rPr>
            <w:webHidden/>
          </w:rPr>
          <w:t>107</w:t>
        </w:r>
        <w:r w:rsidR="000C62BB" w:rsidRPr="004D68C7">
          <w:rPr>
            <w:webHidden/>
          </w:rPr>
          <w:fldChar w:fldCharType="end"/>
        </w:r>
      </w:hyperlink>
    </w:p>
    <w:p w14:paraId="45AE59EB" w14:textId="7168B802" w:rsidR="000C62BB" w:rsidRPr="004D68C7" w:rsidRDefault="00035AE8">
      <w:pPr>
        <w:pStyle w:val="TOC1"/>
        <w:rPr>
          <w:rFonts w:asciiTheme="minorHAnsi" w:eastAsiaTheme="minorEastAsia" w:hAnsiTheme="minorHAnsi" w:cstheme="minorBidi"/>
          <w:sz w:val="22"/>
          <w:szCs w:val="22"/>
        </w:rPr>
      </w:pPr>
      <w:hyperlink w:anchor="_Toc101048171" w:history="1">
        <w:r w:rsidR="000C62BB" w:rsidRPr="004D68C7">
          <w:rPr>
            <w:rStyle w:val="Hyperlink"/>
          </w:rPr>
          <w:t>References</w:t>
        </w:r>
        <w:r w:rsidR="000C62BB" w:rsidRPr="004D68C7">
          <w:rPr>
            <w:webHidden/>
          </w:rPr>
          <w:tab/>
        </w:r>
        <w:r w:rsidR="000C62BB" w:rsidRPr="004D68C7">
          <w:rPr>
            <w:webHidden/>
          </w:rPr>
          <w:fldChar w:fldCharType="begin"/>
        </w:r>
        <w:r w:rsidR="000C62BB" w:rsidRPr="004D68C7">
          <w:rPr>
            <w:webHidden/>
          </w:rPr>
          <w:instrText xml:space="preserve"> PAGEREF _Toc101048171 \h </w:instrText>
        </w:r>
        <w:r w:rsidR="000C62BB" w:rsidRPr="004D68C7">
          <w:rPr>
            <w:webHidden/>
          </w:rPr>
        </w:r>
        <w:r w:rsidR="000C62BB" w:rsidRPr="004D68C7">
          <w:rPr>
            <w:webHidden/>
          </w:rPr>
          <w:fldChar w:fldCharType="separate"/>
        </w:r>
        <w:r w:rsidR="009C2EDC">
          <w:rPr>
            <w:webHidden/>
          </w:rPr>
          <w:t>110</w:t>
        </w:r>
        <w:r w:rsidR="000C62BB" w:rsidRPr="004D68C7">
          <w:rPr>
            <w:webHidden/>
          </w:rPr>
          <w:fldChar w:fldCharType="end"/>
        </w:r>
      </w:hyperlink>
    </w:p>
    <w:p w14:paraId="4CBC654F" w14:textId="0BD92ABA" w:rsidR="000C62BB" w:rsidRPr="004D68C7" w:rsidRDefault="00035AE8">
      <w:pPr>
        <w:pStyle w:val="TOC1"/>
        <w:rPr>
          <w:rFonts w:asciiTheme="minorHAnsi" w:eastAsiaTheme="minorEastAsia" w:hAnsiTheme="minorHAnsi" w:cstheme="minorBidi"/>
          <w:sz w:val="22"/>
          <w:szCs w:val="22"/>
        </w:rPr>
      </w:pPr>
      <w:hyperlink w:anchor="_Toc101048172" w:history="1">
        <w:r w:rsidR="000C62BB" w:rsidRPr="004D68C7">
          <w:rPr>
            <w:rStyle w:val="Hyperlink"/>
          </w:rPr>
          <w:t>Appendix</w:t>
        </w:r>
        <w:r w:rsidR="000C62BB" w:rsidRPr="004D68C7">
          <w:rPr>
            <w:webHidden/>
          </w:rPr>
          <w:tab/>
        </w:r>
        <w:r w:rsidR="000C62BB" w:rsidRPr="004D68C7">
          <w:rPr>
            <w:webHidden/>
          </w:rPr>
          <w:fldChar w:fldCharType="begin"/>
        </w:r>
        <w:r w:rsidR="000C62BB" w:rsidRPr="004D68C7">
          <w:rPr>
            <w:webHidden/>
          </w:rPr>
          <w:instrText xml:space="preserve"> PAGEREF _Toc101048172 \h </w:instrText>
        </w:r>
        <w:r w:rsidR="000C62BB" w:rsidRPr="004D68C7">
          <w:rPr>
            <w:webHidden/>
          </w:rPr>
        </w:r>
        <w:r w:rsidR="000C62BB" w:rsidRPr="004D68C7">
          <w:rPr>
            <w:webHidden/>
          </w:rPr>
          <w:fldChar w:fldCharType="separate"/>
        </w:r>
        <w:r w:rsidR="009C2EDC">
          <w:rPr>
            <w:webHidden/>
          </w:rPr>
          <w:t>112</w:t>
        </w:r>
        <w:r w:rsidR="000C62BB" w:rsidRPr="004D68C7">
          <w:rPr>
            <w:webHidden/>
          </w:rPr>
          <w:fldChar w:fldCharType="end"/>
        </w:r>
      </w:hyperlink>
    </w:p>
    <w:p w14:paraId="25D320DF" w14:textId="77777777" w:rsidR="004035F8" w:rsidRDefault="004035F8">
      <w:pPr>
        <w:pStyle w:val="TOC1"/>
      </w:pPr>
    </w:p>
    <w:p w14:paraId="728778D7" w14:textId="749830BF" w:rsidR="000C62BB" w:rsidRDefault="00035AE8">
      <w:pPr>
        <w:pStyle w:val="TOC1"/>
        <w:rPr>
          <w:rFonts w:asciiTheme="minorHAnsi" w:eastAsiaTheme="minorEastAsia" w:hAnsiTheme="minorHAnsi" w:cstheme="minorBidi"/>
          <w:sz w:val="22"/>
          <w:szCs w:val="22"/>
        </w:rPr>
      </w:pPr>
      <w:hyperlink w:anchor="_Toc101048173" w:history="1">
        <w:r w:rsidR="000C62BB" w:rsidRPr="00B26BC9">
          <w:rPr>
            <w:rStyle w:val="Hyperlink"/>
          </w:rPr>
          <w:t>CHAPTER</w:t>
        </w:r>
        <w:r w:rsidR="000C62BB" w:rsidRPr="00B26BC9">
          <w:rPr>
            <w:rStyle w:val="Hyperlink"/>
            <w:spacing w:val="-3"/>
          </w:rPr>
          <w:t xml:space="preserve"> </w:t>
        </w:r>
        <w:r w:rsidR="000C62BB" w:rsidRPr="00B26BC9">
          <w:rPr>
            <w:rStyle w:val="Hyperlink"/>
          </w:rPr>
          <w:t>V.</w:t>
        </w:r>
        <w:r w:rsidR="000C62BB" w:rsidRPr="00B26BC9">
          <w:rPr>
            <w:rStyle w:val="Hyperlink"/>
            <w:spacing w:val="-3"/>
          </w:rPr>
          <w:t xml:space="preserve"> </w:t>
        </w:r>
        <w:r w:rsidR="000C62BB" w:rsidRPr="00B26BC9">
          <w:rPr>
            <w:rStyle w:val="Hyperlink"/>
          </w:rPr>
          <w:t xml:space="preserve">EFFICACY OF ORGANIC FUNGICIDES AGAINST HEMP POWDERY MILDEW CAUSED BY </w:t>
        </w:r>
        <w:r w:rsidR="000C62BB" w:rsidRPr="00B26BC9">
          <w:rPr>
            <w:rStyle w:val="Hyperlink"/>
            <w:i/>
          </w:rPr>
          <w:t>GOLOVINOMYCES AMBROSIAE</w:t>
        </w:r>
        <w:r w:rsidR="000C62BB" w:rsidRPr="00B26BC9">
          <w:rPr>
            <w:rStyle w:val="Hyperlink"/>
          </w:rPr>
          <w:t xml:space="preserve"> IN THE GREENHOUSE IN TENNESSEE</w:t>
        </w:r>
        <w:r w:rsidR="000C62BB">
          <w:rPr>
            <w:webHidden/>
          </w:rPr>
          <w:tab/>
        </w:r>
        <w:r w:rsidR="000C62BB">
          <w:rPr>
            <w:webHidden/>
          </w:rPr>
          <w:fldChar w:fldCharType="begin"/>
        </w:r>
        <w:r w:rsidR="000C62BB">
          <w:rPr>
            <w:webHidden/>
          </w:rPr>
          <w:instrText xml:space="preserve"> PAGEREF _Toc101048173 \h </w:instrText>
        </w:r>
        <w:r w:rsidR="000C62BB">
          <w:rPr>
            <w:webHidden/>
          </w:rPr>
        </w:r>
        <w:r w:rsidR="000C62BB">
          <w:rPr>
            <w:webHidden/>
          </w:rPr>
          <w:fldChar w:fldCharType="separate"/>
        </w:r>
        <w:r w:rsidR="009C2EDC">
          <w:rPr>
            <w:webHidden/>
          </w:rPr>
          <w:t>117</w:t>
        </w:r>
        <w:r w:rsidR="000C62BB">
          <w:rPr>
            <w:webHidden/>
          </w:rPr>
          <w:fldChar w:fldCharType="end"/>
        </w:r>
      </w:hyperlink>
    </w:p>
    <w:p w14:paraId="5233B495" w14:textId="5C17D90E" w:rsidR="000C62BB" w:rsidRPr="004D68C7" w:rsidRDefault="00035AE8">
      <w:pPr>
        <w:pStyle w:val="TOC1"/>
        <w:rPr>
          <w:rFonts w:asciiTheme="minorHAnsi" w:eastAsiaTheme="minorEastAsia" w:hAnsiTheme="minorHAnsi" w:cstheme="minorBidi"/>
          <w:sz w:val="22"/>
          <w:szCs w:val="22"/>
        </w:rPr>
      </w:pPr>
      <w:hyperlink w:anchor="_Toc101048174" w:history="1">
        <w:r w:rsidR="000C62BB" w:rsidRPr="004D68C7">
          <w:rPr>
            <w:rStyle w:val="Hyperlink"/>
          </w:rPr>
          <w:t>Abstract</w:t>
        </w:r>
        <w:r w:rsidR="000C62BB" w:rsidRPr="004D68C7">
          <w:rPr>
            <w:webHidden/>
          </w:rPr>
          <w:tab/>
        </w:r>
        <w:r w:rsidR="000C62BB" w:rsidRPr="004D68C7">
          <w:rPr>
            <w:webHidden/>
          </w:rPr>
          <w:fldChar w:fldCharType="begin"/>
        </w:r>
        <w:r w:rsidR="000C62BB" w:rsidRPr="004D68C7">
          <w:rPr>
            <w:webHidden/>
          </w:rPr>
          <w:instrText xml:space="preserve"> PAGEREF _Toc101048174 \h </w:instrText>
        </w:r>
        <w:r w:rsidR="000C62BB" w:rsidRPr="004D68C7">
          <w:rPr>
            <w:webHidden/>
          </w:rPr>
        </w:r>
        <w:r w:rsidR="000C62BB" w:rsidRPr="004D68C7">
          <w:rPr>
            <w:webHidden/>
          </w:rPr>
          <w:fldChar w:fldCharType="separate"/>
        </w:r>
        <w:r w:rsidR="009C2EDC">
          <w:rPr>
            <w:webHidden/>
          </w:rPr>
          <w:t>118</w:t>
        </w:r>
        <w:r w:rsidR="000C62BB" w:rsidRPr="004D68C7">
          <w:rPr>
            <w:webHidden/>
          </w:rPr>
          <w:fldChar w:fldCharType="end"/>
        </w:r>
      </w:hyperlink>
    </w:p>
    <w:p w14:paraId="24A3A84C" w14:textId="79AC32EE" w:rsidR="000C62BB" w:rsidRPr="004D68C7" w:rsidRDefault="00035AE8">
      <w:pPr>
        <w:pStyle w:val="TOC1"/>
        <w:rPr>
          <w:rFonts w:asciiTheme="minorHAnsi" w:eastAsiaTheme="minorEastAsia" w:hAnsiTheme="minorHAnsi" w:cstheme="minorBidi"/>
          <w:sz w:val="22"/>
          <w:szCs w:val="22"/>
        </w:rPr>
      </w:pPr>
      <w:hyperlink w:anchor="_Toc101048175" w:history="1">
        <w:r w:rsidR="000C62BB" w:rsidRPr="004D68C7">
          <w:rPr>
            <w:rStyle w:val="Hyperlink"/>
          </w:rPr>
          <w:t>Introduction</w:t>
        </w:r>
        <w:r w:rsidR="000C62BB" w:rsidRPr="004D68C7">
          <w:rPr>
            <w:webHidden/>
          </w:rPr>
          <w:tab/>
        </w:r>
        <w:r w:rsidR="000C62BB" w:rsidRPr="004D68C7">
          <w:rPr>
            <w:webHidden/>
          </w:rPr>
          <w:fldChar w:fldCharType="begin"/>
        </w:r>
        <w:r w:rsidR="000C62BB" w:rsidRPr="004D68C7">
          <w:rPr>
            <w:webHidden/>
          </w:rPr>
          <w:instrText xml:space="preserve"> PAGEREF _Toc101048175 \h </w:instrText>
        </w:r>
        <w:r w:rsidR="000C62BB" w:rsidRPr="004D68C7">
          <w:rPr>
            <w:webHidden/>
          </w:rPr>
        </w:r>
        <w:r w:rsidR="000C62BB" w:rsidRPr="004D68C7">
          <w:rPr>
            <w:webHidden/>
          </w:rPr>
          <w:fldChar w:fldCharType="separate"/>
        </w:r>
        <w:r w:rsidR="009C2EDC">
          <w:rPr>
            <w:webHidden/>
          </w:rPr>
          <w:t>119</w:t>
        </w:r>
        <w:r w:rsidR="000C62BB" w:rsidRPr="004D68C7">
          <w:rPr>
            <w:webHidden/>
          </w:rPr>
          <w:fldChar w:fldCharType="end"/>
        </w:r>
      </w:hyperlink>
    </w:p>
    <w:p w14:paraId="357C423A" w14:textId="2944D0ED" w:rsidR="000C62BB" w:rsidRPr="004D68C7" w:rsidRDefault="00035AE8">
      <w:pPr>
        <w:pStyle w:val="TOC1"/>
        <w:rPr>
          <w:rFonts w:asciiTheme="minorHAnsi" w:eastAsiaTheme="minorEastAsia" w:hAnsiTheme="minorHAnsi" w:cstheme="minorBidi"/>
          <w:sz w:val="22"/>
          <w:szCs w:val="22"/>
        </w:rPr>
      </w:pPr>
      <w:hyperlink w:anchor="_Toc101048176" w:history="1">
        <w:r w:rsidR="000C62BB" w:rsidRPr="004D68C7">
          <w:rPr>
            <w:rStyle w:val="Hyperlink"/>
          </w:rPr>
          <w:t>Materials and methods</w:t>
        </w:r>
        <w:r w:rsidR="000C62BB" w:rsidRPr="004D68C7">
          <w:rPr>
            <w:webHidden/>
          </w:rPr>
          <w:tab/>
        </w:r>
        <w:r w:rsidR="000C62BB" w:rsidRPr="004D68C7">
          <w:rPr>
            <w:webHidden/>
          </w:rPr>
          <w:fldChar w:fldCharType="begin"/>
        </w:r>
        <w:r w:rsidR="000C62BB" w:rsidRPr="004D68C7">
          <w:rPr>
            <w:webHidden/>
          </w:rPr>
          <w:instrText xml:space="preserve"> PAGEREF _Toc101048176 \h </w:instrText>
        </w:r>
        <w:r w:rsidR="000C62BB" w:rsidRPr="004D68C7">
          <w:rPr>
            <w:webHidden/>
          </w:rPr>
        </w:r>
        <w:r w:rsidR="000C62BB" w:rsidRPr="004D68C7">
          <w:rPr>
            <w:webHidden/>
          </w:rPr>
          <w:fldChar w:fldCharType="separate"/>
        </w:r>
        <w:r w:rsidR="009C2EDC">
          <w:rPr>
            <w:webHidden/>
          </w:rPr>
          <w:t>121</w:t>
        </w:r>
        <w:r w:rsidR="000C62BB" w:rsidRPr="004D68C7">
          <w:rPr>
            <w:webHidden/>
          </w:rPr>
          <w:fldChar w:fldCharType="end"/>
        </w:r>
      </w:hyperlink>
    </w:p>
    <w:p w14:paraId="7B058402" w14:textId="0D110E68" w:rsidR="000C62BB" w:rsidRPr="004D68C7" w:rsidRDefault="00035AE8">
      <w:pPr>
        <w:pStyle w:val="TOC2"/>
        <w:rPr>
          <w:rFonts w:asciiTheme="minorHAnsi" w:eastAsiaTheme="minorEastAsia" w:hAnsiTheme="minorHAnsi" w:cstheme="minorBidi"/>
          <w:b w:val="0"/>
          <w:iCs w:val="0"/>
          <w:sz w:val="22"/>
          <w:szCs w:val="22"/>
        </w:rPr>
      </w:pPr>
      <w:hyperlink w:anchor="_Toc101048177" w:history="1">
        <w:r w:rsidR="000C62BB" w:rsidRPr="004D68C7">
          <w:rPr>
            <w:rStyle w:val="Hyperlink"/>
            <w:b w:val="0"/>
          </w:rPr>
          <w:t>Molecular identification and phylogenetic analysis of the pathogen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_Toc101048177 \h </w:instrText>
        </w:r>
        <w:r w:rsidR="000C62BB" w:rsidRPr="004D68C7">
          <w:rPr>
            <w:b w:val="0"/>
            <w:webHidden/>
          </w:rPr>
        </w:r>
        <w:r w:rsidR="000C62BB" w:rsidRPr="004D68C7">
          <w:rPr>
            <w:b w:val="0"/>
            <w:webHidden/>
          </w:rPr>
          <w:fldChar w:fldCharType="separate"/>
        </w:r>
        <w:r w:rsidR="009C2EDC">
          <w:rPr>
            <w:b w:val="0"/>
            <w:webHidden/>
          </w:rPr>
          <w:t>121</w:t>
        </w:r>
        <w:r w:rsidR="000C62BB" w:rsidRPr="004D68C7">
          <w:rPr>
            <w:b w:val="0"/>
            <w:webHidden/>
          </w:rPr>
          <w:fldChar w:fldCharType="end"/>
        </w:r>
      </w:hyperlink>
    </w:p>
    <w:p w14:paraId="1DA631DF" w14:textId="7545FD9E" w:rsidR="000C62BB" w:rsidRPr="004D68C7" w:rsidRDefault="00035AE8">
      <w:pPr>
        <w:pStyle w:val="TOC2"/>
        <w:rPr>
          <w:rFonts w:asciiTheme="minorHAnsi" w:eastAsiaTheme="minorEastAsia" w:hAnsiTheme="minorHAnsi" w:cstheme="minorBidi"/>
          <w:b w:val="0"/>
          <w:iCs w:val="0"/>
          <w:sz w:val="22"/>
          <w:szCs w:val="22"/>
        </w:rPr>
      </w:pPr>
      <w:hyperlink w:anchor="_Toc101048178" w:history="1">
        <w:r w:rsidR="000C62BB" w:rsidRPr="004D68C7">
          <w:rPr>
            <w:rStyle w:val="Hyperlink"/>
            <w:b w:val="0"/>
          </w:rPr>
          <w:t>Greenhouse experimental design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_Toc101048178 \h </w:instrText>
        </w:r>
        <w:r w:rsidR="000C62BB" w:rsidRPr="004D68C7">
          <w:rPr>
            <w:b w:val="0"/>
            <w:webHidden/>
          </w:rPr>
        </w:r>
        <w:r w:rsidR="000C62BB" w:rsidRPr="004D68C7">
          <w:rPr>
            <w:b w:val="0"/>
            <w:webHidden/>
          </w:rPr>
          <w:fldChar w:fldCharType="separate"/>
        </w:r>
        <w:r w:rsidR="009C2EDC">
          <w:rPr>
            <w:b w:val="0"/>
            <w:webHidden/>
          </w:rPr>
          <w:t>122</w:t>
        </w:r>
        <w:r w:rsidR="000C62BB" w:rsidRPr="004D68C7">
          <w:rPr>
            <w:b w:val="0"/>
            <w:webHidden/>
          </w:rPr>
          <w:fldChar w:fldCharType="end"/>
        </w:r>
      </w:hyperlink>
    </w:p>
    <w:p w14:paraId="0BD3F648" w14:textId="6938226A" w:rsidR="000C62BB" w:rsidRPr="004D68C7" w:rsidRDefault="00035AE8">
      <w:pPr>
        <w:pStyle w:val="TOC2"/>
        <w:rPr>
          <w:rFonts w:asciiTheme="minorHAnsi" w:eastAsiaTheme="minorEastAsia" w:hAnsiTheme="minorHAnsi" w:cstheme="minorBidi"/>
          <w:b w:val="0"/>
          <w:iCs w:val="0"/>
          <w:sz w:val="22"/>
          <w:szCs w:val="22"/>
        </w:rPr>
      </w:pPr>
      <w:hyperlink w:anchor="_Toc101048179" w:history="1">
        <w:r w:rsidR="000C62BB" w:rsidRPr="004D68C7">
          <w:rPr>
            <w:rStyle w:val="Hyperlink"/>
            <w:b w:val="0"/>
          </w:rPr>
          <w:t>Conidial inoculation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_Toc101048179 \h </w:instrText>
        </w:r>
        <w:r w:rsidR="000C62BB" w:rsidRPr="004D68C7">
          <w:rPr>
            <w:b w:val="0"/>
            <w:webHidden/>
          </w:rPr>
        </w:r>
        <w:r w:rsidR="000C62BB" w:rsidRPr="004D68C7">
          <w:rPr>
            <w:b w:val="0"/>
            <w:webHidden/>
          </w:rPr>
          <w:fldChar w:fldCharType="separate"/>
        </w:r>
        <w:r w:rsidR="009C2EDC">
          <w:rPr>
            <w:b w:val="0"/>
            <w:webHidden/>
          </w:rPr>
          <w:t>123</w:t>
        </w:r>
        <w:r w:rsidR="000C62BB" w:rsidRPr="004D68C7">
          <w:rPr>
            <w:b w:val="0"/>
            <w:webHidden/>
          </w:rPr>
          <w:fldChar w:fldCharType="end"/>
        </w:r>
      </w:hyperlink>
    </w:p>
    <w:p w14:paraId="5D9BD975" w14:textId="29481056" w:rsidR="000C62BB" w:rsidRPr="004D68C7" w:rsidRDefault="00035AE8">
      <w:pPr>
        <w:pStyle w:val="TOC2"/>
        <w:rPr>
          <w:rFonts w:asciiTheme="minorHAnsi" w:eastAsiaTheme="minorEastAsia" w:hAnsiTheme="minorHAnsi" w:cstheme="minorBidi"/>
          <w:b w:val="0"/>
          <w:iCs w:val="0"/>
          <w:sz w:val="22"/>
          <w:szCs w:val="22"/>
        </w:rPr>
      </w:pPr>
      <w:hyperlink w:anchor="_Toc101048180" w:history="1">
        <w:r w:rsidR="000C62BB" w:rsidRPr="004D68C7">
          <w:rPr>
            <w:rStyle w:val="Hyperlink"/>
            <w:b w:val="0"/>
          </w:rPr>
          <w:t>Fungicide applications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_Toc101048180 \h </w:instrText>
        </w:r>
        <w:r w:rsidR="000C62BB" w:rsidRPr="004D68C7">
          <w:rPr>
            <w:b w:val="0"/>
            <w:webHidden/>
          </w:rPr>
        </w:r>
        <w:r w:rsidR="000C62BB" w:rsidRPr="004D68C7">
          <w:rPr>
            <w:b w:val="0"/>
            <w:webHidden/>
          </w:rPr>
          <w:fldChar w:fldCharType="separate"/>
        </w:r>
        <w:r w:rsidR="009C2EDC">
          <w:rPr>
            <w:b w:val="0"/>
            <w:webHidden/>
          </w:rPr>
          <w:t>123</w:t>
        </w:r>
        <w:r w:rsidR="000C62BB" w:rsidRPr="004D68C7">
          <w:rPr>
            <w:b w:val="0"/>
            <w:webHidden/>
          </w:rPr>
          <w:fldChar w:fldCharType="end"/>
        </w:r>
      </w:hyperlink>
    </w:p>
    <w:p w14:paraId="3EF24B46" w14:textId="4F75377C" w:rsidR="000C62BB" w:rsidRPr="004D68C7" w:rsidRDefault="00035AE8">
      <w:pPr>
        <w:pStyle w:val="TOC2"/>
        <w:rPr>
          <w:rFonts w:asciiTheme="minorHAnsi" w:eastAsiaTheme="minorEastAsia" w:hAnsiTheme="minorHAnsi" w:cstheme="minorBidi"/>
          <w:b w:val="0"/>
          <w:iCs w:val="0"/>
          <w:sz w:val="22"/>
          <w:szCs w:val="22"/>
        </w:rPr>
      </w:pPr>
      <w:hyperlink w:anchor="_Toc101048181" w:history="1">
        <w:r w:rsidR="000C62BB" w:rsidRPr="004D68C7">
          <w:rPr>
            <w:rStyle w:val="Hyperlink"/>
            <w:b w:val="0"/>
          </w:rPr>
          <w:t>Disease assessments</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_Toc101048181 \h </w:instrText>
        </w:r>
        <w:r w:rsidR="000C62BB" w:rsidRPr="004D68C7">
          <w:rPr>
            <w:b w:val="0"/>
            <w:webHidden/>
          </w:rPr>
        </w:r>
        <w:r w:rsidR="000C62BB" w:rsidRPr="004D68C7">
          <w:rPr>
            <w:b w:val="0"/>
            <w:webHidden/>
          </w:rPr>
          <w:fldChar w:fldCharType="separate"/>
        </w:r>
        <w:r w:rsidR="009C2EDC">
          <w:rPr>
            <w:b w:val="0"/>
            <w:webHidden/>
          </w:rPr>
          <w:t>124</w:t>
        </w:r>
        <w:r w:rsidR="000C62BB" w:rsidRPr="004D68C7">
          <w:rPr>
            <w:b w:val="0"/>
            <w:webHidden/>
          </w:rPr>
          <w:fldChar w:fldCharType="end"/>
        </w:r>
      </w:hyperlink>
    </w:p>
    <w:p w14:paraId="703E9A3D" w14:textId="18A77793" w:rsidR="000C62BB" w:rsidRPr="004D68C7" w:rsidRDefault="00035AE8">
      <w:pPr>
        <w:pStyle w:val="TOC2"/>
        <w:rPr>
          <w:rFonts w:asciiTheme="minorHAnsi" w:eastAsiaTheme="minorEastAsia" w:hAnsiTheme="minorHAnsi" w:cstheme="minorBidi"/>
          <w:b w:val="0"/>
          <w:iCs w:val="0"/>
          <w:sz w:val="22"/>
          <w:szCs w:val="22"/>
        </w:rPr>
      </w:pPr>
      <w:hyperlink w:anchor="_Toc101048182" w:history="1">
        <w:r w:rsidR="000C62BB" w:rsidRPr="004D68C7">
          <w:rPr>
            <w:rStyle w:val="Hyperlink"/>
            <w:b w:val="0"/>
          </w:rPr>
          <w:t>Data analysis and interpretation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_Toc101048182 \h </w:instrText>
        </w:r>
        <w:r w:rsidR="000C62BB" w:rsidRPr="004D68C7">
          <w:rPr>
            <w:b w:val="0"/>
            <w:webHidden/>
          </w:rPr>
        </w:r>
        <w:r w:rsidR="000C62BB" w:rsidRPr="004D68C7">
          <w:rPr>
            <w:b w:val="0"/>
            <w:webHidden/>
          </w:rPr>
          <w:fldChar w:fldCharType="separate"/>
        </w:r>
        <w:r w:rsidR="009C2EDC">
          <w:rPr>
            <w:b w:val="0"/>
            <w:webHidden/>
          </w:rPr>
          <w:t>124</w:t>
        </w:r>
        <w:r w:rsidR="000C62BB" w:rsidRPr="004D68C7">
          <w:rPr>
            <w:b w:val="0"/>
            <w:webHidden/>
          </w:rPr>
          <w:fldChar w:fldCharType="end"/>
        </w:r>
      </w:hyperlink>
    </w:p>
    <w:p w14:paraId="2CAFFFE3" w14:textId="6851CCCB" w:rsidR="000C62BB" w:rsidRPr="004D68C7" w:rsidRDefault="00035AE8">
      <w:pPr>
        <w:pStyle w:val="TOC1"/>
        <w:rPr>
          <w:rFonts w:asciiTheme="minorHAnsi" w:eastAsiaTheme="minorEastAsia" w:hAnsiTheme="minorHAnsi" w:cstheme="minorBidi"/>
          <w:sz w:val="22"/>
          <w:szCs w:val="22"/>
        </w:rPr>
      </w:pPr>
      <w:hyperlink w:anchor="_Toc101048183" w:history="1">
        <w:r w:rsidR="000C62BB" w:rsidRPr="004D68C7">
          <w:rPr>
            <w:rStyle w:val="Hyperlink"/>
          </w:rPr>
          <w:t>Results</w:t>
        </w:r>
        <w:r w:rsidR="000C62BB" w:rsidRPr="004D68C7">
          <w:rPr>
            <w:webHidden/>
          </w:rPr>
          <w:tab/>
        </w:r>
        <w:r w:rsidR="000C62BB" w:rsidRPr="004D68C7">
          <w:rPr>
            <w:webHidden/>
          </w:rPr>
          <w:fldChar w:fldCharType="begin"/>
        </w:r>
        <w:r w:rsidR="000C62BB" w:rsidRPr="004D68C7">
          <w:rPr>
            <w:webHidden/>
          </w:rPr>
          <w:instrText xml:space="preserve"> PAGEREF _Toc101048183 \h </w:instrText>
        </w:r>
        <w:r w:rsidR="000C62BB" w:rsidRPr="004D68C7">
          <w:rPr>
            <w:webHidden/>
          </w:rPr>
        </w:r>
        <w:r w:rsidR="000C62BB" w:rsidRPr="004D68C7">
          <w:rPr>
            <w:webHidden/>
          </w:rPr>
          <w:fldChar w:fldCharType="separate"/>
        </w:r>
        <w:r w:rsidR="009C2EDC">
          <w:rPr>
            <w:webHidden/>
          </w:rPr>
          <w:t>125</w:t>
        </w:r>
        <w:r w:rsidR="000C62BB" w:rsidRPr="004D68C7">
          <w:rPr>
            <w:webHidden/>
          </w:rPr>
          <w:fldChar w:fldCharType="end"/>
        </w:r>
      </w:hyperlink>
    </w:p>
    <w:p w14:paraId="76F86654" w14:textId="682D6F4C" w:rsidR="000C62BB" w:rsidRPr="004D68C7" w:rsidRDefault="00035AE8">
      <w:pPr>
        <w:pStyle w:val="TOC2"/>
        <w:rPr>
          <w:rFonts w:asciiTheme="minorHAnsi" w:eastAsiaTheme="minorEastAsia" w:hAnsiTheme="minorHAnsi" w:cstheme="minorBidi"/>
          <w:b w:val="0"/>
          <w:iCs w:val="0"/>
          <w:sz w:val="22"/>
          <w:szCs w:val="22"/>
        </w:rPr>
      </w:pPr>
      <w:hyperlink w:anchor="_Toc101048184" w:history="1">
        <w:r w:rsidR="000C62BB" w:rsidRPr="004D68C7">
          <w:rPr>
            <w:rStyle w:val="Hyperlink"/>
            <w:b w:val="0"/>
          </w:rPr>
          <w:t>Molecular identification of powdery mildew pathogen</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_Toc101048184 \h </w:instrText>
        </w:r>
        <w:r w:rsidR="000C62BB" w:rsidRPr="004D68C7">
          <w:rPr>
            <w:b w:val="0"/>
            <w:webHidden/>
          </w:rPr>
        </w:r>
        <w:r w:rsidR="000C62BB" w:rsidRPr="004D68C7">
          <w:rPr>
            <w:b w:val="0"/>
            <w:webHidden/>
          </w:rPr>
          <w:fldChar w:fldCharType="separate"/>
        </w:r>
        <w:r w:rsidR="009C2EDC">
          <w:rPr>
            <w:b w:val="0"/>
            <w:webHidden/>
          </w:rPr>
          <w:t>125</w:t>
        </w:r>
        <w:r w:rsidR="000C62BB" w:rsidRPr="004D68C7">
          <w:rPr>
            <w:b w:val="0"/>
            <w:webHidden/>
          </w:rPr>
          <w:fldChar w:fldCharType="end"/>
        </w:r>
      </w:hyperlink>
    </w:p>
    <w:p w14:paraId="327A8D91" w14:textId="367EFC16" w:rsidR="000C62BB" w:rsidRPr="004D68C7" w:rsidRDefault="00035AE8">
      <w:pPr>
        <w:pStyle w:val="TOC2"/>
        <w:rPr>
          <w:rFonts w:asciiTheme="minorHAnsi" w:eastAsiaTheme="minorEastAsia" w:hAnsiTheme="minorHAnsi" w:cstheme="minorBidi"/>
          <w:b w:val="0"/>
          <w:iCs w:val="0"/>
          <w:sz w:val="22"/>
          <w:szCs w:val="22"/>
        </w:rPr>
      </w:pPr>
      <w:hyperlink w:anchor="_Toc101048185" w:history="1">
        <w:r w:rsidR="000C62BB" w:rsidRPr="004D68C7">
          <w:rPr>
            <w:rStyle w:val="Hyperlink"/>
            <w:b w:val="0"/>
          </w:rPr>
          <w:t>Fungicide efficacy</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_Toc101048185 \h </w:instrText>
        </w:r>
        <w:r w:rsidR="000C62BB" w:rsidRPr="004D68C7">
          <w:rPr>
            <w:b w:val="0"/>
            <w:webHidden/>
          </w:rPr>
        </w:r>
        <w:r w:rsidR="000C62BB" w:rsidRPr="004D68C7">
          <w:rPr>
            <w:b w:val="0"/>
            <w:webHidden/>
          </w:rPr>
          <w:fldChar w:fldCharType="separate"/>
        </w:r>
        <w:r w:rsidR="009C2EDC">
          <w:rPr>
            <w:b w:val="0"/>
            <w:webHidden/>
          </w:rPr>
          <w:t>125</w:t>
        </w:r>
        <w:r w:rsidR="000C62BB" w:rsidRPr="004D68C7">
          <w:rPr>
            <w:b w:val="0"/>
            <w:webHidden/>
          </w:rPr>
          <w:fldChar w:fldCharType="end"/>
        </w:r>
      </w:hyperlink>
    </w:p>
    <w:p w14:paraId="2295C0A1" w14:textId="5F1ABA29" w:rsidR="000C62BB" w:rsidRPr="004D68C7" w:rsidRDefault="00035AE8">
      <w:pPr>
        <w:pStyle w:val="TOC2"/>
        <w:rPr>
          <w:rFonts w:asciiTheme="minorHAnsi" w:eastAsiaTheme="minorEastAsia" w:hAnsiTheme="minorHAnsi" w:cstheme="minorBidi"/>
          <w:b w:val="0"/>
          <w:iCs w:val="0"/>
          <w:sz w:val="22"/>
          <w:szCs w:val="22"/>
        </w:rPr>
      </w:pPr>
      <w:hyperlink w:anchor="_Toc101048186" w:history="1">
        <w:r w:rsidR="000C62BB" w:rsidRPr="004D68C7">
          <w:rPr>
            <w:rStyle w:val="Hyperlink"/>
            <w:b w:val="0"/>
          </w:rPr>
          <w:t>Experiment 1</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_Toc101048186 \h </w:instrText>
        </w:r>
        <w:r w:rsidR="000C62BB" w:rsidRPr="004D68C7">
          <w:rPr>
            <w:b w:val="0"/>
            <w:webHidden/>
          </w:rPr>
        </w:r>
        <w:r w:rsidR="000C62BB" w:rsidRPr="004D68C7">
          <w:rPr>
            <w:b w:val="0"/>
            <w:webHidden/>
          </w:rPr>
          <w:fldChar w:fldCharType="separate"/>
        </w:r>
        <w:r w:rsidR="009C2EDC">
          <w:rPr>
            <w:b w:val="0"/>
            <w:webHidden/>
          </w:rPr>
          <w:t>126</w:t>
        </w:r>
        <w:r w:rsidR="000C62BB" w:rsidRPr="004D68C7">
          <w:rPr>
            <w:b w:val="0"/>
            <w:webHidden/>
          </w:rPr>
          <w:fldChar w:fldCharType="end"/>
        </w:r>
      </w:hyperlink>
    </w:p>
    <w:p w14:paraId="660BA8DE" w14:textId="6FC69154"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87" w:history="1">
        <w:r w:rsidR="000C62BB" w:rsidRPr="004D68C7">
          <w:rPr>
            <w:rStyle w:val="Hyperlink"/>
            <w:noProof/>
          </w:rPr>
          <w:t>Disease index</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_Toc101048187 \h </w:instrText>
        </w:r>
        <w:r w:rsidR="000C62BB" w:rsidRPr="004D68C7">
          <w:rPr>
            <w:noProof/>
            <w:webHidden/>
          </w:rPr>
        </w:r>
        <w:r w:rsidR="000C62BB" w:rsidRPr="004D68C7">
          <w:rPr>
            <w:noProof/>
            <w:webHidden/>
          </w:rPr>
          <w:fldChar w:fldCharType="separate"/>
        </w:r>
        <w:r w:rsidR="009C2EDC">
          <w:rPr>
            <w:noProof/>
            <w:webHidden/>
          </w:rPr>
          <w:t>126</w:t>
        </w:r>
        <w:r w:rsidR="000C62BB" w:rsidRPr="004D68C7">
          <w:rPr>
            <w:noProof/>
            <w:webHidden/>
          </w:rPr>
          <w:fldChar w:fldCharType="end"/>
        </w:r>
      </w:hyperlink>
    </w:p>
    <w:p w14:paraId="685A3851" w14:textId="496ACA13"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88" w:history="1">
        <w:r w:rsidR="000C62BB" w:rsidRPr="004D68C7">
          <w:rPr>
            <w:rStyle w:val="Hyperlink"/>
            <w:noProof/>
          </w:rPr>
          <w:t>Disease progress (AUDPC)</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_Toc101048188 \h </w:instrText>
        </w:r>
        <w:r w:rsidR="000C62BB" w:rsidRPr="004D68C7">
          <w:rPr>
            <w:noProof/>
            <w:webHidden/>
          </w:rPr>
        </w:r>
        <w:r w:rsidR="000C62BB" w:rsidRPr="004D68C7">
          <w:rPr>
            <w:noProof/>
            <w:webHidden/>
          </w:rPr>
          <w:fldChar w:fldCharType="separate"/>
        </w:r>
        <w:r w:rsidR="009C2EDC">
          <w:rPr>
            <w:noProof/>
            <w:webHidden/>
          </w:rPr>
          <w:t>126</w:t>
        </w:r>
        <w:r w:rsidR="000C62BB" w:rsidRPr="004D68C7">
          <w:rPr>
            <w:noProof/>
            <w:webHidden/>
          </w:rPr>
          <w:fldChar w:fldCharType="end"/>
        </w:r>
      </w:hyperlink>
    </w:p>
    <w:p w14:paraId="682F7C4D" w14:textId="776BA15F" w:rsidR="000C62BB" w:rsidRPr="004D68C7" w:rsidRDefault="00035AE8">
      <w:pPr>
        <w:pStyle w:val="TOC2"/>
        <w:rPr>
          <w:rFonts w:asciiTheme="minorHAnsi" w:eastAsiaTheme="minorEastAsia" w:hAnsiTheme="minorHAnsi" w:cstheme="minorBidi"/>
          <w:b w:val="0"/>
          <w:iCs w:val="0"/>
          <w:sz w:val="22"/>
          <w:szCs w:val="22"/>
        </w:rPr>
      </w:pPr>
      <w:hyperlink w:anchor="_Toc101048189" w:history="1">
        <w:r w:rsidR="000C62BB" w:rsidRPr="004D68C7">
          <w:rPr>
            <w:rStyle w:val="Hyperlink"/>
            <w:b w:val="0"/>
          </w:rPr>
          <w:t>Experiment 2</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_Toc101048189 \h </w:instrText>
        </w:r>
        <w:r w:rsidR="000C62BB" w:rsidRPr="004D68C7">
          <w:rPr>
            <w:b w:val="0"/>
            <w:webHidden/>
          </w:rPr>
        </w:r>
        <w:r w:rsidR="000C62BB" w:rsidRPr="004D68C7">
          <w:rPr>
            <w:b w:val="0"/>
            <w:webHidden/>
          </w:rPr>
          <w:fldChar w:fldCharType="separate"/>
        </w:r>
        <w:r w:rsidR="009C2EDC">
          <w:rPr>
            <w:b w:val="0"/>
            <w:webHidden/>
          </w:rPr>
          <w:t>126</w:t>
        </w:r>
        <w:r w:rsidR="000C62BB" w:rsidRPr="004D68C7">
          <w:rPr>
            <w:b w:val="0"/>
            <w:webHidden/>
          </w:rPr>
          <w:fldChar w:fldCharType="end"/>
        </w:r>
      </w:hyperlink>
    </w:p>
    <w:p w14:paraId="00C08000" w14:textId="56E35832"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90" w:history="1">
        <w:r w:rsidR="000C62BB" w:rsidRPr="004D68C7">
          <w:rPr>
            <w:rStyle w:val="Hyperlink"/>
            <w:noProof/>
          </w:rPr>
          <w:t>Disease index.</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_Toc101048190 \h </w:instrText>
        </w:r>
        <w:r w:rsidR="000C62BB" w:rsidRPr="004D68C7">
          <w:rPr>
            <w:noProof/>
            <w:webHidden/>
          </w:rPr>
        </w:r>
        <w:r w:rsidR="000C62BB" w:rsidRPr="004D68C7">
          <w:rPr>
            <w:noProof/>
            <w:webHidden/>
          </w:rPr>
          <w:fldChar w:fldCharType="separate"/>
        </w:r>
        <w:r w:rsidR="009C2EDC">
          <w:rPr>
            <w:noProof/>
            <w:webHidden/>
          </w:rPr>
          <w:t>126</w:t>
        </w:r>
        <w:r w:rsidR="000C62BB" w:rsidRPr="004D68C7">
          <w:rPr>
            <w:noProof/>
            <w:webHidden/>
          </w:rPr>
          <w:fldChar w:fldCharType="end"/>
        </w:r>
      </w:hyperlink>
    </w:p>
    <w:p w14:paraId="73FB344C" w14:textId="30017C23"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91" w:history="1">
        <w:r w:rsidR="000C62BB" w:rsidRPr="004D68C7">
          <w:rPr>
            <w:rStyle w:val="Hyperlink"/>
            <w:noProof/>
          </w:rPr>
          <w:t>Disease progress (AUDPC)</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_Toc101048191 \h </w:instrText>
        </w:r>
        <w:r w:rsidR="000C62BB" w:rsidRPr="004D68C7">
          <w:rPr>
            <w:noProof/>
            <w:webHidden/>
          </w:rPr>
        </w:r>
        <w:r w:rsidR="000C62BB" w:rsidRPr="004D68C7">
          <w:rPr>
            <w:noProof/>
            <w:webHidden/>
          </w:rPr>
          <w:fldChar w:fldCharType="separate"/>
        </w:r>
        <w:r w:rsidR="009C2EDC">
          <w:rPr>
            <w:noProof/>
            <w:webHidden/>
          </w:rPr>
          <w:t>127</w:t>
        </w:r>
        <w:r w:rsidR="000C62BB" w:rsidRPr="004D68C7">
          <w:rPr>
            <w:noProof/>
            <w:webHidden/>
          </w:rPr>
          <w:fldChar w:fldCharType="end"/>
        </w:r>
      </w:hyperlink>
    </w:p>
    <w:p w14:paraId="07123F93" w14:textId="6E966646" w:rsidR="000C62BB" w:rsidRPr="004D68C7" w:rsidRDefault="00035AE8">
      <w:pPr>
        <w:pStyle w:val="TOC2"/>
        <w:rPr>
          <w:rFonts w:asciiTheme="minorHAnsi" w:eastAsiaTheme="minorEastAsia" w:hAnsiTheme="minorHAnsi" w:cstheme="minorBidi"/>
          <w:b w:val="0"/>
          <w:iCs w:val="0"/>
          <w:sz w:val="22"/>
          <w:szCs w:val="22"/>
        </w:rPr>
      </w:pPr>
      <w:hyperlink w:anchor="_Toc101048192" w:history="1">
        <w:r w:rsidR="000C62BB" w:rsidRPr="004D68C7">
          <w:rPr>
            <w:rStyle w:val="Hyperlink"/>
            <w:b w:val="0"/>
          </w:rPr>
          <w:t>Experiment 3</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_Toc101048192 \h </w:instrText>
        </w:r>
        <w:r w:rsidR="000C62BB" w:rsidRPr="004D68C7">
          <w:rPr>
            <w:b w:val="0"/>
            <w:webHidden/>
          </w:rPr>
        </w:r>
        <w:r w:rsidR="000C62BB" w:rsidRPr="004D68C7">
          <w:rPr>
            <w:b w:val="0"/>
            <w:webHidden/>
          </w:rPr>
          <w:fldChar w:fldCharType="separate"/>
        </w:r>
        <w:r w:rsidR="009C2EDC">
          <w:rPr>
            <w:b w:val="0"/>
            <w:webHidden/>
          </w:rPr>
          <w:t>127</w:t>
        </w:r>
        <w:r w:rsidR="000C62BB" w:rsidRPr="004D68C7">
          <w:rPr>
            <w:b w:val="0"/>
            <w:webHidden/>
          </w:rPr>
          <w:fldChar w:fldCharType="end"/>
        </w:r>
      </w:hyperlink>
    </w:p>
    <w:p w14:paraId="621DA213" w14:textId="61F3CD65"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93" w:history="1">
        <w:r w:rsidR="000C62BB" w:rsidRPr="004D68C7">
          <w:rPr>
            <w:rStyle w:val="Hyperlink"/>
            <w:noProof/>
          </w:rPr>
          <w:t>Disease index</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_Toc101048193 \h </w:instrText>
        </w:r>
        <w:r w:rsidR="000C62BB" w:rsidRPr="004D68C7">
          <w:rPr>
            <w:noProof/>
            <w:webHidden/>
          </w:rPr>
        </w:r>
        <w:r w:rsidR="000C62BB" w:rsidRPr="004D68C7">
          <w:rPr>
            <w:noProof/>
            <w:webHidden/>
          </w:rPr>
          <w:fldChar w:fldCharType="separate"/>
        </w:r>
        <w:r w:rsidR="009C2EDC">
          <w:rPr>
            <w:noProof/>
            <w:webHidden/>
          </w:rPr>
          <w:t>127</w:t>
        </w:r>
        <w:r w:rsidR="000C62BB" w:rsidRPr="004D68C7">
          <w:rPr>
            <w:noProof/>
            <w:webHidden/>
          </w:rPr>
          <w:fldChar w:fldCharType="end"/>
        </w:r>
      </w:hyperlink>
    </w:p>
    <w:p w14:paraId="25DF8B2B" w14:textId="7A669B4D" w:rsidR="000C62BB" w:rsidRPr="004D68C7" w:rsidRDefault="00035AE8">
      <w:pPr>
        <w:pStyle w:val="TOC3"/>
        <w:tabs>
          <w:tab w:val="right" w:leader="dot" w:pos="9350"/>
        </w:tabs>
        <w:rPr>
          <w:rFonts w:asciiTheme="minorHAnsi" w:eastAsiaTheme="minorEastAsia" w:hAnsiTheme="minorHAnsi" w:cstheme="minorBidi"/>
          <w:noProof/>
          <w:sz w:val="22"/>
          <w:szCs w:val="22"/>
        </w:rPr>
      </w:pPr>
      <w:hyperlink w:anchor="_Toc101048194" w:history="1">
        <w:r w:rsidR="000C62BB" w:rsidRPr="004D68C7">
          <w:rPr>
            <w:rStyle w:val="Hyperlink"/>
            <w:noProof/>
          </w:rPr>
          <w:t>Disease progress (AUDPC)</w:t>
        </w:r>
        <w:r w:rsidR="000C62BB" w:rsidRPr="004D68C7">
          <w:rPr>
            <w:noProof/>
            <w:webHidden/>
          </w:rPr>
          <w:tab/>
        </w:r>
        <w:r w:rsidR="000C62BB" w:rsidRPr="004D68C7">
          <w:rPr>
            <w:noProof/>
            <w:webHidden/>
          </w:rPr>
          <w:fldChar w:fldCharType="begin"/>
        </w:r>
        <w:r w:rsidR="000C62BB" w:rsidRPr="004D68C7">
          <w:rPr>
            <w:noProof/>
            <w:webHidden/>
          </w:rPr>
          <w:instrText xml:space="preserve"> PAGEREF _Toc101048194 \h </w:instrText>
        </w:r>
        <w:r w:rsidR="000C62BB" w:rsidRPr="004D68C7">
          <w:rPr>
            <w:noProof/>
            <w:webHidden/>
          </w:rPr>
        </w:r>
        <w:r w:rsidR="000C62BB" w:rsidRPr="004D68C7">
          <w:rPr>
            <w:noProof/>
            <w:webHidden/>
          </w:rPr>
          <w:fldChar w:fldCharType="separate"/>
        </w:r>
        <w:r w:rsidR="009C2EDC">
          <w:rPr>
            <w:noProof/>
            <w:webHidden/>
          </w:rPr>
          <w:t>128</w:t>
        </w:r>
        <w:r w:rsidR="000C62BB" w:rsidRPr="004D68C7">
          <w:rPr>
            <w:noProof/>
            <w:webHidden/>
          </w:rPr>
          <w:fldChar w:fldCharType="end"/>
        </w:r>
      </w:hyperlink>
    </w:p>
    <w:p w14:paraId="0BEAC96A" w14:textId="167E5046" w:rsidR="000C62BB" w:rsidRPr="004D68C7" w:rsidRDefault="00035AE8">
      <w:pPr>
        <w:pStyle w:val="TOC2"/>
        <w:rPr>
          <w:rFonts w:asciiTheme="minorHAnsi" w:eastAsiaTheme="minorEastAsia" w:hAnsiTheme="minorHAnsi" w:cstheme="minorBidi"/>
          <w:b w:val="0"/>
          <w:iCs w:val="0"/>
          <w:sz w:val="22"/>
          <w:szCs w:val="22"/>
        </w:rPr>
      </w:pPr>
      <w:hyperlink w:anchor="_Toc101048195" w:history="1">
        <w:r w:rsidR="000C62BB" w:rsidRPr="004D68C7">
          <w:rPr>
            <w:rStyle w:val="Hyperlink"/>
            <w:b w:val="0"/>
          </w:rPr>
          <w:t>Disease reduction percentage</w:t>
        </w:r>
        <w:r w:rsidR="000C62BB" w:rsidRPr="004D68C7">
          <w:rPr>
            <w:b w:val="0"/>
            <w:webHidden/>
          </w:rPr>
          <w:tab/>
        </w:r>
        <w:r w:rsidR="000C62BB" w:rsidRPr="004D68C7">
          <w:rPr>
            <w:b w:val="0"/>
            <w:webHidden/>
          </w:rPr>
          <w:fldChar w:fldCharType="begin"/>
        </w:r>
        <w:r w:rsidR="000C62BB" w:rsidRPr="004D68C7">
          <w:rPr>
            <w:b w:val="0"/>
            <w:webHidden/>
          </w:rPr>
          <w:instrText xml:space="preserve"> PAGEREF _Toc101048195 \h </w:instrText>
        </w:r>
        <w:r w:rsidR="000C62BB" w:rsidRPr="004D68C7">
          <w:rPr>
            <w:b w:val="0"/>
            <w:webHidden/>
          </w:rPr>
        </w:r>
        <w:r w:rsidR="000C62BB" w:rsidRPr="004D68C7">
          <w:rPr>
            <w:b w:val="0"/>
            <w:webHidden/>
          </w:rPr>
          <w:fldChar w:fldCharType="separate"/>
        </w:r>
        <w:r w:rsidR="009C2EDC">
          <w:rPr>
            <w:b w:val="0"/>
            <w:webHidden/>
          </w:rPr>
          <w:t>128</w:t>
        </w:r>
        <w:r w:rsidR="000C62BB" w:rsidRPr="004D68C7">
          <w:rPr>
            <w:b w:val="0"/>
            <w:webHidden/>
          </w:rPr>
          <w:fldChar w:fldCharType="end"/>
        </w:r>
      </w:hyperlink>
    </w:p>
    <w:p w14:paraId="493DA459" w14:textId="7FE45FD6" w:rsidR="000C62BB" w:rsidRPr="004D68C7" w:rsidRDefault="00035AE8">
      <w:pPr>
        <w:pStyle w:val="TOC1"/>
        <w:rPr>
          <w:rFonts w:asciiTheme="minorHAnsi" w:eastAsiaTheme="minorEastAsia" w:hAnsiTheme="minorHAnsi" w:cstheme="minorBidi"/>
          <w:sz w:val="22"/>
          <w:szCs w:val="22"/>
        </w:rPr>
      </w:pPr>
      <w:hyperlink w:anchor="_Toc101048196" w:history="1">
        <w:r w:rsidR="000C62BB" w:rsidRPr="004D68C7">
          <w:rPr>
            <w:rStyle w:val="Hyperlink"/>
          </w:rPr>
          <w:t>Discussion</w:t>
        </w:r>
        <w:r w:rsidR="000C62BB" w:rsidRPr="004D68C7">
          <w:rPr>
            <w:webHidden/>
          </w:rPr>
          <w:tab/>
        </w:r>
        <w:r w:rsidR="000C62BB" w:rsidRPr="004D68C7">
          <w:rPr>
            <w:webHidden/>
          </w:rPr>
          <w:fldChar w:fldCharType="begin"/>
        </w:r>
        <w:r w:rsidR="000C62BB" w:rsidRPr="004D68C7">
          <w:rPr>
            <w:webHidden/>
          </w:rPr>
          <w:instrText xml:space="preserve"> PAGEREF _Toc101048196 \h </w:instrText>
        </w:r>
        <w:r w:rsidR="000C62BB" w:rsidRPr="004D68C7">
          <w:rPr>
            <w:webHidden/>
          </w:rPr>
        </w:r>
        <w:r w:rsidR="000C62BB" w:rsidRPr="004D68C7">
          <w:rPr>
            <w:webHidden/>
          </w:rPr>
          <w:fldChar w:fldCharType="separate"/>
        </w:r>
        <w:r w:rsidR="009C2EDC">
          <w:rPr>
            <w:webHidden/>
          </w:rPr>
          <w:t>128</w:t>
        </w:r>
        <w:r w:rsidR="000C62BB" w:rsidRPr="004D68C7">
          <w:rPr>
            <w:webHidden/>
          </w:rPr>
          <w:fldChar w:fldCharType="end"/>
        </w:r>
      </w:hyperlink>
    </w:p>
    <w:p w14:paraId="5CD6D70D" w14:textId="0E5752CF" w:rsidR="000C62BB" w:rsidRDefault="00035AE8">
      <w:pPr>
        <w:pStyle w:val="TOC1"/>
        <w:rPr>
          <w:rFonts w:asciiTheme="minorHAnsi" w:eastAsiaTheme="minorEastAsia" w:hAnsiTheme="minorHAnsi" w:cstheme="minorBidi"/>
          <w:sz w:val="22"/>
          <w:szCs w:val="22"/>
        </w:rPr>
      </w:pPr>
      <w:hyperlink w:anchor="_Toc101048197" w:history="1">
        <w:r w:rsidR="000C62BB" w:rsidRPr="00B26BC9">
          <w:rPr>
            <w:rStyle w:val="Hyperlink"/>
          </w:rPr>
          <w:t>References</w:t>
        </w:r>
        <w:r w:rsidR="000C62BB">
          <w:rPr>
            <w:webHidden/>
          </w:rPr>
          <w:tab/>
        </w:r>
        <w:r w:rsidR="000C62BB">
          <w:rPr>
            <w:webHidden/>
          </w:rPr>
          <w:fldChar w:fldCharType="begin"/>
        </w:r>
        <w:r w:rsidR="000C62BB">
          <w:rPr>
            <w:webHidden/>
          </w:rPr>
          <w:instrText xml:space="preserve"> PAGEREF _Toc101048197 \h </w:instrText>
        </w:r>
        <w:r w:rsidR="000C62BB">
          <w:rPr>
            <w:webHidden/>
          </w:rPr>
        </w:r>
        <w:r w:rsidR="000C62BB">
          <w:rPr>
            <w:webHidden/>
          </w:rPr>
          <w:fldChar w:fldCharType="separate"/>
        </w:r>
        <w:r w:rsidR="009C2EDC">
          <w:rPr>
            <w:webHidden/>
          </w:rPr>
          <w:t>136</w:t>
        </w:r>
        <w:r w:rsidR="000C62BB">
          <w:rPr>
            <w:webHidden/>
          </w:rPr>
          <w:fldChar w:fldCharType="end"/>
        </w:r>
      </w:hyperlink>
    </w:p>
    <w:p w14:paraId="3904FD11" w14:textId="5F15FCA8" w:rsidR="000C62BB" w:rsidRDefault="00035AE8">
      <w:pPr>
        <w:pStyle w:val="TOC1"/>
        <w:rPr>
          <w:rFonts w:asciiTheme="minorHAnsi" w:eastAsiaTheme="minorEastAsia" w:hAnsiTheme="minorHAnsi" w:cstheme="minorBidi"/>
          <w:sz w:val="22"/>
          <w:szCs w:val="22"/>
        </w:rPr>
      </w:pPr>
      <w:hyperlink w:anchor="_Toc101048198" w:history="1">
        <w:r w:rsidR="000C62BB" w:rsidRPr="00B26BC9">
          <w:rPr>
            <w:rStyle w:val="Hyperlink"/>
          </w:rPr>
          <w:t>Appendix</w:t>
        </w:r>
        <w:r w:rsidR="000C62BB">
          <w:rPr>
            <w:webHidden/>
          </w:rPr>
          <w:tab/>
        </w:r>
        <w:r w:rsidR="000C62BB">
          <w:rPr>
            <w:webHidden/>
          </w:rPr>
          <w:fldChar w:fldCharType="begin"/>
        </w:r>
        <w:r w:rsidR="000C62BB">
          <w:rPr>
            <w:webHidden/>
          </w:rPr>
          <w:instrText xml:space="preserve"> PAGEREF _Toc101048198 \h </w:instrText>
        </w:r>
        <w:r w:rsidR="000C62BB">
          <w:rPr>
            <w:webHidden/>
          </w:rPr>
        </w:r>
        <w:r w:rsidR="000C62BB">
          <w:rPr>
            <w:webHidden/>
          </w:rPr>
          <w:fldChar w:fldCharType="separate"/>
        </w:r>
        <w:r w:rsidR="009C2EDC">
          <w:rPr>
            <w:webHidden/>
          </w:rPr>
          <w:t>141</w:t>
        </w:r>
        <w:r w:rsidR="000C62BB">
          <w:rPr>
            <w:webHidden/>
          </w:rPr>
          <w:fldChar w:fldCharType="end"/>
        </w:r>
      </w:hyperlink>
    </w:p>
    <w:p w14:paraId="0F6D4BDF" w14:textId="06A3EA7F" w:rsidR="000C62BB" w:rsidRDefault="00035AE8">
      <w:pPr>
        <w:pStyle w:val="TOC1"/>
        <w:rPr>
          <w:rFonts w:asciiTheme="minorHAnsi" w:eastAsiaTheme="minorEastAsia" w:hAnsiTheme="minorHAnsi" w:cstheme="minorBidi"/>
          <w:sz w:val="22"/>
          <w:szCs w:val="22"/>
        </w:rPr>
      </w:pPr>
      <w:hyperlink w:anchor="_Toc101048199" w:history="1">
        <w:r w:rsidR="000C62BB" w:rsidRPr="00B26BC9">
          <w:rPr>
            <w:rStyle w:val="Hyperlink"/>
          </w:rPr>
          <w:t>VITA</w:t>
        </w:r>
        <w:r w:rsidR="000C62BB">
          <w:rPr>
            <w:webHidden/>
          </w:rPr>
          <w:tab/>
        </w:r>
        <w:r w:rsidR="000C62BB">
          <w:rPr>
            <w:webHidden/>
          </w:rPr>
          <w:fldChar w:fldCharType="begin"/>
        </w:r>
        <w:r w:rsidR="000C62BB">
          <w:rPr>
            <w:webHidden/>
          </w:rPr>
          <w:instrText xml:space="preserve"> PAGEREF _Toc101048199 \h </w:instrText>
        </w:r>
        <w:r w:rsidR="000C62BB">
          <w:rPr>
            <w:webHidden/>
          </w:rPr>
        </w:r>
        <w:r w:rsidR="000C62BB">
          <w:rPr>
            <w:webHidden/>
          </w:rPr>
          <w:fldChar w:fldCharType="separate"/>
        </w:r>
        <w:r w:rsidR="009C2EDC">
          <w:rPr>
            <w:webHidden/>
          </w:rPr>
          <w:t>153</w:t>
        </w:r>
        <w:r w:rsidR="000C62BB">
          <w:rPr>
            <w:webHidden/>
          </w:rPr>
          <w:fldChar w:fldCharType="end"/>
        </w:r>
      </w:hyperlink>
    </w:p>
    <w:p w14:paraId="03FA1EAF" w14:textId="44D0F577" w:rsidR="008553A4" w:rsidRPr="0089683F" w:rsidRDefault="00351EDC" w:rsidP="003C484D">
      <w:pPr>
        <w:ind w:left="720"/>
        <w:jc w:val="center"/>
        <w:rPr>
          <w:rFonts w:cs="Times New Roman"/>
          <w:sz w:val="28"/>
          <w:szCs w:val="28"/>
        </w:rPr>
      </w:pPr>
      <w:r>
        <w:rPr>
          <w:rFonts w:cstheme="minorHAnsi"/>
          <w:noProof/>
          <w:szCs w:val="20"/>
        </w:rPr>
        <w:fldChar w:fldCharType="end"/>
      </w:r>
    </w:p>
    <w:p w14:paraId="59DED6CC" w14:textId="77777777" w:rsidR="008553A4" w:rsidRPr="0089683F" w:rsidRDefault="008553A4">
      <w:pPr>
        <w:rPr>
          <w:rFonts w:cs="Times New Roman"/>
          <w:sz w:val="28"/>
          <w:szCs w:val="28"/>
        </w:rPr>
      </w:pPr>
      <w:r w:rsidRPr="0089683F">
        <w:rPr>
          <w:rFonts w:cs="Times New Roman"/>
          <w:sz w:val="28"/>
          <w:szCs w:val="28"/>
        </w:rPr>
        <w:br w:type="page"/>
      </w:r>
    </w:p>
    <w:p w14:paraId="6A15DA82" w14:textId="4C41E2D1" w:rsidR="008553A4" w:rsidRDefault="008553A4" w:rsidP="00E86971">
      <w:pPr>
        <w:pStyle w:val="Title"/>
        <w:rPr>
          <w:sz w:val="28"/>
          <w:szCs w:val="28"/>
        </w:rPr>
      </w:pPr>
      <w:r w:rsidRPr="000B5367">
        <w:rPr>
          <w:sz w:val="28"/>
          <w:szCs w:val="28"/>
        </w:rPr>
        <w:t xml:space="preserve">LIST OF TABLES </w:t>
      </w:r>
    </w:p>
    <w:p w14:paraId="16A757E6" w14:textId="77777777" w:rsidR="00CC4282" w:rsidRPr="000B5367" w:rsidRDefault="00CC4282" w:rsidP="00E86971">
      <w:pPr>
        <w:pStyle w:val="Title"/>
        <w:rPr>
          <w:sz w:val="28"/>
          <w:szCs w:val="28"/>
        </w:rPr>
      </w:pPr>
    </w:p>
    <w:p w14:paraId="0BB3B44A" w14:textId="45C0B5D3" w:rsidR="00F00CC3" w:rsidRDefault="00E07B5B">
      <w:pPr>
        <w:pStyle w:val="TableofFigures"/>
        <w:tabs>
          <w:tab w:val="right" w:leader="dot" w:pos="9350"/>
        </w:tabs>
        <w:rPr>
          <w:rFonts w:asciiTheme="minorHAnsi" w:eastAsiaTheme="minorEastAsia" w:hAnsiTheme="minorHAnsi" w:cstheme="minorBidi"/>
          <w:noProof/>
          <w:sz w:val="22"/>
        </w:rPr>
      </w:pPr>
      <w:r w:rsidRPr="005B7B6E">
        <w:rPr>
          <w:rFonts w:cs="Times New Roman"/>
          <w:szCs w:val="24"/>
        </w:rPr>
        <w:fldChar w:fldCharType="begin"/>
      </w:r>
      <w:r w:rsidRPr="005B7B6E">
        <w:rPr>
          <w:rFonts w:cs="Times New Roman"/>
          <w:szCs w:val="24"/>
        </w:rPr>
        <w:instrText xml:space="preserve"> TOC \h \z \c "Table 1." </w:instrText>
      </w:r>
      <w:r w:rsidRPr="005B7B6E">
        <w:rPr>
          <w:rFonts w:cs="Times New Roman"/>
          <w:szCs w:val="24"/>
        </w:rPr>
        <w:fldChar w:fldCharType="separate"/>
      </w:r>
      <w:hyperlink w:anchor="_Toc101347342" w:history="1">
        <w:r w:rsidR="00F00CC3" w:rsidRPr="00005668">
          <w:rPr>
            <w:rStyle w:val="Hyperlink"/>
            <w:noProof/>
          </w:rPr>
          <w:t xml:space="preserve">Table 1.1. </w:t>
        </w:r>
        <w:r w:rsidR="00F00CC3" w:rsidRPr="00005668">
          <w:rPr>
            <w:rStyle w:val="Hyperlink"/>
            <w:rFonts w:cs="Times New Roman"/>
            <w:noProof/>
            <w:shd w:val="clear" w:color="auto" w:fill="FFFFFF"/>
          </w:rPr>
          <w:t>List of biological control agents for plant-parasitic nematodes</w:t>
        </w:r>
        <w:r w:rsidR="00F00CC3">
          <w:rPr>
            <w:noProof/>
            <w:webHidden/>
          </w:rPr>
          <w:tab/>
        </w:r>
        <w:r w:rsidR="00F00CC3">
          <w:rPr>
            <w:noProof/>
            <w:webHidden/>
          </w:rPr>
          <w:fldChar w:fldCharType="begin"/>
        </w:r>
        <w:r w:rsidR="00F00CC3">
          <w:rPr>
            <w:noProof/>
            <w:webHidden/>
          </w:rPr>
          <w:instrText xml:space="preserve"> PAGEREF _Toc101347342 \h </w:instrText>
        </w:r>
        <w:r w:rsidR="00F00CC3">
          <w:rPr>
            <w:noProof/>
            <w:webHidden/>
          </w:rPr>
        </w:r>
        <w:r w:rsidR="00F00CC3">
          <w:rPr>
            <w:noProof/>
            <w:webHidden/>
          </w:rPr>
          <w:fldChar w:fldCharType="separate"/>
        </w:r>
        <w:r w:rsidR="009C2EDC">
          <w:rPr>
            <w:noProof/>
            <w:webHidden/>
          </w:rPr>
          <w:t>12</w:t>
        </w:r>
        <w:r w:rsidR="00F00CC3">
          <w:rPr>
            <w:noProof/>
            <w:webHidden/>
          </w:rPr>
          <w:fldChar w:fldCharType="end"/>
        </w:r>
      </w:hyperlink>
    </w:p>
    <w:p w14:paraId="5589370D" w14:textId="59AAE22D" w:rsidR="008553A4" w:rsidRPr="005B7B6E" w:rsidRDefault="00E07B5B">
      <w:pPr>
        <w:rPr>
          <w:rFonts w:cs="Times New Roman"/>
          <w:szCs w:val="24"/>
        </w:rPr>
      </w:pPr>
      <w:r w:rsidRPr="005B7B6E">
        <w:rPr>
          <w:rFonts w:cs="Times New Roman"/>
          <w:szCs w:val="24"/>
        </w:rPr>
        <w:fldChar w:fldCharType="end"/>
      </w:r>
    </w:p>
    <w:p w14:paraId="51184282" w14:textId="2B9E6A93" w:rsidR="00F317F0" w:rsidRPr="000E146A" w:rsidRDefault="00E07B5B">
      <w:pPr>
        <w:pStyle w:val="TableofFigures"/>
        <w:tabs>
          <w:tab w:val="right" w:leader="dot" w:pos="9350"/>
        </w:tabs>
        <w:rPr>
          <w:rFonts w:asciiTheme="minorHAnsi" w:eastAsiaTheme="minorEastAsia" w:hAnsiTheme="minorHAnsi" w:cstheme="minorBidi"/>
          <w:noProof/>
          <w:sz w:val="22"/>
        </w:rPr>
      </w:pPr>
      <w:r w:rsidRPr="00566072">
        <w:rPr>
          <w:szCs w:val="24"/>
        </w:rPr>
        <w:fldChar w:fldCharType="begin"/>
      </w:r>
      <w:r w:rsidRPr="00566072">
        <w:rPr>
          <w:szCs w:val="24"/>
        </w:rPr>
        <w:instrText xml:space="preserve"> TOC \h \z \c "Table 2." </w:instrText>
      </w:r>
      <w:r w:rsidRPr="00566072">
        <w:rPr>
          <w:szCs w:val="24"/>
        </w:rPr>
        <w:fldChar w:fldCharType="separate"/>
      </w:r>
      <w:hyperlink w:anchor="_Toc101345071" w:history="1">
        <w:r w:rsidR="00F317F0" w:rsidRPr="000E146A">
          <w:rPr>
            <w:rStyle w:val="Hyperlink"/>
            <w:noProof/>
          </w:rPr>
          <w:t>Table 2. 2. Nematode population distribution across samples and counties</w:t>
        </w:r>
        <w:r w:rsidR="00F317F0" w:rsidRPr="000E146A">
          <w:rPr>
            <w:noProof/>
            <w:webHidden/>
          </w:rPr>
          <w:tab/>
        </w:r>
        <w:r w:rsidR="00F317F0" w:rsidRPr="000E146A">
          <w:rPr>
            <w:noProof/>
            <w:webHidden/>
          </w:rPr>
          <w:fldChar w:fldCharType="begin"/>
        </w:r>
        <w:r w:rsidR="00F317F0" w:rsidRPr="000E146A">
          <w:rPr>
            <w:noProof/>
            <w:webHidden/>
          </w:rPr>
          <w:instrText xml:space="preserve"> PAGEREF _Toc101345071 \h </w:instrText>
        </w:r>
        <w:r w:rsidR="00F317F0" w:rsidRPr="000E146A">
          <w:rPr>
            <w:noProof/>
            <w:webHidden/>
          </w:rPr>
        </w:r>
        <w:r w:rsidR="00F317F0" w:rsidRPr="000E146A">
          <w:rPr>
            <w:noProof/>
            <w:webHidden/>
          </w:rPr>
          <w:fldChar w:fldCharType="separate"/>
        </w:r>
        <w:r w:rsidR="009C2EDC">
          <w:rPr>
            <w:noProof/>
            <w:webHidden/>
          </w:rPr>
          <w:t>66</w:t>
        </w:r>
        <w:r w:rsidR="00F317F0" w:rsidRPr="000E146A">
          <w:rPr>
            <w:noProof/>
            <w:webHidden/>
          </w:rPr>
          <w:fldChar w:fldCharType="end"/>
        </w:r>
      </w:hyperlink>
    </w:p>
    <w:p w14:paraId="2ABC610D" w14:textId="690B29E6" w:rsidR="00F317F0" w:rsidRPr="000E146A" w:rsidRDefault="00035AE8">
      <w:pPr>
        <w:pStyle w:val="TableofFigures"/>
        <w:tabs>
          <w:tab w:val="right" w:leader="dot" w:pos="9350"/>
        </w:tabs>
        <w:rPr>
          <w:rFonts w:asciiTheme="minorHAnsi" w:eastAsiaTheme="minorEastAsia" w:hAnsiTheme="minorHAnsi" w:cstheme="minorBidi"/>
          <w:noProof/>
          <w:sz w:val="22"/>
        </w:rPr>
      </w:pPr>
      <w:hyperlink w:anchor="_Toc101345072" w:history="1">
        <w:r w:rsidR="00F317F0" w:rsidRPr="000E146A">
          <w:rPr>
            <w:rStyle w:val="Hyperlink"/>
            <w:noProof/>
          </w:rPr>
          <w:t>Table 2. 3. Soybean cyst nematode (SCN) reproduction (female/plant) on indicator lines and Williams 82 and resultant female index and HG Type for 9 populations from Tennessee.</w:t>
        </w:r>
        <w:r w:rsidR="00F317F0" w:rsidRPr="000E146A">
          <w:rPr>
            <w:noProof/>
            <w:webHidden/>
          </w:rPr>
          <w:tab/>
        </w:r>
        <w:r w:rsidR="00F317F0" w:rsidRPr="000E146A">
          <w:rPr>
            <w:noProof/>
            <w:webHidden/>
          </w:rPr>
          <w:fldChar w:fldCharType="begin"/>
        </w:r>
        <w:r w:rsidR="00F317F0" w:rsidRPr="000E146A">
          <w:rPr>
            <w:noProof/>
            <w:webHidden/>
          </w:rPr>
          <w:instrText xml:space="preserve"> PAGEREF _Toc101345072 \h </w:instrText>
        </w:r>
        <w:r w:rsidR="00F317F0" w:rsidRPr="000E146A">
          <w:rPr>
            <w:noProof/>
            <w:webHidden/>
          </w:rPr>
        </w:r>
        <w:r w:rsidR="00F317F0" w:rsidRPr="000E146A">
          <w:rPr>
            <w:noProof/>
            <w:webHidden/>
          </w:rPr>
          <w:fldChar w:fldCharType="separate"/>
        </w:r>
        <w:r w:rsidR="009C2EDC">
          <w:rPr>
            <w:noProof/>
            <w:webHidden/>
          </w:rPr>
          <w:t>67</w:t>
        </w:r>
        <w:r w:rsidR="00F317F0" w:rsidRPr="000E146A">
          <w:rPr>
            <w:noProof/>
            <w:webHidden/>
          </w:rPr>
          <w:fldChar w:fldCharType="end"/>
        </w:r>
      </w:hyperlink>
    </w:p>
    <w:p w14:paraId="17E3F1D0" w14:textId="51D2F5E9" w:rsidR="00F317F0" w:rsidRDefault="00035AE8">
      <w:pPr>
        <w:pStyle w:val="TableofFigures"/>
        <w:tabs>
          <w:tab w:val="right" w:leader="dot" w:pos="9350"/>
        </w:tabs>
        <w:rPr>
          <w:rFonts w:asciiTheme="minorHAnsi" w:eastAsiaTheme="minorEastAsia" w:hAnsiTheme="minorHAnsi" w:cstheme="minorBidi"/>
          <w:noProof/>
          <w:sz w:val="22"/>
        </w:rPr>
      </w:pPr>
      <w:hyperlink w:anchor="_Toc101345073" w:history="1">
        <w:r w:rsidR="00F317F0" w:rsidRPr="009F1C57">
          <w:rPr>
            <w:rStyle w:val="Hyperlink"/>
            <w:noProof/>
          </w:rPr>
          <w:t>Table 2.4. Comparing SCN population reproduction on indicator lines in other states and Tennessee</w:t>
        </w:r>
        <w:r w:rsidR="00F317F0">
          <w:rPr>
            <w:noProof/>
            <w:webHidden/>
          </w:rPr>
          <w:tab/>
        </w:r>
        <w:r w:rsidR="00F317F0">
          <w:rPr>
            <w:noProof/>
            <w:webHidden/>
          </w:rPr>
          <w:fldChar w:fldCharType="begin"/>
        </w:r>
        <w:r w:rsidR="00F317F0">
          <w:rPr>
            <w:noProof/>
            <w:webHidden/>
          </w:rPr>
          <w:instrText xml:space="preserve"> PAGEREF _Toc101345073 \h </w:instrText>
        </w:r>
        <w:r w:rsidR="00F317F0">
          <w:rPr>
            <w:noProof/>
            <w:webHidden/>
          </w:rPr>
        </w:r>
        <w:r w:rsidR="00F317F0">
          <w:rPr>
            <w:noProof/>
            <w:webHidden/>
          </w:rPr>
          <w:fldChar w:fldCharType="separate"/>
        </w:r>
        <w:r w:rsidR="009C2EDC">
          <w:rPr>
            <w:noProof/>
            <w:webHidden/>
          </w:rPr>
          <w:t>68</w:t>
        </w:r>
        <w:r w:rsidR="00F317F0">
          <w:rPr>
            <w:noProof/>
            <w:webHidden/>
          </w:rPr>
          <w:fldChar w:fldCharType="end"/>
        </w:r>
      </w:hyperlink>
    </w:p>
    <w:p w14:paraId="41C19BE2" w14:textId="77777777" w:rsidR="00F00CC3" w:rsidRDefault="00E07B5B">
      <w:pPr>
        <w:rPr>
          <w:noProof/>
        </w:rPr>
      </w:pPr>
      <w:r w:rsidRPr="00566072">
        <w:rPr>
          <w:szCs w:val="24"/>
        </w:rPr>
        <w:fldChar w:fldCharType="end"/>
      </w:r>
      <w:r w:rsidRPr="00566072">
        <w:rPr>
          <w:szCs w:val="24"/>
        </w:rPr>
        <w:fldChar w:fldCharType="begin"/>
      </w:r>
      <w:r w:rsidRPr="00566072">
        <w:rPr>
          <w:szCs w:val="24"/>
        </w:rPr>
        <w:instrText xml:space="preserve"> TOC \h \z \c "Table 3." </w:instrText>
      </w:r>
      <w:r w:rsidRPr="00566072">
        <w:rPr>
          <w:szCs w:val="24"/>
        </w:rPr>
        <w:fldChar w:fldCharType="separate"/>
      </w:r>
    </w:p>
    <w:p w14:paraId="3B85F795" w14:textId="5D25DFEC" w:rsidR="00F00CC3" w:rsidRDefault="00035AE8">
      <w:pPr>
        <w:pStyle w:val="TableofFigures"/>
        <w:tabs>
          <w:tab w:val="right" w:leader="dot" w:pos="9350"/>
        </w:tabs>
        <w:rPr>
          <w:rFonts w:asciiTheme="minorHAnsi" w:eastAsiaTheme="minorEastAsia" w:hAnsiTheme="minorHAnsi" w:cstheme="minorBidi"/>
          <w:noProof/>
          <w:sz w:val="22"/>
        </w:rPr>
      </w:pPr>
      <w:hyperlink w:anchor="_Toc101347351" w:history="1">
        <w:r w:rsidR="00F00CC3" w:rsidRPr="0080512C">
          <w:rPr>
            <w:rStyle w:val="Hyperlink"/>
            <w:noProof/>
          </w:rPr>
          <w:t>Table 3. 1. Details of test soybean genotypes</w:t>
        </w:r>
        <w:r w:rsidR="00F00CC3">
          <w:rPr>
            <w:noProof/>
            <w:webHidden/>
          </w:rPr>
          <w:tab/>
        </w:r>
        <w:r w:rsidR="00F00CC3">
          <w:rPr>
            <w:noProof/>
            <w:webHidden/>
          </w:rPr>
          <w:fldChar w:fldCharType="begin"/>
        </w:r>
        <w:r w:rsidR="00F00CC3">
          <w:rPr>
            <w:noProof/>
            <w:webHidden/>
          </w:rPr>
          <w:instrText xml:space="preserve"> PAGEREF _Toc101347351 \h </w:instrText>
        </w:r>
        <w:r w:rsidR="00F00CC3">
          <w:rPr>
            <w:noProof/>
            <w:webHidden/>
          </w:rPr>
        </w:r>
        <w:r w:rsidR="00F00CC3">
          <w:rPr>
            <w:noProof/>
            <w:webHidden/>
          </w:rPr>
          <w:fldChar w:fldCharType="separate"/>
        </w:r>
        <w:r w:rsidR="009C2EDC">
          <w:rPr>
            <w:noProof/>
            <w:webHidden/>
          </w:rPr>
          <w:t>91</w:t>
        </w:r>
        <w:r w:rsidR="00F00CC3">
          <w:rPr>
            <w:noProof/>
            <w:webHidden/>
          </w:rPr>
          <w:fldChar w:fldCharType="end"/>
        </w:r>
      </w:hyperlink>
    </w:p>
    <w:p w14:paraId="1D77D7BD" w14:textId="1E779C55" w:rsidR="00F00CC3" w:rsidRDefault="00035AE8">
      <w:pPr>
        <w:pStyle w:val="TableofFigures"/>
        <w:tabs>
          <w:tab w:val="right" w:leader="dot" w:pos="9350"/>
        </w:tabs>
        <w:rPr>
          <w:rFonts w:asciiTheme="minorHAnsi" w:eastAsiaTheme="minorEastAsia" w:hAnsiTheme="minorHAnsi" w:cstheme="minorBidi"/>
          <w:noProof/>
          <w:sz w:val="22"/>
        </w:rPr>
      </w:pPr>
      <w:hyperlink w:anchor="_Toc101347352" w:history="1">
        <w:r w:rsidR="00F00CC3" w:rsidRPr="0080512C">
          <w:rPr>
            <w:rStyle w:val="Hyperlink"/>
            <w:noProof/>
          </w:rPr>
          <w:t>Table 3. 2. E</w:t>
        </w:r>
        <w:r w:rsidR="00F00CC3" w:rsidRPr="0080512C">
          <w:rPr>
            <w:rStyle w:val="Hyperlink"/>
            <w:bCs/>
            <w:noProof/>
          </w:rPr>
          <w:t xml:space="preserve">ffect of </w:t>
        </w:r>
        <w:r w:rsidR="00F00CC3" w:rsidRPr="0080512C">
          <w:rPr>
            <w:rStyle w:val="Hyperlink"/>
            <w:bCs/>
            <w:i/>
            <w:noProof/>
          </w:rPr>
          <w:t>Heterodera glycine</w:t>
        </w:r>
        <w:r w:rsidR="00F00CC3" w:rsidRPr="0080512C">
          <w:rPr>
            <w:rStyle w:val="Hyperlink"/>
            <w:i/>
            <w:noProof/>
          </w:rPr>
          <w:t>s</w:t>
        </w:r>
        <w:r w:rsidR="00F00CC3" w:rsidRPr="0080512C">
          <w:rPr>
            <w:rStyle w:val="Hyperlink"/>
            <w:noProof/>
          </w:rPr>
          <w:t xml:space="preserve"> on total NF activity of three soybean genotypes.</w:t>
        </w:r>
        <w:r w:rsidR="00F00CC3">
          <w:rPr>
            <w:noProof/>
            <w:webHidden/>
          </w:rPr>
          <w:tab/>
        </w:r>
        <w:r w:rsidR="00F00CC3">
          <w:rPr>
            <w:noProof/>
            <w:webHidden/>
          </w:rPr>
          <w:fldChar w:fldCharType="begin"/>
        </w:r>
        <w:r w:rsidR="00F00CC3">
          <w:rPr>
            <w:noProof/>
            <w:webHidden/>
          </w:rPr>
          <w:instrText xml:space="preserve"> PAGEREF _Toc101347352 \h </w:instrText>
        </w:r>
        <w:r w:rsidR="00F00CC3">
          <w:rPr>
            <w:noProof/>
            <w:webHidden/>
          </w:rPr>
        </w:r>
        <w:r w:rsidR="00F00CC3">
          <w:rPr>
            <w:noProof/>
            <w:webHidden/>
          </w:rPr>
          <w:fldChar w:fldCharType="separate"/>
        </w:r>
        <w:r w:rsidR="009C2EDC">
          <w:rPr>
            <w:noProof/>
            <w:webHidden/>
          </w:rPr>
          <w:t>92</w:t>
        </w:r>
        <w:r w:rsidR="00F00CC3">
          <w:rPr>
            <w:noProof/>
            <w:webHidden/>
          </w:rPr>
          <w:fldChar w:fldCharType="end"/>
        </w:r>
      </w:hyperlink>
    </w:p>
    <w:p w14:paraId="199C2183" w14:textId="5C51EF96" w:rsidR="00F00CC3" w:rsidRDefault="00035AE8">
      <w:pPr>
        <w:pStyle w:val="TableofFigures"/>
        <w:tabs>
          <w:tab w:val="right" w:leader="dot" w:pos="9350"/>
        </w:tabs>
        <w:rPr>
          <w:rFonts w:asciiTheme="minorHAnsi" w:eastAsiaTheme="minorEastAsia" w:hAnsiTheme="minorHAnsi" w:cstheme="minorBidi"/>
          <w:noProof/>
          <w:sz w:val="22"/>
        </w:rPr>
      </w:pPr>
      <w:hyperlink w:anchor="_Toc101347353" w:history="1">
        <w:r w:rsidR="00F00CC3" w:rsidRPr="0080512C">
          <w:rPr>
            <w:rStyle w:val="Hyperlink"/>
            <w:noProof/>
          </w:rPr>
          <w:t>Table 3. 3.  E</w:t>
        </w:r>
        <w:r w:rsidR="00F00CC3" w:rsidRPr="0080512C">
          <w:rPr>
            <w:rStyle w:val="Hyperlink"/>
            <w:bCs/>
            <w:noProof/>
          </w:rPr>
          <w:t xml:space="preserve">ffect of </w:t>
        </w:r>
        <w:r w:rsidR="00F00CC3" w:rsidRPr="0080512C">
          <w:rPr>
            <w:rStyle w:val="Hyperlink"/>
            <w:bCs/>
            <w:i/>
            <w:noProof/>
          </w:rPr>
          <w:t>Heterodera glycine</w:t>
        </w:r>
        <w:r w:rsidR="00F00CC3" w:rsidRPr="0080512C">
          <w:rPr>
            <w:rStyle w:val="Hyperlink"/>
            <w:i/>
            <w:noProof/>
          </w:rPr>
          <w:t>s</w:t>
        </w:r>
        <w:r w:rsidR="00F00CC3" w:rsidRPr="0080512C">
          <w:rPr>
            <w:rStyle w:val="Hyperlink"/>
            <w:noProof/>
          </w:rPr>
          <w:t xml:space="preserve"> on leaf color of three soybean genotypes</w:t>
        </w:r>
        <w:r w:rsidR="00F00CC3">
          <w:rPr>
            <w:noProof/>
            <w:webHidden/>
          </w:rPr>
          <w:tab/>
        </w:r>
        <w:r w:rsidR="00F00CC3">
          <w:rPr>
            <w:noProof/>
            <w:webHidden/>
          </w:rPr>
          <w:fldChar w:fldCharType="begin"/>
        </w:r>
        <w:r w:rsidR="00F00CC3">
          <w:rPr>
            <w:noProof/>
            <w:webHidden/>
          </w:rPr>
          <w:instrText xml:space="preserve"> PAGEREF _Toc101347353 \h </w:instrText>
        </w:r>
        <w:r w:rsidR="00F00CC3">
          <w:rPr>
            <w:noProof/>
            <w:webHidden/>
          </w:rPr>
        </w:r>
        <w:r w:rsidR="00F00CC3">
          <w:rPr>
            <w:noProof/>
            <w:webHidden/>
          </w:rPr>
          <w:fldChar w:fldCharType="separate"/>
        </w:r>
        <w:r w:rsidR="009C2EDC">
          <w:rPr>
            <w:noProof/>
            <w:webHidden/>
          </w:rPr>
          <w:t>93</w:t>
        </w:r>
        <w:r w:rsidR="00F00CC3">
          <w:rPr>
            <w:noProof/>
            <w:webHidden/>
          </w:rPr>
          <w:fldChar w:fldCharType="end"/>
        </w:r>
      </w:hyperlink>
    </w:p>
    <w:p w14:paraId="5FA86135" w14:textId="77777777" w:rsidR="004D68C7" w:rsidRDefault="00E07B5B">
      <w:pPr>
        <w:rPr>
          <w:noProof/>
        </w:rPr>
      </w:pPr>
      <w:r w:rsidRPr="00566072">
        <w:rPr>
          <w:szCs w:val="24"/>
        </w:rPr>
        <w:fldChar w:fldCharType="end"/>
      </w:r>
      <w:r w:rsidRPr="005B7B6E">
        <w:rPr>
          <w:szCs w:val="24"/>
        </w:rPr>
        <w:fldChar w:fldCharType="begin"/>
      </w:r>
      <w:r w:rsidRPr="005B7B6E">
        <w:rPr>
          <w:szCs w:val="24"/>
        </w:rPr>
        <w:instrText xml:space="preserve"> TOC \h \z \c "Table 4." </w:instrText>
      </w:r>
      <w:r w:rsidRPr="005B7B6E">
        <w:rPr>
          <w:szCs w:val="24"/>
        </w:rPr>
        <w:fldChar w:fldCharType="separate"/>
      </w:r>
    </w:p>
    <w:p w14:paraId="59A60BB0" w14:textId="012BAE2D" w:rsidR="004D68C7" w:rsidRDefault="00035AE8">
      <w:pPr>
        <w:pStyle w:val="TableofFigures"/>
        <w:tabs>
          <w:tab w:val="right" w:leader="dot" w:pos="9350"/>
        </w:tabs>
        <w:rPr>
          <w:rFonts w:asciiTheme="minorHAnsi" w:eastAsiaTheme="minorEastAsia" w:hAnsiTheme="minorHAnsi" w:cstheme="minorBidi"/>
          <w:noProof/>
          <w:sz w:val="22"/>
        </w:rPr>
      </w:pPr>
      <w:hyperlink w:anchor="_Toc101048977" w:history="1">
        <w:r w:rsidR="004D68C7" w:rsidRPr="00806E33">
          <w:rPr>
            <w:rStyle w:val="Hyperlink"/>
            <w:noProof/>
          </w:rPr>
          <w:t xml:space="preserve">Table 4. 1. Estimation of </w:t>
        </w:r>
        <w:r w:rsidR="004D68C7" w:rsidRPr="00806E33">
          <w:rPr>
            <w:rStyle w:val="Hyperlink"/>
            <w:i/>
            <w:noProof/>
          </w:rPr>
          <w:t>Macrophomina phaseolina</w:t>
        </w:r>
        <w:r w:rsidR="004D68C7" w:rsidRPr="00806E33">
          <w:rPr>
            <w:rStyle w:val="Hyperlink"/>
            <w:noProof/>
          </w:rPr>
          <w:t xml:space="preserve"> colony forming units (CFU) for each microsclerotial treatment.</w:t>
        </w:r>
        <w:r w:rsidR="004D68C7">
          <w:rPr>
            <w:noProof/>
            <w:webHidden/>
          </w:rPr>
          <w:tab/>
        </w:r>
        <w:r w:rsidR="004D68C7">
          <w:rPr>
            <w:noProof/>
            <w:webHidden/>
          </w:rPr>
          <w:fldChar w:fldCharType="begin"/>
        </w:r>
        <w:r w:rsidR="004D68C7">
          <w:rPr>
            <w:noProof/>
            <w:webHidden/>
          </w:rPr>
          <w:instrText xml:space="preserve"> PAGEREF _Toc101048977 \h </w:instrText>
        </w:r>
        <w:r w:rsidR="004D68C7">
          <w:rPr>
            <w:noProof/>
            <w:webHidden/>
          </w:rPr>
        </w:r>
        <w:r w:rsidR="004D68C7">
          <w:rPr>
            <w:noProof/>
            <w:webHidden/>
          </w:rPr>
          <w:fldChar w:fldCharType="separate"/>
        </w:r>
        <w:r w:rsidR="009C2EDC">
          <w:rPr>
            <w:noProof/>
            <w:webHidden/>
          </w:rPr>
          <w:t>112</w:t>
        </w:r>
        <w:r w:rsidR="004D68C7">
          <w:rPr>
            <w:noProof/>
            <w:webHidden/>
          </w:rPr>
          <w:fldChar w:fldCharType="end"/>
        </w:r>
      </w:hyperlink>
    </w:p>
    <w:p w14:paraId="521B4C2F" w14:textId="4E17FA1B" w:rsidR="004D68C7" w:rsidRDefault="00035AE8">
      <w:pPr>
        <w:pStyle w:val="TableofFigures"/>
        <w:tabs>
          <w:tab w:val="right" w:leader="dot" w:pos="9350"/>
        </w:tabs>
        <w:rPr>
          <w:rFonts w:asciiTheme="minorHAnsi" w:eastAsiaTheme="minorEastAsia" w:hAnsiTheme="minorHAnsi" w:cstheme="minorBidi"/>
          <w:noProof/>
          <w:sz w:val="22"/>
        </w:rPr>
      </w:pPr>
      <w:hyperlink w:anchor="_Toc101048978" w:history="1">
        <w:r w:rsidR="004D68C7" w:rsidRPr="00806E33">
          <w:rPr>
            <w:rStyle w:val="Hyperlink"/>
            <w:noProof/>
          </w:rPr>
          <w:t>Table 4. 2. Standard least squares p-values of fixed effects of variety and microsclerotial treatments.</w:t>
        </w:r>
        <w:r w:rsidR="004D68C7">
          <w:rPr>
            <w:noProof/>
            <w:webHidden/>
          </w:rPr>
          <w:tab/>
        </w:r>
        <w:r w:rsidR="004D68C7">
          <w:rPr>
            <w:noProof/>
            <w:webHidden/>
          </w:rPr>
          <w:fldChar w:fldCharType="begin"/>
        </w:r>
        <w:r w:rsidR="004D68C7">
          <w:rPr>
            <w:noProof/>
            <w:webHidden/>
          </w:rPr>
          <w:instrText xml:space="preserve"> PAGEREF _Toc101048978 \h </w:instrText>
        </w:r>
        <w:r w:rsidR="004D68C7">
          <w:rPr>
            <w:noProof/>
            <w:webHidden/>
          </w:rPr>
        </w:r>
        <w:r w:rsidR="004D68C7">
          <w:rPr>
            <w:noProof/>
            <w:webHidden/>
          </w:rPr>
          <w:fldChar w:fldCharType="separate"/>
        </w:r>
        <w:r w:rsidR="009C2EDC">
          <w:rPr>
            <w:noProof/>
            <w:webHidden/>
          </w:rPr>
          <w:t>113</w:t>
        </w:r>
        <w:r w:rsidR="004D68C7">
          <w:rPr>
            <w:noProof/>
            <w:webHidden/>
          </w:rPr>
          <w:fldChar w:fldCharType="end"/>
        </w:r>
      </w:hyperlink>
    </w:p>
    <w:p w14:paraId="7C467A77" w14:textId="7BD5D8A4" w:rsidR="004D68C7" w:rsidRDefault="00035AE8">
      <w:pPr>
        <w:pStyle w:val="TableofFigures"/>
        <w:tabs>
          <w:tab w:val="right" w:leader="dot" w:pos="9350"/>
        </w:tabs>
        <w:rPr>
          <w:rFonts w:asciiTheme="minorHAnsi" w:eastAsiaTheme="minorEastAsia" w:hAnsiTheme="minorHAnsi" w:cstheme="minorBidi"/>
          <w:noProof/>
          <w:sz w:val="22"/>
        </w:rPr>
      </w:pPr>
      <w:hyperlink w:anchor="_Toc101048979" w:history="1">
        <w:r w:rsidR="004D68C7" w:rsidRPr="00806E33">
          <w:rPr>
            <w:rStyle w:val="Hyperlink"/>
            <w:noProof/>
          </w:rPr>
          <w:t xml:space="preserve">Table 4. 3. Variety x microsclerotial treatment interaction on the severity and bulk soil </w:t>
        </w:r>
        <w:r w:rsidR="004D68C7" w:rsidRPr="00806E33">
          <w:rPr>
            <w:rStyle w:val="Hyperlink"/>
            <w:i/>
            <w:noProof/>
          </w:rPr>
          <w:t>Macrophomina phaseolina</w:t>
        </w:r>
        <w:r w:rsidR="004D68C7" w:rsidRPr="00806E33">
          <w:rPr>
            <w:rStyle w:val="Hyperlink"/>
            <w:noProof/>
          </w:rPr>
          <w:t xml:space="preserve"> colony-forming unit (CFU)</w:t>
        </w:r>
        <w:r w:rsidR="004D68C7">
          <w:rPr>
            <w:noProof/>
            <w:webHidden/>
          </w:rPr>
          <w:tab/>
        </w:r>
        <w:r w:rsidR="004D68C7">
          <w:rPr>
            <w:noProof/>
            <w:webHidden/>
          </w:rPr>
          <w:fldChar w:fldCharType="begin"/>
        </w:r>
        <w:r w:rsidR="004D68C7">
          <w:rPr>
            <w:noProof/>
            <w:webHidden/>
          </w:rPr>
          <w:instrText xml:space="preserve"> PAGEREF _Toc101048979 \h </w:instrText>
        </w:r>
        <w:r w:rsidR="004D68C7">
          <w:rPr>
            <w:noProof/>
            <w:webHidden/>
          </w:rPr>
        </w:r>
        <w:r w:rsidR="004D68C7">
          <w:rPr>
            <w:noProof/>
            <w:webHidden/>
          </w:rPr>
          <w:fldChar w:fldCharType="separate"/>
        </w:r>
        <w:r w:rsidR="009C2EDC">
          <w:rPr>
            <w:noProof/>
            <w:webHidden/>
          </w:rPr>
          <w:t>114</w:t>
        </w:r>
        <w:r w:rsidR="004D68C7">
          <w:rPr>
            <w:noProof/>
            <w:webHidden/>
          </w:rPr>
          <w:fldChar w:fldCharType="end"/>
        </w:r>
      </w:hyperlink>
    </w:p>
    <w:p w14:paraId="36D52DCD" w14:textId="4C7266E4" w:rsidR="004D68C7" w:rsidRDefault="00035AE8">
      <w:pPr>
        <w:pStyle w:val="TableofFigures"/>
        <w:tabs>
          <w:tab w:val="right" w:leader="dot" w:pos="9350"/>
        </w:tabs>
        <w:rPr>
          <w:rFonts w:asciiTheme="minorHAnsi" w:eastAsiaTheme="minorEastAsia" w:hAnsiTheme="minorHAnsi" w:cstheme="minorBidi"/>
          <w:noProof/>
          <w:sz w:val="22"/>
        </w:rPr>
      </w:pPr>
      <w:hyperlink w:anchor="_Toc101048980" w:history="1">
        <w:r w:rsidR="004D68C7" w:rsidRPr="00806E33">
          <w:rPr>
            <w:rStyle w:val="Hyperlink"/>
            <w:noProof/>
          </w:rPr>
          <w:t>Table 4. 4. Differences of microsclerotial treatments on yield parameters and</w:t>
        </w:r>
        <w:r w:rsidR="004D68C7" w:rsidRPr="00806E33">
          <w:rPr>
            <w:rStyle w:val="Hyperlink"/>
            <w:i/>
            <w:noProof/>
          </w:rPr>
          <w:t xml:space="preserve"> Macrophomina phaseolina </w:t>
        </w:r>
        <w:r w:rsidR="004D68C7" w:rsidRPr="00806E33">
          <w:rPr>
            <w:rStyle w:val="Hyperlink"/>
            <w:noProof/>
          </w:rPr>
          <w:t>density in the</w:t>
        </w:r>
        <w:r w:rsidR="004D68C7" w:rsidRPr="00806E33">
          <w:rPr>
            <w:rStyle w:val="Hyperlink"/>
            <w:i/>
            <w:noProof/>
          </w:rPr>
          <w:t xml:space="preserve"> </w:t>
        </w:r>
        <w:r w:rsidR="004D68C7" w:rsidRPr="00806E33">
          <w:rPr>
            <w:rStyle w:val="Hyperlink"/>
            <w:noProof/>
          </w:rPr>
          <w:t>rhizosphere soil</w:t>
        </w:r>
        <w:r w:rsidR="004D68C7">
          <w:rPr>
            <w:noProof/>
            <w:webHidden/>
          </w:rPr>
          <w:tab/>
        </w:r>
        <w:r w:rsidR="004D68C7">
          <w:rPr>
            <w:noProof/>
            <w:webHidden/>
          </w:rPr>
          <w:fldChar w:fldCharType="begin"/>
        </w:r>
        <w:r w:rsidR="004D68C7">
          <w:rPr>
            <w:noProof/>
            <w:webHidden/>
          </w:rPr>
          <w:instrText xml:space="preserve"> PAGEREF _Toc101048980 \h </w:instrText>
        </w:r>
        <w:r w:rsidR="004D68C7">
          <w:rPr>
            <w:noProof/>
            <w:webHidden/>
          </w:rPr>
        </w:r>
        <w:r w:rsidR="004D68C7">
          <w:rPr>
            <w:noProof/>
            <w:webHidden/>
          </w:rPr>
          <w:fldChar w:fldCharType="separate"/>
        </w:r>
        <w:r w:rsidR="009C2EDC">
          <w:rPr>
            <w:noProof/>
            <w:webHidden/>
          </w:rPr>
          <w:t>115</w:t>
        </w:r>
        <w:r w:rsidR="004D68C7">
          <w:rPr>
            <w:noProof/>
            <w:webHidden/>
          </w:rPr>
          <w:fldChar w:fldCharType="end"/>
        </w:r>
      </w:hyperlink>
    </w:p>
    <w:p w14:paraId="2B4AF401" w14:textId="0901B22C" w:rsidR="004D68C7" w:rsidRDefault="00035AE8">
      <w:pPr>
        <w:pStyle w:val="TableofFigures"/>
        <w:tabs>
          <w:tab w:val="right" w:leader="dot" w:pos="9350"/>
        </w:tabs>
        <w:rPr>
          <w:rFonts w:asciiTheme="minorHAnsi" w:eastAsiaTheme="minorEastAsia" w:hAnsiTheme="minorHAnsi" w:cstheme="minorBidi"/>
          <w:noProof/>
          <w:sz w:val="22"/>
        </w:rPr>
      </w:pPr>
      <w:hyperlink w:anchor="_Toc101048981" w:history="1">
        <w:r w:rsidR="004D68C7" w:rsidRPr="00806E33">
          <w:rPr>
            <w:rStyle w:val="Hyperlink"/>
            <w:noProof/>
          </w:rPr>
          <w:t xml:space="preserve">Table 4. 5. Variety effect on charcoal rot severity and taproot </w:t>
        </w:r>
        <w:r w:rsidR="004D68C7" w:rsidRPr="00806E33">
          <w:rPr>
            <w:rStyle w:val="Hyperlink"/>
            <w:i/>
            <w:noProof/>
          </w:rPr>
          <w:t>Macrophomina phaseolina</w:t>
        </w:r>
        <w:r w:rsidR="004D68C7" w:rsidRPr="00806E33">
          <w:rPr>
            <w:rStyle w:val="Hyperlink"/>
            <w:noProof/>
          </w:rPr>
          <w:t xml:space="preserve"> colony forming units (CFU).</w:t>
        </w:r>
        <w:r w:rsidR="004D68C7">
          <w:rPr>
            <w:noProof/>
            <w:webHidden/>
          </w:rPr>
          <w:tab/>
        </w:r>
        <w:r w:rsidR="004D68C7">
          <w:rPr>
            <w:noProof/>
            <w:webHidden/>
          </w:rPr>
          <w:fldChar w:fldCharType="begin"/>
        </w:r>
        <w:r w:rsidR="004D68C7">
          <w:rPr>
            <w:noProof/>
            <w:webHidden/>
          </w:rPr>
          <w:instrText xml:space="preserve"> PAGEREF _Toc101048981 \h </w:instrText>
        </w:r>
        <w:r w:rsidR="004D68C7">
          <w:rPr>
            <w:noProof/>
            <w:webHidden/>
          </w:rPr>
        </w:r>
        <w:r w:rsidR="004D68C7">
          <w:rPr>
            <w:noProof/>
            <w:webHidden/>
          </w:rPr>
          <w:fldChar w:fldCharType="separate"/>
        </w:r>
        <w:r w:rsidR="009C2EDC">
          <w:rPr>
            <w:noProof/>
            <w:webHidden/>
          </w:rPr>
          <w:t>116</w:t>
        </w:r>
        <w:r w:rsidR="004D68C7">
          <w:rPr>
            <w:noProof/>
            <w:webHidden/>
          </w:rPr>
          <w:fldChar w:fldCharType="end"/>
        </w:r>
      </w:hyperlink>
    </w:p>
    <w:p w14:paraId="2B7CBE03" w14:textId="77777777" w:rsidR="004D68C7" w:rsidRDefault="00E07B5B">
      <w:pPr>
        <w:rPr>
          <w:noProof/>
        </w:rPr>
      </w:pPr>
      <w:r w:rsidRPr="005B7B6E">
        <w:rPr>
          <w:szCs w:val="24"/>
        </w:rPr>
        <w:fldChar w:fldCharType="end"/>
      </w:r>
      <w:r w:rsidRPr="005B7B6E">
        <w:rPr>
          <w:szCs w:val="24"/>
        </w:rPr>
        <w:fldChar w:fldCharType="begin"/>
      </w:r>
      <w:r w:rsidRPr="005B7B6E">
        <w:rPr>
          <w:szCs w:val="24"/>
        </w:rPr>
        <w:instrText xml:space="preserve"> TOC \h \z \c "Table 5." </w:instrText>
      </w:r>
      <w:r w:rsidRPr="005B7B6E">
        <w:rPr>
          <w:szCs w:val="24"/>
        </w:rPr>
        <w:fldChar w:fldCharType="separate"/>
      </w:r>
    </w:p>
    <w:p w14:paraId="6B92382D" w14:textId="6C8BFDDC" w:rsidR="004D68C7" w:rsidRDefault="00035AE8">
      <w:pPr>
        <w:pStyle w:val="TableofFigures"/>
        <w:tabs>
          <w:tab w:val="right" w:leader="dot" w:pos="9350"/>
        </w:tabs>
        <w:rPr>
          <w:rFonts w:asciiTheme="minorHAnsi" w:eastAsiaTheme="minorEastAsia" w:hAnsiTheme="minorHAnsi" w:cstheme="minorBidi"/>
          <w:noProof/>
          <w:sz w:val="22"/>
        </w:rPr>
      </w:pPr>
      <w:hyperlink w:anchor="_Toc101048750" w:history="1">
        <w:r w:rsidR="004D68C7" w:rsidRPr="004F025B">
          <w:rPr>
            <w:rStyle w:val="Hyperlink"/>
            <w:noProof/>
          </w:rPr>
          <w:t>Table 5.1. Reference isolates used to construct the phylogenetic tree based on ITS, IGS, a</w:t>
        </w:r>
        <w:r w:rsidR="004D68C7">
          <w:rPr>
            <w:rStyle w:val="Hyperlink"/>
            <w:noProof/>
          </w:rPr>
          <w:t>nd beta-tubulin gene sequences.</w:t>
        </w:r>
        <w:r w:rsidR="004D68C7" w:rsidRPr="004F025B">
          <w:rPr>
            <w:rStyle w:val="Hyperlink"/>
            <w:noProof/>
          </w:rPr>
          <w:t>.</w:t>
        </w:r>
        <w:r w:rsidR="004D68C7">
          <w:rPr>
            <w:noProof/>
            <w:webHidden/>
          </w:rPr>
          <w:tab/>
        </w:r>
        <w:r w:rsidR="004D68C7">
          <w:rPr>
            <w:noProof/>
            <w:webHidden/>
          </w:rPr>
          <w:fldChar w:fldCharType="begin"/>
        </w:r>
        <w:r w:rsidR="004D68C7">
          <w:rPr>
            <w:noProof/>
            <w:webHidden/>
          </w:rPr>
          <w:instrText xml:space="preserve"> PAGEREF _Toc101048750 \h </w:instrText>
        </w:r>
        <w:r w:rsidR="004D68C7">
          <w:rPr>
            <w:noProof/>
            <w:webHidden/>
          </w:rPr>
        </w:r>
        <w:r w:rsidR="004D68C7">
          <w:rPr>
            <w:noProof/>
            <w:webHidden/>
          </w:rPr>
          <w:fldChar w:fldCharType="separate"/>
        </w:r>
        <w:r w:rsidR="009C2EDC">
          <w:rPr>
            <w:noProof/>
            <w:webHidden/>
          </w:rPr>
          <w:t>141</w:t>
        </w:r>
        <w:r w:rsidR="004D68C7">
          <w:rPr>
            <w:noProof/>
            <w:webHidden/>
          </w:rPr>
          <w:fldChar w:fldCharType="end"/>
        </w:r>
      </w:hyperlink>
    </w:p>
    <w:p w14:paraId="6382144D" w14:textId="217B9AA7" w:rsidR="004D68C7" w:rsidRDefault="00035AE8">
      <w:pPr>
        <w:pStyle w:val="TableofFigures"/>
        <w:tabs>
          <w:tab w:val="right" w:leader="dot" w:pos="9350"/>
        </w:tabs>
        <w:rPr>
          <w:rFonts w:asciiTheme="minorHAnsi" w:eastAsiaTheme="minorEastAsia" w:hAnsiTheme="minorHAnsi" w:cstheme="minorBidi"/>
          <w:noProof/>
          <w:sz w:val="22"/>
        </w:rPr>
      </w:pPr>
      <w:hyperlink w:anchor="_Toc101048751" w:history="1">
        <w:r w:rsidR="004D68C7" w:rsidRPr="004F025B">
          <w:rPr>
            <w:rStyle w:val="Hyperlink"/>
            <w:noProof/>
          </w:rPr>
          <w:t>Table 5.2. Products evaluated against hemp powdery mildew in greenhouse trials</w:t>
        </w:r>
        <w:r w:rsidR="004D68C7">
          <w:rPr>
            <w:noProof/>
            <w:webHidden/>
          </w:rPr>
          <w:tab/>
        </w:r>
        <w:r w:rsidR="004D68C7">
          <w:rPr>
            <w:noProof/>
            <w:webHidden/>
          </w:rPr>
          <w:fldChar w:fldCharType="begin"/>
        </w:r>
        <w:r w:rsidR="004D68C7">
          <w:rPr>
            <w:noProof/>
            <w:webHidden/>
          </w:rPr>
          <w:instrText xml:space="preserve"> PAGEREF _Toc101048751 \h </w:instrText>
        </w:r>
        <w:r w:rsidR="004D68C7">
          <w:rPr>
            <w:noProof/>
            <w:webHidden/>
          </w:rPr>
        </w:r>
        <w:r w:rsidR="004D68C7">
          <w:rPr>
            <w:noProof/>
            <w:webHidden/>
          </w:rPr>
          <w:fldChar w:fldCharType="separate"/>
        </w:r>
        <w:r w:rsidR="009C2EDC">
          <w:rPr>
            <w:noProof/>
            <w:webHidden/>
          </w:rPr>
          <w:t>142</w:t>
        </w:r>
        <w:r w:rsidR="004D68C7">
          <w:rPr>
            <w:noProof/>
            <w:webHidden/>
          </w:rPr>
          <w:fldChar w:fldCharType="end"/>
        </w:r>
      </w:hyperlink>
    </w:p>
    <w:p w14:paraId="1051B4DA" w14:textId="02B37286" w:rsidR="004D68C7" w:rsidRDefault="00035AE8">
      <w:pPr>
        <w:pStyle w:val="TableofFigures"/>
        <w:tabs>
          <w:tab w:val="right" w:leader="dot" w:pos="9350"/>
        </w:tabs>
        <w:rPr>
          <w:rFonts w:asciiTheme="minorHAnsi" w:eastAsiaTheme="minorEastAsia" w:hAnsiTheme="minorHAnsi" w:cstheme="minorBidi"/>
          <w:noProof/>
          <w:sz w:val="22"/>
        </w:rPr>
      </w:pPr>
      <w:hyperlink w:anchor="_Toc101048752" w:history="1">
        <w:r w:rsidR="004D68C7" w:rsidRPr="004F025B">
          <w:rPr>
            <w:rStyle w:val="Hyperlink"/>
            <w:noProof/>
          </w:rPr>
          <w:t>Table 5. 3. Efficacy of fungicide treatments against</w:t>
        </w:r>
        <w:r w:rsidR="008A50AA">
          <w:rPr>
            <w:rStyle w:val="Hyperlink"/>
            <w:noProof/>
          </w:rPr>
          <w:t xml:space="preserve"> powdery mildew in Experiment 1</w:t>
        </w:r>
        <w:r w:rsidR="004D68C7">
          <w:rPr>
            <w:noProof/>
            <w:webHidden/>
          </w:rPr>
          <w:tab/>
        </w:r>
        <w:r w:rsidR="004D68C7">
          <w:rPr>
            <w:noProof/>
            <w:webHidden/>
          </w:rPr>
          <w:fldChar w:fldCharType="begin"/>
        </w:r>
        <w:r w:rsidR="004D68C7">
          <w:rPr>
            <w:noProof/>
            <w:webHidden/>
          </w:rPr>
          <w:instrText xml:space="preserve"> PAGEREF _Toc101048752 \h </w:instrText>
        </w:r>
        <w:r w:rsidR="004D68C7">
          <w:rPr>
            <w:noProof/>
            <w:webHidden/>
          </w:rPr>
        </w:r>
        <w:r w:rsidR="004D68C7">
          <w:rPr>
            <w:noProof/>
            <w:webHidden/>
          </w:rPr>
          <w:fldChar w:fldCharType="separate"/>
        </w:r>
        <w:r w:rsidR="009C2EDC">
          <w:rPr>
            <w:noProof/>
            <w:webHidden/>
          </w:rPr>
          <w:t>143</w:t>
        </w:r>
        <w:r w:rsidR="004D68C7">
          <w:rPr>
            <w:noProof/>
            <w:webHidden/>
          </w:rPr>
          <w:fldChar w:fldCharType="end"/>
        </w:r>
      </w:hyperlink>
    </w:p>
    <w:p w14:paraId="2993D1BC" w14:textId="78E87AAA" w:rsidR="004D68C7" w:rsidRDefault="00035AE8">
      <w:pPr>
        <w:pStyle w:val="TableofFigures"/>
        <w:tabs>
          <w:tab w:val="right" w:leader="dot" w:pos="9350"/>
        </w:tabs>
        <w:rPr>
          <w:rFonts w:asciiTheme="minorHAnsi" w:eastAsiaTheme="minorEastAsia" w:hAnsiTheme="minorHAnsi" w:cstheme="minorBidi"/>
          <w:noProof/>
          <w:sz w:val="22"/>
        </w:rPr>
      </w:pPr>
      <w:hyperlink w:anchor="_Toc101048753" w:history="1">
        <w:r w:rsidR="004D68C7" w:rsidRPr="004F025B">
          <w:rPr>
            <w:rStyle w:val="Hyperlink"/>
            <w:noProof/>
          </w:rPr>
          <w:t>Table 5.4. Efficacy of fungicide treatments against powdery mildew in E</w:t>
        </w:r>
        <w:r w:rsidR="008A50AA">
          <w:rPr>
            <w:rStyle w:val="Hyperlink"/>
            <w:noProof/>
          </w:rPr>
          <w:t>xperiment 2</w:t>
        </w:r>
        <w:r w:rsidR="004D68C7">
          <w:rPr>
            <w:noProof/>
            <w:webHidden/>
          </w:rPr>
          <w:tab/>
        </w:r>
        <w:r w:rsidR="004D68C7">
          <w:rPr>
            <w:noProof/>
            <w:webHidden/>
          </w:rPr>
          <w:fldChar w:fldCharType="begin"/>
        </w:r>
        <w:r w:rsidR="004D68C7">
          <w:rPr>
            <w:noProof/>
            <w:webHidden/>
          </w:rPr>
          <w:instrText xml:space="preserve"> PAGEREF _Toc101048753 \h </w:instrText>
        </w:r>
        <w:r w:rsidR="004D68C7">
          <w:rPr>
            <w:noProof/>
            <w:webHidden/>
          </w:rPr>
        </w:r>
        <w:r w:rsidR="004D68C7">
          <w:rPr>
            <w:noProof/>
            <w:webHidden/>
          </w:rPr>
          <w:fldChar w:fldCharType="separate"/>
        </w:r>
        <w:r w:rsidR="009C2EDC">
          <w:rPr>
            <w:noProof/>
            <w:webHidden/>
          </w:rPr>
          <w:t>144</w:t>
        </w:r>
        <w:r w:rsidR="004D68C7">
          <w:rPr>
            <w:noProof/>
            <w:webHidden/>
          </w:rPr>
          <w:fldChar w:fldCharType="end"/>
        </w:r>
      </w:hyperlink>
    </w:p>
    <w:p w14:paraId="26E1D82A" w14:textId="42264BDC" w:rsidR="004D68C7" w:rsidRDefault="00035AE8">
      <w:pPr>
        <w:pStyle w:val="TableofFigures"/>
        <w:tabs>
          <w:tab w:val="right" w:leader="dot" w:pos="9350"/>
        </w:tabs>
        <w:rPr>
          <w:rFonts w:asciiTheme="minorHAnsi" w:eastAsiaTheme="minorEastAsia" w:hAnsiTheme="minorHAnsi" w:cstheme="minorBidi"/>
          <w:noProof/>
          <w:sz w:val="22"/>
        </w:rPr>
      </w:pPr>
      <w:hyperlink w:anchor="_Toc101048754" w:history="1">
        <w:r w:rsidR="004D68C7" w:rsidRPr="004F025B">
          <w:rPr>
            <w:rStyle w:val="Hyperlink"/>
            <w:noProof/>
          </w:rPr>
          <w:t>Table 5.5. Efficacy of fungicide treatments against powdery mildew in Experiment 3</w:t>
        </w:r>
        <w:r w:rsidR="004D68C7">
          <w:rPr>
            <w:noProof/>
            <w:webHidden/>
          </w:rPr>
          <w:tab/>
        </w:r>
        <w:r w:rsidR="004D68C7">
          <w:rPr>
            <w:noProof/>
            <w:webHidden/>
          </w:rPr>
          <w:fldChar w:fldCharType="begin"/>
        </w:r>
        <w:r w:rsidR="004D68C7">
          <w:rPr>
            <w:noProof/>
            <w:webHidden/>
          </w:rPr>
          <w:instrText xml:space="preserve"> PAGEREF _Toc101048754 \h </w:instrText>
        </w:r>
        <w:r w:rsidR="004D68C7">
          <w:rPr>
            <w:noProof/>
            <w:webHidden/>
          </w:rPr>
        </w:r>
        <w:r w:rsidR="004D68C7">
          <w:rPr>
            <w:noProof/>
            <w:webHidden/>
          </w:rPr>
          <w:fldChar w:fldCharType="separate"/>
        </w:r>
        <w:r w:rsidR="009C2EDC">
          <w:rPr>
            <w:noProof/>
            <w:webHidden/>
          </w:rPr>
          <w:t>145</w:t>
        </w:r>
        <w:r w:rsidR="004D68C7">
          <w:rPr>
            <w:noProof/>
            <w:webHidden/>
          </w:rPr>
          <w:fldChar w:fldCharType="end"/>
        </w:r>
      </w:hyperlink>
    </w:p>
    <w:p w14:paraId="412E85F2" w14:textId="718FC2A8" w:rsidR="004D68C7" w:rsidRDefault="00035AE8">
      <w:pPr>
        <w:pStyle w:val="TableofFigures"/>
        <w:tabs>
          <w:tab w:val="right" w:leader="dot" w:pos="9350"/>
        </w:tabs>
        <w:rPr>
          <w:rFonts w:asciiTheme="minorHAnsi" w:eastAsiaTheme="minorEastAsia" w:hAnsiTheme="minorHAnsi" w:cstheme="minorBidi"/>
          <w:noProof/>
          <w:sz w:val="22"/>
        </w:rPr>
      </w:pPr>
      <w:hyperlink w:anchor="_Toc101048755" w:history="1">
        <w:r w:rsidR="004D68C7" w:rsidRPr="004F025B">
          <w:rPr>
            <w:rStyle w:val="Hyperlink"/>
            <w:noProof/>
          </w:rPr>
          <w:t>Table 5. 6. Disease (AUDPC) reduction by fungicide treatments across trials</w:t>
        </w:r>
        <w:r w:rsidR="004D68C7">
          <w:rPr>
            <w:noProof/>
            <w:webHidden/>
          </w:rPr>
          <w:tab/>
        </w:r>
        <w:r w:rsidR="004D68C7">
          <w:rPr>
            <w:noProof/>
            <w:webHidden/>
          </w:rPr>
          <w:fldChar w:fldCharType="begin"/>
        </w:r>
        <w:r w:rsidR="004D68C7">
          <w:rPr>
            <w:noProof/>
            <w:webHidden/>
          </w:rPr>
          <w:instrText xml:space="preserve"> PAGEREF _Toc101048755 \h </w:instrText>
        </w:r>
        <w:r w:rsidR="004D68C7">
          <w:rPr>
            <w:noProof/>
            <w:webHidden/>
          </w:rPr>
        </w:r>
        <w:r w:rsidR="004D68C7">
          <w:rPr>
            <w:noProof/>
            <w:webHidden/>
          </w:rPr>
          <w:fldChar w:fldCharType="separate"/>
        </w:r>
        <w:r w:rsidR="009C2EDC">
          <w:rPr>
            <w:noProof/>
            <w:webHidden/>
          </w:rPr>
          <w:t>146</w:t>
        </w:r>
        <w:r w:rsidR="004D68C7">
          <w:rPr>
            <w:noProof/>
            <w:webHidden/>
          </w:rPr>
          <w:fldChar w:fldCharType="end"/>
        </w:r>
      </w:hyperlink>
    </w:p>
    <w:p w14:paraId="3C0BEEBF" w14:textId="1216ED65" w:rsidR="00E07B5B" w:rsidRPr="005B7B6E" w:rsidRDefault="00E07B5B">
      <w:pPr>
        <w:rPr>
          <w:b/>
          <w:bCs/>
          <w:szCs w:val="24"/>
        </w:rPr>
      </w:pPr>
      <w:r w:rsidRPr="005B7B6E">
        <w:rPr>
          <w:szCs w:val="24"/>
        </w:rPr>
        <w:fldChar w:fldCharType="end"/>
      </w:r>
      <w:r w:rsidRPr="005B7B6E">
        <w:rPr>
          <w:szCs w:val="24"/>
        </w:rPr>
        <w:br w:type="page"/>
      </w:r>
    </w:p>
    <w:p w14:paraId="5CDED46B" w14:textId="20BE5BAC" w:rsidR="00E86971" w:rsidRPr="000B5367" w:rsidRDefault="00E86971" w:rsidP="00E86971">
      <w:pPr>
        <w:pStyle w:val="Title"/>
        <w:rPr>
          <w:sz w:val="28"/>
          <w:szCs w:val="28"/>
        </w:rPr>
      </w:pPr>
      <w:r w:rsidRPr="000B5367">
        <w:rPr>
          <w:sz w:val="28"/>
          <w:szCs w:val="28"/>
        </w:rPr>
        <w:t>L</w:t>
      </w:r>
      <w:r w:rsidR="00E07B5B" w:rsidRPr="000B5367">
        <w:rPr>
          <w:sz w:val="28"/>
          <w:szCs w:val="28"/>
        </w:rPr>
        <w:t>IST OF FIGURES</w:t>
      </w:r>
      <w:r w:rsidRPr="000B5367">
        <w:rPr>
          <w:sz w:val="28"/>
          <w:szCs w:val="28"/>
        </w:rPr>
        <w:t xml:space="preserve"> </w:t>
      </w:r>
    </w:p>
    <w:p w14:paraId="6F115693" w14:textId="77973FAA" w:rsidR="008553A4" w:rsidRDefault="008553A4" w:rsidP="003C484D">
      <w:pPr>
        <w:ind w:left="720"/>
        <w:jc w:val="center"/>
        <w:rPr>
          <w:rFonts w:cs="Times New Roman"/>
          <w:sz w:val="28"/>
          <w:szCs w:val="28"/>
        </w:rPr>
      </w:pPr>
    </w:p>
    <w:p w14:paraId="7D90D589" w14:textId="2B542AC9" w:rsidR="008A50AA" w:rsidRDefault="00E07B5B">
      <w:pPr>
        <w:pStyle w:val="TableofFigures"/>
        <w:tabs>
          <w:tab w:val="right" w:leader="dot" w:pos="9350"/>
        </w:tabs>
        <w:rPr>
          <w:rFonts w:asciiTheme="minorHAnsi" w:eastAsiaTheme="minorEastAsia" w:hAnsiTheme="minorHAnsi" w:cstheme="minorBidi"/>
          <w:noProof/>
          <w:sz w:val="22"/>
        </w:rPr>
      </w:pPr>
      <w:r>
        <w:rPr>
          <w:rFonts w:cs="Times New Roman"/>
          <w:sz w:val="28"/>
          <w:szCs w:val="28"/>
        </w:rPr>
        <w:fldChar w:fldCharType="begin"/>
      </w:r>
      <w:r>
        <w:rPr>
          <w:rFonts w:cs="Times New Roman"/>
          <w:sz w:val="28"/>
          <w:szCs w:val="28"/>
        </w:rPr>
        <w:instrText xml:space="preserve"> TOC \h \z \c "Figure 2." </w:instrText>
      </w:r>
      <w:r>
        <w:rPr>
          <w:rFonts w:cs="Times New Roman"/>
          <w:sz w:val="28"/>
          <w:szCs w:val="28"/>
        </w:rPr>
        <w:fldChar w:fldCharType="separate"/>
      </w:r>
      <w:hyperlink r:id="rId10" w:anchor="_Toc101049106" w:history="1">
        <w:r w:rsidR="008A50AA" w:rsidRPr="00F37253">
          <w:rPr>
            <w:rStyle w:val="Hyperlink"/>
            <w:noProof/>
          </w:rPr>
          <w:t xml:space="preserve">Figure 2. 1. Number of samples </w:t>
        </w:r>
        <w:r w:rsidR="008A50AA" w:rsidRPr="008A50AA">
          <w:rPr>
            <w:rStyle w:val="Hyperlink"/>
            <w:noProof/>
          </w:rPr>
          <w:t xml:space="preserve">collected </w:t>
        </w:r>
        <w:r w:rsidR="008A50AA" w:rsidRPr="00F37253">
          <w:rPr>
            <w:rStyle w:val="Hyperlink"/>
            <w:noProof/>
          </w:rPr>
          <w:t>from different row crops from 2018 through 2020</w:t>
        </w:r>
        <w:r w:rsidR="008A50AA">
          <w:rPr>
            <w:noProof/>
            <w:webHidden/>
          </w:rPr>
          <w:tab/>
        </w:r>
        <w:r w:rsidR="008A50AA">
          <w:rPr>
            <w:noProof/>
            <w:webHidden/>
          </w:rPr>
          <w:fldChar w:fldCharType="begin"/>
        </w:r>
        <w:r w:rsidR="008A50AA">
          <w:rPr>
            <w:noProof/>
            <w:webHidden/>
          </w:rPr>
          <w:instrText xml:space="preserve"> PAGEREF _Toc101049106 \h </w:instrText>
        </w:r>
        <w:r w:rsidR="008A50AA">
          <w:rPr>
            <w:noProof/>
            <w:webHidden/>
          </w:rPr>
        </w:r>
        <w:r w:rsidR="008A50AA">
          <w:rPr>
            <w:noProof/>
            <w:webHidden/>
          </w:rPr>
          <w:fldChar w:fldCharType="separate"/>
        </w:r>
        <w:r w:rsidR="009C2EDC">
          <w:rPr>
            <w:noProof/>
            <w:webHidden/>
          </w:rPr>
          <w:t>69</w:t>
        </w:r>
        <w:r w:rsidR="008A50AA">
          <w:rPr>
            <w:noProof/>
            <w:webHidden/>
          </w:rPr>
          <w:fldChar w:fldCharType="end"/>
        </w:r>
      </w:hyperlink>
    </w:p>
    <w:p w14:paraId="385CF064" w14:textId="576C0A35" w:rsidR="008A50AA" w:rsidRDefault="00035AE8">
      <w:pPr>
        <w:pStyle w:val="TableofFigures"/>
        <w:tabs>
          <w:tab w:val="right" w:leader="dot" w:pos="9350"/>
        </w:tabs>
        <w:rPr>
          <w:rFonts w:asciiTheme="minorHAnsi" w:eastAsiaTheme="minorEastAsia" w:hAnsiTheme="minorHAnsi" w:cstheme="minorBidi"/>
          <w:noProof/>
          <w:sz w:val="22"/>
        </w:rPr>
      </w:pPr>
      <w:hyperlink r:id="rId11" w:anchor="_Toc101049107" w:history="1">
        <w:r w:rsidR="008A50AA" w:rsidRPr="00F37253">
          <w:rPr>
            <w:rStyle w:val="Hyperlink"/>
            <w:noProof/>
          </w:rPr>
          <w:t>Figure 2. 2. Number of samples per field grown with soybean cultivar</w:t>
        </w:r>
        <w:r w:rsidR="008A50AA">
          <w:rPr>
            <w:rStyle w:val="Hyperlink"/>
            <w:noProof/>
          </w:rPr>
          <w:t>s</w:t>
        </w:r>
        <w:r w:rsidR="008A50AA" w:rsidRPr="00F37253">
          <w:rPr>
            <w:rStyle w:val="Hyperlink"/>
            <w:noProof/>
          </w:rPr>
          <w:t>.</w:t>
        </w:r>
        <w:r w:rsidR="008A50AA">
          <w:rPr>
            <w:noProof/>
            <w:webHidden/>
          </w:rPr>
          <w:tab/>
        </w:r>
        <w:r w:rsidR="008A50AA">
          <w:rPr>
            <w:noProof/>
            <w:webHidden/>
          </w:rPr>
          <w:fldChar w:fldCharType="begin"/>
        </w:r>
        <w:r w:rsidR="008A50AA">
          <w:rPr>
            <w:noProof/>
            <w:webHidden/>
          </w:rPr>
          <w:instrText xml:space="preserve"> PAGEREF _Toc101049107 \h </w:instrText>
        </w:r>
        <w:r w:rsidR="008A50AA">
          <w:rPr>
            <w:noProof/>
            <w:webHidden/>
          </w:rPr>
        </w:r>
        <w:r w:rsidR="008A50AA">
          <w:rPr>
            <w:noProof/>
            <w:webHidden/>
          </w:rPr>
          <w:fldChar w:fldCharType="separate"/>
        </w:r>
        <w:r w:rsidR="009C2EDC">
          <w:rPr>
            <w:noProof/>
            <w:webHidden/>
          </w:rPr>
          <w:t>70</w:t>
        </w:r>
        <w:r w:rsidR="008A50AA">
          <w:rPr>
            <w:noProof/>
            <w:webHidden/>
          </w:rPr>
          <w:fldChar w:fldCharType="end"/>
        </w:r>
      </w:hyperlink>
    </w:p>
    <w:p w14:paraId="607EFD79" w14:textId="65B0DAFC" w:rsidR="008A50AA" w:rsidRDefault="00035AE8">
      <w:pPr>
        <w:pStyle w:val="TableofFigures"/>
        <w:tabs>
          <w:tab w:val="right" w:leader="dot" w:pos="9350"/>
        </w:tabs>
        <w:rPr>
          <w:rFonts w:asciiTheme="minorHAnsi" w:eastAsiaTheme="minorEastAsia" w:hAnsiTheme="minorHAnsi" w:cstheme="minorBidi"/>
          <w:noProof/>
          <w:sz w:val="22"/>
        </w:rPr>
      </w:pPr>
      <w:hyperlink r:id="rId12" w:anchor="_Toc101049108" w:history="1">
        <w:r w:rsidR="008A50AA" w:rsidRPr="00F37253">
          <w:rPr>
            <w:rStyle w:val="Hyperlink"/>
            <w:noProof/>
          </w:rPr>
          <w:t>Figure 2. 3. Average nematode densities across 372 fields</w:t>
        </w:r>
        <w:r w:rsidR="008A50AA">
          <w:rPr>
            <w:rStyle w:val="Hyperlink"/>
            <w:noProof/>
          </w:rPr>
          <w:t xml:space="preserve"> sampled for nematode analysis.</w:t>
        </w:r>
        <w:r w:rsidR="008A50AA" w:rsidRPr="00F37253">
          <w:rPr>
            <w:rStyle w:val="Hyperlink"/>
            <w:rFonts w:cs="Times New Roman"/>
            <w:noProof/>
          </w:rPr>
          <w:t>.</w:t>
        </w:r>
        <w:r w:rsidR="008A50AA">
          <w:rPr>
            <w:noProof/>
            <w:webHidden/>
          </w:rPr>
          <w:tab/>
        </w:r>
        <w:r w:rsidR="008A50AA">
          <w:rPr>
            <w:noProof/>
            <w:webHidden/>
          </w:rPr>
          <w:fldChar w:fldCharType="begin"/>
        </w:r>
        <w:r w:rsidR="008A50AA">
          <w:rPr>
            <w:noProof/>
            <w:webHidden/>
          </w:rPr>
          <w:instrText xml:space="preserve"> PAGEREF _Toc101049108 \h </w:instrText>
        </w:r>
        <w:r w:rsidR="008A50AA">
          <w:rPr>
            <w:noProof/>
            <w:webHidden/>
          </w:rPr>
        </w:r>
        <w:r w:rsidR="008A50AA">
          <w:rPr>
            <w:noProof/>
            <w:webHidden/>
          </w:rPr>
          <w:fldChar w:fldCharType="separate"/>
        </w:r>
        <w:r w:rsidR="009C2EDC">
          <w:rPr>
            <w:noProof/>
            <w:webHidden/>
          </w:rPr>
          <w:t>71</w:t>
        </w:r>
        <w:r w:rsidR="008A50AA">
          <w:rPr>
            <w:noProof/>
            <w:webHidden/>
          </w:rPr>
          <w:fldChar w:fldCharType="end"/>
        </w:r>
      </w:hyperlink>
    </w:p>
    <w:p w14:paraId="02CF004C" w14:textId="0EA27A41" w:rsidR="008A50AA" w:rsidRDefault="00035AE8">
      <w:pPr>
        <w:pStyle w:val="TableofFigures"/>
        <w:tabs>
          <w:tab w:val="right" w:leader="dot" w:pos="9350"/>
        </w:tabs>
        <w:rPr>
          <w:rFonts w:asciiTheme="minorHAnsi" w:eastAsiaTheme="minorEastAsia" w:hAnsiTheme="minorHAnsi" w:cstheme="minorBidi"/>
          <w:noProof/>
          <w:sz w:val="22"/>
        </w:rPr>
      </w:pPr>
      <w:hyperlink r:id="rId13" w:anchor="_Toc101049109" w:history="1">
        <w:r w:rsidR="008A50AA" w:rsidRPr="00F37253">
          <w:rPr>
            <w:rStyle w:val="Hyperlink"/>
            <w:noProof/>
          </w:rPr>
          <w:t>Figure 2. 4. Soybean cyst nematode (SCN) avera</w:t>
        </w:r>
        <w:r w:rsidR="008A50AA">
          <w:rPr>
            <w:rStyle w:val="Hyperlink"/>
            <w:noProof/>
          </w:rPr>
          <w:t>ge densities associated with different soybean</w:t>
        </w:r>
        <w:r w:rsidR="008A50AA" w:rsidRPr="00F37253">
          <w:rPr>
            <w:rStyle w:val="Hyperlink"/>
            <w:noProof/>
          </w:rPr>
          <w:t xml:space="preserve"> cultivars</w:t>
        </w:r>
        <w:r w:rsidR="008A50AA">
          <w:rPr>
            <w:noProof/>
            <w:webHidden/>
          </w:rPr>
          <w:tab/>
        </w:r>
        <w:r w:rsidR="008A50AA">
          <w:rPr>
            <w:noProof/>
            <w:webHidden/>
          </w:rPr>
          <w:fldChar w:fldCharType="begin"/>
        </w:r>
        <w:r w:rsidR="008A50AA">
          <w:rPr>
            <w:noProof/>
            <w:webHidden/>
          </w:rPr>
          <w:instrText xml:space="preserve"> PAGEREF _Toc101049109 \h </w:instrText>
        </w:r>
        <w:r w:rsidR="008A50AA">
          <w:rPr>
            <w:noProof/>
            <w:webHidden/>
          </w:rPr>
        </w:r>
        <w:r w:rsidR="008A50AA">
          <w:rPr>
            <w:noProof/>
            <w:webHidden/>
          </w:rPr>
          <w:fldChar w:fldCharType="separate"/>
        </w:r>
        <w:r w:rsidR="009C2EDC">
          <w:rPr>
            <w:noProof/>
            <w:webHidden/>
          </w:rPr>
          <w:t>72</w:t>
        </w:r>
        <w:r w:rsidR="008A50AA">
          <w:rPr>
            <w:noProof/>
            <w:webHidden/>
          </w:rPr>
          <w:fldChar w:fldCharType="end"/>
        </w:r>
      </w:hyperlink>
    </w:p>
    <w:p w14:paraId="0576BAB0" w14:textId="0C002B7B" w:rsidR="008A50AA" w:rsidRDefault="00E07B5B" w:rsidP="003C484D">
      <w:pPr>
        <w:ind w:left="720"/>
        <w:jc w:val="center"/>
        <w:rPr>
          <w:noProof/>
        </w:rPr>
      </w:pPr>
      <w:r>
        <w:rPr>
          <w:rFonts w:cs="Times New Roman"/>
          <w:sz w:val="28"/>
          <w:szCs w:val="28"/>
        </w:rPr>
        <w:fldChar w:fldCharType="end"/>
      </w:r>
      <w:r w:rsidRPr="00816643">
        <w:rPr>
          <w:rFonts w:cs="Times New Roman"/>
          <w:sz w:val="28"/>
          <w:szCs w:val="28"/>
        </w:rPr>
        <w:fldChar w:fldCharType="begin"/>
      </w:r>
      <w:r w:rsidRPr="00816643">
        <w:rPr>
          <w:rFonts w:cs="Times New Roman"/>
          <w:sz w:val="28"/>
          <w:szCs w:val="28"/>
        </w:rPr>
        <w:instrText xml:space="preserve"> TOC \h \z \c "Figure 3." </w:instrText>
      </w:r>
      <w:r w:rsidRPr="00816643">
        <w:rPr>
          <w:rFonts w:cs="Times New Roman"/>
          <w:sz w:val="28"/>
          <w:szCs w:val="28"/>
        </w:rPr>
        <w:fldChar w:fldCharType="separate"/>
      </w:r>
    </w:p>
    <w:p w14:paraId="36E4A723" w14:textId="3CB59124" w:rsidR="008A50AA" w:rsidRDefault="00035AE8">
      <w:pPr>
        <w:pStyle w:val="TableofFigures"/>
        <w:tabs>
          <w:tab w:val="right" w:leader="dot" w:pos="9350"/>
        </w:tabs>
        <w:rPr>
          <w:rFonts w:asciiTheme="minorHAnsi" w:eastAsiaTheme="minorEastAsia" w:hAnsiTheme="minorHAnsi" w:cstheme="minorBidi"/>
          <w:noProof/>
          <w:sz w:val="22"/>
        </w:rPr>
      </w:pPr>
      <w:hyperlink r:id="rId14" w:anchor="_Toc101049094" w:history="1">
        <w:r w:rsidR="008A50AA" w:rsidRPr="008A50AA">
          <w:rPr>
            <w:rStyle w:val="Hyperlink"/>
            <w:noProof/>
          </w:rPr>
          <w:t>Figure 3.1. Impact of SCN on NF activity on soybean genotypes</w:t>
        </w:r>
        <w:r w:rsidR="008A50AA">
          <w:rPr>
            <w:noProof/>
            <w:webHidden/>
          </w:rPr>
          <w:tab/>
        </w:r>
        <w:r w:rsidR="008A50AA">
          <w:rPr>
            <w:noProof/>
            <w:webHidden/>
          </w:rPr>
          <w:fldChar w:fldCharType="begin"/>
        </w:r>
        <w:r w:rsidR="008A50AA">
          <w:rPr>
            <w:noProof/>
            <w:webHidden/>
          </w:rPr>
          <w:instrText xml:space="preserve"> PAGEREF _Toc101049094 \h </w:instrText>
        </w:r>
        <w:r w:rsidR="008A50AA">
          <w:rPr>
            <w:noProof/>
            <w:webHidden/>
          </w:rPr>
        </w:r>
        <w:r w:rsidR="008A50AA">
          <w:rPr>
            <w:noProof/>
            <w:webHidden/>
          </w:rPr>
          <w:fldChar w:fldCharType="separate"/>
        </w:r>
        <w:r w:rsidR="009C2EDC">
          <w:rPr>
            <w:noProof/>
            <w:webHidden/>
          </w:rPr>
          <w:t>94</w:t>
        </w:r>
        <w:r w:rsidR="008A50AA">
          <w:rPr>
            <w:noProof/>
            <w:webHidden/>
          </w:rPr>
          <w:fldChar w:fldCharType="end"/>
        </w:r>
      </w:hyperlink>
    </w:p>
    <w:p w14:paraId="7CECC234" w14:textId="0DAE7061" w:rsidR="008A50AA" w:rsidRDefault="00035AE8">
      <w:pPr>
        <w:pStyle w:val="TableofFigures"/>
        <w:tabs>
          <w:tab w:val="right" w:leader="dot" w:pos="9350"/>
        </w:tabs>
        <w:rPr>
          <w:rFonts w:asciiTheme="minorHAnsi" w:eastAsiaTheme="minorEastAsia" w:hAnsiTheme="minorHAnsi" w:cstheme="minorBidi"/>
          <w:noProof/>
          <w:sz w:val="22"/>
        </w:rPr>
      </w:pPr>
      <w:hyperlink r:id="rId15" w:anchor="_Toc101049095" w:history="1">
        <w:r w:rsidR="008A50AA" w:rsidRPr="00101996">
          <w:rPr>
            <w:rStyle w:val="Hyperlink"/>
            <w:noProof/>
          </w:rPr>
          <w:t xml:space="preserve">Figure 3.2. </w:t>
        </w:r>
        <w:r w:rsidR="008A50AA" w:rsidRPr="00101996">
          <w:rPr>
            <w:rStyle w:val="Hyperlink"/>
            <w:bCs/>
            <w:noProof/>
          </w:rPr>
          <w:t>Effect of SCN on leaf</w:t>
        </w:r>
        <w:r w:rsidR="008A50AA">
          <w:rPr>
            <w:rStyle w:val="Hyperlink"/>
            <w:noProof/>
          </w:rPr>
          <w:t xml:space="preserve"> color.</w:t>
        </w:r>
        <w:r w:rsidR="008A50AA">
          <w:rPr>
            <w:noProof/>
            <w:webHidden/>
          </w:rPr>
          <w:tab/>
        </w:r>
        <w:r w:rsidR="008A50AA">
          <w:rPr>
            <w:noProof/>
            <w:webHidden/>
          </w:rPr>
          <w:fldChar w:fldCharType="begin"/>
        </w:r>
        <w:r w:rsidR="008A50AA">
          <w:rPr>
            <w:noProof/>
            <w:webHidden/>
          </w:rPr>
          <w:instrText xml:space="preserve"> PAGEREF _Toc101049095 \h </w:instrText>
        </w:r>
        <w:r w:rsidR="008A50AA">
          <w:rPr>
            <w:noProof/>
            <w:webHidden/>
          </w:rPr>
        </w:r>
        <w:r w:rsidR="008A50AA">
          <w:rPr>
            <w:noProof/>
            <w:webHidden/>
          </w:rPr>
          <w:fldChar w:fldCharType="separate"/>
        </w:r>
        <w:r w:rsidR="009C2EDC">
          <w:rPr>
            <w:noProof/>
            <w:webHidden/>
          </w:rPr>
          <w:t>95</w:t>
        </w:r>
        <w:r w:rsidR="008A50AA">
          <w:rPr>
            <w:noProof/>
            <w:webHidden/>
          </w:rPr>
          <w:fldChar w:fldCharType="end"/>
        </w:r>
      </w:hyperlink>
    </w:p>
    <w:p w14:paraId="21E33296" w14:textId="1780C44D" w:rsidR="008A50AA" w:rsidRDefault="00035AE8">
      <w:pPr>
        <w:pStyle w:val="TableofFigures"/>
        <w:tabs>
          <w:tab w:val="right" w:leader="dot" w:pos="9350"/>
        </w:tabs>
        <w:rPr>
          <w:rFonts w:asciiTheme="minorHAnsi" w:eastAsiaTheme="minorEastAsia" w:hAnsiTheme="minorHAnsi" w:cstheme="minorBidi"/>
          <w:noProof/>
          <w:sz w:val="22"/>
        </w:rPr>
      </w:pPr>
      <w:hyperlink r:id="rId16" w:anchor="_Toc101049096" w:history="1">
        <w:r w:rsidR="008A50AA" w:rsidRPr="00101996">
          <w:rPr>
            <w:rStyle w:val="Hyperlink"/>
            <w:noProof/>
          </w:rPr>
          <w:t>Figure 3.3. Impact of SCN on leaf area of soybean genotypes.</w:t>
        </w:r>
        <w:r w:rsidR="008A50AA">
          <w:rPr>
            <w:noProof/>
            <w:webHidden/>
          </w:rPr>
          <w:tab/>
        </w:r>
        <w:r w:rsidR="008A50AA">
          <w:rPr>
            <w:noProof/>
            <w:webHidden/>
          </w:rPr>
          <w:fldChar w:fldCharType="begin"/>
        </w:r>
        <w:r w:rsidR="008A50AA">
          <w:rPr>
            <w:noProof/>
            <w:webHidden/>
          </w:rPr>
          <w:instrText xml:space="preserve"> PAGEREF _Toc101049096 \h </w:instrText>
        </w:r>
        <w:r w:rsidR="008A50AA">
          <w:rPr>
            <w:noProof/>
            <w:webHidden/>
          </w:rPr>
        </w:r>
        <w:r w:rsidR="008A50AA">
          <w:rPr>
            <w:noProof/>
            <w:webHidden/>
          </w:rPr>
          <w:fldChar w:fldCharType="separate"/>
        </w:r>
        <w:r w:rsidR="009C2EDC">
          <w:rPr>
            <w:noProof/>
            <w:webHidden/>
          </w:rPr>
          <w:t>96</w:t>
        </w:r>
        <w:r w:rsidR="008A50AA">
          <w:rPr>
            <w:noProof/>
            <w:webHidden/>
          </w:rPr>
          <w:fldChar w:fldCharType="end"/>
        </w:r>
      </w:hyperlink>
    </w:p>
    <w:p w14:paraId="24187B56" w14:textId="4BD6A550" w:rsidR="008A50AA" w:rsidRDefault="00035AE8">
      <w:pPr>
        <w:pStyle w:val="TableofFigures"/>
        <w:tabs>
          <w:tab w:val="right" w:leader="dot" w:pos="9350"/>
        </w:tabs>
        <w:rPr>
          <w:rFonts w:asciiTheme="minorHAnsi" w:eastAsiaTheme="minorEastAsia" w:hAnsiTheme="minorHAnsi" w:cstheme="minorBidi"/>
          <w:noProof/>
          <w:sz w:val="22"/>
        </w:rPr>
      </w:pPr>
      <w:hyperlink r:id="rId17" w:anchor="_Toc101049097" w:history="1">
        <w:r w:rsidR="008A50AA" w:rsidRPr="00101996">
          <w:rPr>
            <w:rStyle w:val="Hyperlink"/>
            <w:noProof/>
          </w:rPr>
          <w:t>Figure 3.4. Impact of SCN</w:t>
        </w:r>
        <w:r w:rsidR="008A50AA">
          <w:rPr>
            <w:rStyle w:val="Hyperlink"/>
            <w:noProof/>
          </w:rPr>
          <w:t xml:space="preserve"> on soybean root surface area.</w:t>
        </w:r>
        <w:r w:rsidR="008A50AA">
          <w:rPr>
            <w:noProof/>
            <w:webHidden/>
          </w:rPr>
          <w:tab/>
        </w:r>
        <w:r w:rsidR="008A50AA">
          <w:rPr>
            <w:noProof/>
            <w:webHidden/>
          </w:rPr>
          <w:fldChar w:fldCharType="begin"/>
        </w:r>
        <w:r w:rsidR="008A50AA">
          <w:rPr>
            <w:noProof/>
            <w:webHidden/>
          </w:rPr>
          <w:instrText xml:space="preserve"> PAGEREF _Toc101049097 \h </w:instrText>
        </w:r>
        <w:r w:rsidR="008A50AA">
          <w:rPr>
            <w:noProof/>
            <w:webHidden/>
          </w:rPr>
        </w:r>
        <w:r w:rsidR="008A50AA">
          <w:rPr>
            <w:noProof/>
            <w:webHidden/>
          </w:rPr>
          <w:fldChar w:fldCharType="separate"/>
        </w:r>
        <w:r w:rsidR="009C2EDC">
          <w:rPr>
            <w:noProof/>
            <w:webHidden/>
          </w:rPr>
          <w:t>97</w:t>
        </w:r>
        <w:r w:rsidR="008A50AA">
          <w:rPr>
            <w:noProof/>
            <w:webHidden/>
          </w:rPr>
          <w:fldChar w:fldCharType="end"/>
        </w:r>
      </w:hyperlink>
    </w:p>
    <w:p w14:paraId="5A4059B9" w14:textId="4162F9D0" w:rsidR="008A50AA" w:rsidRDefault="00035AE8">
      <w:pPr>
        <w:pStyle w:val="TableofFigures"/>
        <w:tabs>
          <w:tab w:val="right" w:leader="dot" w:pos="9350"/>
        </w:tabs>
        <w:rPr>
          <w:rFonts w:asciiTheme="minorHAnsi" w:eastAsiaTheme="minorEastAsia" w:hAnsiTheme="minorHAnsi" w:cstheme="minorBidi"/>
          <w:noProof/>
          <w:sz w:val="22"/>
        </w:rPr>
      </w:pPr>
      <w:hyperlink r:id="rId18" w:anchor="_Toc101049098" w:history="1">
        <w:r w:rsidR="008A50AA">
          <w:rPr>
            <w:rStyle w:val="Hyperlink"/>
            <w:noProof/>
          </w:rPr>
          <w:t>Figure 3. 5. Final d</w:t>
        </w:r>
        <w:r w:rsidR="00E54C22">
          <w:rPr>
            <w:rStyle w:val="Hyperlink"/>
            <w:noProof/>
          </w:rPr>
          <w:t xml:space="preserve">ensity of SCN </w:t>
        </w:r>
        <w:r w:rsidR="008A50AA" w:rsidRPr="00101996">
          <w:rPr>
            <w:rStyle w:val="Hyperlink"/>
            <w:noProof/>
          </w:rPr>
          <w:t>on the roots of te</w:t>
        </w:r>
        <w:r w:rsidR="008A50AA">
          <w:rPr>
            <w:rStyle w:val="Hyperlink"/>
            <w:noProof/>
          </w:rPr>
          <w:t>st soybean genotypes at harvest</w:t>
        </w:r>
        <w:r w:rsidR="008A50AA">
          <w:rPr>
            <w:noProof/>
            <w:webHidden/>
          </w:rPr>
          <w:tab/>
        </w:r>
        <w:r w:rsidR="008A50AA">
          <w:rPr>
            <w:noProof/>
            <w:webHidden/>
          </w:rPr>
          <w:fldChar w:fldCharType="begin"/>
        </w:r>
        <w:r w:rsidR="008A50AA">
          <w:rPr>
            <w:noProof/>
            <w:webHidden/>
          </w:rPr>
          <w:instrText xml:space="preserve"> PAGEREF _Toc101049098 \h </w:instrText>
        </w:r>
        <w:r w:rsidR="008A50AA">
          <w:rPr>
            <w:noProof/>
            <w:webHidden/>
          </w:rPr>
        </w:r>
        <w:r w:rsidR="008A50AA">
          <w:rPr>
            <w:noProof/>
            <w:webHidden/>
          </w:rPr>
          <w:fldChar w:fldCharType="separate"/>
        </w:r>
        <w:r w:rsidR="009C2EDC">
          <w:rPr>
            <w:noProof/>
            <w:webHidden/>
          </w:rPr>
          <w:t>98</w:t>
        </w:r>
        <w:r w:rsidR="008A50AA">
          <w:rPr>
            <w:noProof/>
            <w:webHidden/>
          </w:rPr>
          <w:fldChar w:fldCharType="end"/>
        </w:r>
      </w:hyperlink>
    </w:p>
    <w:p w14:paraId="0E94DCDF" w14:textId="77777777" w:rsidR="008A50AA" w:rsidRDefault="00E07B5B" w:rsidP="003C484D">
      <w:pPr>
        <w:ind w:left="720"/>
        <w:jc w:val="center"/>
        <w:rPr>
          <w:noProof/>
        </w:rPr>
      </w:pPr>
      <w:r w:rsidRPr="00816643">
        <w:rPr>
          <w:rFonts w:cs="Times New Roman"/>
          <w:sz w:val="28"/>
          <w:szCs w:val="28"/>
        </w:rPr>
        <w:fldChar w:fldCharType="end"/>
      </w:r>
      <w:r w:rsidRPr="00816643">
        <w:rPr>
          <w:rFonts w:cs="Times New Roman"/>
          <w:sz w:val="28"/>
          <w:szCs w:val="28"/>
        </w:rPr>
        <w:fldChar w:fldCharType="begin"/>
      </w:r>
      <w:r w:rsidRPr="00816643">
        <w:rPr>
          <w:rFonts w:cs="Times New Roman"/>
          <w:sz w:val="28"/>
          <w:szCs w:val="28"/>
        </w:rPr>
        <w:instrText xml:space="preserve"> TOC \h \z \c "Figure 5." </w:instrText>
      </w:r>
      <w:r w:rsidRPr="00816643">
        <w:rPr>
          <w:rFonts w:cs="Times New Roman"/>
          <w:sz w:val="28"/>
          <w:szCs w:val="28"/>
        </w:rPr>
        <w:fldChar w:fldCharType="separate"/>
      </w:r>
    </w:p>
    <w:p w14:paraId="7FEA1AF8" w14:textId="345C7C54" w:rsidR="008A50AA" w:rsidRDefault="00035AE8">
      <w:pPr>
        <w:pStyle w:val="TableofFigures"/>
        <w:tabs>
          <w:tab w:val="right" w:leader="dot" w:pos="9350"/>
        </w:tabs>
        <w:rPr>
          <w:rFonts w:asciiTheme="minorHAnsi" w:eastAsiaTheme="minorEastAsia" w:hAnsiTheme="minorHAnsi" w:cstheme="minorBidi"/>
          <w:noProof/>
          <w:sz w:val="22"/>
        </w:rPr>
      </w:pPr>
      <w:hyperlink r:id="rId19" w:anchor="_Toc101049111" w:history="1">
        <w:r w:rsidR="008A50AA" w:rsidRPr="001078DB">
          <w:rPr>
            <w:rStyle w:val="Hyperlink"/>
            <w:noProof/>
          </w:rPr>
          <w:t>Figure 5.1. Molecular phylogenetic neighbor-joining tree based on the internal transcribed spacer region</w:t>
        </w:r>
        <w:r w:rsidR="000E146A">
          <w:rPr>
            <w:rStyle w:val="Hyperlink"/>
            <w:noProof/>
          </w:rPr>
          <w:t xml:space="preserve"> (ITS), intergenic spacer (IGS), </w:t>
        </w:r>
        <w:r w:rsidR="008A50AA" w:rsidRPr="001078DB">
          <w:rPr>
            <w:rStyle w:val="Hyperlink"/>
            <w:noProof/>
          </w:rPr>
          <w:t>and β-tubulin nucleotides sequences of 12</w:t>
        </w:r>
        <w:r w:rsidR="00925317">
          <w:rPr>
            <w:rStyle w:val="Hyperlink"/>
            <w:noProof/>
          </w:rPr>
          <w:t xml:space="preserve"> reported </w:t>
        </w:r>
        <w:r w:rsidR="008A50AA" w:rsidRPr="001078DB">
          <w:rPr>
            <w:rStyle w:val="Hyperlink"/>
            <w:i/>
            <w:noProof/>
          </w:rPr>
          <w:t>Golovinomyces</w:t>
        </w:r>
        <w:r w:rsidR="008A50AA" w:rsidRPr="001078DB">
          <w:rPr>
            <w:rStyle w:val="Hyperlink"/>
            <w:noProof/>
          </w:rPr>
          <w:t xml:space="preserve"> species </w:t>
        </w:r>
        <w:r w:rsidR="00925317">
          <w:rPr>
            <w:rStyle w:val="Hyperlink"/>
            <w:noProof/>
          </w:rPr>
          <w:t xml:space="preserve">and </w:t>
        </w:r>
        <w:r w:rsidR="008A50AA" w:rsidRPr="001078DB">
          <w:rPr>
            <w:rStyle w:val="Hyperlink"/>
            <w:noProof/>
          </w:rPr>
          <w:t xml:space="preserve">one isolate collected </w:t>
        </w:r>
        <w:r w:rsidR="008A50AA" w:rsidRPr="001078DB">
          <w:rPr>
            <w:rStyle w:val="Hyperlink"/>
            <w:rFonts w:eastAsia="Times New Roman" w:cs="Times New Roman"/>
            <w:noProof/>
          </w:rPr>
          <w:t>from powdery mildew infected hemp leaf in Tennessee.</w:t>
        </w:r>
        <w:r w:rsidR="008A50AA">
          <w:rPr>
            <w:noProof/>
            <w:webHidden/>
          </w:rPr>
          <w:tab/>
        </w:r>
        <w:r w:rsidR="008A50AA">
          <w:rPr>
            <w:noProof/>
            <w:webHidden/>
          </w:rPr>
          <w:fldChar w:fldCharType="begin"/>
        </w:r>
        <w:r w:rsidR="008A50AA">
          <w:rPr>
            <w:noProof/>
            <w:webHidden/>
          </w:rPr>
          <w:instrText xml:space="preserve"> PAGEREF _Toc101049111 \h </w:instrText>
        </w:r>
        <w:r w:rsidR="008A50AA">
          <w:rPr>
            <w:noProof/>
            <w:webHidden/>
          </w:rPr>
        </w:r>
        <w:r w:rsidR="008A50AA">
          <w:rPr>
            <w:noProof/>
            <w:webHidden/>
          </w:rPr>
          <w:fldChar w:fldCharType="separate"/>
        </w:r>
        <w:r w:rsidR="009C2EDC">
          <w:rPr>
            <w:noProof/>
            <w:webHidden/>
          </w:rPr>
          <w:t>147</w:t>
        </w:r>
        <w:r w:rsidR="008A50AA">
          <w:rPr>
            <w:noProof/>
            <w:webHidden/>
          </w:rPr>
          <w:fldChar w:fldCharType="end"/>
        </w:r>
      </w:hyperlink>
    </w:p>
    <w:p w14:paraId="531992A1" w14:textId="229A3B4D" w:rsidR="008A50AA" w:rsidRDefault="00035AE8">
      <w:pPr>
        <w:pStyle w:val="TableofFigures"/>
        <w:tabs>
          <w:tab w:val="right" w:leader="dot" w:pos="9350"/>
        </w:tabs>
        <w:rPr>
          <w:rFonts w:asciiTheme="minorHAnsi" w:eastAsiaTheme="minorEastAsia" w:hAnsiTheme="minorHAnsi" w:cstheme="minorBidi"/>
          <w:noProof/>
          <w:sz w:val="22"/>
        </w:rPr>
      </w:pPr>
      <w:hyperlink r:id="rId20" w:anchor="_Toc101049112" w:history="1">
        <w:r w:rsidR="008A50AA" w:rsidRPr="001078DB">
          <w:rPr>
            <w:rStyle w:val="Hyperlink"/>
            <w:noProof/>
          </w:rPr>
          <w:t>Figure 5.2. Representative images showing differen</w:t>
        </w:r>
        <w:r w:rsidR="00925317">
          <w:rPr>
            <w:rStyle w:val="Hyperlink"/>
            <w:noProof/>
          </w:rPr>
          <w:t>ces in powdery mildew symptoms</w:t>
        </w:r>
        <w:r w:rsidR="008A50AA">
          <w:rPr>
            <w:noProof/>
            <w:webHidden/>
          </w:rPr>
          <w:tab/>
        </w:r>
        <w:r w:rsidR="008A50AA">
          <w:rPr>
            <w:noProof/>
            <w:webHidden/>
          </w:rPr>
          <w:fldChar w:fldCharType="begin"/>
        </w:r>
        <w:r w:rsidR="008A50AA">
          <w:rPr>
            <w:noProof/>
            <w:webHidden/>
          </w:rPr>
          <w:instrText xml:space="preserve"> PAGEREF _Toc101049112 \h </w:instrText>
        </w:r>
        <w:r w:rsidR="008A50AA">
          <w:rPr>
            <w:noProof/>
            <w:webHidden/>
          </w:rPr>
        </w:r>
        <w:r w:rsidR="008A50AA">
          <w:rPr>
            <w:noProof/>
            <w:webHidden/>
          </w:rPr>
          <w:fldChar w:fldCharType="separate"/>
        </w:r>
        <w:r w:rsidR="009C2EDC">
          <w:rPr>
            <w:noProof/>
            <w:webHidden/>
          </w:rPr>
          <w:t>148</w:t>
        </w:r>
        <w:r w:rsidR="008A50AA">
          <w:rPr>
            <w:noProof/>
            <w:webHidden/>
          </w:rPr>
          <w:fldChar w:fldCharType="end"/>
        </w:r>
      </w:hyperlink>
    </w:p>
    <w:p w14:paraId="171B121E" w14:textId="1C5EE9E5" w:rsidR="008A50AA" w:rsidRDefault="00035AE8">
      <w:pPr>
        <w:pStyle w:val="TableofFigures"/>
        <w:tabs>
          <w:tab w:val="right" w:leader="dot" w:pos="9350"/>
        </w:tabs>
        <w:rPr>
          <w:rFonts w:asciiTheme="minorHAnsi" w:eastAsiaTheme="minorEastAsia" w:hAnsiTheme="minorHAnsi" w:cstheme="minorBidi"/>
          <w:noProof/>
          <w:sz w:val="22"/>
        </w:rPr>
      </w:pPr>
      <w:hyperlink r:id="rId21" w:anchor="_Toc101049113" w:history="1">
        <w:r w:rsidR="008A50AA" w:rsidRPr="001078DB">
          <w:rPr>
            <w:rStyle w:val="Hyperlink"/>
            <w:noProof/>
          </w:rPr>
          <w:t>Figure 5.3. Index Area Under the Disease Progres</w:t>
        </w:r>
        <w:r w:rsidR="00925317">
          <w:rPr>
            <w:rStyle w:val="Hyperlink"/>
            <w:noProof/>
          </w:rPr>
          <w:t>s Curve (AUDPC) for treatments</w:t>
        </w:r>
        <w:r w:rsidR="008A50AA">
          <w:rPr>
            <w:noProof/>
            <w:webHidden/>
          </w:rPr>
          <w:tab/>
        </w:r>
        <w:r w:rsidR="008A50AA">
          <w:rPr>
            <w:noProof/>
            <w:webHidden/>
          </w:rPr>
          <w:fldChar w:fldCharType="begin"/>
        </w:r>
        <w:r w:rsidR="008A50AA">
          <w:rPr>
            <w:noProof/>
            <w:webHidden/>
          </w:rPr>
          <w:instrText xml:space="preserve"> PAGEREF _Toc101049113 \h </w:instrText>
        </w:r>
        <w:r w:rsidR="008A50AA">
          <w:rPr>
            <w:noProof/>
            <w:webHidden/>
          </w:rPr>
        </w:r>
        <w:r w:rsidR="008A50AA">
          <w:rPr>
            <w:noProof/>
            <w:webHidden/>
          </w:rPr>
          <w:fldChar w:fldCharType="separate"/>
        </w:r>
        <w:r w:rsidR="009C2EDC">
          <w:rPr>
            <w:noProof/>
            <w:webHidden/>
          </w:rPr>
          <w:t>149</w:t>
        </w:r>
        <w:r w:rsidR="008A50AA">
          <w:rPr>
            <w:noProof/>
            <w:webHidden/>
          </w:rPr>
          <w:fldChar w:fldCharType="end"/>
        </w:r>
      </w:hyperlink>
    </w:p>
    <w:p w14:paraId="72CB2D56" w14:textId="038D9938" w:rsidR="00D1635A" w:rsidRDefault="00E07B5B" w:rsidP="003C484D">
      <w:pPr>
        <w:ind w:left="720"/>
        <w:jc w:val="center"/>
        <w:rPr>
          <w:rFonts w:cs="Times New Roman"/>
          <w:sz w:val="28"/>
          <w:szCs w:val="28"/>
        </w:rPr>
      </w:pPr>
      <w:r w:rsidRPr="00816643">
        <w:rPr>
          <w:rFonts w:cs="Times New Roman"/>
          <w:sz w:val="28"/>
          <w:szCs w:val="28"/>
        </w:rPr>
        <w:fldChar w:fldCharType="end"/>
      </w:r>
    </w:p>
    <w:p w14:paraId="0A57F1F7" w14:textId="77777777" w:rsidR="00F26480" w:rsidRDefault="00F26480">
      <w:bookmarkStart w:id="3" w:name="_Toc98812679"/>
      <w:bookmarkStart w:id="4" w:name="_Toc98812887"/>
      <w:bookmarkStart w:id="5" w:name="_Toc98813553"/>
      <w:bookmarkStart w:id="6" w:name="_Toc101048059"/>
      <w:r>
        <w:br w:type="page"/>
      </w:r>
    </w:p>
    <w:p w14:paraId="742A5303" w14:textId="5D15046F" w:rsidR="00F26480" w:rsidRPr="00F26480" w:rsidRDefault="00F26480" w:rsidP="00F26480">
      <w:pPr>
        <w:jc w:val="center"/>
        <w:rPr>
          <w:b/>
          <w:sz w:val="28"/>
          <w:szCs w:val="28"/>
        </w:rPr>
      </w:pPr>
      <w:r w:rsidRPr="00F26480">
        <w:rPr>
          <w:b/>
          <w:sz w:val="28"/>
          <w:szCs w:val="28"/>
        </w:rPr>
        <w:t>LIST OF ATTACHMENTS</w:t>
      </w:r>
    </w:p>
    <w:p w14:paraId="16BF8CCF" w14:textId="77777777" w:rsidR="00F26480" w:rsidRPr="00F26480" w:rsidRDefault="00F26480" w:rsidP="00F26480">
      <w:pPr>
        <w:jc w:val="center"/>
      </w:pPr>
    </w:p>
    <w:p w14:paraId="4D899845" w14:textId="464456EF" w:rsidR="00F26480" w:rsidRPr="00F26480" w:rsidRDefault="00F26480" w:rsidP="00F26480">
      <w:bookmarkStart w:id="7" w:name="_bookmark0"/>
      <w:bookmarkEnd w:id="7"/>
      <w:r w:rsidRPr="00F26480">
        <w:t>Table 2. 1. Nematode densities in samples across counties (Table 2. 1. ..docx</w:t>
      </w:r>
      <w:r w:rsidR="00E326B2">
        <w:t>)</w:t>
      </w:r>
    </w:p>
    <w:p w14:paraId="207948CA" w14:textId="77777777" w:rsidR="002768F3" w:rsidRDefault="002768F3" w:rsidP="002768F3">
      <w:pPr>
        <w:sectPr w:rsidR="002768F3" w:rsidSect="00E13094">
          <w:type w:val="continuous"/>
          <w:pgSz w:w="12240" w:h="15840" w:code="1"/>
          <w:pgMar w:top="1440" w:right="1440" w:bottom="1440" w:left="1440" w:header="0" w:footer="1440" w:gutter="0"/>
          <w:pgNumType w:fmt="lowerRoman"/>
          <w:cols w:space="720"/>
          <w:docGrid w:linePitch="326"/>
        </w:sectPr>
      </w:pPr>
    </w:p>
    <w:p w14:paraId="7C1ED5B8" w14:textId="44EB1174" w:rsidR="00D20476" w:rsidRPr="008E2CD0" w:rsidRDefault="00D20476" w:rsidP="00EF4813">
      <w:pPr>
        <w:pStyle w:val="Heading1"/>
        <w:jc w:val="center"/>
      </w:pPr>
      <w:r w:rsidRPr="008E2CD0">
        <w:t>CHAPTER I. REVIEW OF LITERATURE</w:t>
      </w:r>
      <w:bookmarkEnd w:id="3"/>
      <w:bookmarkEnd w:id="4"/>
      <w:bookmarkEnd w:id="5"/>
      <w:bookmarkEnd w:id="6"/>
    </w:p>
    <w:p w14:paraId="45F9E835" w14:textId="77777777" w:rsidR="00D20476" w:rsidRPr="008E2CD0" w:rsidRDefault="00D20476" w:rsidP="002768F3">
      <w:pPr>
        <w:pStyle w:val="Heading1"/>
        <w:spacing w:line="360" w:lineRule="auto"/>
        <w:ind w:left="720"/>
        <w:jc w:val="center"/>
      </w:pPr>
    </w:p>
    <w:p w14:paraId="1F4E168B" w14:textId="77777777" w:rsidR="00D20476" w:rsidRPr="008E2CD0" w:rsidRDefault="00D20476" w:rsidP="00D20476">
      <w:pPr>
        <w:spacing w:line="360" w:lineRule="auto"/>
        <w:ind w:left="720"/>
        <w:rPr>
          <w:rFonts w:cs="Times New Roman"/>
          <w:b/>
          <w:szCs w:val="24"/>
        </w:rPr>
      </w:pPr>
      <w:r w:rsidRPr="008E2CD0">
        <w:rPr>
          <w:rFonts w:cs="Times New Roman"/>
          <w:b/>
          <w:szCs w:val="24"/>
        </w:rPr>
        <w:br w:type="page"/>
      </w:r>
    </w:p>
    <w:p w14:paraId="11C38B72" w14:textId="77777777" w:rsidR="00D20476" w:rsidRPr="00972205" w:rsidRDefault="00D20476" w:rsidP="00FD1FC5">
      <w:pPr>
        <w:pStyle w:val="Heading2"/>
      </w:pPr>
      <w:bookmarkStart w:id="8" w:name="_Toc98812680"/>
      <w:bookmarkStart w:id="9" w:name="_Toc98812888"/>
      <w:bookmarkStart w:id="10" w:name="_Toc98813554"/>
      <w:bookmarkStart w:id="11" w:name="_Toc101048060"/>
      <w:r w:rsidRPr="00972205">
        <w:t>Part 1: Plant-parasitic nematodes of field crops and biological control agents of nematodes</w:t>
      </w:r>
      <w:bookmarkEnd w:id="8"/>
      <w:bookmarkEnd w:id="9"/>
      <w:bookmarkEnd w:id="10"/>
      <w:bookmarkEnd w:id="11"/>
    </w:p>
    <w:p w14:paraId="15C949B1" w14:textId="77777777" w:rsidR="00D20476" w:rsidRPr="008E2CD0" w:rsidRDefault="00D20476" w:rsidP="008A2527">
      <w:pPr>
        <w:tabs>
          <w:tab w:val="left" w:pos="270"/>
        </w:tabs>
        <w:spacing w:line="360" w:lineRule="auto"/>
        <w:ind w:left="720"/>
        <w:rPr>
          <w:rFonts w:cs="Times New Roman"/>
          <w:b/>
          <w:szCs w:val="24"/>
        </w:rPr>
      </w:pPr>
    </w:p>
    <w:p w14:paraId="661CC465" w14:textId="77777777" w:rsidR="00D20476" w:rsidRPr="008E2CD0" w:rsidRDefault="00D20476" w:rsidP="00FD1FC5">
      <w:pPr>
        <w:pStyle w:val="Heading2"/>
      </w:pPr>
      <w:bookmarkStart w:id="12" w:name="_Toc98812681"/>
      <w:bookmarkStart w:id="13" w:name="_Toc98812889"/>
      <w:bookmarkStart w:id="14" w:name="_Toc98813555"/>
      <w:bookmarkStart w:id="15" w:name="_Toc101048061"/>
      <w:r w:rsidRPr="008E2CD0">
        <w:t>Major plant-parasitic nematodes</w:t>
      </w:r>
      <w:bookmarkEnd w:id="12"/>
      <w:bookmarkEnd w:id="13"/>
      <w:bookmarkEnd w:id="14"/>
      <w:bookmarkEnd w:id="15"/>
      <w:r w:rsidRPr="008E2CD0">
        <w:t xml:space="preserve"> </w:t>
      </w:r>
    </w:p>
    <w:p w14:paraId="78A74043" w14:textId="77777777" w:rsidR="00D20476" w:rsidRPr="008E2CD0" w:rsidRDefault="00D20476" w:rsidP="00D20476">
      <w:pPr>
        <w:spacing w:line="360" w:lineRule="auto"/>
        <w:ind w:left="720" w:firstLine="720"/>
        <w:rPr>
          <w:rFonts w:cs="Times New Roman"/>
          <w:bCs/>
          <w:szCs w:val="24"/>
          <w:shd w:val="clear" w:color="auto" w:fill="FFFFFF"/>
        </w:rPr>
      </w:pPr>
      <w:r w:rsidRPr="008E2CD0">
        <w:rPr>
          <w:rFonts w:cs="Times New Roman"/>
          <w:szCs w:val="24"/>
        </w:rPr>
        <w:t xml:space="preserve">Over 4,100 species of plant-parasitic nematodes have been described, and annual crop loss caused by nematodes is estimated at $US80 billion worldwide (Jones et al., 2013). </w:t>
      </w:r>
      <w:r>
        <w:rPr>
          <w:rFonts w:cs="Times New Roman"/>
          <w:szCs w:val="24"/>
        </w:rPr>
        <w:t>T</w:t>
      </w:r>
      <w:r w:rsidRPr="008E2CD0">
        <w:rPr>
          <w:rFonts w:cs="Times New Roman"/>
          <w:szCs w:val="24"/>
        </w:rPr>
        <w:t>he most frequently observed or economic</w:t>
      </w:r>
      <w:r>
        <w:rPr>
          <w:rFonts w:cs="Times New Roman"/>
          <w:szCs w:val="24"/>
        </w:rPr>
        <w:t xml:space="preserve">ally </w:t>
      </w:r>
      <w:r w:rsidRPr="008E2CD0">
        <w:rPr>
          <w:rFonts w:cs="Times New Roman"/>
          <w:szCs w:val="24"/>
        </w:rPr>
        <w:t xml:space="preserve">important plant-feeding nematodes include </w:t>
      </w:r>
      <w:r w:rsidRPr="008E2CD0">
        <w:rPr>
          <w:rFonts w:cs="Times New Roman"/>
          <w:szCs w:val="24"/>
          <w:shd w:val="clear" w:color="auto" w:fill="FFFFFF"/>
        </w:rPr>
        <w:t>r</w:t>
      </w:r>
      <w:r w:rsidRPr="008E2CD0">
        <w:rPr>
          <w:rFonts w:cs="Times New Roman"/>
          <w:szCs w:val="24"/>
        </w:rPr>
        <w:t>oot-knot nematodes (</w:t>
      </w:r>
      <w:r w:rsidRPr="008E2CD0">
        <w:rPr>
          <w:rFonts w:cs="Times New Roman"/>
          <w:i/>
          <w:iCs/>
          <w:szCs w:val="24"/>
        </w:rPr>
        <w:t xml:space="preserve">Meloidogyne incognita, </w:t>
      </w:r>
      <w:r w:rsidRPr="008E2CD0">
        <w:rPr>
          <w:rFonts w:cs="Times New Roman"/>
          <w:i/>
          <w:iCs/>
          <w:szCs w:val="24"/>
          <w:shd w:val="clear" w:color="auto" w:fill="FFFFFF"/>
        </w:rPr>
        <w:t>M. hapla</w:t>
      </w:r>
      <w:r w:rsidRPr="008E2CD0">
        <w:rPr>
          <w:rFonts w:cs="Times New Roman"/>
          <w:szCs w:val="24"/>
          <w:shd w:val="clear" w:color="auto" w:fill="FFFFFF"/>
        </w:rPr>
        <w:t xml:space="preserve">, and </w:t>
      </w:r>
      <w:r w:rsidRPr="008E2CD0">
        <w:rPr>
          <w:rFonts w:cs="Times New Roman"/>
          <w:i/>
          <w:iCs/>
          <w:szCs w:val="24"/>
          <w:shd w:val="clear" w:color="auto" w:fill="FFFFFF"/>
        </w:rPr>
        <w:t>M. javanica,</w:t>
      </w:r>
      <w:r w:rsidRPr="008E2CD0">
        <w:rPr>
          <w:rFonts w:cs="Times New Roman"/>
          <w:i/>
          <w:iCs/>
          <w:szCs w:val="24"/>
        </w:rPr>
        <w:t xml:space="preserve">) </w:t>
      </w:r>
      <w:r w:rsidRPr="008E2CD0">
        <w:rPr>
          <w:rFonts w:cs="Times New Roman"/>
          <w:szCs w:val="24"/>
          <w:shd w:val="clear" w:color="auto" w:fill="FFFFFF"/>
        </w:rPr>
        <w:t>soybean cyst nematode (</w:t>
      </w:r>
      <w:r w:rsidRPr="008E2CD0">
        <w:rPr>
          <w:rFonts w:cs="Times New Roman"/>
          <w:i/>
          <w:iCs/>
          <w:szCs w:val="24"/>
          <w:shd w:val="clear" w:color="auto" w:fill="FFFFFF"/>
        </w:rPr>
        <w:t>Heterodera glycines</w:t>
      </w:r>
      <w:r w:rsidRPr="008E2CD0">
        <w:rPr>
          <w:rFonts w:cs="Times New Roman"/>
          <w:szCs w:val="24"/>
          <w:shd w:val="clear" w:color="auto" w:fill="FFFFFF"/>
        </w:rPr>
        <w:t xml:space="preserve">), </w:t>
      </w:r>
      <w:r w:rsidRPr="008E2CD0">
        <w:rPr>
          <w:rFonts w:cs="Times New Roman"/>
          <w:szCs w:val="24"/>
        </w:rPr>
        <w:t>lesion nematode</w:t>
      </w:r>
      <w:r w:rsidRPr="008E2CD0">
        <w:rPr>
          <w:rFonts w:cs="Times New Roman"/>
          <w:i/>
          <w:iCs/>
          <w:szCs w:val="24"/>
        </w:rPr>
        <w:t xml:space="preserve"> (Pratylenchus </w:t>
      </w:r>
      <w:r w:rsidRPr="00FC12AC">
        <w:t>spp.</w:t>
      </w:r>
      <w:r w:rsidRPr="008E2CD0">
        <w:rPr>
          <w:rFonts w:cs="Times New Roman"/>
          <w:szCs w:val="24"/>
        </w:rPr>
        <w:t>), dagger nematode (</w:t>
      </w:r>
      <w:r w:rsidRPr="008E2CD0">
        <w:rPr>
          <w:rFonts w:cs="Times New Roman"/>
          <w:i/>
          <w:iCs/>
          <w:szCs w:val="24"/>
          <w:shd w:val="clear" w:color="auto" w:fill="FFFFFF"/>
        </w:rPr>
        <w:t>Xiphinema americanum</w:t>
      </w:r>
      <w:r w:rsidRPr="008E2CD0">
        <w:rPr>
          <w:rFonts w:cs="Times New Roman"/>
          <w:szCs w:val="24"/>
          <w:shd w:val="clear" w:color="auto" w:fill="FFFFFF"/>
        </w:rPr>
        <w:t xml:space="preserve">), reniform </w:t>
      </w:r>
      <w:r>
        <w:rPr>
          <w:rFonts w:cs="Times New Roman"/>
          <w:szCs w:val="24"/>
          <w:shd w:val="clear" w:color="auto" w:fill="FFFFFF"/>
        </w:rPr>
        <w:t xml:space="preserve">nematode </w:t>
      </w:r>
      <w:r w:rsidRPr="008E2CD0">
        <w:rPr>
          <w:rFonts w:cs="Times New Roman"/>
          <w:bCs/>
          <w:szCs w:val="24"/>
          <w:shd w:val="clear" w:color="auto" w:fill="FFFFFF"/>
        </w:rPr>
        <w:t>(</w:t>
      </w:r>
      <w:r w:rsidRPr="008E2CD0">
        <w:rPr>
          <w:rFonts w:cs="Times New Roman"/>
          <w:bCs/>
          <w:i/>
          <w:szCs w:val="24"/>
          <w:shd w:val="clear" w:color="auto" w:fill="FFFFFF"/>
        </w:rPr>
        <w:t xml:space="preserve">Rotylenchulus </w:t>
      </w:r>
      <w:r w:rsidRPr="00FC12AC">
        <w:rPr>
          <w:shd w:val="clear" w:color="auto" w:fill="FFFFFF"/>
        </w:rPr>
        <w:t>spp</w:t>
      </w:r>
      <w:r w:rsidRPr="008E2CD0">
        <w:rPr>
          <w:rFonts w:cs="Times New Roman"/>
          <w:bCs/>
          <w:i/>
          <w:szCs w:val="24"/>
          <w:shd w:val="clear" w:color="auto" w:fill="FFFFFF"/>
        </w:rPr>
        <w:t xml:space="preserve">.), </w:t>
      </w:r>
      <w:r w:rsidRPr="008E2CD0">
        <w:rPr>
          <w:rFonts w:cs="Times New Roman"/>
          <w:bCs/>
          <w:szCs w:val="24"/>
          <w:shd w:val="clear" w:color="auto" w:fill="FFFFFF"/>
        </w:rPr>
        <w:t>spiral nematode (</w:t>
      </w:r>
      <w:r w:rsidRPr="008E2CD0">
        <w:rPr>
          <w:rFonts w:cs="Times New Roman"/>
          <w:bCs/>
          <w:i/>
          <w:szCs w:val="24"/>
          <w:shd w:val="clear" w:color="auto" w:fill="FFFFFF"/>
        </w:rPr>
        <w:t>Helicotylenchus pseudorobustus),</w:t>
      </w:r>
      <w:r w:rsidRPr="008E2CD0">
        <w:rPr>
          <w:rFonts w:cs="Times New Roman"/>
          <w:bCs/>
          <w:szCs w:val="24"/>
          <w:shd w:val="clear" w:color="auto" w:fill="FFFFFF"/>
        </w:rPr>
        <w:t xml:space="preserve"> and stunt nematode</w:t>
      </w:r>
      <w:r w:rsidRPr="008E2CD0">
        <w:rPr>
          <w:rFonts w:cs="Times New Roman"/>
          <w:bCs/>
          <w:i/>
          <w:szCs w:val="24"/>
          <w:shd w:val="clear" w:color="auto" w:fill="FFFFFF"/>
        </w:rPr>
        <w:t xml:space="preserve"> (Tylenchorhynchus claytoni) </w:t>
      </w:r>
      <w:r w:rsidRPr="008E2CD0">
        <w:rPr>
          <w:rFonts w:cs="Times New Roman"/>
          <w:szCs w:val="24"/>
        </w:rPr>
        <w:fldChar w:fldCharType="begin" w:fldLock="1"/>
      </w:r>
      <w:r w:rsidRPr="008E2CD0">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Tennessee","type":"article-journal","volume":"594"},"uris":["http://www.mendeley.com/documents/?uuid=7d34a316-22b5-438f-875f-8b98249753aa"]},{"id":"ITEM-2","itemData":{"DOI":"10.1111/mpp.12057","ISSN":"14646722","PMID":"23809086","abstract":"The aim of this review was to undertake a survey of researchers working with plant-parasitic nematodes in order to determine a 'top 10' list of these pathogens based on scientific and economic importance. Any such list will not be definitive as economic importance will vary depending on the region of the world in which a researcher is based. However, care was taken to include researchers from as many parts of the world as possible when carrying out the survey. The top 10 list emerging from the survey is composed of: (1) root-knot nematodes (Meloidogyne spp.); (2) cyst nematodes (Heterodera and Globodera spp.); (3) root lesion nematodes (Pratylenchus spp.); (4) the burrowing nematode Radopholus similis; (5) Ditylenchus dipsaci; (6) the pine wilt nematode Bursaphelenchus xylophilus; (7) the reniform nematode Rotylenchulus reniformis; (8) Xiphinema index (the only virus vector nematode to make the list); (9) Nacobbus aberrans; and (10) Aphelenchoides besseyi. The biology of each nematode (or nematode group) is reviewed briefly. © 2013 BSPP AND JOHN WILEY &amp; SONS LTD.","author":[{"dropping-particle":"","family":"Jones","given":"John T.","non-dropping-particle":"","parse-names":false,"suffix":""},{"dropping-particle":"","family":"Haegeman","given":"Annelies","non-dropping-particle":"","parse-names":false,"suffix":""},{"dropping-particle":"","family":"Danchin","given":"Etienne G.J.","non-dropping-particle":"","parse-names":false,"suffix":""},{"dropping-particle":"","family":"Gaur","given":"Hari S.","non-dropping-particle":"","parse-names":false,"suffix":""},{"dropping-particle":"","family":"Helder","given":"Johannes","non-dropping-particle":"","parse-names":false,"suffix":""},{"dropping-particle":"","family":"Jones","given":"Michael G.K.","non-dropping-particle":"","parse-names":false,"suffix":""},{"dropping-particle":"","family":"Kikuchi","given":"Taisei","non-dropping-particle":"","parse-names":false,"suffix":""},{"dropping-particle":"","family":"Manzanilla-López","given":"Rosa","non-dropping-particle":"","parse-names":false,"suffix":""},{"dropping-particle":"","family":"Palomares-Rius","given":"Juan E.","non-dropping-particle":"","parse-names":false,"suffix":""},{"dropping-particle":"","family":"Wesemael","given":"Wim M.L.","non-dropping-particle":"","parse-names":false,"suffix":""},{"dropping-particle":"","family":"Perry","given":"Roland N.","non-dropping-particle":"","parse-names":false,"suffix":""}],"container-title":"Molecular Plant Pathology","id":"ITEM-2","issue":"9","issued":{"date-parts":[["2013"]]},"page":"946-961","title":"Top 10 plant-parasitic nematodes in molecular plant pathology","type":"article-journal","volume":"14"},"uris":["http://www.mendeley.com/documents/?uuid=b4524ed5-f346-49f4-a840-d5e06ce13e28"]}],"mendeley":{"formattedCitation":"(Bernard EC., 1980; Jones et al., 2013)","manualFormatting":"(Bernard, 1980; Jones et al., 2013)","plainTextFormattedCitation":"(Bernard EC., 1980; Jones et al., 2013)","previouslyFormattedCitation":"(Bernard EC., 1980; Jones et al., 2013)"},"properties":{"noteIndex":0},"schema":"https://github.com/citation-style-language/schema/raw/master/csl-citation.json"}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(Bernard, 1980; Jones et al., 2013)</w:t>
      </w:r>
      <w:r w:rsidRPr="008E2CD0">
        <w:rPr>
          <w:rFonts w:cs="Times New Roman"/>
          <w:szCs w:val="24"/>
        </w:rPr>
        <w:fldChar w:fldCharType="end"/>
      </w:r>
      <w:r w:rsidRPr="008E2CD0">
        <w:rPr>
          <w:rFonts w:cs="Times New Roman"/>
          <w:szCs w:val="24"/>
        </w:rPr>
        <w:t xml:space="preserve">. </w:t>
      </w:r>
      <w:r w:rsidRPr="008E2CD0">
        <w:rPr>
          <w:rFonts w:cs="Times New Roman"/>
          <w:noProof/>
          <w:szCs w:val="24"/>
        </w:rPr>
        <w:t>P</w:t>
      </w:r>
      <w:r w:rsidRPr="008E2CD0">
        <w:rPr>
          <w:rFonts w:cs="Times New Roman"/>
          <w:bCs/>
          <w:szCs w:val="24"/>
          <w:shd w:val="clear" w:color="auto" w:fill="FFFFFF"/>
        </w:rPr>
        <w:t xml:space="preserve">lant-parasitic nematodes are classified into four main categories based on their association and methods of feeding on hosts. They are classified as migratory ectoparasites, migratory endo-parasites, semi-endoparasites, or sedentary endoparasites </w:t>
      </w:r>
      <w:r w:rsidRPr="008E2CD0">
        <w:rPr>
          <w:rFonts w:cs="Times New Roman"/>
          <w:bCs/>
          <w:szCs w:val="24"/>
          <w:shd w:val="clear" w:color="auto" w:fill="FFFFFF"/>
        </w:rPr>
        <w:fldChar w:fldCharType="begin" w:fldLock="1"/>
      </w:r>
      <w:r>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2002)"},"properties":{"noteIndex":0},"schema":"https://github.com/citation-style-language/schema/raw/master/csl-citation.json"}</w:instrText>
      </w:r>
      <w:r w:rsidRPr="008E2CD0">
        <w:rPr>
          <w:rFonts w:cs="Times New Roman"/>
          <w:bCs/>
          <w:szCs w:val="24"/>
          <w:shd w:val="clear" w:color="auto" w:fill="FFFFFF"/>
        </w:rPr>
        <w:fldChar w:fldCharType="separate"/>
      </w:r>
      <w:r w:rsidRPr="00FB5B67">
        <w:rPr>
          <w:rFonts w:cs="Times New Roman"/>
          <w:bCs/>
          <w:noProof/>
          <w:szCs w:val="24"/>
          <w:shd w:val="clear" w:color="auto" w:fill="FFFFFF"/>
        </w:rPr>
        <w:t>(Lambert &amp; Bekal, 2002)</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w:t>
      </w:r>
    </w:p>
    <w:p w14:paraId="435947EB" w14:textId="77777777" w:rsidR="00D20476" w:rsidRDefault="00D20476" w:rsidP="00D122A6">
      <w:pPr>
        <w:pStyle w:val="Heading3"/>
      </w:pPr>
      <w:bookmarkStart w:id="16" w:name="_Toc98812682"/>
      <w:bookmarkStart w:id="17" w:name="_Toc98812890"/>
      <w:bookmarkStart w:id="18" w:name="_Toc98813556"/>
    </w:p>
    <w:p w14:paraId="5328ECB2" w14:textId="77777777" w:rsidR="00D20476" w:rsidRPr="008E2CD0" w:rsidRDefault="00D20476" w:rsidP="00D122A6">
      <w:pPr>
        <w:pStyle w:val="Heading3"/>
        <w:rPr>
          <w:rStyle w:val="Heading2Char"/>
        </w:rPr>
      </w:pPr>
      <w:bookmarkStart w:id="19" w:name="_Toc101048062"/>
      <w:r w:rsidRPr="008E2CD0">
        <w:t>Migratory ectoparasites</w:t>
      </w:r>
      <w:bookmarkEnd w:id="16"/>
      <w:bookmarkEnd w:id="17"/>
      <w:bookmarkEnd w:id="18"/>
      <w:r w:rsidRPr="008E2CD0">
        <w:rPr>
          <w:rStyle w:val="Heading4ParagraphChar"/>
          <w:rFonts w:eastAsia="Arial"/>
        </w:rPr>
        <w:t>.</w:t>
      </w:r>
      <w:bookmarkEnd w:id="19"/>
      <w:r w:rsidRPr="008E2CD0">
        <w:rPr>
          <w:rStyle w:val="Heading2Char"/>
        </w:rPr>
        <w:t xml:space="preserve"> </w:t>
      </w:r>
    </w:p>
    <w:p w14:paraId="640D38D6" w14:textId="4E5EBDAE" w:rsidR="00D20476" w:rsidRPr="00271FDA" w:rsidRDefault="00D20476" w:rsidP="00AB65D6">
      <w:pPr>
        <w:tabs>
          <w:tab w:val="left" w:pos="270"/>
        </w:tabs>
        <w:spacing w:line="360" w:lineRule="auto"/>
        <w:ind w:left="720"/>
        <w:rPr>
          <w:rFonts w:cs="Times New Roman"/>
          <w:bCs/>
          <w:szCs w:val="24"/>
          <w:shd w:val="clear" w:color="auto" w:fill="FFFFFF"/>
        </w:rPr>
      </w:pPr>
      <w:r w:rsidRPr="008E2CD0">
        <w:rPr>
          <w:rFonts w:cs="Times New Roman"/>
          <w:bCs/>
          <w:szCs w:val="24"/>
          <w:shd w:val="clear" w:color="auto" w:fill="FFFFFF"/>
        </w:rPr>
        <w:tab/>
        <w:t xml:space="preserve">These </w:t>
      </w:r>
      <w:r w:rsidRPr="00341B10">
        <w:rPr>
          <w:rFonts w:cs="Times New Roman"/>
          <w:bCs/>
          <w:szCs w:val="24"/>
          <w:shd w:val="clear" w:color="auto" w:fill="FFFFFF"/>
        </w:rPr>
        <w:t xml:space="preserve">nematodes live outside of their host plants and use their long or short stylet to feed on the epidermal cells (external surface) of the plant roots </w:t>
      </w:r>
      <w:r w:rsidRPr="00341B10">
        <w:rPr>
          <w:rFonts w:cs="Times New Roman"/>
          <w:bCs/>
          <w:szCs w:val="24"/>
          <w:shd w:val="clear" w:color="auto" w:fill="FFFFFF"/>
        </w:rPr>
        <w:fldChar w:fldCharType="begin" w:fldLock="1"/>
      </w:r>
      <w:r w:rsidRPr="00341B10">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2002)","plainTextFormattedCitation":"(Lambert &amp; Bekal, 2002a)","previouslyFormattedCitation":"(Lambert &amp; Bekal, 2002a)"},"properties":{"noteIndex":0},"schema":"https://github.com/citation-style-language/schema/raw/master/csl-citation.json"}</w:instrText>
      </w:r>
      <w:r w:rsidRPr="00341B10">
        <w:rPr>
          <w:rFonts w:cs="Times New Roman"/>
          <w:bCs/>
          <w:szCs w:val="24"/>
          <w:shd w:val="clear" w:color="auto" w:fill="FFFFFF"/>
        </w:rPr>
        <w:fldChar w:fldCharType="separate"/>
      </w:r>
      <w:r w:rsidRPr="00341B10">
        <w:rPr>
          <w:rFonts w:cs="Times New Roman"/>
          <w:bCs/>
          <w:noProof/>
          <w:szCs w:val="24"/>
          <w:shd w:val="clear" w:color="auto" w:fill="FFFFFF"/>
        </w:rPr>
        <w:t>(Lambert &amp; Bekal, 2002)</w:t>
      </w:r>
      <w:r w:rsidRPr="00341B10">
        <w:rPr>
          <w:rFonts w:cs="Times New Roman"/>
          <w:bCs/>
          <w:szCs w:val="24"/>
          <w:shd w:val="clear" w:color="auto" w:fill="FFFFFF"/>
        </w:rPr>
        <w:fldChar w:fldCharType="end"/>
      </w:r>
      <w:r w:rsidRPr="00341B10">
        <w:rPr>
          <w:rFonts w:cs="Times New Roman"/>
          <w:bCs/>
          <w:szCs w:val="24"/>
          <w:shd w:val="clear" w:color="auto" w:fill="FFFFFF"/>
        </w:rPr>
        <w:t>. Migratory ectoparasites exhibit the most common type of feeding style among all plant-parasitic nematodes. Some ectoparasites (</w:t>
      </w:r>
      <w:r w:rsidRPr="00341B10">
        <w:rPr>
          <w:rFonts w:cs="Times New Roman"/>
          <w:bCs/>
          <w:i/>
          <w:szCs w:val="24"/>
          <w:shd w:val="clear" w:color="auto" w:fill="FFFFFF"/>
        </w:rPr>
        <w:t>Ditylenchus</w:t>
      </w:r>
      <w:r>
        <w:rPr>
          <w:rFonts w:cs="Times New Roman"/>
          <w:bCs/>
          <w:i/>
          <w:szCs w:val="24"/>
          <w:shd w:val="clear" w:color="auto" w:fill="FFFFFF"/>
        </w:rPr>
        <w:t xml:space="preserve">, </w:t>
      </w:r>
      <w:r w:rsidRPr="007F5D40">
        <w:rPr>
          <w:rFonts w:cs="Times New Roman"/>
          <w:bCs/>
          <w:szCs w:val="24"/>
          <w:shd w:val="clear" w:color="auto" w:fill="FFFFFF"/>
        </w:rPr>
        <w:t>the stem nematode</w:t>
      </w:r>
      <w:r w:rsidRPr="00341B10">
        <w:rPr>
          <w:rFonts w:cs="Times New Roman"/>
          <w:bCs/>
          <w:szCs w:val="24"/>
          <w:shd w:val="clear" w:color="auto" w:fill="FFFFFF"/>
        </w:rPr>
        <w:t>) are foliar parasites that feed mainly on epidermal cells of young leaves, stems, and flower primo</w:t>
      </w:r>
      <w:r>
        <w:rPr>
          <w:rFonts w:cs="Times New Roman"/>
          <w:bCs/>
          <w:szCs w:val="24"/>
          <w:shd w:val="clear" w:color="auto" w:fill="FFFFFF"/>
        </w:rPr>
        <w:t>r</w:t>
      </w:r>
      <w:r w:rsidRPr="00341B10">
        <w:rPr>
          <w:rFonts w:cs="Times New Roman"/>
          <w:bCs/>
          <w:szCs w:val="24"/>
          <w:shd w:val="clear" w:color="auto" w:fill="FFFFFF"/>
        </w:rPr>
        <w:t>dia</w:t>
      </w:r>
      <w:r>
        <w:rPr>
          <w:rFonts w:cs="Times New Roman"/>
          <w:bCs/>
          <w:szCs w:val="24"/>
          <w:shd w:val="clear" w:color="auto" w:fill="FFFFFF"/>
        </w:rPr>
        <w:t xml:space="preserve"> </w:t>
      </w:r>
      <w:r w:rsidRPr="00341B10">
        <w:rPr>
          <w:rFonts w:cs="Times New Roman"/>
          <w:bCs/>
          <w:szCs w:val="24"/>
          <w:shd w:val="clear" w:color="auto" w:fill="FFFFFF"/>
        </w:rPr>
        <w:t>(</w:t>
      </w:r>
      <w:r w:rsidRPr="00341B10">
        <w:rPr>
          <w:rFonts w:cs="Times New Roman"/>
          <w:color w:val="222222"/>
          <w:szCs w:val="24"/>
          <w:shd w:val="clear" w:color="auto" w:fill="FFFFFF"/>
        </w:rPr>
        <w:t>Manzanilla-Lopez et al., 2004).</w:t>
      </w:r>
      <w:r>
        <w:rPr>
          <w:rFonts w:eastAsiaTheme="minorHAnsi" w:cs="Times New Roman"/>
          <w:iCs/>
          <w:szCs w:val="24"/>
        </w:rPr>
        <w:t xml:space="preserve"> Most </w:t>
      </w:r>
      <w:r>
        <w:rPr>
          <w:rFonts w:cs="Times New Roman"/>
          <w:bCs/>
          <w:szCs w:val="24"/>
          <w:shd w:val="clear" w:color="auto" w:fill="FFFFFF"/>
        </w:rPr>
        <w:t xml:space="preserve">ectoparasites </w:t>
      </w:r>
      <w:r w:rsidRPr="00341B10">
        <w:rPr>
          <w:rFonts w:cs="Times New Roman"/>
          <w:bCs/>
          <w:szCs w:val="24"/>
          <w:shd w:val="clear" w:color="auto" w:fill="FFFFFF"/>
        </w:rPr>
        <w:t xml:space="preserve">are root feeders, possessing a short or </w:t>
      </w:r>
      <w:r w:rsidR="00490E02">
        <w:rPr>
          <w:rFonts w:cs="Times New Roman"/>
          <w:bCs/>
          <w:szCs w:val="24"/>
          <w:shd w:val="clear" w:color="auto" w:fill="FFFFFF"/>
        </w:rPr>
        <w:t xml:space="preserve">a </w:t>
      </w:r>
      <w:r w:rsidRPr="00341B10">
        <w:rPr>
          <w:rFonts w:cs="Times New Roman"/>
          <w:bCs/>
          <w:szCs w:val="24"/>
          <w:shd w:val="clear" w:color="auto" w:fill="FFFFFF"/>
        </w:rPr>
        <w:t xml:space="preserve">long </w:t>
      </w:r>
      <w:r>
        <w:rPr>
          <w:rFonts w:cs="Times New Roman"/>
          <w:bCs/>
          <w:szCs w:val="24"/>
          <w:shd w:val="clear" w:color="auto" w:fill="FFFFFF"/>
        </w:rPr>
        <w:t xml:space="preserve">feeding </w:t>
      </w:r>
      <w:r w:rsidRPr="00341B10">
        <w:rPr>
          <w:rFonts w:cs="Times New Roman"/>
          <w:bCs/>
          <w:szCs w:val="24"/>
          <w:shd w:val="clear" w:color="auto" w:fill="FFFFFF"/>
        </w:rPr>
        <w:t xml:space="preserve">stylet. The short stylet ectoparasites feed on outer epidermal and cortical cells and root hairs. Examples include </w:t>
      </w:r>
      <w:r w:rsidRPr="00341B10">
        <w:rPr>
          <w:rFonts w:eastAsiaTheme="minorHAnsi" w:cs="Times New Roman"/>
          <w:i/>
          <w:iCs/>
          <w:szCs w:val="24"/>
        </w:rPr>
        <w:t>Tylenchorhynchus</w:t>
      </w:r>
      <w:r>
        <w:rPr>
          <w:rFonts w:eastAsiaTheme="minorHAnsi" w:cs="Times New Roman"/>
          <w:i/>
          <w:iCs/>
          <w:szCs w:val="24"/>
        </w:rPr>
        <w:t xml:space="preserve"> </w:t>
      </w:r>
      <w:r w:rsidRPr="00D3159E">
        <w:rPr>
          <w:rFonts w:eastAsiaTheme="minorHAnsi" w:cs="Times New Roman"/>
          <w:iCs/>
          <w:szCs w:val="24"/>
        </w:rPr>
        <w:t>(stunt),</w:t>
      </w:r>
      <w:r w:rsidRPr="00341B10">
        <w:rPr>
          <w:rFonts w:eastAsiaTheme="minorHAnsi" w:cs="Times New Roman"/>
          <w:i/>
          <w:iCs/>
          <w:szCs w:val="24"/>
        </w:rPr>
        <w:t xml:space="preserve"> Trichodorus</w:t>
      </w:r>
      <w:r>
        <w:rPr>
          <w:rFonts w:eastAsiaTheme="minorHAnsi" w:cs="Times New Roman"/>
          <w:i/>
          <w:iCs/>
          <w:szCs w:val="24"/>
        </w:rPr>
        <w:t xml:space="preserve"> </w:t>
      </w:r>
      <w:r w:rsidRPr="00D3159E">
        <w:rPr>
          <w:rFonts w:eastAsiaTheme="minorHAnsi" w:cs="Times New Roman"/>
          <w:iCs/>
          <w:szCs w:val="24"/>
        </w:rPr>
        <w:t>(stubby-root),</w:t>
      </w:r>
      <w:r w:rsidRPr="00341B10">
        <w:rPr>
          <w:rFonts w:eastAsiaTheme="minorHAnsi" w:cs="Times New Roman"/>
          <w:i/>
          <w:iCs/>
          <w:szCs w:val="24"/>
        </w:rPr>
        <w:t xml:space="preserve"> Paratrichodorus</w:t>
      </w:r>
      <w:r>
        <w:rPr>
          <w:rFonts w:eastAsiaTheme="minorHAnsi" w:cs="Times New Roman"/>
          <w:i/>
          <w:iCs/>
          <w:szCs w:val="24"/>
        </w:rPr>
        <w:t xml:space="preserve"> </w:t>
      </w:r>
      <w:r w:rsidRPr="00D3159E">
        <w:rPr>
          <w:rFonts w:eastAsiaTheme="minorHAnsi" w:cs="Times New Roman"/>
          <w:iCs/>
          <w:szCs w:val="24"/>
        </w:rPr>
        <w:t>(stubby-root),</w:t>
      </w:r>
      <w:r w:rsidRPr="00341B10">
        <w:rPr>
          <w:rFonts w:eastAsiaTheme="minorHAnsi" w:cs="Times New Roman"/>
          <w:i/>
          <w:iCs/>
          <w:szCs w:val="24"/>
        </w:rPr>
        <w:t xml:space="preserve"> </w:t>
      </w:r>
      <w:r w:rsidRPr="00341B10">
        <w:rPr>
          <w:rFonts w:eastAsiaTheme="minorHAnsi" w:cs="Times New Roman"/>
          <w:iCs/>
          <w:szCs w:val="24"/>
        </w:rPr>
        <w:t>and some</w:t>
      </w:r>
      <w:r w:rsidRPr="00341B10">
        <w:rPr>
          <w:rFonts w:eastAsiaTheme="minorHAnsi" w:cs="Times New Roman"/>
          <w:i/>
          <w:iCs/>
          <w:szCs w:val="24"/>
        </w:rPr>
        <w:t xml:space="preserve"> Helicotylenchus </w:t>
      </w:r>
      <w:r w:rsidRPr="00D3159E">
        <w:rPr>
          <w:rFonts w:eastAsiaTheme="minorHAnsi" w:cs="Times New Roman"/>
          <w:iCs/>
          <w:szCs w:val="24"/>
        </w:rPr>
        <w:t>(spiral)</w:t>
      </w:r>
      <w:r>
        <w:rPr>
          <w:rFonts w:eastAsiaTheme="minorHAnsi" w:cs="Times New Roman"/>
          <w:i/>
          <w:iCs/>
          <w:szCs w:val="24"/>
        </w:rPr>
        <w:t xml:space="preserve"> </w:t>
      </w:r>
      <w:r w:rsidRPr="00341B10">
        <w:rPr>
          <w:rFonts w:cs="Times New Roman"/>
          <w:bCs/>
          <w:szCs w:val="24"/>
          <w:shd w:val="clear" w:color="auto" w:fill="FFFFFF"/>
        </w:rPr>
        <w:t>(</w:t>
      </w:r>
      <w:r w:rsidRPr="00341B10">
        <w:rPr>
          <w:rFonts w:cs="Times New Roman"/>
          <w:color w:val="222222"/>
          <w:szCs w:val="24"/>
          <w:shd w:val="clear" w:color="auto" w:fill="FFFFFF"/>
        </w:rPr>
        <w:t>Manzanilla-Lopez et al., 2004).</w:t>
      </w:r>
      <w:r w:rsidRPr="00341B10">
        <w:rPr>
          <w:rFonts w:eastAsiaTheme="minorHAnsi" w:cs="Times New Roman"/>
          <w:iCs/>
          <w:szCs w:val="24"/>
        </w:rPr>
        <w:t xml:space="preserve"> </w:t>
      </w:r>
      <w:r w:rsidRPr="00341B10">
        <w:rPr>
          <w:rFonts w:cs="Times New Roman"/>
          <w:bCs/>
          <w:szCs w:val="24"/>
          <w:shd w:val="clear" w:color="auto" w:fill="FFFFFF"/>
        </w:rPr>
        <w:t xml:space="preserve"> Some exa</w:t>
      </w:r>
      <w:r>
        <w:rPr>
          <w:rFonts w:cs="Times New Roman"/>
          <w:bCs/>
          <w:szCs w:val="24"/>
          <w:shd w:val="clear" w:color="auto" w:fill="FFFFFF"/>
        </w:rPr>
        <w:t>m</w:t>
      </w:r>
      <w:r w:rsidRPr="00341B10">
        <w:rPr>
          <w:rFonts w:cs="Times New Roman"/>
          <w:bCs/>
          <w:szCs w:val="24"/>
          <w:shd w:val="clear" w:color="auto" w:fill="FFFFFF"/>
        </w:rPr>
        <w:t xml:space="preserve">ples of long stylet ectoparasites include </w:t>
      </w:r>
      <w:r w:rsidRPr="00341B10">
        <w:rPr>
          <w:rFonts w:cs="Times New Roman"/>
          <w:bCs/>
          <w:i/>
          <w:szCs w:val="24"/>
          <w:shd w:val="clear" w:color="auto" w:fill="FFFFFF"/>
        </w:rPr>
        <w:t>Belonolaimus</w:t>
      </w:r>
      <w:r>
        <w:rPr>
          <w:rFonts w:cs="Times New Roman"/>
          <w:bCs/>
          <w:i/>
          <w:szCs w:val="24"/>
          <w:shd w:val="clear" w:color="auto" w:fill="FFFFFF"/>
        </w:rPr>
        <w:t xml:space="preserve"> </w:t>
      </w:r>
      <w:r w:rsidRPr="00A478F7">
        <w:rPr>
          <w:rFonts w:cs="Times New Roman"/>
          <w:bCs/>
          <w:szCs w:val="24"/>
          <w:shd w:val="clear" w:color="auto" w:fill="FFFFFF"/>
        </w:rPr>
        <w:t>(sting),</w:t>
      </w:r>
      <w:r w:rsidRPr="00341B10">
        <w:rPr>
          <w:rFonts w:cs="Times New Roman"/>
          <w:bCs/>
          <w:i/>
          <w:szCs w:val="24"/>
          <w:shd w:val="clear" w:color="auto" w:fill="FFFFFF"/>
        </w:rPr>
        <w:t xml:space="preserve"> Criconemella</w:t>
      </w:r>
      <w:r>
        <w:rPr>
          <w:rFonts w:cs="Times New Roman"/>
          <w:bCs/>
          <w:i/>
          <w:szCs w:val="24"/>
          <w:shd w:val="clear" w:color="auto" w:fill="FFFFFF"/>
        </w:rPr>
        <w:t xml:space="preserve"> </w:t>
      </w:r>
      <w:r w:rsidRPr="00A478F7">
        <w:rPr>
          <w:rFonts w:cs="Times New Roman"/>
          <w:bCs/>
          <w:szCs w:val="24"/>
          <w:shd w:val="clear" w:color="auto" w:fill="FFFFFF"/>
        </w:rPr>
        <w:t>(ring)</w:t>
      </w:r>
      <w:r w:rsidRPr="00341B10">
        <w:rPr>
          <w:rFonts w:cs="Times New Roman"/>
          <w:bCs/>
          <w:i/>
          <w:szCs w:val="24"/>
          <w:shd w:val="clear" w:color="auto" w:fill="FFFFFF"/>
        </w:rPr>
        <w:t>, Longidorus</w:t>
      </w:r>
      <w:r>
        <w:rPr>
          <w:rFonts w:cs="Times New Roman"/>
          <w:bCs/>
          <w:i/>
          <w:szCs w:val="24"/>
          <w:shd w:val="clear" w:color="auto" w:fill="FFFFFF"/>
        </w:rPr>
        <w:t xml:space="preserve"> (needle)</w:t>
      </w:r>
      <w:r w:rsidRPr="00341B10">
        <w:rPr>
          <w:rFonts w:cs="Times New Roman"/>
          <w:bCs/>
          <w:i/>
          <w:szCs w:val="24"/>
          <w:shd w:val="clear" w:color="auto" w:fill="FFFFFF"/>
        </w:rPr>
        <w:t xml:space="preserve">, </w:t>
      </w:r>
      <w:r w:rsidRPr="00341B10">
        <w:rPr>
          <w:rFonts w:cs="Times New Roman"/>
          <w:bCs/>
          <w:szCs w:val="24"/>
          <w:shd w:val="clear" w:color="auto" w:fill="FFFFFF"/>
        </w:rPr>
        <w:t>and</w:t>
      </w:r>
      <w:r w:rsidRPr="00341B10">
        <w:rPr>
          <w:rFonts w:cs="Times New Roman"/>
          <w:bCs/>
          <w:i/>
          <w:szCs w:val="24"/>
          <w:shd w:val="clear" w:color="auto" w:fill="FFFFFF"/>
        </w:rPr>
        <w:t xml:space="preserve"> </w:t>
      </w:r>
      <w:r w:rsidRPr="00A478F7">
        <w:rPr>
          <w:rFonts w:cs="Times New Roman"/>
          <w:bCs/>
          <w:i/>
          <w:szCs w:val="24"/>
          <w:shd w:val="clear" w:color="auto" w:fill="FFFFFF"/>
        </w:rPr>
        <w:t>Xiphinema</w:t>
      </w:r>
      <w:r>
        <w:rPr>
          <w:rFonts w:cs="Times New Roman"/>
          <w:bCs/>
          <w:i/>
          <w:szCs w:val="24"/>
          <w:shd w:val="clear" w:color="auto" w:fill="FFFFFF"/>
        </w:rPr>
        <w:t xml:space="preserve"> </w:t>
      </w:r>
      <w:r w:rsidRPr="00A478F7">
        <w:rPr>
          <w:rFonts w:cs="Times New Roman"/>
          <w:bCs/>
          <w:szCs w:val="24"/>
          <w:shd w:val="clear" w:color="auto" w:fill="FFFFFF"/>
        </w:rPr>
        <w:t xml:space="preserve">(dagger). </w:t>
      </w:r>
      <w:r w:rsidRPr="00341B10">
        <w:rPr>
          <w:rFonts w:cs="Times New Roman"/>
          <w:bCs/>
          <w:szCs w:val="24"/>
          <w:shd w:val="clear" w:color="auto" w:fill="FFFFFF"/>
        </w:rPr>
        <w:t>These nematodes can insert their long stylet deep into root tissues via young growing tip (</w:t>
      </w:r>
      <w:r w:rsidRPr="00341B10">
        <w:rPr>
          <w:rFonts w:cs="Times New Roman"/>
          <w:color w:val="222222"/>
          <w:szCs w:val="24"/>
          <w:shd w:val="clear" w:color="auto" w:fill="FFFFFF"/>
        </w:rPr>
        <w:t>Manzanilla-Lopez et al., 2004).</w:t>
      </w:r>
    </w:p>
    <w:p w14:paraId="6A4A5137" w14:textId="77777777" w:rsidR="00D20476" w:rsidRDefault="00D20476" w:rsidP="00D122A6">
      <w:pPr>
        <w:pStyle w:val="Heading3"/>
      </w:pPr>
    </w:p>
    <w:p w14:paraId="401AA544" w14:textId="77777777" w:rsidR="00D20476" w:rsidRPr="008E2CD0" w:rsidRDefault="00D20476" w:rsidP="00D122A6">
      <w:pPr>
        <w:pStyle w:val="Heading3"/>
      </w:pPr>
      <w:bookmarkStart w:id="20" w:name="_Toc101048063"/>
      <w:r w:rsidRPr="008E2CD0">
        <w:t>Migratory endo-parasites.</w:t>
      </w:r>
      <w:bookmarkEnd w:id="20"/>
      <w:r w:rsidRPr="008E2CD0">
        <w:t xml:space="preserve"> </w:t>
      </w:r>
    </w:p>
    <w:p w14:paraId="5942E5F6" w14:textId="77777777" w:rsidR="00D20476" w:rsidRPr="008E2CD0" w:rsidRDefault="00D20476" w:rsidP="00AB65D6">
      <w:pPr>
        <w:tabs>
          <w:tab w:val="left" w:pos="270"/>
        </w:tabs>
        <w:spacing w:line="360" w:lineRule="auto"/>
        <w:ind w:left="720"/>
        <w:rPr>
          <w:rFonts w:cs="Times New Roman"/>
          <w:bCs/>
          <w:szCs w:val="24"/>
          <w:shd w:val="clear" w:color="auto" w:fill="FFFFFF"/>
        </w:rPr>
      </w:pPr>
      <w:r w:rsidRPr="008E2CD0">
        <w:rPr>
          <w:rFonts w:cs="Times New Roman"/>
          <w:bCs/>
          <w:szCs w:val="24"/>
          <w:shd w:val="clear" w:color="auto" w:fill="FFFFFF"/>
        </w:rPr>
        <w:tab/>
      </w:r>
      <w:r>
        <w:rPr>
          <w:rFonts w:cs="Times New Roman"/>
          <w:bCs/>
          <w:szCs w:val="24"/>
          <w:shd w:val="clear" w:color="auto" w:fill="FFFFFF"/>
        </w:rPr>
        <w:t xml:space="preserve">Some examples of </w:t>
      </w:r>
      <w:r w:rsidRPr="007F5D40">
        <w:rPr>
          <w:rFonts w:cs="Times New Roman"/>
          <w:bCs/>
          <w:szCs w:val="24"/>
          <w:shd w:val="clear" w:color="auto" w:fill="FFFFFF"/>
        </w:rPr>
        <w:t>migratory endopar</w:t>
      </w:r>
      <w:r>
        <w:rPr>
          <w:rFonts w:cs="Times New Roman"/>
          <w:bCs/>
          <w:szCs w:val="24"/>
          <w:shd w:val="clear" w:color="auto" w:fill="FFFFFF"/>
        </w:rPr>
        <w:t>a</w:t>
      </w:r>
      <w:r w:rsidRPr="007F5D40">
        <w:rPr>
          <w:rFonts w:cs="Times New Roman"/>
          <w:bCs/>
          <w:szCs w:val="24"/>
          <w:shd w:val="clear" w:color="auto" w:fill="FFFFFF"/>
        </w:rPr>
        <w:t>sites incl</w:t>
      </w:r>
      <w:r>
        <w:rPr>
          <w:rFonts w:cs="Times New Roman"/>
          <w:bCs/>
          <w:szCs w:val="24"/>
          <w:shd w:val="clear" w:color="auto" w:fill="FFFFFF"/>
        </w:rPr>
        <w:t>ud</w:t>
      </w:r>
      <w:r w:rsidRPr="007F5D40">
        <w:rPr>
          <w:rFonts w:cs="Times New Roman"/>
          <w:bCs/>
          <w:szCs w:val="24"/>
          <w:shd w:val="clear" w:color="auto" w:fill="FFFFFF"/>
        </w:rPr>
        <w:t xml:space="preserve">e </w:t>
      </w:r>
      <w:r w:rsidRPr="007F5D40">
        <w:rPr>
          <w:rFonts w:cs="Times New Roman"/>
          <w:i/>
          <w:szCs w:val="24"/>
        </w:rPr>
        <w:t xml:space="preserve">Pratylenchus </w:t>
      </w:r>
      <w:r w:rsidRPr="007F5D40">
        <w:rPr>
          <w:rFonts w:cs="Times New Roman"/>
          <w:szCs w:val="24"/>
        </w:rPr>
        <w:t>(lesion),</w:t>
      </w:r>
      <w:r w:rsidRPr="007F5D40">
        <w:rPr>
          <w:rFonts w:cs="Times New Roman"/>
          <w:i/>
          <w:szCs w:val="24"/>
        </w:rPr>
        <w:t xml:space="preserve"> </w:t>
      </w:r>
      <w:r w:rsidRPr="007F5D40">
        <w:rPr>
          <w:rFonts w:eastAsiaTheme="minorHAnsi" w:cs="Times New Roman"/>
          <w:i/>
          <w:iCs/>
          <w:szCs w:val="24"/>
        </w:rPr>
        <w:t>Hoplolaimus</w:t>
      </w:r>
      <w:r>
        <w:rPr>
          <w:rFonts w:eastAsiaTheme="minorHAnsi" w:cs="Times New Roman"/>
          <w:i/>
          <w:iCs/>
          <w:szCs w:val="24"/>
        </w:rPr>
        <w:t xml:space="preserve"> </w:t>
      </w:r>
      <w:r w:rsidRPr="00972205">
        <w:rPr>
          <w:rFonts w:eastAsiaTheme="minorHAnsi" w:cs="Times New Roman"/>
          <w:iCs/>
          <w:szCs w:val="24"/>
        </w:rPr>
        <w:t xml:space="preserve">(lance), </w:t>
      </w:r>
      <w:r w:rsidRPr="007F5D40">
        <w:rPr>
          <w:rFonts w:eastAsiaTheme="minorHAnsi" w:cs="Times New Roman"/>
          <w:iCs/>
          <w:szCs w:val="24"/>
        </w:rPr>
        <w:t>some</w:t>
      </w:r>
      <w:r w:rsidRPr="007F5D40">
        <w:rPr>
          <w:rFonts w:eastAsiaTheme="minorHAnsi" w:cs="Times New Roman"/>
          <w:i/>
          <w:iCs/>
          <w:szCs w:val="24"/>
        </w:rPr>
        <w:t xml:space="preserve"> Helicotylenchus</w:t>
      </w:r>
      <w:r>
        <w:rPr>
          <w:rFonts w:eastAsiaTheme="minorHAnsi" w:cs="Times New Roman"/>
          <w:i/>
          <w:iCs/>
          <w:szCs w:val="24"/>
        </w:rPr>
        <w:t xml:space="preserve"> (</w:t>
      </w:r>
      <w:r w:rsidRPr="007F5D40">
        <w:rPr>
          <w:rFonts w:eastAsiaTheme="minorHAnsi" w:cs="Times New Roman"/>
          <w:iCs/>
          <w:szCs w:val="24"/>
        </w:rPr>
        <w:t>spiral</w:t>
      </w:r>
      <w:r>
        <w:rPr>
          <w:rFonts w:eastAsiaTheme="minorHAnsi" w:cs="Times New Roman"/>
          <w:i/>
          <w:iCs/>
          <w:szCs w:val="24"/>
        </w:rPr>
        <w:t>)</w:t>
      </w:r>
      <w:r w:rsidRPr="007F5D40">
        <w:rPr>
          <w:rFonts w:eastAsiaTheme="minorHAnsi" w:cs="Times New Roman"/>
          <w:i/>
          <w:iCs/>
          <w:szCs w:val="24"/>
        </w:rPr>
        <w:t xml:space="preserve">, </w:t>
      </w:r>
      <w:r w:rsidRPr="007F5D40">
        <w:rPr>
          <w:rFonts w:eastAsiaTheme="minorHAnsi" w:cs="Times New Roman"/>
          <w:iCs/>
          <w:szCs w:val="24"/>
        </w:rPr>
        <w:t>some</w:t>
      </w:r>
      <w:r w:rsidRPr="007F5D40">
        <w:rPr>
          <w:rFonts w:eastAsiaTheme="minorHAnsi" w:cs="Times New Roman"/>
          <w:i/>
          <w:iCs/>
          <w:szCs w:val="24"/>
        </w:rPr>
        <w:t xml:space="preserve"> Rotylenchus</w:t>
      </w:r>
      <w:r>
        <w:rPr>
          <w:rFonts w:eastAsiaTheme="minorHAnsi" w:cs="Times New Roman"/>
          <w:i/>
          <w:iCs/>
          <w:szCs w:val="24"/>
        </w:rPr>
        <w:t xml:space="preserve"> </w:t>
      </w:r>
      <w:r w:rsidRPr="007F5D40">
        <w:rPr>
          <w:rFonts w:eastAsiaTheme="minorHAnsi" w:cs="Times New Roman"/>
          <w:iCs/>
          <w:szCs w:val="24"/>
        </w:rPr>
        <w:t>(reniform),</w:t>
      </w:r>
      <w:r w:rsidRPr="007F5D40">
        <w:rPr>
          <w:rFonts w:eastAsiaTheme="minorHAnsi" w:cs="Times New Roman"/>
          <w:i/>
          <w:iCs/>
          <w:szCs w:val="24"/>
        </w:rPr>
        <w:t xml:space="preserve"> </w:t>
      </w:r>
      <w:r w:rsidRPr="007F5D40">
        <w:rPr>
          <w:rFonts w:eastAsiaTheme="minorHAnsi" w:cs="Times New Roman"/>
          <w:iCs/>
          <w:szCs w:val="24"/>
        </w:rPr>
        <w:t>some</w:t>
      </w:r>
      <w:r w:rsidRPr="007F5D40">
        <w:rPr>
          <w:rFonts w:eastAsiaTheme="minorHAnsi" w:cs="Times New Roman"/>
          <w:i/>
          <w:iCs/>
          <w:szCs w:val="24"/>
        </w:rPr>
        <w:t xml:space="preserve"> Ditylenchus</w:t>
      </w:r>
      <w:r>
        <w:rPr>
          <w:rFonts w:eastAsiaTheme="minorHAnsi" w:cs="Times New Roman"/>
          <w:i/>
          <w:iCs/>
          <w:szCs w:val="24"/>
        </w:rPr>
        <w:t xml:space="preserve"> </w:t>
      </w:r>
      <w:r w:rsidRPr="007F5D40">
        <w:rPr>
          <w:rFonts w:eastAsiaTheme="minorHAnsi" w:cs="Times New Roman"/>
          <w:iCs/>
          <w:szCs w:val="24"/>
        </w:rPr>
        <w:t>(</w:t>
      </w:r>
      <w:r w:rsidRPr="007F5D40">
        <w:rPr>
          <w:rFonts w:cs="Times New Roman"/>
          <w:bCs/>
          <w:szCs w:val="24"/>
          <w:shd w:val="clear" w:color="auto" w:fill="FFFFFF"/>
        </w:rPr>
        <w:t>stem nematode)</w:t>
      </w:r>
      <w:r w:rsidRPr="007F5D40">
        <w:rPr>
          <w:rFonts w:eastAsiaTheme="minorHAnsi" w:cs="Times New Roman"/>
          <w:iCs/>
          <w:szCs w:val="24"/>
        </w:rPr>
        <w:t xml:space="preserve">, </w:t>
      </w:r>
      <w:r w:rsidRPr="007F5D40">
        <w:rPr>
          <w:rFonts w:eastAsiaTheme="minorHAnsi" w:cs="Times New Roman"/>
          <w:i/>
          <w:iCs/>
          <w:szCs w:val="24"/>
        </w:rPr>
        <w:t>Aphelenchoides</w:t>
      </w:r>
      <w:r>
        <w:rPr>
          <w:rFonts w:eastAsiaTheme="minorHAnsi" w:cs="Times New Roman"/>
          <w:i/>
          <w:iCs/>
          <w:szCs w:val="24"/>
        </w:rPr>
        <w:t xml:space="preserve"> </w:t>
      </w:r>
      <w:r w:rsidRPr="007F5D40">
        <w:rPr>
          <w:rFonts w:eastAsiaTheme="minorHAnsi" w:cs="Times New Roman"/>
          <w:iCs/>
          <w:szCs w:val="24"/>
        </w:rPr>
        <w:t>(leaf nematode),</w:t>
      </w:r>
      <w:r w:rsidRPr="007F5D40">
        <w:rPr>
          <w:rFonts w:eastAsiaTheme="minorHAnsi" w:cs="Times New Roman"/>
          <w:i/>
          <w:iCs/>
          <w:szCs w:val="24"/>
        </w:rPr>
        <w:t xml:space="preserve"> Bursaphenlenchus</w:t>
      </w:r>
      <w:r>
        <w:rPr>
          <w:rFonts w:eastAsiaTheme="minorHAnsi" w:cs="Times New Roman"/>
          <w:i/>
          <w:iCs/>
          <w:szCs w:val="24"/>
        </w:rPr>
        <w:t xml:space="preserve"> </w:t>
      </w:r>
      <w:r w:rsidRPr="007F5D40">
        <w:rPr>
          <w:rFonts w:eastAsiaTheme="minorHAnsi" w:cs="Times New Roman"/>
          <w:iCs/>
          <w:szCs w:val="24"/>
        </w:rPr>
        <w:t>(pinewood nematode),</w:t>
      </w:r>
      <w:r w:rsidRPr="007F5D40">
        <w:rPr>
          <w:rFonts w:eastAsiaTheme="minorHAnsi" w:cs="Times New Roman"/>
          <w:i/>
          <w:iCs/>
          <w:szCs w:val="24"/>
        </w:rPr>
        <w:t xml:space="preserve"> </w:t>
      </w:r>
      <w:r w:rsidRPr="007F5D40">
        <w:rPr>
          <w:rFonts w:eastAsiaTheme="minorHAnsi" w:cs="Times New Roman"/>
          <w:iCs/>
          <w:szCs w:val="24"/>
        </w:rPr>
        <w:t>and</w:t>
      </w:r>
      <w:r w:rsidRPr="007F5D40">
        <w:rPr>
          <w:rFonts w:eastAsiaTheme="minorHAnsi" w:cs="Times New Roman"/>
          <w:i/>
          <w:iCs/>
          <w:szCs w:val="24"/>
        </w:rPr>
        <w:t xml:space="preserve"> Scutellonema</w:t>
      </w:r>
      <w:r>
        <w:rPr>
          <w:rFonts w:eastAsiaTheme="minorHAnsi" w:cs="Times New Roman"/>
          <w:i/>
          <w:iCs/>
          <w:szCs w:val="24"/>
        </w:rPr>
        <w:t xml:space="preserve"> </w:t>
      </w:r>
      <w:r w:rsidRPr="0084167B">
        <w:rPr>
          <w:rFonts w:eastAsiaTheme="minorHAnsi" w:cs="Times New Roman"/>
          <w:iCs/>
          <w:szCs w:val="24"/>
        </w:rPr>
        <w:t>(yam nematode)</w:t>
      </w:r>
      <w:r>
        <w:rPr>
          <w:rFonts w:eastAsiaTheme="minorHAnsi" w:cs="Times New Roman"/>
          <w:iCs/>
          <w:szCs w:val="24"/>
        </w:rPr>
        <w:t xml:space="preserve"> </w:t>
      </w:r>
      <w:r w:rsidRPr="00341B10">
        <w:rPr>
          <w:rFonts w:cs="Times New Roman"/>
          <w:bCs/>
          <w:szCs w:val="24"/>
          <w:shd w:val="clear" w:color="auto" w:fill="FFFFFF"/>
        </w:rPr>
        <w:t>(</w:t>
      </w:r>
      <w:r w:rsidRPr="00341B10">
        <w:rPr>
          <w:rFonts w:cs="Times New Roman"/>
          <w:color w:val="222222"/>
          <w:szCs w:val="24"/>
          <w:shd w:val="clear" w:color="auto" w:fill="FFFFFF"/>
        </w:rPr>
        <w:t>Manzanilla-Lopez et al., 2004).</w:t>
      </w:r>
      <w:r>
        <w:rPr>
          <w:rFonts w:cs="Times New Roman"/>
          <w:color w:val="222222"/>
          <w:szCs w:val="24"/>
          <w:shd w:val="clear" w:color="auto" w:fill="FFFFFF"/>
        </w:rPr>
        <w:t xml:space="preserve"> </w:t>
      </w:r>
      <w:r w:rsidRPr="00C16523">
        <w:rPr>
          <w:rFonts w:eastAsiaTheme="minorHAnsi" w:cs="Times New Roman"/>
          <w:iCs/>
          <w:szCs w:val="24"/>
        </w:rPr>
        <w:t xml:space="preserve">These </w:t>
      </w:r>
      <w:r w:rsidRPr="00C16523">
        <w:rPr>
          <w:rFonts w:cs="Times New Roman"/>
          <w:bCs/>
          <w:szCs w:val="24"/>
          <w:shd w:val="clear" w:color="auto" w:fill="FFFFFF"/>
        </w:rPr>
        <w:t xml:space="preserve">nematodes enter host roots, migrating through and feeding upon </w:t>
      </w:r>
      <w:r>
        <w:rPr>
          <w:rFonts w:cs="Times New Roman"/>
          <w:bCs/>
          <w:szCs w:val="24"/>
          <w:shd w:val="clear" w:color="auto" w:fill="FFFFFF"/>
        </w:rPr>
        <w:t xml:space="preserve">host </w:t>
      </w:r>
      <w:r w:rsidRPr="00C16523">
        <w:rPr>
          <w:rFonts w:cs="Times New Roman"/>
          <w:bCs/>
          <w:szCs w:val="24"/>
          <w:shd w:val="clear" w:color="auto" w:fill="FFFFFF"/>
        </w:rPr>
        <w:t>cortical cells. This migration</w:t>
      </w:r>
      <w:r>
        <w:rPr>
          <w:rFonts w:cs="Times New Roman"/>
          <w:bCs/>
          <w:szCs w:val="24"/>
          <w:shd w:val="clear" w:color="auto" w:fill="FFFFFF"/>
        </w:rPr>
        <w:t xml:space="preserve"> destroys cells</w:t>
      </w:r>
      <w:r w:rsidRPr="008E2CD0">
        <w:rPr>
          <w:rFonts w:cs="Times New Roman"/>
          <w:bCs/>
          <w:szCs w:val="24"/>
          <w:shd w:val="clear" w:color="auto" w:fill="FFFFFF"/>
        </w:rPr>
        <w:t xml:space="preserve"> and </w:t>
      </w:r>
      <w:r>
        <w:rPr>
          <w:rFonts w:cs="Times New Roman"/>
          <w:bCs/>
          <w:szCs w:val="24"/>
          <w:shd w:val="clear" w:color="auto" w:fill="FFFFFF"/>
        </w:rPr>
        <w:t xml:space="preserve">facilitates the entry of other plant pathogens, but the nematodes </w:t>
      </w:r>
      <w:r w:rsidRPr="008E2CD0">
        <w:rPr>
          <w:rFonts w:cs="Times New Roman"/>
          <w:bCs/>
          <w:szCs w:val="24"/>
          <w:shd w:val="clear" w:color="auto" w:fill="FFFFFF"/>
        </w:rPr>
        <w:t>do not form permanent feeding cells</w:t>
      </w:r>
      <w:r>
        <w:rPr>
          <w:rFonts w:cs="Times New Roman"/>
          <w:bCs/>
          <w:szCs w:val="24"/>
          <w:shd w:val="clear" w:color="auto" w:fill="FFFFFF"/>
        </w:rPr>
        <w:t xml:space="preserve"> in their hosts</w:t>
      </w:r>
      <w:r w:rsidRPr="008E2CD0">
        <w:rPr>
          <w:rFonts w:cs="Times New Roman"/>
          <w:bCs/>
          <w:szCs w:val="24"/>
          <w:shd w:val="clear" w:color="auto" w:fill="FFFFFF"/>
        </w:rPr>
        <w:t xml:space="preserve"> </w:t>
      </w:r>
      <w:r w:rsidRPr="008E2CD0">
        <w:rPr>
          <w:rFonts w:cs="Times New Roman"/>
          <w:bCs/>
          <w:szCs w:val="24"/>
          <w:shd w:val="clear" w:color="auto" w:fill="FFFFFF"/>
        </w:rPr>
        <w:fldChar w:fldCharType="begin" w:fldLock="1"/>
      </w:r>
      <w:r>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2002)","plainTextFormattedCitation":"(Lambert &amp; Bekal, 2002a)","previouslyFormattedCitation":"(Lambert &amp; Bekal, 2002a)"},"properties":{"noteIndex":0},"schema":"https://github.com/citation-style-language/schema/raw/master/csl-citation.json"}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(Lambert &amp; Bekal, 2002)</w:t>
      </w:r>
      <w:r w:rsidRPr="008E2CD0">
        <w:rPr>
          <w:rFonts w:cs="Times New Roman"/>
          <w:bCs/>
          <w:szCs w:val="24"/>
          <w:shd w:val="clear" w:color="auto" w:fill="FFFFFF"/>
        </w:rPr>
        <w:fldChar w:fldCharType="end"/>
      </w:r>
      <w:r w:rsidRPr="008E2CD0">
        <w:rPr>
          <w:rFonts w:cs="Times New Roman"/>
          <w:bCs/>
          <w:szCs w:val="24"/>
          <w:shd w:val="clear" w:color="auto" w:fill="FFFFFF"/>
        </w:rPr>
        <w:t>.</w:t>
      </w:r>
    </w:p>
    <w:p w14:paraId="767CFA69" w14:textId="77777777" w:rsidR="00D20476" w:rsidRPr="008E2CD0" w:rsidRDefault="00D20476" w:rsidP="00D20476">
      <w:pPr>
        <w:tabs>
          <w:tab w:val="left" w:pos="270"/>
        </w:tabs>
        <w:spacing w:line="360" w:lineRule="auto"/>
        <w:ind w:left="720"/>
        <w:rPr>
          <w:rFonts w:cs="Times New Roman"/>
          <w:bCs/>
          <w:szCs w:val="24"/>
          <w:shd w:val="clear" w:color="auto" w:fill="FFFFFF"/>
        </w:rPr>
      </w:pPr>
      <w:r>
        <w:rPr>
          <w:rFonts w:cs="Times New Roman"/>
          <w:bCs/>
          <w:szCs w:val="24"/>
          <w:shd w:val="clear" w:color="auto" w:fill="FFFFFF"/>
        </w:rPr>
        <w:t xml:space="preserve"> </w:t>
      </w:r>
    </w:p>
    <w:p w14:paraId="339F8B80" w14:textId="77777777" w:rsidR="00D20476" w:rsidRPr="008E2CD0" w:rsidRDefault="00D20476" w:rsidP="00D122A6">
      <w:pPr>
        <w:pStyle w:val="Heading3"/>
      </w:pPr>
      <w:bookmarkStart w:id="21" w:name="_Toc101048064"/>
      <w:r w:rsidRPr="008E2CD0">
        <w:t>Semi-endoparasites</w:t>
      </w:r>
      <w:bookmarkEnd w:id="21"/>
    </w:p>
    <w:p w14:paraId="0AB782FF" w14:textId="77777777" w:rsidR="00D20476" w:rsidRDefault="00D20476" w:rsidP="00D20476">
      <w:pPr>
        <w:tabs>
          <w:tab w:val="left" w:pos="270"/>
        </w:tabs>
        <w:spacing w:line="360" w:lineRule="auto"/>
        <w:ind w:left="720"/>
        <w:rPr>
          <w:rFonts w:cs="Times New Roman"/>
          <w:bCs/>
          <w:szCs w:val="24"/>
          <w:shd w:val="clear" w:color="auto" w:fill="FFFFFF"/>
        </w:rPr>
      </w:pPr>
      <w:r w:rsidRPr="008E2CD0">
        <w:rPr>
          <w:rFonts w:cs="Times New Roman"/>
          <w:bCs/>
          <w:szCs w:val="24"/>
          <w:shd w:val="clear" w:color="auto" w:fill="FFFFFF"/>
        </w:rPr>
        <w:tab/>
      </w:r>
      <w:r w:rsidRPr="008E2CD0">
        <w:rPr>
          <w:rFonts w:cs="Times New Roman"/>
          <w:bCs/>
          <w:i/>
          <w:szCs w:val="24"/>
          <w:shd w:val="clear" w:color="auto" w:fill="FFFFFF"/>
        </w:rPr>
        <w:t xml:space="preserve">Rotylenchulus </w:t>
      </w:r>
      <w:r w:rsidRPr="00A254A5">
        <w:rPr>
          <w:szCs w:val="24"/>
          <w:shd w:val="clear" w:color="auto" w:fill="FFFFFF"/>
        </w:rPr>
        <w:t>spp.</w:t>
      </w:r>
      <w:r w:rsidRPr="00A254A5">
        <w:rPr>
          <w:rFonts w:cs="Times New Roman"/>
          <w:bCs/>
          <w:i/>
          <w:szCs w:val="24"/>
          <w:shd w:val="clear" w:color="auto" w:fill="FFFFFF"/>
        </w:rPr>
        <w:t xml:space="preserve">, </w:t>
      </w:r>
      <w:r w:rsidRPr="00A254A5">
        <w:rPr>
          <w:rFonts w:cs="Times New Roman"/>
          <w:bCs/>
          <w:szCs w:val="24"/>
          <w:shd w:val="clear" w:color="auto" w:fill="FFFFFF"/>
        </w:rPr>
        <w:t>(reniform</w:t>
      </w:r>
      <w:r>
        <w:rPr>
          <w:rFonts w:cs="Times New Roman"/>
          <w:bCs/>
          <w:szCs w:val="24"/>
          <w:shd w:val="clear" w:color="auto" w:fill="FFFFFF"/>
        </w:rPr>
        <w:t xml:space="preserve"> nematode</w:t>
      </w:r>
      <w:r w:rsidRPr="00A254A5">
        <w:rPr>
          <w:rFonts w:cs="Times New Roman"/>
          <w:bCs/>
          <w:szCs w:val="24"/>
          <w:shd w:val="clear" w:color="auto" w:fill="FFFFFF"/>
        </w:rPr>
        <w:t>) and</w:t>
      </w:r>
      <w:r w:rsidRPr="00A254A5">
        <w:rPr>
          <w:rFonts w:cs="Times New Roman"/>
          <w:bCs/>
          <w:i/>
          <w:szCs w:val="24"/>
          <w:shd w:val="clear" w:color="auto" w:fill="FFFFFF"/>
        </w:rPr>
        <w:t xml:space="preserve"> </w:t>
      </w:r>
      <w:r w:rsidRPr="00A254A5">
        <w:rPr>
          <w:rFonts w:eastAsiaTheme="minorHAnsi" w:cs="Times New Roman"/>
          <w:i/>
          <w:iCs/>
          <w:szCs w:val="24"/>
        </w:rPr>
        <w:t>Tylenchulus</w:t>
      </w:r>
      <w:r w:rsidRPr="00A254A5">
        <w:rPr>
          <w:rFonts w:eastAsiaTheme="minorHAnsi" w:cs="Times New Roman"/>
          <w:iCs/>
          <w:szCs w:val="24"/>
        </w:rPr>
        <w:t xml:space="preserve"> (citrus nematode) </w:t>
      </w:r>
      <w:r w:rsidRPr="00A254A5">
        <w:rPr>
          <w:rFonts w:cs="Times New Roman"/>
          <w:bCs/>
          <w:szCs w:val="24"/>
          <w:shd w:val="clear" w:color="auto" w:fill="FFFFFF"/>
        </w:rPr>
        <w:t>are</w:t>
      </w:r>
      <w:r w:rsidRPr="008E2CD0">
        <w:rPr>
          <w:rFonts w:cs="Times New Roman"/>
          <w:bCs/>
          <w:szCs w:val="24"/>
          <w:shd w:val="clear" w:color="auto" w:fill="FFFFFF"/>
        </w:rPr>
        <w:t xml:space="preserve"> example</w:t>
      </w:r>
      <w:r>
        <w:rPr>
          <w:rFonts w:cs="Times New Roman"/>
          <w:bCs/>
          <w:szCs w:val="24"/>
          <w:shd w:val="clear" w:color="auto" w:fill="FFFFFF"/>
        </w:rPr>
        <w:t>s</w:t>
      </w:r>
      <w:r w:rsidRPr="008E2CD0">
        <w:rPr>
          <w:rFonts w:cs="Times New Roman"/>
          <w:bCs/>
          <w:szCs w:val="24"/>
          <w:shd w:val="clear" w:color="auto" w:fill="FFFFFF"/>
        </w:rPr>
        <w:t xml:space="preserve"> of </w:t>
      </w:r>
      <w:r>
        <w:rPr>
          <w:rFonts w:cs="Times New Roman"/>
          <w:bCs/>
          <w:szCs w:val="24"/>
          <w:shd w:val="clear" w:color="auto" w:fill="FFFFFF"/>
        </w:rPr>
        <w:t>semi-</w:t>
      </w:r>
      <w:r w:rsidRPr="008E2CD0">
        <w:rPr>
          <w:rFonts w:cs="Times New Roman"/>
          <w:bCs/>
          <w:szCs w:val="24"/>
          <w:shd w:val="clear" w:color="auto" w:fill="FFFFFF"/>
        </w:rPr>
        <w:t>endoparasite</w:t>
      </w:r>
      <w:r>
        <w:rPr>
          <w:rFonts w:cs="Times New Roman"/>
          <w:bCs/>
          <w:szCs w:val="24"/>
          <w:shd w:val="clear" w:color="auto" w:fill="FFFFFF"/>
        </w:rPr>
        <w:t xml:space="preserve">s </w:t>
      </w:r>
      <w:r w:rsidRPr="00341B10">
        <w:rPr>
          <w:rFonts w:cs="Times New Roman"/>
          <w:bCs/>
          <w:szCs w:val="24"/>
          <w:shd w:val="clear" w:color="auto" w:fill="FFFFFF"/>
        </w:rPr>
        <w:t>(</w:t>
      </w:r>
      <w:r w:rsidRPr="00341B10">
        <w:rPr>
          <w:rFonts w:cs="Times New Roman"/>
          <w:color w:val="222222"/>
          <w:szCs w:val="24"/>
          <w:shd w:val="clear" w:color="auto" w:fill="FFFFFF"/>
        </w:rPr>
        <w:t>Manzanilla-Lopez et al., 2004)</w:t>
      </w:r>
      <w:r w:rsidRPr="008E2CD0">
        <w:rPr>
          <w:rFonts w:cs="Times New Roman"/>
          <w:bCs/>
          <w:szCs w:val="24"/>
          <w:shd w:val="clear" w:color="auto" w:fill="FFFFFF"/>
        </w:rPr>
        <w:t xml:space="preserve">. They </w:t>
      </w:r>
      <w:r>
        <w:rPr>
          <w:rFonts w:cs="Times New Roman"/>
          <w:bCs/>
          <w:szCs w:val="24"/>
          <w:shd w:val="clear" w:color="auto" w:fill="FFFFFF"/>
        </w:rPr>
        <w:t>embed</w:t>
      </w:r>
      <w:r w:rsidRPr="008E2CD0">
        <w:rPr>
          <w:rFonts w:cs="Times New Roman"/>
          <w:bCs/>
          <w:szCs w:val="24"/>
          <w:shd w:val="clear" w:color="auto" w:fill="FFFFFF"/>
        </w:rPr>
        <w:t xml:space="preserve"> the anterior </w:t>
      </w:r>
      <w:r>
        <w:rPr>
          <w:rFonts w:cs="Times New Roman"/>
          <w:bCs/>
          <w:szCs w:val="24"/>
          <w:shd w:val="clear" w:color="auto" w:fill="FFFFFF"/>
        </w:rPr>
        <w:t xml:space="preserve">part of their body </w:t>
      </w:r>
      <w:r w:rsidRPr="008E2CD0">
        <w:rPr>
          <w:rFonts w:cs="Times New Roman"/>
          <w:bCs/>
          <w:szCs w:val="24"/>
          <w:shd w:val="clear" w:color="auto" w:fill="FFFFFF"/>
        </w:rPr>
        <w:t xml:space="preserve">in the </w:t>
      </w:r>
      <w:r>
        <w:rPr>
          <w:rFonts w:cs="Times New Roman"/>
          <w:bCs/>
          <w:szCs w:val="24"/>
          <w:shd w:val="clear" w:color="auto" w:fill="FFFFFF"/>
        </w:rPr>
        <w:t>root, with</w:t>
      </w:r>
      <w:r w:rsidRPr="008E2CD0">
        <w:rPr>
          <w:rFonts w:cs="Times New Roman"/>
          <w:bCs/>
          <w:szCs w:val="24"/>
          <w:shd w:val="clear" w:color="auto" w:fill="FFFFFF"/>
        </w:rPr>
        <w:t xml:space="preserve"> the posterior </w:t>
      </w:r>
      <w:r>
        <w:rPr>
          <w:rFonts w:cs="Times New Roman"/>
          <w:bCs/>
          <w:szCs w:val="24"/>
          <w:shd w:val="clear" w:color="auto" w:fill="FFFFFF"/>
        </w:rPr>
        <w:t xml:space="preserve">portion projected </w:t>
      </w:r>
      <w:r w:rsidRPr="008E2CD0">
        <w:rPr>
          <w:rFonts w:cs="Times New Roman"/>
          <w:bCs/>
          <w:szCs w:val="24"/>
          <w:shd w:val="clear" w:color="auto" w:fill="FFFFFF"/>
        </w:rPr>
        <w:t>outside</w:t>
      </w:r>
      <w:r>
        <w:rPr>
          <w:rFonts w:cs="Times New Roman"/>
          <w:bCs/>
          <w:szCs w:val="24"/>
          <w:shd w:val="clear" w:color="auto" w:fill="FFFFFF"/>
        </w:rPr>
        <w:t xml:space="preserve"> swollen</w:t>
      </w:r>
      <w:r w:rsidRPr="008E2CD0">
        <w:rPr>
          <w:rFonts w:cs="Times New Roman"/>
          <w:bCs/>
          <w:szCs w:val="24"/>
          <w:shd w:val="clear" w:color="auto" w:fill="FFFFFF"/>
        </w:rPr>
        <w:t>. At this sedentary stage, the nematode form</w:t>
      </w:r>
      <w:r>
        <w:rPr>
          <w:rFonts w:cs="Times New Roman"/>
          <w:bCs/>
          <w:szCs w:val="24"/>
          <w:shd w:val="clear" w:color="auto" w:fill="FFFFFF"/>
        </w:rPr>
        <w:t>s</w:t>
      </w:r>
      <w:r w:rsidRPr="008E2CD0">
        <w:rPr>
          <w:rFonts w:cs="Times New Roman"/>
          <w:bCs/>
          <w:szCs w:val="24"/>
          <w:shd w:val="clear" w:color="auto" w:fill="FFFFFF"/>
        </w:rPr>
        <w:t xml:space="preserve"> a permanent feeding site for a long-lasting nutrient supply  </w:t>
      </w:r>
      <w:r w:rsidRPr="008E2CD0">
        <w:rPr>
          <w:rFonts w:cs="Times New Roman"/>
          <w:bCs/>
          <w:szCs w:val="24"/>
          <w:shd w:val="clear" w:color="auto" w:fill="FFFFFF"/>
        </w:rPr>
        <w:fldChar w:fldCharType="begin" w:fldLock="1"/>
      </w:r>
      <w:r>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2002)","plainTextFormattedCitation":"(Lambert &amp; Bekal, 2002a)","previouslyFormattedCitation":"(Lambert &amp; Bekal, 2002a)"},"properties":{"noteIndex":0},"schema":"https://github.com/citation-style-language/schema/raw/master/csl-citation.json"}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(Lambert &amp; Bekal, 2002)</w:t>
      </w:r>
      <w:r w:rsidRPr="008E2CD0">
        <w:rPr>
          <w:rFonts w:cs="Times New Roman"/>
          <w:bCs/>
          <w:szCs w:val="24"/>
          <w:shd w:val="clear" w:color="auto" w:fill="FFFFFF"/>
        </w:rPr>
        <w:fldChar w:fldCharType="end"/>
      </w:r>
      <w:r w:rsidRPr="008E2CD0">
        <w:rPr>
          <w:rFonts w:cs="Times New Roman"/>
          <w:bCs/>
          <w:szCs w:val="24"/>
          <w:shd w:val="clear" w:color="auto" w:fill="FFFFFF"/>
        </w:rPr>
        <w:t>.</w:t>
      </w:r>
    </w:p>
    <w:p w14:paraId="3D292DC7" w14:textId="77777777" w:rsidR="00D20476" w:rsidRPr="008E2CD0" w:rsidRDefault="00D20476" w:rsidP="00D20476">
      <w:pPr>
        <w:tabs>
          <w:tab w:val="left" w:pos="270"/>
        </w:tabs>
        <w:spacing w:line="360" w:lineRule="auto"/>
        <w:ind w:left="720"/>
        <w:rPr>
          <w:rFonts w:cs="Times New Roman"/>
          <w:bCs/>
          <w:szCs w:val="24"/>
          <w:shd w:val="clear" w:color="auto" w:fill="FFFFFF"/>
        </w:rPr>
      </w:pPr>
    </w:p>
    <w:p w14:paraId="6FCE0D85" w14:textId="77777777" w:rsidR="00D20476" w:rsidRPr="008E2CD0" w:rsidRDefault="00D20476" w:rsidP="00D122A6">
      <w:pPr>
        <w:pStyle w:val="Heading3"/>
      </w:pPr>
      <w:bookmarkStart w:id="22" w:name="_Toc101048065"/>
      <w:r w:rsidRPr="008E2CD0">
        <w:t>Sedentary endoparasites.</w:t>
      </w:r>
      <w:bookmarkEnd w:id="22"/>
      <w:r w:rsidRPr="008E2CD0">
        <w:t xml:space="preserve"> </w:t>
      </w:r>
    </w:p>
    <w:p w14:paraId="4EE9AC8A" w14:textId="77777777" w:rsidR="00D20476" w:rsidRPr="008E2CD0" w:rsidRDefault="00D20476" w:rsidP="00D20476">
      <w:pPr>
        <w:tabs>
          <w:tab w:val="left" w:pos="270"/>
        </w:tabs>
        <w:spacing w:line="360" w:lineRule="auto"/>
        <w:ind w:left="720"/>
        <w:rPr>
          <w:rFonts w:cs="Times New Roman"/>
          <w:bCs/>
          <w:szCs w:val="24"/>
          <w:shd w:val="clear" w:color="auto" w:fill="FFFFFF"/>
        </w:rPr>
      </w:pPr>
      <w:r w:rsidRPr="008E2CD0">
        <w:rPr>
          <w:rFonts w:cs="Times New Roman"/>
          <w:bCs/>
          <w:szCs w:val="24"/>
          <w:shd w:val="clear" w:color="auto" w:fill="FFFFFF"/>
        </w:rPr>
        <w:tab/>
      </w:r>
      <w:r>
        <w:rPr>
          <w:rFonts w:cs="Times New Roman"/>
          <w:bCs/>
          <w:szCs w:val="24"/>
          <w:shd w:val="clear" w:color="auto" w:fill="FFFFFF"/>
        </w:rPr>
        <w:t xml:space="preserve">Examples of sedentary nematodes include </w:t>
      </w:r>
      <w:r w:rsidRPr="008E2CD0">
        <w:rPr>
          <w:rFonts w:cs="Times New Roman"/>
          <w:bCs/>
          <w:i/>
          <w:szCs w:val="24"/>
          <w:shd w:val="clear" w:color="auto" w:fill="FFFFFF"/>
        </w:rPr>
        <w:t>H</w:t>
      </w:r>
      <w:r>
        <w:rPr>
          <w:rFonts w:cs="Times New Roman"/>
          <w:bCs/>
          <w:i/>
          <w:szCs w:val="24"/>
          <w:shd w:val="clear" w:color="auto" w:fill="FFFFFF"/>
        </w:rPr>
        <w:t xml:space="preserve">eterodera glycines </w:t>
      </w:r>
      <w:r w:rsidRPr="001B3EB1">
        <w:rPr>
          <w:rFonts w:cs="Times New Roman"/>
          <w:bCs/>
          <w:szCs w:val="24"/>
          <w:shd w:val="clear" w:color="auto" w:fill="FFFFFF"/>
        </w:rPr>
        <w:t>(soybean cyst nematode)</w:t>
      </w:r>
      <w:r w:rsidRPr="008E2CD0">
        <w:rPr>
          <w:rFonts w:cs="Times New Roman"/>
          <w:bCs/>
          <w:i/>
          <w:szCs w:val="24"/>
          <w:shd w:val="clear" w:color="auto" w:fill="FFFFFF"/>
        </w:rPr>
        <w:t xml:space="preserve"> </w:t>
      </w:r>
      <w:r w:rsidRPr="00FC12AC">
        <w:rPr>
          <w:shd w:val="clear" w:color="auto" w:fill="FFFFFF"/>
        </w:rPr>
        <w:t>and</w:t>
      </w:r>
      <w:r w:rsidRPr="008E2CD0">
        <w:rPr>
          <w:rFonts w:cs="Times New Roman"/>
          <w:bCs/>
          <w:szCs w:val="24"/>
          <w:shd w:val="clear" w:color="auto" w:fill="FFFFFF"/>
        </w:rPr>
        <w:t xml:space="preserve"> </w:t>
      </w:r>
      <w:r w:rsidRPr="008E2CD0">
        <w:rPr>
          <w:rFonts w:cs="Times New Roman"/>
          <w:i/>
          <w:szCs w:val="24"/>
        </w:rPr>
        <w:t>M. incognita</w:t>
      </w:r>
      <w:r>
        <w:rPr>
          <w:rFonts w:cs="Times New Roman"/>
          <w:i/>
          <w:szCs w:val="24"/>
        </w:rPr>
        <w:t xml:space="preserve">; </w:t>
      </w:r>
      <w:r w:rsidRPr="008E2CD0">
        <w:rPr>
          <w:rFonts w:cs="Times New Roman"/>
          <w:bCs/>
          <w:i/>
          <w:szCs w:val="24"/>
          <w:shd w:val="clear" w:color="auto" w:fill="FFFFFF"/>
        </w:rPr>
        <w:t>M. hapla</w:t>
      </w:r>
      <w:r>
        <w:rPr>
          <w:rFonts w:cs="Times New Roman"/>
          <w:bCs/>
          <w:i/>
          <w:szCs w:val="24"/>
          <w:shd w:val="clear" w:color="auto" w:fill="FFFFFF"/>
        </w:rPr>
        <w:t>;</w:t>
      </w:r>
      <w:r w:rsidRPr="008E2CD0">
        <w:rPr>
          <w:rFonts w:cs="Times New Roman"/>
          <w:bCs/>
          <w:szCs w:val="24"/>
          <w:shd w:val="clear" w:color="auto" w:fill="FFFFFF"/>
        </w:rPr>
        <w:t xml:space="preserve"> and </w:t>
      </w:r>
      <w:r w:rsidRPr="008E2CD0">
        <w:rPr>
          <w:rFonts w:cs="Times New Roman"/>
          <w:bCs/>
          <w:i/>
          <w:szCs w:val="24"/>
          <w:shd w:val="clear" w:color="auto" w:fill="FFFFFF"/>
        </w:rPr>
        <w:t>M. javanica</w:t>
      </w:r>
      <w:r>
        <w:rPr>
          <w:rFonts w:cs="Times New Roman"/>
          <w:bCs/>
          <w:i/>
          <w:szCs w:val="24"/>
          <w:shd w:val="clear" w:color="auto" w:fill="FFFFFF"/>
        </w:rPr>
        <w:t xml:space="preserve"> (the </w:t>
      </w:r>
      <w:r>
        <w:rPr>
          <w:rFonts w:cs="Times New Roman"/>
          <w:bCs/>
          <w:szCs w:val="24"/>
          <w:shd w:val="clear" w:color="auto" w:fill="FFFFFF"/>
        </w:rPr>
        <w:t xml:space="preserve">root-knot nematodes). </w:t>
      </w:r>
      <w:r w:rsidRPr="008E2CD0">
        <w:rPr>
          <w:rFonts w:cs="Times New Roman"/>
          <w:bCs/>
          <w:szCs w:val="24"/>
          <w:shd w:val="clear" w:color="auto" w:fill="FFFFFF"/>
        </w:rPr>
        <w:t xml:space="preserve">These nematodes will completely enter and become embedded in the host tissue, and move toward the developing vascular cells to form a permanent feeding site for a continuous nutrient supply </w:t>
      </w:r>
      <w:r w:rsidRPr="008E2CD0">
        <w:rPr>
          <w:rFonts w:cs="Times New Roman"/>
          <w:bCs/>
          <w:szCs w:val="24"/>
          <w:shd w:val="clear" w:color="auto" w:fill="FFFFFF"/>
        </w:rPr>
        <w:fldChar w:fldCharType="begin" w:fldLock="1"/>
      </w:r>
      <w:r>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Nematodes","type":"article-journal"},"uris":["http://www.mendeley.com/documents/?uuid=07c20e54-b637-4f04-8c1d-f9e93358ab94"]},{"id":"ITEM-2","itemData":{"ISSN":"0022-300X","abstract":"Selected populations of soybean cyst nematodes were inoculated to roots of compatible and incompatible soybeans. Rates of penetration of infective juveniles of nematode populations selected on PI 209332, PI 89772, and Pickett 71 were equivalent on compatible and incompatible soybean roots. The first two populations averaged about 10% and the last about 5% penetration in 24-hour inoculations of young seedlings. About 14% of those juveniles that entered roots in compatible combinations developed into maturing females, compared with only about 1% in incompatible combinations. Several aberrations from the pattern of syncytial development associated with mature females in compatible hosts were apparent. A rapid necrotic response occurred in both kinds of hosts but was more frequent in incompatible associations. Delayed necrosis and small syncytia were present in some combinations. Those few females that developed in incompatible soybeans were associated with a characteristic syncytium different from the kind seen in roots of compatible hosts. Key words: Glycine max, soybean cyst nematode, syncytia, rapid necrotic response.","author":[{"dropping-particle":"","family":"Acedo","given":"J R","non-dropping-particle":"","parse-names":false,"suffix":""},{"dropping-particle":"","family":"Dropkin","given":"V H","non-dropping-particle":"","parse-names":false,"suffix":""},{"dropping-particle":"","family":"Luedders","given":"V D","non-dropping-particle":"","parse-names":false,"suffix":""}],"container-title":"Journal of nematology","id":"ITEM-2","issue":"1","issued":{"date-parts":[["1984"]]},"page":"48-56","title":"Nematode Population Attrition and Histopathology of Heterodera glycines-Soybean Associations.","type":"article-journal","volume":"16"},"uris":["http://www.mendeley.com/documents/?uuid=cbfdc94d-940e-42c8-9c22-e9bc20e2a85a"]}],"mendeley":{"formattedCitation":"(Acedo et al., 1984; Lambert &amp; Bekal, 2002a)","manualFormatting":"(Acedo et al., 1984; Lambert &amp; Bekal, 2002)","plainTextFormattedCitation":"(Acedo et al., 1984; Lambert &amp; Bekal, 2002a)","previouslyFormattedCitation":"(Acedo et al., 1984; Lambert &amp; Bekal, 2002a)"},"properties":{"noteIndex":0},"schema":"https://github.com/citation-style-language/schema/raw/master/csl-citation.json"}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(Acedo et al., 1984; Lambert &amp; Bekal, 2002)</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w:t>
      </w:r>
    </w:p>
    <w:p w14:paraId="758D0278" w14:textId="77777777" w:rsidR="00D20476" w:rsidRPr="008E2CD0" w:rsidRDefault="00D20476" w:rsidP="00D20476">
      <w:pPr>
        <w:tabs>
          <w:tab w:val="left" w:pos="270"/>
        </w:tabs>
        <w:spacing w:line="360" w:lineRule="auto"/>
        <w:ind w:left="720"/>
        <w:rPr>
          <w:rFonts w:cs="Times New Roman"/>
          <w:bCs/>
          <w:szCs w:val="24"/>
          <w:shd w:val="clear" w:color="auto" w:fill="FFFFFF"/>
        </w:rPr>
      </w:pPr>
    </w:p>
    <w:p w14:paraId="3DA4BBB7" w14:textId="77777777" w:rsidR="00D20476" w:rsidRPr="008E2CD0" w:rsidRDefault="00D20476" w:rsidP="00FD1FC5">
      <w:pPr>
        <w:pStyle w:val="Heading2"/>
      </w:pPr>
      <w:bookmarkStart w:id="23" w:name="_Toc98812683"/>
      <w:bookmarkStart w:id="24" w:name="_Toc98812891"/>
      <w:bookmarkStart w:id="25" w:name="_Toc98813557"/>
      <w:bookmarkStart w:id="26" w:name="_Toc101048066"/>
      <w:r w:rsidRPr="008E2CD0">
        <w:t>Typical feature</w:t>
      </w:r>
      <w:r>
        <w:t>s</w:t>
      </w:r>
      <w:r w:rsidRPr="008E2CD0">
        <w:t xml:space="preserve"> and life cycle</w:t>
      </w:r>
      <w:bookmarkEnd w:id="23"/>
      <w:bookmarkEnd w:id="24"/>
      <w:bookmarkEnd w:id="25"/>
      <w:bookmarkEnd w:id="26"/>
    </w:p>
    <w:p w14:paraId="73C23AB6" w14:textId="77777777" w:rsidR="00D20476" w:rsidRPr="008E2CD0" w:rsidRDefault="00D20476" w:rsidP="00D20476">
      <w:pPr>
        <w:tabs>
          <w:tab w:val="left" w:pos="270"/>
        </w:tabs>
        <w:spacing w:line="360" w:lineRule="auto"/>
        <w:ind w:left="720"/>
        <w:rPr>
          <w:rFonts w:cs="Times New Roman"/>
          <w:b/>
          <w:bCs/>
          <w:szCs w:val="24"/>
          <w:shd w:val="clear" w:color="auto" w:fill="FFFFFF"/>
        </w:rPr>
      </w:pPr>
      <w:r w:rsidRPr="008E2CD0">
        <w:rPr>
          <w:rFonts w:cs="Times New Roman"/>
          <w:bCs/>
          <w:szCs w:val="24"/>
          <w:shd w:val="clear" w:color="auto" w:fill="FFFFFF"/>
        </w:rPr>
        <w:tab/>
        <w:t xml:space="preserve">All plant-feeding nematodes possess a hollow protrusible mouthpart referred to as a stylet which they use to probe and feed on plant tissues. They typically affect crop growth directly by feeding on roots or indirectly by altering symbiotic nitrogen fixation activity in legumes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{"citationItems":[{"id":"ITEM-1","itemData":{"DOI":"10.1038/s41598-020-58546-x","ISSN":"20452322","abstract":"Early maturing varieties of soybean have a high yield potential in Europe, where the main biotic threat to soybean cultivation are root lesion nematodes (Pratylenchus spp.). Nitrogen fixation in root nodules by highly efficient inoculants of Bradyrhizobium japonicum is an incentive to grow soybean in low-input rotation systems. We investigated density-dependent effects of Pratylenchus penetrans on nitrogen fixation by co-inoculated B. japonicum. Less than 130 inoculated nematodes affected the number and weight of nodules, the density of viable bacteroids in nodules, and nitrogen fixation measured as concentration of ureides in leaves. With more inoculated nematodes, the percentage that invaded the roots increased, and adverse effects on the symbiosis accelerated, leading to non-functional nodules at 4,000 and more nematodes. When P. penetrans invaded roots that had fully established nodules, growth of nodules, density of bacteroids, and nitrogen fixation were affected but not the number of nodules. In contrast, nodulation of already infested roots resulted in a high number of small nodules with decreased densities of bacteroids and nitrogen fixation. P. penetrans invaded and damaged the nodules locally, but they also significantly affected the nodule symbiosis by a plant-mediated mechanism, as shown in an experiment with split-root systems.","author":[{"dropping-particle":"","family":"Elhady","given":"Ahmed","non-dropping-particle":"","parse-names":false,"suffix":""},{"dropping-particle":"","family":"Hallmann","given":"Johannes","non-dropping-particle":"","parse-names":false,"suffix":""},{"dropping-particle":"","family":"Heuer","given":"Holger","non-dropping-particle":"","parse-names":false,"suffix":""}],"container-title":"Scientific Reports","id":"ITEM-1","issue":"1","issued":{"date-parts":[["2020"]]},"page":"1-12","title":"Symbiosis of soybean with nitrogen fixing bacteria affected by root lesion nematodes in a density-dependent manner","type":"article-journal","volume":"10"},"uris":["http://www.mendeley.com/documents/?uuid=d513d60f-f08c-4521-91b2-33d1414e32be"]}],"mendeley":{"formattedCitation":"(Elhady et al., 2020)","manualFormatting":"(Elhady et al., 2020;","plainTextFormattedCitation":"(Elhady et al., 2020)","previouslyFormattedCitation":"(Elhady et al., 2020)"},"properties":{"noteIndex":0},"schema":"https://github.com/citation-style-language/schema/raw/master/csl-citation.json"}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(Elhady et al., 2020;</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{"citationItems":[{"id":"ITEM-1","itemData":{"ISSN":"0022-300X","abstract":"A split-root technique was applied to soybean, Glycine max (L.) Merr. cv. Lee 68, to characterize the nature of the nodulation suppression by race 1 of the soybean cyst nematode (SCN), Heterodera glycines. Root-halves of each split-root plant were inoculated with Rhizobium japonicum, and one root-half only was inoculated with various numbers of SCN eggs. Nodulation (indicated by nodule number, nodule weights, and ratio of nodule weight to root weight) and nitrogen-fixing capacity (indicated by rate of acetylene reduction) were systemically and variously suppressed on both root-halves of the split-root plant 5 weeks after half-root inoculation with 12,500 SCN eggs. Inoculation with 500 eggs caused this suppression only on the SCN-infected (+NE) root-half; nodulation on the companion uninfected (-NE) root-half was stimulated slightly. The +NE root-halves inoculated with 5,000 eggs were excised at 2-week intervals; nodulation on the remaining -NE root-halves was not different from that of the noninoculated control when measured 6 weeks after the SCN inoculation. Thus, the systemic suppression of nodulation was reversible upon the removal of the SCN. Similarly, application of various levels of KNO[sub3] to the -NE root-halves of the split-root plant did not alleviate the suppressed nodulation on the companion +NE root-halves, even though plant growth was much improved at certain levels of nitrogen (125 [mu]g N/g soil). This indicated that the localized suppression of nodulation by SCN was caused by factors in addition to poor plant growth. Key words: soybean cyst nematode, Rhizobiura japonicum, Glycine max, nitrogen fixation, split-root technique.","author":[{"dropping-particle":"","family":"Ko","given":"M P","non-dropping-particle":"","parse-names":false,"suffix":""},{"dropping-particle":"","family":"Barker","given":"K R","non-dropping-particle":"","parse-names":false,"suffix":""},{"dropping-particle":"","family":"Huang","given":"J S","non-dropping-particle":"","parse-names":false,"suffix":""}],"container-title":"Journal of nematology","id":"ITEM-1","issue":"1","issued":{"date-parts":[["1984"]]},"page":"97-105","title":"Nodulation of Soybeans as Affected by Half-root Infection with Heterodera glycines.","type":"article-journal","volume":"16"},"uris":["http://www.mendeley.com/documents/?uuid=3595d295-e80f-4246-8b97-a27a9d787c24"]}],"mendeley":{"formattedCitation":"(Ko et al., 1984)","manualFormatting":"Ko et al., 1984)","plainTextFormattedCitation":"(Ko et al., 1984)","previouslyFormattedCitation":"(Ko et al., 1984)"},"properties":{"noteIndex":0},"schema":"https://github.com/citation-style-language/schema/raw/master/csl-citation.json"}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Ko et al., 1984)</w:t>
      </w:r>
      <w:r w:rsidRPr="008E2CD0">
        <w:rPr>
          <w:rFonts w:cs="Times New Roman"/>
          <w:bCs/>
          <w:szCs w:val="24"/>
          <w:shd w:val="clear" w:color="auto" w:fill="FFFFFF"/>
        </w:rPr>
        <w:fldChar w:fldCharType="end"/>
      </w:r>
      <w:r w:rsidRPr="008E2CD0">
        <w:rPr>
          <w:rFonts w:cs="Times New Roman"/>
          <w:b/>
          <w:bCs/>
          <w:szCs w:val="24"/>
          <w:shd w:val="clear" w:color="auto" w:fill="FFFFFF"/>
        </w:rPr>
        <w:t xml:space="preserve">. </w:t>
      </w:r>
      <w:r w:rsidRPr="008E2CD0">
        <w:rPr>
          <w:rFonts w:cs="Times New Roman"/>
          <w:bCs/>
          <w:szCs w:val="24"/>
          <w:shd w:val="clear" w:color="auto" w:fill="FFFFFF"/>
        </w:rPr>
        <w:t>The t</w:t>
      </w:r>
      <w:r w:rsidRPr="008E2CD0">
        <w:rPr>
          <w:rFonts w:cs="Times New Roman"/>
          <w:szCs w:val="24"/>
        </w:rPr>
        <w:t xml:space="preserve">ypical life cycle of plant-parasitic nematodes begins </w:t>
      </w:r>
      <w:r>
        <w:rPr>
          <w:rFonts w:cs="Times New Roman"/>
          <w:szCs w:val="24"/>
        </w:rPr>
        <w:t>with</w:t>
      </w:r>
      <w:r w:rsidRPr="008E2CD0">
        <w:rPr>
          <w:rFonts w:cs="Times New Roman"/>
          <w:szCs w:val="24"/>
        </w:rPr>
        <w:t xml:space="preserve"> eggs, followed by four juvenile stages (J1 to J4), and ends at adult. Depending on the nematode species and conditions, plant-parasitic nematodes may require from two to six weeks to complete a life cycle. At the end of a life cycle, adult females can produce about 50 to 1,000 eggs per female, depending on the nematode species and environmental influence</w:t>
      </w:r>
      <w:r>
        <w:rPr>
          <w:rFonts w:cs="Times New Roman"/>
          <w:szCs w:val="24"/>
        </w:rPr>
        <w:t>s</w:t>
      </w:r>
      <w:r w:rsidRPr="008E2CD0">
        <w:rPr>
          <w:rFonts w:cs="Times New Roman"/>
          <w:szCs w:val="24"/>
        </w:rPr>
        <w:t xml:space="preserve"> </w:t>
      </w:r>
      <w:r w:rsidRPr="008E2CD0">
        <w:rPr>
          <w:rFonts w:cs="Times New Roman"/>
          <w:szCs w:val="24"/>
        </w:rPr>
        <w:fldChar w:fldCharType="begin" w:fldLock="1"/>
      </w:r>
      <w:r>
        <w:rPr>
          <w:rFonts w:cs="Times New Roman"/>
          <w:szCs w:val="24"/>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Instructor","id":"ITEM-1","issued":{"date-parts":[["2002"]]},"title":"Introduction to Plant-Parasitic Nematodes","type":"article-journal"},"uris":["http://www.mendeley.com/documents/?uuid=eab974f7-e794-4b70-9a07-1f3036225225"]},{"id":"ITEM-2","itemData":{"DOI":"10.1094/PHI-I-2003-0917-01","author":[{"dropping-particle":"","family":"Mitkowski","given":"N.A. and G.S. Abawi","non-dropping-particle":"","parse-names":false,"suffix":""}],"container-title":"The Plant Health Instructor","id":"ITEM-2","issued":{"date-parts":[["2003"]]},"title":"​ Root-knot Nematode​ R ​","type":"article-journal"},"uris":["http://www.mendeley.com/documents/?uuid=d4e04224-7ac8-4867-bcc2-96cdddd69f13"]},{"id":"ITEM-3","itemData":{"DOI":"10.1163/15685411-00002756","ISSN":"13885545","abstract":"Meloidogyne minor is a root-knot nematode reported in Belgium, Ireland, The Netherlands, Portugal, United Kingdom, Chile and the United States. It is found in sport fields and golf courses where it causes the yellow patch disease. However, M. minor has also been detected in potato fields in The Netherlands and the UK and may pose a threat for potato cultivation. Therefore, the life cycle and damage of M. minor on potato cv. Bintje were examined under controlled conditions. To assess its life cycle, young potato plants were inoculated with freshly hatched second-stage juveniles (J2). The developmental stages of M. minor were recorded at weekly intervals after inoculation until second generation J2 were detected. One week after inoculation, only vermiform juveniles were found in the roots. All juveniles were swollen after 3 weeks and the first adult females were observed. Egg masses were seen after 6 weeks together with second generation J2. The number of degree days for M. minor to complete its life cycle was calculated using a base temperature of 5°C (DD5); between 606 and 727 DD5 were needed to complete the life cycle. Damage development of M. minor on potato was examined in a pot experiment with different inoculation densities. Symptoms (galling on the tubers) were similar to those caused by M. chitwoodi and M. fallax. At initial population densities (Pi) of 10 J2 (100 cm3 soil)-1 and more, tubers showed galls. Severely damaged potato tubers were observed at Pi 50 J2 (100 cm3 soil)-1 and a damage threshold of 41 J2 (100 cm3 soil)-1 was calculated. An in vitro test showed that five, commonly grown, potato cultivars were good hosts for M. minor. Based on our results, M. minor is able to develop on potato and cause severe damage at low initial population densities. Therefore, further spread of this nematode in agricultural fields should be avoided.. © Koninklijke Brill NV, Leiden, 2014.","author":[{"dropping-particle":"","family":"Wesemael","given":"Wim M.L.","non-dropping-particle":"","parse-names":false,"suffix":""},{"dropping-particle":"","family":"Moens","given":"Maurice","non-dropping-particle":"","parse-names":false,"suffix":""},{"dropping-particle":"","family":"Viaene","given":"Nicole","non-dropping-particle":"","parse-names":false,"suffix":""},{"dropping-particle":"","family":"Taning","given":"Lirette M.","non-dropping-particle":"","parse-names":false,"suffix":""}],"container-title":"Nematology","id":"ITEM-3","issue":"2","issued":{"date-parts":[["2014"]]},"page":"185-192","title":"Life cycle and damage of the root-knot nematode Meloidogyne minor on potato, Solanum tuberosum","type":"article-journal","volume":"16"},"uris":["http://www.mendeley.com/documents/?uuid=95ffe875-f713-4514-9ab2-e7989b32118f"]}],"mendeley":{"formattedCitation":"(Lambert &amp; Bekal, 2002b; N. A. and G. S. A. Mitkowski, 2003; Wesemael et al., 2014)","manualFormatting":"(Lambert &amp; Bekal, 2002; Mitkowski, 2003; Wesemael et al., 2014)","plainTextFormattedCitation":"(Lambert &amp; Bekal, 2002b; N. A. and G. S. A. Mitkowski, 2003; Wesemael et al., 2014)","previouslyFormattedCitation":"(Lambert &amp; Bekal, 2002b; N. A. and G. S. A. Mitkowski, 2003; Wesemael et al., 2014)"},"properties":{"noteIndex":0},"schema":"https://github.com/citation-style-language/schema/raw/master/csl-citation.json"}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(Lambert &amp; Bekal, 2002; Mitkowski, 2003; Wesemael et al., 2014)</w:t>
      </w:r>
      <w:r w:rsidRPr="008E2CD0">
        <w:rPr>
          <w:rFonts w:cs="Times New Roman"/>
          <w:szCs w:val="24"/>
        </w:rPr>
        <w:fldChar w:fldCharType="end"/>
      </w:r>
      <w:r w:rsidRPr="008E2CD0">
        <w:rPr>
          <w:rFonts w:cs="Times New Roman"/>
          <w:szCs w:val="24"/>
        </w:rPr>
        <w:t>.</w:t>
      </w:r>
    </w:p>
    <w:p w14:paraId="7D535325" w14:textId="77777777" w:rsidR="00D20476" w:rsidRPr="008E2CD0" w:rsidRDefault="00D20476" w:rsidP="00D20476">
      <w:pPr>
        <w:tabs>
          <w:tab w:val="left" w:pos="270"/>
        </w:tabs>
        <w:spacing w:line="360" w:lineRule="auto"/>
        <w:ind w:left="720"/>
        <w:rPr>
          <w:rFonts w:cs="Times New Roman"/>
          <w:b/>
          <w:szCs w:val="24"/>
        </w:rPr>
      </w:pPr>
    </w:p>
    <w:p w14:paraId="00A9BC8A" w14:textId="77777777" w:rsidR="00D20476" w:rsidRPr="008E2CD0" w:rsidRDefault="00D20476" w:rsidP="00FD1FC5">
      <w:pPr>
        <w:pStyle w:val="Heading2"/>
      </w:pPr>
      <w:bookmarkStart w:id="27" w:name="_Toc98812684"/>
      <w:bookmarkStart w:id="28" w:name="_Toc98812892"/>
      <w:bookmarkStart w:id="29" w:name="_Toc98813558"/>
      <w:bookmarkStart w:id="30" w:name="_Toc101048067"/>
      <w:r w:rsidRPr="008E2CD0">
        <w:t>Management</w:t>
      </w:r>
      <w:bookmarkEnd w:id="27"/>
      <w:bookmarkEnd w:id="28"/>
      <w:bookmarkEnd w:id="29"/>
      <w:bookmarkEnd w:id="30"/>
      <w:r w:rsidRPr="008E2CD0">
        <w:t xml:space="preserve"> </w:t>
      </w:r>
    </w:p>
    <w:p w14:paraId="0AB2A49F" w14:textId="0EA297CD" w:rsidR="00D20476" w:rsidRDefault="00D20476" w:rsidP="00D20476">
      <w:pPr>
        <w:tabs>
          <w:tab w:val="left" w:pos="270"/>
        </w:tabs>
        <w:spacing w:line="360" w:lineRule="auto"/>
        <w:ind w:left="720"/>
        <w:rPr>
          <w:rFonts w:cs="Times New Roman"/>
          <w:bCs/>
          <w:szCs w:val="24"/>
          <w:shd w:val="clear" w:color="auto" w:fill="FFFFFF"/>
        </w:rPr>
      </w:pPr>
      <w:r w:rsidRPr="008E2CD0">
        <w:rPr>
          <w:rFonts w:cs="Times New Roman"/>
          <w:szCs w:val="24"/>
        </w:rPr>
        <w:tab/>
        <w:t>T</w:t>
      </w:r>
      <w:r w:rsidRPr="008E2CD0">
        <w:rPr>
          <w:rFonts w:cs="Times New Roman"/>
          <w:bCs/>
          <w:szCs w:val="24"/>
          <w:shd w:val="clear" w:color="auto" w:fill="FFFFFF"/>
        </w:rPr>
        <w:t xml:space="preserve">he amount of crop damage caused by nematodes depends on the host species, the nematode species and their population density, and environmental factors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{"citationItems":[{"id":"ITEM-1","itemData":{"DOI":"10.1094/PHI-I-2003-0917-01","author":[{"dropping-particle":"","family":"Mitkowski","given":"N.A. and G.S. Abawi","non-dropping-particle":"","parse-names":false,"suffix":""}],"container-title":"The Plant Health Instructor","id":"ITEM-1","issued":{"date-parts":[["2003"]]},"title":"​ Root-knot Nematode​ R ​","type":"article-journal"},"uris":["http://www.mendeley.com/documents/?uuid=d4e04224-7ac8-4867-bcc2-96cdddd69f13"]}],"mendeley":{"formattedCitation":"(N. A. and G. S. A. Mitkowski, 2003)","manualFormatting":"(Mitkowski and Abawi, 2003)","plainTextFormattedCitation":"(N. A. and G. S. A. Mitkowski, 2003)","previouslyFormattedCitation":"(N. A. and G. S. A. Mitkowski, 2003)"},"properties":{"noteIndex":0},"schema":"https://github.com/citation-style-language/schema/raw/master/csl-citation.json"}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(Mitkowski and Abawi, 2003)</w:t>
      </w:r>
      <w:r w:rsidRPr="008E2CD0">
        <w:rPr>
          <w:rFonts w:cs="Times New Roman"/>
          <w:bCs/>
          <w:szCs w:val="24"/>
          <w:shd w:val="clear" w:color="auto" w:fill="FFFFFF"/>
        </w:rPr>
        <w:fldChar w:fldCharType="end"/>
      </w:r>
      <w:r w:rsidRPr="008E2CD0">
        <w:rPr>
          <w:rFonts w:cs="Times New Roman"/>
          <w:bCs/>
          <w:szCs w:val="24"/>
          <w:shd w:val="clear" w:color="auto" w:fill="FFFFFF"/>
        </w:rPr>
        <w:t>. The understanding of these factor</w:t>
      </w:r>
      <w:r>
        <w:rPr>
          <w:rFonts w:cs="Times New Roman"/>
          <w:bCs/>
          <w:szCs w:val="24"/>
          <w:shd w:val="clear" w:color="auto" w:fill="FFFFFF"/>
        </w:rPr>
        <w:t>s plays an important part in</w:t>
      </w:r>
      <w:r w:rsidRPr="008E2CD0">
        <w:rPr>
          <w:rFonts w:cs="Times New Roman"/>
          <w:bCs/>
          <w:szCs w:val="24"/>
          <w:shd w:val="clear" w:color="auto" w:fill="FFFFFF"/>
        </w:rPr>
        <w:t xml:space="preserve"> </w:t>
      </w:r>
      <w:r>
        <w:rPr>
          <w:rFonts w:cs="Times New Roman"/>
          <w:bCs/>
          <w:szCs w:val="24"/>
          <w:shd w:val="clear" w:color="auto" w:fill="FFFFFF"/>
        </w:rPr>
        <w:t xml:space="preserve">the </w:t>
      </w:r>
      <w:r w:rsidRPr="008E2CD0">
        <w:rPr>
          <w:rFonts w:cs="Times New Roman"/>
          <w:bCs/>
          <w:szCs w:val="24"/>
          <w:shd w:val="clear" w:color="auto" w:fill="FFFFFF"/>
        </w:rPr>
        <w:t>effective management of nematode</w:t>
      </w:r>
      <w:r>
        <w:rPr>
          <w:rFonts w:cs="Times New Roman"/>
          <w:bCs/>
          <w:szCs w:val="24"/>
          <w:shd w:val="clear" w:color="auto" w:fill="FFFFFF"/>
        </w:rPr>
        <w:t>s</w:t>
      </w:r>
      <w:r w:rsidRPr="008E2CD0">
        <w:rPr>
          <w:rFonts w:cs="Times New Roman"/>
          <w:bCs/>
          <w:szCs w:val="24"/>
          <w:shd w:val="clear" w:color="auto" w:fill="FFFFFF"/>
        </w:rPr>
        <w:t xml:space="preserve"> in fields. Different strategies are combined to develop integrated nematode management programs. </w:t>
      </w:r>
      <w:r>
        <w:rPr>
          <w:rFonts w:cs="Times New Roman"/>
          <w:bCs/>
          <w:szCs w:val="24"/>
          <w:shd w:val="clear" w:color="auto" w:fill="FFFFFF"/>
        </w:rPr>
        <w:t>Examples of i</w:t>
      </w:r>
      <w:r w:rsidRPr="008E2CD0">
        <w:rPr>
          <w:rFonts w:cs="Times New Roman"/>
          <w:bCs/>
          <w:szCs w:val="24"/>
          <w:shd w:val="clear" w:color="auto" w:fill="FFFFFF"/>
        </w:rPr>
        <w:t xml:space="preserve">ntegrated nematode management </w:t>
      </w:r>
      <w:r>
        <w:rPr>
          <w:rFonts w:cs="Times New Roman"/>
          <w:bCs/>
          <w:szCs w:val="24"/>
          <w:shd w:val="clear" w:color="auto" w:fill="FFFFFF"/>
        </w:rPr>
        <w:t xml:space="preserve">strategies include </w:t>
      </w:r>
      <w:r w:rsidRPr="008E2CD0">
        <w:rPr>
          <w:rFonts w:cs="Times New Roman"/>
          <w:bCs/>
          <w:szCs w:val="24"/>
          <w:shd w:val="clear" w:color="auto" w:fill="FFFFFF"/>
        </w:rPr>
        <w:t xml:space="preserve">crop rotation, cultivar selection, soil management, chemical control, and monitoring </w:t>
      </w:r>
      <w:r>
        <w:rPr>
          <w:rFonts w:cs="Times New Roman"/>
          <w:bCs/>
          <w:szCs w:val="24"/>
          <w:shd w:val="clear" w:color="auto" w:fill="FFFFFF"/>
        </w:rPr>
        <w:t xml:space="preserve">of nematode population density </w:t>
      </w:r>
      <w:r w:rsidRPr="008E2CD0">
        <w:rPr>
          <w:rFonts w:cs="Times New Roman"/>
          <w:bCs/>
          <w:szCs w:val="24"/>
          <w:shd w:val="clear" w:color="auto" w:fill="FFFFFF"/>
        </w:rPr>
        <w:t xml:space="preserve">in fields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{"citationItems":[{"id":"ITEM-1","itemData":{"ISBN":"9781789247541","abstract":"Over the last two decades, scanning transmission electron microscopy (STEM) has become a very popular and widespread technique, with the number of publications and presentations making use of STEM techniques increasing by about an order of magnitude. Although the strengths of the technique for providing high-resolution structural and analytical information have been known and understood for much longer than that, the key to its more recent popularity has undoubtedly been the availability of STEM modes on instruments available from the major TEM manufacturers. Gone are the days when researchers want- ing the unique capabilities of high-resolution STEM had to undertake the task of keeping a VG dedicated STEM instrument operating. Given the current interest in the technique, we felt that the time was right to review the current state of knowledge about STEM and STEM-related techniques and their application to a range of materials problems. The purpose of this volume is both to educate those who wish to deepen their understanding of STEM and to inform those who are seeking a review of the latest applications and methods associated with STEM. We are delighted that so many of our colleagues accepted our invitation to contribute to this volume, and we are indebted to them for their efforts in creating such excellent contributions. The follow- ing chapters illustrate how close STEM has brought us to the ultimate materials characterisation challenge of analysing materials atom by atom. We hope that the following chapters demonstrate the spectacular results that can be achieved when performing the relatively simple experiment of focusing a beam of electrons down to an atomic scale and measuring the scattering that results. Stephen","author":[{"dropping-particle":"","family":"Sikora, R. A., Desaeger, J., &amp; Molendijk","given":"L","non-dropping-particle":"","parse-names":false,"suffix":""}],"id":"ITEM-1","issued":{"date-parts":[["2021"]]},"title":"Integrated Nematode Management: State-of-the-art and visions for the futur","type":"book"},"uris":["http://www.mendeley.com/documents/?uuid=9ac09064-5bf8-4a54-9516-5b18918df278"]}],"mendeley":{"formattedCitation":"(Sikora, R. A., Desaeger, J., &amp; Molendijk, 2021)","manualFormatting":"(Sikora et al., 2021)","plainTextFormattedCitation":"(Sikora, R. A., Desaeger, J., &amp; Molendijk, 2021)","previouslyFormattedCitation":"(Sikora, R. A., Desaeger, J., &amp; Molendijk, 2021)"},"properties":{"noteIndex":0},"schema":"https://github.com/citation-style-language/schema/raw/master/csl-citation.json"}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(Sikora et al., 2021)</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w:t>
      </w:r>
    </w:p>
    <w:p w14:paraId="0EA658EF" w14:textId="77777777" w:rsidR="00FA385E" w:rsidRPr="008E2CD0" w:rsidRDefault="00FA385E" w:rsidP="00D20476">
      <w:pPr>
        <w:tabs>
          <w:tab w:val="left" w:pos="270"/>
        </w:tabs>
        <w:spacing w:line="360" w:lineRule="auto"/>
        <w:ind w:left="720"/>
        <w:rPr>
          <w:rFonts w:cs="Times New Roman"/>
          <w:bCs/>
          <w:szCs w:val="24"/>
          <w:shd w:val="clear" w:color="auto" w:fill="FFFFFF"/>
        </w:rPr>
      </w:pPr>
    </w:p>
    <w:p w14:paraId="02621ADE" w14:textId="08C0919F" w:rsidR="00D20476" w:rsidRPr="008E2CD0" w:rsidRDefault="00D20476" w:rsidP="00D122A6">
      <w:pPr>
        <w:pStyle w:val="Heading3"/>
      </w:pPr>
      <w:bookmarkStart w:id="31" w:name="_Toc101048068"/>
      <w:r w:rsidRPr="008E2CD0">
        <w:t>Soybean cyst nematode</w:t>
      </w:r>
      <w:bookmarkEnd w:id="31"/>
      <w:r w:rsidRPr="008E2CD0">
        <w:t xml:space="preserve"> </w:t>
      </w:r>
    </w:p>
    <w:p w14:paraId="08AD70FC" w14:textId="77777777" w:rsidR="00D20476" w:rsidRPr="008E2CD0" w:rsidRDefault="00D20476" w:rsidP="00D20476">
      <w:pPr>
        <w:tabs>
          <w:tab w:val="left" w:pos="270"/>
        </w:tabs>
        <w:spacing w:line="360" w:lineRule="auto"/>
        <w:ind w:left="720"/>
        <w:rPr>
          <w:rFonts w:cs="Times New Roman"/>
          <w:bCs/>
          <w:szCs w:val="24"/>
          <w:shd w:val="clear" w:color="auto" w:fill="FFFFFF"/>
        </w:rPr>
      </w:pPr>
      <w:r w:rsidRPr="008E2CD0">
        <w:rPr>
          <w:rStyle w:val="Heading4Char"/>
        </w:rPr>
        <w:tab/>
      </w:r>
      <w:r w:rsidRPr="008E2CD0">
        <w:rPr>
          <w:rFonts w:cs="Times New Roman"/>
          <w:bCs/>
          <w:szCs w:val="24"/>
          <w:shd w:val="clear" w:color="auto" w:fill="FFFFFF"/>
        </w:rPr>
        <w:t xml:space="preserve">The use of resistant varieties </w:t>
      </w:r>
      <w:r>
        <w:rPr>
          <w:rFonts w:cs="Times New Roman"/>
          <w:bCs/>
          <w:szCs w:val="24"/>
          <w:shd w:val="clear" w:color="auto" w:fill="FFFFFF"/>
        </w:rPr>
        <w:t>and</w:t>
      </w:r>
      <w:r w:rsidRPr="008E2CD0">
        <w:rPr>
          <w:rFonts w:cs="Times New Roman"/>
          <w:bCs/>
          <w:szCs w:val="24"/>
          <w:shd w:val="clear" w:color="auto" w:fill="FFFFFF"/>
        </w:rPr>
        <w:t xml:space="preserve"> crop rotations with non-hosts, combined with the use of reduced or no-till cropping</w:t>
      </w:r>
      <w:r w:rsidRPr="000E16D5">
        <w:rPr>
          <w:rFonts w:cs="Times New Roman"/>
          <w:bCs/>
          <w:szCs w:val="24"/>
          <w:shd w:val="clear" w:color="auto" w:fill="FFFFFF"/>
        </w:rPr>
        <w:t>,</w:t>
      </w:r>
      <w:r w:rsidRPr="008E2CD0">
        <w:rPr>
          <w:rFonts w:cs="Times New Roman"/>
          <w:bCs/>
          <w:szCs w:val="24"/>
          <w:shd w:val="clear" w:color="auto" w:fill="FFFFFF"/>
        </w:rPr>
        <w:t xml:space="preserve"> are the most effective approaches to control SCN. </w:t>
      </w:r>
      <w:r w:rsidRPr="000E16D5">
        <w:rPr>
          <w:rFonts w:cs="Times New Roman"/>
          <w:bCs/>
          <w:szCs w:val="24"/>
          <w:shd w:val="clear" w:color="auto" w:fill="FFFFFF"/>
        </w:rPr>
        <w:t>Typically,</w:t>
      </w:r>
      <w:r w:rsidRPr="008E2CD0">
        <w:rPr>
          <w:rFonts w:cs="Times New Roman"/>
          <w:bCs/>
          <w:szCs w:val="24"/>
          <w:shd w:val="clear" w:color="auto" w:fill="FFFFFF"/>
        </w:rPr>
        <w:t xml:space="preserve"> populations </w:t>
      </w:r>
      <w:r w:rsidRPr="000E16D5">
        <w:rPr>
          <w:rFonts w:cs="Times New Roman"/>
          <w:bCs/>
          <w:szCs w:val="24"/>
          <w:shd w:val="clear" w:color="auto" w:fill="FFFFFF"/>
        </w:rPr>
        <w:t xml:space="preserve">of SCN </w:t>
      </w:r>
      <w:r w:rsidRPr="008E2CD0">
        <w:rPr>
          <w:rFonts w:cs="Times New Roman"/>
          <w:bCs/>
          <w:szCs w:val="24"/>
          <w:shd w:val="clear" w:color="auto" w:fill="FFFFFF"/>
        </w:rPr>
        <w:t xml:space="preserve">have limitations in their ability to feed and reproduce on soybean cultivars. </w:t>
      </w:r>
      <w:r>
        <w:rPr>
          <w:rFonts w:cs="Times New Roman"/>
          <w:bCs/>
          <w:szCs w:val="24"/>
          <w:shd w:val="clear" w:color="auto" w:fill="FFFFFF"/>
        </w:rPr>
        <w:t>Populations are</w:t>
      </w:r>
      <w:r w:rsidRPr="008E2CD0">
        <w:rPr>
          <w:rFonts w:cs="Times New Roman"/>
          <w:bCs/>
          <w:szCs w:val="24"/>
          <w:shd w:val="clear" w:color="auto" w:fill="FFFFFF"/>
        </w:rPr>
        <w:t xml:space="preserve"> categorized into different pathotypes or HG types with varying virulence phenotypes based on their ability to feed and reproduce on different resistant cultivars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{"citationItems":[{"id":"ITEM-1","itemData":{"DOI":"10.1094/PDIS-91-11-1473","ISSN":"01912917","abstract":"The soybean cyst nematode, Heterodera glycines, is a serious economic threat to soybean producers in Missouri. Periodic monitoring for the presence, population densities, and virulence phenotypes of H. glycines is essential for determining crop losses and devising management strategies implementing the use of resistant cultivars. A survey using area-frame sampling was conducted to determine the distribution and virulence phenotypes of H. glycines in Missouri during 2005. Two samples from each of 125 fields representing eight geographical regions of Missouri were collected; 243 samples were processed for extraction of cysts and eggs. In all, 49% of samples had detectable cyst nematode populations, which ranged from 138 to 85,250 eggs per 250 cm 3 of soil. Race and H. glycines type tests were conducted on populations from 45 samples. Nearly 80% of the populations that were tested, irrespective of the region, were virulent on the indicator line plant introduction (PI) 88788, which is the source of resistance for most H. glycines-resistant cultivars. More than 70% of populations could reproduce on the indicator lines PI 88788, PI 209332, and PI 548316 (Cloud), indicating that soybean cultivars with resistance derived from these sources need to be carefully monitored and used only in rotation with nonhost crops and soybean cultivars with resistance from other sources. Approximately one-third of the populations, primarily in the southern regions of Missouri, could reproduce on PI 548402 (Peking), another common source of resistance. Fewer than 10% of the populations could reproduce on PI 90763, PI 437654, PI 89772, or PI 438489B, suggesting that these sources of resistance should be used in soybean breeding programs to develop H. glycines-resistant soybean cultivars. © 2007 The American Phytopathological Society.","author":[{"dropping-particle":"","family":"Mitchum","given":"Melissa G.","non-dropping-particle":"","parse-names":false,"suffix":""},{"dropping-particle":"","family":"Wrather","given":"J. Allen","non-dropping-particle":"","parse-names":false,"suffix":""},{"dropping-particle":"","family":"Heinz","given":"Robert D.","non-dropping-particle":"","parse-names":false,"suffix":""},{"dropping-particle":"","family":"Shannon","given":"J. Grover","non-dropping-particle":"","parse-names":false,"suffix":""},{"dropping-particle":"","family":"Danekas","given":"Gene","non-dropping-particle":"","parse-names":false,"suffix":""}],"container-title":"Plant Disease","id":"ITEM-1","issue":"11","issued":{"date-parts":[["2007"]]},"page":"1473-1476","title":"Variability in distribution and virulence phenotypes of Heterodera glycines in Missouri during 2005","type":"article-journal","volume":"91"},"uris":["http://www.mendeley.com/documents/?uuid=ba3d42bf-f384-4ed7-aa86-4b5feb9c74ae"]},{"id":"ITEM-2","itemData":{"ISSN":"0022300X","PMID":"19265945","abstract":"Heterodera glycines, the soybean cyst nematode, is a major yield-limiting pathogen in most soybean production areas worldwide. Field populations of H. glycines exhibit diversity in their ability to develop on resistant soybean cultivars. Since 1970, this diversity has been characterized by a bioassay used to assign a race classification to a population. The value of the race scheme is reflected in the number and quality of resistant soybean cultivars that have been developed and released by soybean breeders and nematologists working in concert. However, the race scheme also has been misapplied as a means of studying H. glycines genotypes, in part due to the use of the term \"race.\" For fungal and bacterial pathogen species, \"race\" can theoretically be applied to individuals of a population, thus allowing inference of individual genotypes. Application of a race designation to an individual egg or second-stage juvenile (J2) of H. glycines is not possible because a single J2 cannot be tested on multiple hosts. For other nematode species, \"race\" is defined by host ranges involving different plant species, whereas the H. glycines race test involves a set of lines of the same plant species. Nonetheless, because H. glycines populations vary in genetic diversity, and this variation has implications for management strategies, a mechanism is needed for documenting and discussing population differences. The HG Type scheme described herein avoids the implication of genetic uniformity or predictability in contrast to the way the race scheme has been used.","author":[{"dropping-particle":"","family":"Niblack","given":"T. L.","non-dropping-particle":"","parse-names":false,"suffix":""},{"dropping-particle":"","family":"Arelli","given":"P. R.","non-dropping-particle":"","parse-names":false,"suffix":""},{"dropping-particle":"","family":"Noel","given":"G. R.","non-dropping-particle":"","parse-names":false,"suffix":""},{"dropping-particle":"","family":"Opperman","given":"C. H.","non-dropping-particle":"","parse-names":false,"suffix":""},{"dropping-particle":"","family":"Orf","given":"J. H.","non-dropping-particle":"","parse-names":false,"suffix":""},{"dropping-particle":"","family":"Schmitt","given":"D. P.","non-dropping-particle":"","parse-names":false,"suffix":""},{"dropping-particle":"","family":"Shannon","given":"J. G.","non-dropping-particle":"","parse-names":false,"suffix":""},{"dropping-particle":"","family":"Tylka","given":"G. L.","non-dropping-particle":"","parse-names":false,"suffix":""}],"container-title":"Journal of Nematology","id":"ITEM-2","issue":"4","issued":{"date-parts":[["2002"]]},"page":"279-288","title":"A revised classification scheme for genetically diverse populations of Heterodera glycines","type":"article-journal","volume":"34"},"uris":["http://www.mendeley.com/documents/?uuid=a1fbd69e-f7b7-4bf0-abc1-8bbedd7a785f"]}],"mendeley":{"formattedCitation":"(Mitchum et al., 2007; Niblack et al., 2002)","plainTextFormattedCitation":"(Mitchum et al., 2007; Niblack et al., 2002)","previouslyFormattedCitation":"(Mitchum et al., 2007; Niblack et al., 2002)"},"properties":{"noteIndex":0},"schema":"https://github.com/citation-style-language/schema/raw/master/csl-citation.json"}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(Mitchum et al., 2007; Niblack et al., 2002)</w:t>
      </w:r>
      <w:r w:rsidRPr="008E2CD0">
        <w:rPr>
          <w:rFonts w:cs="Times New Roman"/>
          <w:bCs/>
          <w:szCs w:val="24"/>
          <w:shd w:val="clear" w:color="auto" w:fill="FFFFFF"/>
        </w:rPr>
        <w:fldChar w:fldCharType="end"/>
      </w:r>
      <w:r w:rsidRPr="008E2CD0">
        <w:rPr>
          <w:rFonts w:cs="Times New Roman"/>
          <w:bCs/>
          <w:szCs w:val="24"/>
          <w:shd w:val="clear" w:color="auto" w:fill="FFFFFF"/>
        </w:rPr>
        <w:t>. Once the virulence phenotypes of SCN populations in a field are identified, a soybean cultivar with resistance to th</w:t>
      </w:r>
      <w:r>
        <w:rPr>
          <w:rFonts w:cs="Times New Roman"/>
          <w:bCs/>
          <w:szCs w:val="24"/>
          <w:shd w:val="clear" w:color="auto" w:fill="FFFFFF"/>
        </w:rPr>
        <w:t>ose</w:t>
      </w:r>
      <w:r w:rsidRPr="008E2CD0">
        <w:rPr>
          <w:rFonts w:cs="Times New Roman"/>
          <w:bCs/>
          <w:szCs w:val="24"/>
          <w:shd w:val="clear" w:color="auto" w:fill="FFFFFF"/>
        </w:rPr>
        <w:t xml:space="preserve"> SCN populations should be selected and used with other strategies to reduce nematode impact. </w:t>
      </w:r>
      <w:r>
        <w:rPr>
          <w:rFonts w:cs="Times New Roman"/>
          <w:bCs/>
          <w:szCs w:val="24"/>
          <w:shd w:val="clear" w:color="auto" w:fill="FFFFFF"/>
        </w:rPr>
        <w:t>T</w:t>
      </w:r>
      <w:r w:rsidRPr="008E2CD0">
        <w:rPr>
          <w:rFonts w:cs="Times New Roman"/>
          <w:bCs/>
          <w:szCs w:val="24"/>
          <w:shd w:val="clear" w:color="auto" w:fill="FFFFFF"/>
        </w:rPr>
        <w:t xml:space="preserve">he most common SCN-resistant cultivars derived from PI 88788 have become ineffective against most SCN populations across the United States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{"citationItems":[{"id":"ITEM-1","itemData":{"DOI":"10.1094/PHP-RS-16-0062","ISSN":"15351025","abstract":"Management of the soybean cyst nematode (SCN) relies heavily on use of SCN-resistant soybean varieties to limit nematode reproduction and minimize yield loss. For Iowa, almost all SCNresistant soybean varieties contain SCN resistance genes from a breeding line named Plant Introduction (PI) 88788. Iowa State University conducts experiments to evaluate numerous SCNresistant and three to four SCN-susceptible soybean varieties in up to nine field experiments across Iowa each year. Data on SCN population density, virulence (SCN race and HG type), soybean yield, precipitation, and growing degree days frommore than 25,000 fourrow plots in field experiments conducted from 2001 to 2015 were analyzed to determine how these factors affected SCN reproduction and yield. SCN population densities were positively correlated with temperatures and negatively associated with precipitation during the growing seasons, indicating that SCN reproduction was greatest in hot, dry years. Over the years, virulence of SCN populations on PI 88788 increased in the fields in which the experiments were conducted, resulting in increased end-of-season SCN population densities and reduced yields of SCN-resistant soybean varieties with the PI 88788 source of resistance. These results indicate that soybean yield loss caused by SCN on resistant varieties with the common PI 88788 source of resistance likely will increase as virulence of SCN populations increases unless new sources of resistance become widely available and used in the future.","author":[{"dropping-particle":"","family":"McCarville","given":"Michael T.","non-dropping-particle":"","parse-names":false,"suffix":""},{"dropping-particle":"","family":"C.Marett","given":"Christopher","non-dropping-particle":"","parse-names":false,"suffix":""},{"dropping-particle":"","family":"P.Mullaney","given":"Mark","non-dropping-particle":"","parse-names":false,"suffix":""},{"dropping-particle":"","family":"Gebhart","given":"Gregory D.","non-dropping-particle":"","parse-names":false,"suffix":""},{"dropping-particle":"","family":"Tylka","given":"Gregory L.","non-dropping-particle":"","parse-names":false,"suffix":""}],"container-title":"Plant Health Progress","id":"ITEM-1","issue":"3","issued":{"date-parts":[["2017"]]},"page":"146-155","title":"Increase in soybean cyst nematode virulence and reproduction on resistant soybean varieties in Iowa from 2001 to 2015 and the effects on soybean yields","type":"article-journal","volume":"18"},"uris":["http://www.mendeley.com/documents/?uuid=7ab847f3-e621-4c4e-be01-d5e21bb0afbd"]},{"id":"ITEM-2","itemData":{"DOI":"10.1534/g3.116.035964","ISSN":"21601836","abstract":"The soybean cyst nematode (SCN) Heterodera glycines is a major threat to soybean production, made more challenging by the current limitations of natural resistance for managing this pathogen. The use of resistant host cultivars is effective, but, over time, results in the generation of virulent nematode populations able to robustly parasitize the resistant host. In order to understand how virulence develops in SCN, we utilized a single backcross BC1F2 strategy to mate a highly virulent inbred population (TN20), capable of reproducing on all current sources of resistance, with an avirulent one (PA3), unable to reproduce on any of the resistant soybean lines. The offspring were then investigated to determine how virulence is inherited on the main sources of SCN resistance, derived from soybean lines Peking, PI 88788, PI 90763, and the broad spectrum resistance source PI 437654. Significantly, our results suggest virulence on PI 437654 is a multigenic recessive trait that allows the nematode to reproduce on all current sources of resistance. In addition, we examined how virulence on different sources of resistance interact by placing virulent SCN populations under secondary selection, and identified a strong counter-selection between virulence on PI 88788- and PI 90763-derived resistances, while no such counter-selection existed between virulence on Peking and PI 88788 resistance sources. Our results suggest that the genes responsible for virulence on PI 88788 and PI 90763 may be different alleles at a common locus. If so, rotation of cultivars with resistance from these two sources may be an effective management protocol.","author":[{"dropping-particle":"","family":"Gardner","given":"Michael","non-dropping-particle":"","parse-names":false,"suffix":""},{"dropping-particle":"","family":"Heinz","given":"Robert","non-dropping-particle":"","parse-names":false,"suffix":""},{"dropping-particle":"","family":"Wang","given":"Jianying","non-dropping-particle":"","parse-names":false,"suffix":""},{"dropping-particle":"","family":"Mitchum","given":"Melissa G.","non-dropping-particle":"","parse-names":false,"suffix":""}],"container-title":"G3: Genes, Genomes, Genetics","id":"ITEM-2","issue":"3","issued":{"date-parts":[["2017"]]},"page":"835-841","title":"Genetics and adaptation of soybean cyst nematode to broad spectrum soybean resistance","type":"article-journal","volume":"7"},"uris":["http://www.mendeley.com/documents/?uuid=8f691faa-a601-4cb9-9689-0ed292292cdf"]}],"mendeley":{"formattedCitation":"(Gardner et al., 2017; McCarville et al., 2017)","plainTextFormattedCitation":"(Gardner et al., 2017; McCarville et al., 2017)","previouslyFormattedCitation":"(Gardner et al., 2017; McCarville et al., 2017)"},"properties":{"noteIndex":0},"schema":"https://github.com/citation-style-language/schema/raw/master/csl-citation.json"}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(Gardner et al., 2017; McCarville et al., 2017)</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w:t>
      </w:r>
      <w:r>
        <w:rPr>
          <w:rFonts w:cs="Times New Roman"/>
          <w:bCs/>
          <w:szCs w:val="24"/>
          <w:shd w:val="clear" w:color="auto" w:fill="FFFFFF"/>
        </w:rPr>
        <w:t>Whenever possible, t</w:t>
      </w:r>
      <w:r w:rsidRPr="008E2CD0">
        <w:rPr>
          <w:rFonts w:cs="Times New Roman"/>
          <w:bCs/>
          <w:szCs w:val="24"/>
          <w:shd w:val="clear" w:color="auto" w:fill="FFFFFF"/>
        </w:rPr>
        <w:t xml:space="preserve">hese cultivars should be avoided when selecting resistance cultivars. </w:t>
      </w:r>
      <w:r>
        <w:rPr>
          <w:rFonts w:cs="Times New Roman"/>
          <w:bCs/>
          <w:szCs w:val="24"/>
          <w:shd w:val="clear" w:color="auto" w:fill="FFFFFF"/>
        </w:rPr>
        <w:t>In addition to utilizing a</w:t>
      </w:r>
      <w:r w:rsidRPr="008E2CD0">
        <w:rPr>
          <w:rFonts w:cs="Times New Roman"/>
          <w:bCs/>
          <w:szCs w:val="24"/>
          <w:shd w:val="clear" w:color="auto" w:fill="FFFFFF"/>
        </w:rPr>
        <w:t xml:space="preserve"> resistan</w:t>
      </w:r>
      <w:r>
        <w:rPr>
          <w:rFonts w:cs="Times New Roman"/>
          <w:bCs/>
          <w:szCs w:val="24"/>
          <w:shd w:val="clear" w:color="auto" w:fill="FFFFFF"/>
        </w:rPr>
        <w:t>t</w:t>
      </w:r>
      <w:r w:rsidRPr="008E2CD0">
        <w:rPr>
          <w:rFonts w:cs="Times New Roman"/>
          <w:bCs/>
          <w:szCs w:val="24"/>
          <w:shd w:val="clear" w:color="auto" w:fill="FFFFFF"/>
        </w:rPr>
        <w:t xml:space="preserve"> cultivar, non-host crops including alfalfa, barley, corn, oat, potato, sorghum, sugar</w:t>
      </w:r>
      <w:r>
        <w:rPr>
          <w:rFonts w:cs="Times New Roman"/>
          <w:bCs/>
          <w:szCs w:val="24"/>
          <w:shd w:val="clear" w:color="auto" w:fill="FFFFFF"/>
        </w:rPr>
        <w:t xml:space="preserve"> </w:t>
      </w:r>
      <w:r w:rsidRPr="008E2CD0">
        <w:rPr>
          <w:rFonts w:cs="Times New Roman"/>
          <w:bCs/>
          <w:szCs w:val="24"/>
          <w:shd w:val="clear" w:color="auto" w:fill="FFFFFF"/>
        </w:rPr>
        <w:t>beet, sunflower, and wheat can be planted in the next o</w:t>
      </w:r>
      <w:r>
        <w:rPr>
          <w:rFonts w:cs="Times New Roman"/>
          <w:bCs/>
          <w:szCs w:val="24"/>
          <w:shd w:val="clear" w:color="auto" w:fill="FFFFFF"/>
        </w:rPr>
        <w:t xml:space="preserve">ne or two seasons to reduce SCN density </w:t>
      </w:r>
      <w:r w:rsidRPr="008E2CD0">
        <w:rPr>
          <w:rFonts w:cs="Times New Roman"/>
          <w:bCs/>
          <w:szCs w:val="24"/>
          <w:shd w:val="clear" w:color="auto" w:fill="FFFFFF"/>
        </w:rPr>
        <w:t xml:space="preserve">in fields. It is also recommended that different resistance types should be incorporated into crop rotations. </w:t>
      </w:r>
      <w:r>
        <w:rPr>
          <w:rFonts w:cs="Times New Roman"/>
          <w:bCs/>
          <w:szCs w:val="24"/>
          <w:shd w:val="clear" w:color="auto" w:fill="FFFFFF"/>
        </w:rPr>
        <w:t>It</w:t>
      </w:r>
      <w:r w:rsidRPr="008E2CD0">
        <w:rPr>
          <w:rFonts w:cs="Times New Roman"/>
          <w:bCs/>
          <w:szCs w:val="24"/>
          <w:shd w:val="clear" w:color="auto" w:fill="FFFFFF"/>
        </w:rPr>
        <w:t xml:space="preserve"> is essential to avoid the selection and </w:t>
      </w:r>
      <w:r>
        <w:rPr>
          <w:rFonts w:cs="Times New Roman"/>
          <w:bCs/>
          <w:szCs w:val="24"/>
          <w:shd w:val="clear" w:color="auto" w:fill="FFFFFF"/>
        </w:rPr>
        <w:t>increase</w:t>
      </w:r>
      <w:r w:rsidRPr="008E2CD0">
        <w:rPr>
          <w:rFonts w:cs="Times New Roman"/>
          <w:bCs/>
          <w:szCs w:val="24"/>
          <w:shd w:val="clear" w:color="auto" w:fill="FFFFFF"/>
        </w:rPr>
        <w:t xml:space="preserve"> of new virulent SCN populations on the resistant cultivar being grown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{"citationItems":[{"id":"ITEM-1","itemData":{"DOI":"10.2135/cropsci1982.0011183x002200020043x","ISSN":"0011-183X","author":[{"dropping-particle":"","family":"Young","given":"L. D.","non-dropping-particle":"","parse-names":false,"suffix":""}],"container-title":"Crop Science","id":"ITEM-1","issue":"2","issued":{"date-parts":[["1982"]]},"page":"385-388","title":" Reproduction of Differentially Selected Soybean Cyst Nematode Populations on Soybeans 1 ","type":"article-journal","volume":"22"},"uris":["http://www.mendeley.com/documents/?uuid=6df14b85-6264-442f-b865-17a2ba02a10c"]}],"mendeley":{"formattedCitation":"(Young, 1982)","plainTextFormattedCitation":"(Young, 1982)","previouslyFormattedCitation":"(Young, 1982)"},"properties":{"noteIndex":0},"schema":"https://github.com/citation-style-language/schema/raw/master/csl-citation.json"}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(Young, 1982)</w:t>
      </w:r>
      <w:r w:rsidRPr="008E2CD0">
        <w:rPr>
          <w:rFonts w:cs="Times New Roman"/>
          <w:bCs/>
          <w:szCs w:val="24"/>
          <w:shd w:val="clear" w:color="auto" w:fill="FFFFFF"/>
        </w:rPr>
        <w:fldChar w:fldCharType="end"/>
      </w:r>
      <w:r>
        <w:rPr>
          <w:rFonts w:cs="Times New Roman"/>
          <w:bCs/>
          <w:szCs w:val="24"/>
          <w:shd w:val="clear" w:color="auto" w:fill="FFFFFF"/>
        </w:rPr>
        <w:t xml:space="preserve">. </w:t>
      </w:r>
      <w:r w:rsidRPr="008E2CD0">
        <w:rPr>
          <w:rFonts w:cs="Times New Roman"/>
          <w:bCs/>
          <w:szCs w:val="24"/>
          <w:shd w:val="clear" w:color="auto" w:fill="FFFFFF"/>
        </w:rPr>
        <w:t xml:space="preserve">In Tennessee, the thresholds for soybean damage </w:t>
      </w:r>
      <w:r>
        <w:rPr>
          <w:rFonts w:cs="Times New Roman"/>
          <w:bCs/>
          <w:szCs w:val="24"/>
          <w:shd w:val="clear" w:color="auto" w:fill="FFFFFF"/>
        </w:rPr>
        <w:t xml:space="preserve">(adapted from </w:t>
      </w:r>
      <w:r w:rsidRPr="008E2CD0">
        <w:rPr>
          <w:rFonts w:cs="Times New Roman"/>
          <w:bCs/>
          <w:szCs w:val="24"/>
          <w:shd w:val="clear" w:color="auto" w:fill="FFFFFF"/>
        </w:rPr>
        <w:fldChar w:fldCharType="begin" w:fldLock="1"/>
      </w:r>
      <w:r>
        <w:rPr>
          <w:rFonts w:cs="Times New Roman"/>
          <w:bCs/>
          <w:szCs w:val="24"/>
          <w:shd w:val="clear" w:color="auto" w:fill="FFFFFF"/>
        </w:rPr>
        <w:instrText>ADDIN CSL_CITATION {"citationItems":[{"id":"ITEM-1","itemData":{"author":[{"dropping-particle":"","family":"Mehl","given":"Hillary L","non-dropping-particle":"","parse-names":false,"suffix":""},{"dropping-particle":"","family":"Pathologist","given":"Extension Plant","non-dropping-particle":"","parse-names":false,"suffix":""},{"dropping-particle":"","family":"Tech","given":"Virginia","non-dropping-particle":"","parse-names":false,"suffix":""},{"dropping-particle":"","family":"Arec","given":"Tidewater","non-dropping-particle":"","parse-names":false,"suffix":""}],"id":"ITEM-1","issued":{"date-parts":[["2018"]]},"title":"Nematode Management in Field Crops","type":"article-journal"},"uris":["http://www.mendeley.com/documents/?uuid=66e5b816-5f09-438e-a458-8a5f70f2bf90"]}],"mendeley":{"formattedCitation":"(Mehl et al., 2018)","manualFormatting":"Mehl et al., 2018)","plainTextFormattedCitation":"(Mehl et al., 2018)","previouslyFormattedCitation":"(Mehl et al., 2018)"},"properties":{"noteIndex":0},"schema":"https://github.com/citation-style-language/schema/raw/master/csl-citation.json"}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Mehl et al., 2018)</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range from low (200 eggs/100cm</w:t>
      </w:r>
      <w:r w:rsidRPr="008E2CD0">
        <w:rPr>
          <w:rFonts w:cs="Times New Roman"/>
          <w:bCs/>
          <w:szCs w:val="24"/>
          <w:shd w:val="clear" w:color="auto" w:fill="FFFFFF"/>
          <w:vertAlign w:val="superscript"/>
        </w:rPr>
        <w:t>3</w:t>
      </w:r>
      <w:r w:rsidRPr="008E2CD0">
        <w:rPr>
          <w:rFonts w:cs="Times New Roman"/>
          <w:bCs/>
          <w:szCs w:val="24"/>
          <w:shd w:val="clear" w:color="auto" w:fill="FFFFFF"/>
        </w:rPr>
        <w:t>) to medium (&gt;2000&lt;5000 eggs/100cm</w:t>
      </w:r>
      <w:r w:rsidRPr="008E2CD0">
        <w:rPr>
          <w:rFonts w:cs="Times New Roman"/>
          <w:bCs/>
          <w:szCs w:val="24"/>
          <w:shd w:val="clear" w:color="auto" w:fill="FFFFFF"/>
          <w:vertAlign w:val="superscript"/>
        </w:rPr>
        <w:t>3</w:t>
      </w:r>
      <w:r w:rsidRPr="008E2CD0">
        <w:rPr>
          <w:rFonts w:cs="Times New Roman"/>
          <w:bCs/>
          <w:szCs w:val="24"/>
          <w:shd w:val="clear" w:color="auto" w:fill="FFFFFF"/>
        </w:rPr>
        <w:t>) to high damage (5000+ eggs/100cm</w:t>
      </w:r>
      <w:r w:rsidRPr="008E2CD0">
        <w:rPr>
          <w:rFonts w:cs="Times New Roman"/>
          <w:bCs/>
          <w:szCs w:val="24"/>
          <w:shd w:val="clear" w:color="auto" w:fill="FFFFFF"/>
          <w:vertAlign w:val="superscript"/>
        </w:rPr>
        <w:t xml:space="preserve">3 </w:t>
      </w:r>
      <w:r w:rsidRPr="008E2CD0">
        <w:rPr>
          <w:rFonts w:cs="Times New Roman"/>
          <w:bCs/>
          <w:szCs w:val="24"/>
          <w:shd w:val="clear" w:color="auto" w:fill="FFFFFF"/>
        </w:rPr>
        <w:t xml:space="preserve">)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{"citationItems":[{"id":"ITEM-1","itemData":{"author":[{"dropping-particle":"","family":"Mehl","given":"Hillary L","non-dropping-particle":"","parse-names":false,"suffix":""},{"dropping-particle":"","family":"Pathologist","given":"Extension Plant","non-dropping-particle":"","parse-names":false,"suffix":""},{"dropping-particle":"","family":"Tech","given":"Virginia","non-dropping-particle":"","parse-names":false,"suffix":""},{"dropping-particle":"","family":"Arec","given":"Tidewater","non-dropping-particle":"","parse-names":false,"suffix":""}],"id":"ITEM-1","issued":{"date-parts":[["2018"]]},"title":"Nematode Management in Field Crops","type":"article-journal"},"uris":["http://www.mendeley.com/documents/?uuid=66e5b816-5f09-438e-a458-8a5f70f2bf90"]}],"mendeley":{"formattedCitation":"(Mehl et al., 2018)","plainTextFormattedCitation":"(Mehl et al., 2018)","previouslyFormattedCitation":"(Mehl et al., 2018)"},"properties":{"noteIndex":0},"schema":"https://github.com/citation-style-language/schema/raw/master/csl-citation.json"}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(Mehl et al., 2018)</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Additionally, other supportive tactics including nematicidal seed treatment, fertility, and weed management </w:t>
      </w:r>
      <w:r>
        <w:rPr>
          <w:rFonts w:cs="Times New Roman"/>
          <w:bCs/>
          <w:szCs w:val="24"/>
          <w:shd w:val="clear" w:color="auto" w:fill="FFFFFF"/>
        </w:rPr>
        <w:t>may</w:t>
      </w:r>
      <w:r w:rsidRPr="008E2CD0">
        <w:rPr>
          <w:rFonts w:cs="Times New Roman"/>
          <w:bCs/>
          <w:szCs w:val="24"/>
          <w:shd w:val="clear" w:color="auto" w:fill="FFFFFF"/>
        </w:rPr>
        <w:t xml:space="preserve"> be integrated to reduce nematode population, plant stress, and potential breeding place for the nematodes. </w:t>
      </w:r>
    </w:p>
    <w:p w14:paraId="00D42378" w14:textId="77777777" w:rsidR="00D20476" w:rsidRPr="008E2CD0" w:rsidRDefault="00D20476" w:rsidP="00D20476">
      <w:pPr>
        <w:tabs>
          <w:tab w:val="left" w:pos="270"/>
        </w:tabs>
        <w:spacing w:line="360" w:lineRule="auto"/>
        <w:ind w:left="720"/>
        <w:rPr>
          <w:rFonts w:cs="Times New Roman"/>
          <w:bCs/>
          <w:szCs w:val="24"/>
          <w:shd w:val="clear" w:color="auto" w:fill="FFFFFF"/>
        </w:rPr>
      </w:pPr>
    </w:p>
    <w:p w14:paraId="65616FFC" w14:textId="2274A0F3" w:rsidR="00D20476" w:rsidRPr="008E2CD0" w:rsidRDefault="00D20476" w:rsidP="00D122A6">
      <w:pPr>
        <w:pStyle w:val="Heading3"/>
      </w:pPr>
      <w:bookmarkStart w:id="32" w:name="_Toc101048069"/>
      <w:r w:rsidRPr="008E2CD0">
        <w:t>Root-knot nematode</w:t>
      </w:r>
      <w:bookmarkEnd w:id="32"/>
      <w:r w:rsidRPr="008E2CD0">
        <w:t xml:space="preserve"> </w:t>
      </w:r>
    </w:p>
    <w:p w14:paraId="66121517" w14:textId="77777777" w:rsidR="00D20476" w:rsidRPr="008E2CD0" w:rsidRDefault="00D20476" w:rsidP="00D20476">
      <w:pPr>
        <w:tabs>
          <w:tab w:val="left" w:pos="270"/>
        </w:tabs>
        <w:spacing w:line="360" w:lineRule="auto"/>
        <w:ind w:left="720"/>
        <w:rPr>
          <w:rFonts w:cs="Times New Roman"/>
          <w:bCs/>
          <w:szCs w:val="24"/>
          <w:shd w:val="clear" w:color="auto" w:fill="FFFFFF"/>
        </w:rPr>
      </w:pPr>
      <w:r w:rsidRPr="008E2CD0">
        <w:rPr>
          <w:rStyle w:val="Heading4Char"/>
        </w:rPr>
        <w:tab/>
      </w:r>
      <w:r w:rsidRPr="008E2CD0">
        <w:rPr>
          <w:rFonts w:cs="Times New Roman"/>
          <w:bCs/>
          <w:szCs w:val="24"/>
          <w:shd w:val="clear" w:color="auto" w:fill="FFFFFF"/>
        </w:rPr>
        <w:t xml:space="preserve">Consisting of </w:t>
      </w:r>
      <w:r w:rsidRPr="000679A1">
        <w:rPr>
          <w:rFonts w:cs="Times New Roman"/>
          <w:bCs/>
          <w:szCs w:val="24"/>
          <w:shd w:val="clear" w:color="auto" w:fill="FFFFFF"/>
        </w:rPr>
        <w:t>about 100 known</w:t>
      </w:r>
      <w:r w:rsidRPr="008E2CD0">
        <w:rPr>
          <w:rFonts w:cs="Times New Roman"/>
          <w:bCs/>
          <w:szCs w:val="24"/>
          <w:shd w:val="clear" w:color="auto" w:fill="FFFFFF"/>
        </w:rPr>
        <w:t xml:space="preserve"> species, root-knot nematodes </w:t>
      </w:r>
      <w:r w:rsidRPr="000679A1">
        <w:rPr>
          <w:rFonts w:cs="Times New Roman"/>
          <w:bCs/>
          <w:szCs w:val="24"/>
          <w:shd w:val="clear" w:color="auto" w:fill="FFFFFF"/>
        </w:rPr>
        <w:t xml:space="preserve">(RKN) </w:t>
      </w:r>
      <w:r w:rsidRPr="008E2CD0">
        <w:rPr>
          <w:rFonts w:cs="Times New Roman"/>
          <w:bCs/>
          <w:szCs w:val="24"/>
          <w:shd w:val="clear" w:color="auto" w:fill="FFFFFF"/>
        </w:rPr>
        <w:t xml:space="preserve">are an economically important pathogen of field crops. They are sedentary obligate endoparasites that enter host tissue, migrate to the cortical tissue, form a giant cell </w:t>
      </w:r>
      <w:r>
        <w:rPr>
          <w:rFonts w:cs="Times New Roman"/>
          <w:bCs/>
          <w:szCs w:val="24"/>
          <w:shd w:val="clear" w:color="auto" w:fill="FFFFFF"/>
        </w:rPr>
        <w:t>feeding</w:t>
      </w:r>
      <w:r w:rsidRPr="008E2CD0">
        <w:rPr>
          <w:rFonts w:cs="Times New Roman"/>
          <w:bCs/>
          <w:szCs w:val="24"/>
          <w:shd w:val="clear" w:color="auto" w:fill="FFFFFF"/>
        </w:rPr>
        <w:t xml:space="preserve"> site, and remain in the host </w:t>
      </w:r>
      <w:r>
        <w:rPr>
          <w:rFonts w:cs="Times New Roman"/>
          <w:bCs/>
          <w:szCs w:val="24"/>
          <w:shd w:val="clear" w:color="auto" w:fill="FFFFFF"/>
        </w:rPr>
        <w:t>feeding</w:t>
      </w:r>
      <w:r w:rsidRPr="008E2CD0">
        <w:rPr>
          <w:rFonts w:cs="Times New Roman"/>
          <w:bCs/>
          <w:szCs w:val="24"/>
          <w:shd w:val="clear" w:color="auto" w:fill="FFFFFF"/>
        </w:rPr>
        <w:t xml:space="preserve"> on nutrients from the site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{"citationItems":[{"id":"ITEM-1","itemData":{"DOI":"10.1094/PHI-I-2003-0917-01","author":[{"dropping-particle":"","family":"Mitkowski","given":"Nathaniel A","non-dropping-particle":"","parse-names":false,"suffix":""},{"dropping-particle":"","family":"Abawi","given":"George S","non-dropping-particle":"","parse-names":false,"suffix":""}],"id":"ITEM-1","issued":{"date-parts":[["2020"]]},"page":"1-16","title":"Root-knot Nematode","type":"article-journal"},"uris":["http://www.mendeley.com/documents/?uuid=e0476a4a-6c66-466b-bef7-0f2d82402d2a"]},{"id":"ITEM-2","itemData":{"DOI":"10.1079/9781845934927.0001","ISBN":"9781845934927","author":[{"dropping-particle":"","family":"Moens","given":"Maurice","non-dropping-particle":"","parse-names":false,"suffix":""},{"dropping-particle":"","family":"Perry","given":"Roland N.","non-dropping-particle":"","parse-names":false,"suffix":""},{"dropping-particle":"","family":"Starr","given":"James L.","non-dropping-particle":"","parse-names":false,"suffix":""}],"container-title":"Root-knot Nematodes","id":"ITEM-2","issued":{"date-parts":[["2009"]]},"page":"1-17","title":"Meloidogyne species - a diverse group of novel and important plant parasites","type":"article-journal"},"uris":["http://www.mendeley.com/documents/?uuid=dc2572c5-384e-4ecd-a1e6-29a5509cf8dd"]}],"mendeley":{"formattedCitation":"(N. A. Mitkowski &amp; Abawi, 2020; Moens et al., 2009)","manualFormatting":"(Mitkowski &amp; Abawi, 2020; Moens et al., 2009)","plainTextFormattedCitation":"(N. A. Mitkowski &amp; Abawi, 2020; Moens et al., 2009)","previouslyFormattedCitation":"(N. A. Mitkowski &amp; Abawi, 2020; Moens et al., 2009)"},"properties":{"noteIndex":0},"schema":"https://github.com/citation-style-language/schema/raw/master/csl-citation.json"}</w:instrText>
      </w:r>
      <w:r w:rsidRPr="008E2CD0">
        <w:rPr>
          <w:rFonts w:cs="Times New Roman"/>
          <w:bCs/>
          <w:szCs w:val="24"/>
          <w:shd w:val="clear" w:color="auto" w:fill="FFFFFF"/>
        </w:rPr>
        <w:fldChar w:fldCharType="separate"/>
      </w:r>
      <w:r>
        <w:rPr>
          <w:rFonts w:cs="Times New Roman"/>
          <w:bCs/>
          <w:noProof/>
          <w:szCs w:val="24"/>
          <w:shd w:val="clear" w:color="auto" w:fill="FFFFFF"/>
        </w:rPr>
        <w:t>(Mitkowski &amp; Abawi, 2003</w:t>
      </w:r>
      <w:r w:rsidRPr="008E2CD0">
        <w:rPr>
          <w:rFonts w:cs="Times New Roman"/>
          <w:bCs/>
          <w:noProof/>
          <w:szCs w:val="24"/>
          <w:shd w:val="clear" w:color="auto" w:fill="FFFFFF"/>
        </w:rPr>
        <w:t>; Moens et al., 2009)</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A distinguishing feature of RKN is the ability to form galls on host roots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{"citationItems":[{"id":"ITEM-1","itemData":{"DOI":"10.1007/s00425-013-1923-z","ISSN":"00320935","abstract":"Although generally unnoticed, nearly all crop plants have one or more species of nematodes that feed on their roots, frequently causing tremendous yield losses. The group of sedentary nematodes, which are among the most damaging plant-parasitic nematodes, cause the formation of special organs called nematode feeding sites (NFS) in the root tissue. In this review we discuss key metabolic and cellular changes correlated with NFS development, and similarities and discrepancies between different types of NFS are highlighted. © 2013 Springer-Verlag Berlin Heidelberg.","author":[{"dropping-particle":"","family":"Kyndt","given":"Tina","non-dropping-particle":"","parse-names":false,"suffix":""},{"dropping-particle":"","family":"Vieira","given":"Paulo","non-dropping-particle":"","parse-names":false,"suffix":""},{"dropping-particle":"","family":"Gheysen","given":"Godelieve","non-dropping-particle":"","parse-names":false,"suffix":""},{"dropping-particle":"","family":"Almeida-Engler","given":"Janice","non-dropping-particle":"de","parse-names":false,"suffix":""}],"container-title":"Planta","id":"ITEM-1","issued":{"date-parts":[["2013"]]},"title":"Nematode feeding sites: Unique organs in plant roots","type":"article"},"uris":["http://www.mendeley.com/documents/?uuid=f49e861a-46de-4193-bff5-3e877926c563"]}],"mendeley":{"formattedCitation":"(Kyndt et al., 2013)","plainTextFormattedCitation":"(Kyndt et al., 2013)","previouslyFormattedCitation":"(Kyndt et al., 2013)"},"properties":{"noteIndex":0},"schema":"https://github.com/citation-style-language/schema/raw/master/csl-citation.json"}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(Kyndt et al., 2013)</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Suggested rotation crops for RKN </w:t>
      </w:r>
      <w:r>
        <w:rPr>
          <w:rFonts w:cs="Times New Roman"/>
          <w:bCs/>
          <w:szCs w:val="24"/>
          <w:shd w:val="clear" w:color="auto" w:fill="FFFFFF"/>
        </w:rPr>
        <w:t>in field crops</w:t>
      </w:r>
      <w:r w:rsidRPr="008E2CD0">
        <w:rPr>
          <w:rFonts w:cs="Times New Roman"/>
          <w:bCs/>
          <w:szCs w:val="24"/>
          <w:shd w:val="clear" w:color="auto" w:fill="FFFFFF"/>
        </w:rPr>
        <w:t xml:space="preserve"> include grain sorghum, peanut, and rice. </w:t>
      </w:r>
      <w:r>
        <w:rPr>
          <w:rFonts w:cs="Times New Roman"/>
          <w:bCs/>
          <w:szCs w:val="24"/>
          <w:shd w:val="clear" w:color="auto" w:fill="FFFFFF"/>
        </w:rPr>
        <w:t xml:space="preserve">Rice should not be included in </w:t>
      </w:r>
      <w:r w:rsidRPr="00972205">
        <w:rPr>
          <w:rFonts w:cs="Times New Roman"/>
          <w:bCs/>
          <w:szCs w:val="24"/>
          <w:shd w:val="clear" w:color="auto" w:fill="FFFFFF"/>
        </w:rPr>
        <w:t xml:space="preserve">a rotation if a field is infested with </w:t>
      </w:r>
      <w:r w:rsidRPr="00972205">
        <w:rPr>
          <w:rFonts w:cs="Times New Roman"/>
          <w:bCs/>
          <w:i/>
          <w:szCs w:val="24"/>
          <w:shd w:val="clear" w:color="auto" w:fill="FFFFFF"/>
        </w:rPr>
        <w:t>Meloidogyne gramicola</w:t>
      </w:r>
      <w:r w:rsidRPr="00972205">
        <w:rPr>
          <w:rFonts w:cs="Times New Roman"/>
          <w:bCs/>
          <w:szCs w:val="24"/>
          <w:shd w:val="clear" w:color="auto" w:fill="FFFFFF"/>
        </w:rPr>
        <w:t>, which is an important parasite of rice (</w:t>
      </w:r>
      <w:r w:rsidRPr="00972205">
        <w:rPr>
          <w:rFonts w:cs="Times New Roman"/>
          <w:color w:val="222222"/>
          <w:szCs w:val="24"/>
          <w:shd w:val="clear" w:color="auto" w:fill="FFFFFF"/>
        </w:rPr>
        <w:t xml:space="preserve">Soares et al., 2022). </w:t>
      </w:r>
      <w:r w:rsidRPr="00972205">
        <w:rPr>
          <w:rFonts w:cs="Times New Roman"/>
          <w:bCs/>
          <w:szCs w:val="24"/>
          <w:shd w:val="clear" w:color="auto" w:fill="FFFFFF"/>
        </w:rPr>
        <w:t xml:space="preserve">These crops can effectively lower populations below economic levels, </w:t>
      </w:r>
      <w:r>
        <w:rPr>
          <w:rFonts w:cs="Times New Roman"/>
          <w:bCs/>
          <w:szCs w:val="24"/>
          <w:shd w:val="clear" w:color="auto" w:fill="FFFFFF"/>
        </w:rPr>
        <w:t xml:space="preserve">to </w:t>
      </w:r>
      <w:r w:rsidRPr="00972205">
        <w:rPr>
          <w:rFonts w:cs="Times New Roman"/>
          <w:bCs/>
          <w:szCs w:val="24"/>
          <w:shd w:val="clear" w:color="auto" w:fill="FFFFFF"/>
        </w:rPr>
        <w:t>less than 60 nematodes/100cm</w:t>
      </w:r>
      <w:r w:rsidRPr="00972205">
        <w:rPr>
          <w:rFonts w:cs="Times New Roman"/>
          <w:bCs/>
          <w:szCs w:val="24"/>
          <w:shd w:val="clear" w:color="auto" w:fill="FFFFFF"/>
          <w:vertAlign w:val="superscript"/>
        </w:rPr>
        <w:t>3</w:t>
      </w:r>
      <w:r w:rsidRPr="00972205">
        <w:rPr>
          <w:rFonts w:cs="Times New Roman"/>
          <w:bCs/>
          <w:szCs w:val="24"/>
          <w:shd w:val="clear" w:color="auto" w:fill="FFFFFF"/>
        </w:rPr>
        <w:t xml:space="preserve"> for soybean </w:t>
      </w:r>
      <w:r w:rsidRPr="00972205">
        <w:rPr>
          <w:rFonts w:cs="Times New Roman"/>
          <w:bCs/>
          <w:szCs w:val="24"/>
          <w:shd w:val="clear" w:color="auto" w:fill="FFFFFF"/>
        </w:rPr>
        <w:fldChar w:fldCharType="begin" w:fldLock="1"/>
      </w:r>
      <w:r w:rsidRPr="00972205">
        <w:rPr>
          <w:rFonts w:cs="Times New Roman"/>
          <w:bCs/>
          <w:szCs w:val="24"/>
          <w:shd w:val="clear" w:color="auto" w:fill="FFFFFF"/>
        </w:rPr>
        <w:instrText>ADDIN CSL_CITATION {"citationItems":[{"id":"ITEM-1","itemData":{"abstract":"Plant Pathologist/Nematologist Rotylenchulus reniformis (RN), reniform nematode is one of the three most important nematode species that affect soybean production in Arkansas. Detection of RN in the field is more difficult that with either root-knot nematode (RKN) or soybean cyst nematode (SCN) because they do not cause root galling produce cysts. Life Cycle: RN overwinter as eggs in egg masses attached to root pieces or as juveniles or immature adults free in the soil. In the spring, immature adult females partially enter roots and establish a feeding site. As the females mature, they become reniform-or kidney-shaped and can sometimes be seen with a hand lens protruding from the root surface (Fig. 1). The life cycle of RN is slightly shorter than for RKN or SCN, and is completed in 17-23 days at favorable temperatures (81 to 86 ºC). Figure 1. Mature female reniform nematodes protruding from the surface of a soybean root. Symptoms: As with SCN, symptoms of RN damage are general stunting and chlorosis of infected plants. RN are less widely distributed in Arkansas than RKN or SCN, and are much more common in southeastern Arkansas than in production areas in the northeastern part of the state. RN has not been detected in Southwest Arkansas or in the Arkansas River Valley. RN is generally more uniformly distributed within fields than either RKN or SCN, so patches or \"hot spots\" of stunted plants are not usually obvious. Root systems of infected plants may be smaller than normal with fewer feeder roots, and foliage may exhibit nutrient deficiency symptoms or a general chlorosis. However, the only accurate method for determining RN presence is through a soil assay for nematodes conducted by a nematology laboratory.","author":[{"dropping-particle":"","family":"Kirkpatrick","given":"Terry","non-dropping-particle":"","parse-names":false,"suffix":""},{"dropping-particle":"","family":"Faske","given":"Travis","non-dropping-particle":"","parse-names":false,"suffix":""}],"id":"ITEM-1","issued":{"date-parts":[["2010"]]},"title":"Reniform Nematodes","type":"article-journal"},"uris":["http://www.mendeley.com/documents/?uuid=a78fbe06-10c2-442b-a22f-d972fe816c8d"]},{"id":"ITEM-2","itemData":{"author":[{"dropping-particle":"","family":"Kirkpatrick","given":"Terry","non-dropping-particle":"","parse-names":false,"suffix":""},{"dropping-particle":"","family":"Faske","given":"Travis","non-dropping-particle":"","parse-names":false,"suffix":""},{"dropping-particle":"","family":"Robbins","given":"Bob","non-dropping-particle":"","parse-names":false,"suffix":""}],"id":"ITEM-2","issued":{"date-parts":[["2014"]]},"page":"1-6","title":"10","type":"article-journal"},"uris":["http://www.mendeley.com/documents/?uuid=83d8f06b-905c-4637-934f-317fbc22d636"]}],"mendeley":{"formattedCitation":"(Kirkpatrick et al., 2014; Kirkpatrick &amp; Faske, 2010)","manualFormatting":"(Kirkpatrick et al., 2014)","plainTextFormattedCitation":"(Kirkpatrick et al., 2014; Kirkpatrick &amp; Faske, 2010)","previouslyFormattedCitation":"(Kirkpatrick et al., 2014; Kirkpatrick &amp; Faske, 2010)"},"properties":{"noteIndex":0},"schema":"https://github.com/citation-style-language/schema/raw/master/csl-citation.json"}</w:instrText>
      </w:r>
      <w:r w:rsidRPr="00972205">
        <w:rPr>
          <w:rFonts w:cs="Times New Roman"/>
          <w:bCs/>
          <w:szCs w:val="24"/>
          <w:shd w:val="clear" w:color="auto" w:fill="FFFFFF"/>
        </w:rPr>
        <w:fldChar w:fldCharType="separate"/>
      </w:r>
      <w:r w:rsidRPr="00972205">
        <w:rPr>
          <w:rFonts w:cs="Times New Roman"/>
          <w:bCs/>
          <w:noProof/>
          <w:szCs w:val="24"/>
          <w:shd w:val="clear" w:color="auto" w:fill="FFFFFF"/>
        </w:rPr>
        <w:t>(Kirkpatrick et al., 2014)</w:t>
      </w:r>
      <w:r w:rsidRPr="00972205">
        <w:rPr>
          <w:rFonts w:cs="Times New Roman"/>
          <w:bCs/>
          <w:szCs w:val="24"/>
          <w:shd w:val="clear" w:color="auto" w:fill="FFFFFF"/>
        </w:rPr>
        <w:fldChar w:fldCharType="end"/>
      </w:r>
      <w:r w:rsidRPr="00972205">
        <w:rPr>
          <w:rFonts w:cs="Times New Roman"/>
          <w:bCs/>
          <w:szCs w:val="24"/>
          <w:shd w:val="clear" w:color="auto" w:fill="FFFFFF"/>
        </w:rPr>
        <w:t xml:space="preserve"> or about 100 nematodes/100cm</w:t>
      </w:r>
      <w:r w:rsidRPr="00972205">
        <w:rPr>
          <w:rFonts w:cs="Times New Roman"/>
          <w:bCs/>
          <w:szCs w:val="24"/>
          <w:shd w:val="clear" w:color="auto" w:fill="FFFFFF"/>
          <w:vertAlign w:val="superscript"/>
        </w:rPr>
        <w:t>3</w:t>
      </w:r>
      <w:r w:rsidRPr="00972205">
        <w:rPr>
          <w:rFonts w:cs="Times New Roman"/>
          <w:bCs/>
          <w:szCs w:val="24"/>
          <w:shd w:val="clear" w:color="auto" w:fill="FFFFFF"/>
        </w:rPr>
        <w:t xml:space="preserve"> for cotton </w:t>
      </w:r>
      <w:r w:rsidRPr="00972205">
        <w:rPr>
          <w:rFonts w:cs="Times New Roman"/>
          <w:bCs/>
          <w:szCs w:val="24"/>
          <w:shd w:val="clear" w:color="auto" w:fill="FFFFFF"/>
        </w:rPr>
        <w:fldChar w:fldCharType="begin" w:fldLock="1"/>
      </w:r>
      <w:r w:rsidRPr="00972205">
        <w:rPr>
          <w:rFonts w:cs="Times New Roman"/>
          <w:bCs/>
          <w:szCs w:val="24"/>
          <w:shd w:val="clear" w:color="auto" w:fill="FFFFFF"/>
        </w:rPr>
        <w:instrText>ADDIN CSL_CITATION {"citationItems":[{"id":"ITEM-1","itemData":{"abstract":"The starting point for all nematode management programs is knowledge of the nematode species present in each field and their population levels. This information can only be obtained by thoroughly sampling each field shortly after harvest and sending the sample to a nematology laboratory for assay. Only then can a grower select the most cost-effective management program for each field and for the farm as a whole.","author":[{"dropping-particle":"","family":"Mueller","given":"John","non-dropping-particle":"","parse-names":false,"suffix":""}],"id":"ITEM-1","issued":{"date-parts":[["2012"]]},"title":"Managing Nematodes in Cotton-Based Cropping Systems","type":"article-journal"},"uris":["http://www.mendeley.com/documents/?uuid=de158521-e06c-4d69-adcb-0b7580eb83b7"]}],"mendeley":{"formattedCitation":"(Mueller, 2012)","plainTextFormattedCitation":"(Mueller, 2012)","previouslyFormattedCitation":"(Mueller, 2012)"},"properties":{"noteIndex":0},"schema":"https://github.com/citation-style-language/schema/raw/master/csl-citation.json"}</w:instrText>
      </w:r>
      <w:r w:rsidRPr="00972205">
        <w:rPr>
          <w:rFonts w:cs="Times New Roman"/>
          <w:bCs/>
          <w:szCs w:val="24"/>
          <w:shd w:val="clear" w:color="auto" w:fill="FFFFFF"/>
        </w:rPr>
        <w:fldChar w:fldCharType="separate"/>
      </w:r>
      <w:r w:rsidRPr="00972205">
        <w:rPr>
          <w:rFonts w:cs="Times New Roman"/>
          <w:bCs/>
          <w:noProof/>
          <w:szCs w:val="24"/>
          <w:shd w:val="clear" w:color="auto" w:fill="FFFFFF"/>
        </w:rPr>
        <w:t>(Mueller, 2012)</w:t>
      </w:r>
      <w:r w:rsidRPr="00972205">
        <w:rPr>
          <w:rFonts w:cs="Times New Roman"/>
          <w:bCs/>
          <w:szCs w:val="24"/>
          <w:shd w:val="clear" w:color="auto" w:fill="FFFFFF"/>
        </w:rPr>
        <w:fldChar w:fldCharType="end"/>
      </w:r>
      <w:r w:rsidRPr="00972205">
        <w:rPr>
          <w:rFonts w:cs="Times New Roman"/>
          <w:bCs/>
          <w:szCs w:val="24"/>
          <w:shd w:val="clear" w:color="auto" w:fill="FFFFFF"/>
        </w:rPr>
        <w:t>. Corn is usually a good host to RKN</w:t>
      </w:r>
      <w:r w:rsidRPr="008E2CD0">
        <w:rPr>
          <w:rFonts w:cs="Times New Roman"/>
          <w:bCs/>
          <w:szCs w:val="24"/>
          <w:shd w:val="clear" w:color="auto" w:fill="FFFFFF"/>
        </w:rPr>
        <w:t xml:space="preserve">, being able to support large reproduction of the nematode with little to no crop loss. </w:t>
      </w:r>
      <w:r>
        <w:rPr>
          <w:rFonts w:cs="Times New Roman"/>
          <w:bCs/>
          <w:szCs w:val="24"/>
          <w:shd w:val="clear" w:color="auto" w:fill="FFFFFF"/>
        </w:rPr>
        <w:t>So corn</w:t>
      </w:r>
      <w:r w:rsidRPr="008E2CD0">
        <w:rPr>
          <w:rFonts w:cs="Times New Roman"/>
          <w:bCs/>
          <w:szCs w:val="24"/>
          <w:shd w:val="clear" w:color="auto" w:fill="FFFFFF"/>
        </w:rPr>
        <w:t xml:space="preserve"> should </w:t>
      </w:r>
      <w:r>
        <w:rPr>
          <w:rFonts w:cs="Times New Roman"/>
          <w:bCs/>
          <w:szCs w:val="24"/>
          <w:shd w:val="clear" w:color="auto" w:fill="FFFFFF"/>
        </w:rPr>
        <w:t>not be grown in infested fields</w:t>
      </w:r>
      <w:r w:rsidRPr="008E2CD0">
        <w:rPr>
          <w:rFonts w:cs="Times New Roman"/>
          <w:bCs/>
          <w:szCs w:val="24"/>
          <w:shd w:val="clear" w:color="auto" w:fill="FFFFFF"/>
        </w:rPr>
        <w:t xml:space="preserve"> if the field </w:t>
      </w:r>
      <w:r>
        <w:rPr>
          <w:rFonts w:cs="Times New Roman"/>
          <w:bCs/>
          <w:szCs w:val="24"/>
          <w:shd w:val="clear" w:color="auto" w:fill="FFFFFF"/>
        </w:rPr>
        <w:t xml:space="preserve">will be rotated to </w:t>
      </w:r>
      <w:r w:rsidRPr="008E2CD0">
        <w:rPr>
          <w:rFonts w:cs="Times New Roman"/>
          <w:bCs/>
          <w:szCs w:val="24"/>
          <w:shd w:val="clear" w:color="auto" w:fill="FFFFFF"/>
        </w:rPr>
        <w:t xml:space="preserve">soybean </w:t>
      </w:r>
      <w:r>
        <w:rPr>
          <w:rFonts w:cs="Times New Roman"/>
          <w:bCs/>
          <w:szCs w:val="24"/>
          <w:shd w:val="clear" w:color="auto" w:fill="FFFFFF"/>
        </w:rPr>
        <w:t xml:space="preserve">or </w:t>
      </w:r>
      <w:r w:rsidRPr="008E2CD0">
        <w:rPr>
          <w:rFonts w:cs="Times New Roman"/>
          <w:bCs/>
          <w:szCs w:val="24"/>
          <w:shd w:val="clear" w:color="auto" w:fill="FFFFFF"/>
        </w:rPr>
        <w:t xml:space="preserve">cotton, </w:t>
      </w:r>
      <w:r>
        <w:rPr>
          <w:rFonts w:cs="Times New Roman"/>
          <w:bCs/>
          <w:szCs w:val="24"/>
          <w:shd w:val="clear" w:color="auto" w:fill="FFFFFF"/>
        </w:rPr>
        <w:t>to avoid damage. This is because the population</w:t>
      </w:r>
      <w:r w:rsidRPr="008E2CD0">
        <w:rPr>
          <w:rFonts w:cs="Times New Roman"/>
          <w:bCs/>
          <w:szCs w:val="24"/>
          <w:shd w:val="clear" w:color="auto" w:fill="FFFFFF"/>
        </w:rPr>
        <w:t xml:space="preserve"> density </w:t>
      </w:r>
      <w:r>
        <w:rPr>
          <w:rFonts w:cs="Times New Roman"/>
          <w:bCs/>
          <w:szCs w:val="24"/>
          <w:shd w:val="clear" w:color="auto" w:fill="FFFFFF"/>
        </w:rPr>
        <w:t xml:space="preserve">of </w:t>
      </w:r>
      <w:r w:rsidRPr="008E2CD0">
        <w:rPr>
          <w:rFonts w:cs="Times New Roman"/>
          <w:bCs/>
          <w:szCs w:val="24"/>
          <w:shd w:val="clear" w:color="auto" w:fill="FFFFFF"/>
        </w:rPr>
        <w:t xml:space="preserve">RKN may be extremely high after corn even </w:t>
      </w:r>
      <w:r>
        <w:rPr>
          <w:rFonts w:cs="Times New Roman"/>
          <w:bCs/>
          <w:szCs w:val="24"/>
          <w:shd w:val="clear" w:color="auto" w:fill="FFFFFF"/>
        </w:rPr>
        <w:t xml:space="preserve">if </w:t>
      </w:r>
      <w:r w:rsidRPr="008E2CD0">
        <w:rPr>
          <w:rFonts w:cs="Times New Roman"/>
          <w:bCs/>
          <w:szCs w:val="24"/>
          <w:shd w:val="clear" w:color="auto" w:fill="FFFFFF"/>
        </w:rPr>
        <w:t>no damage was observed on corn. Fields with low to moderate population densit</w:t>
      </w:r>
      <w:r>
        <w:rPr>
          <w:rFonts w:cs="Times New Roman"/>
          <w:bCs/>
          <w:szCs w:val="24"/>
          <w:shd w:val="clear" w:color="auto" w:fill="FFFFFF"/>
        </w:rPr>
        <w:t>ies</w:t>
      </w:r>
      <w:r w:rsidRPr="008E2CD0">
        <w:rPr>
          <w:rFonts w:cs="Times New Roman"/>
          <w:bCs/>
          <w:szCs w:val="24"/>
          <w:shd w:val="clear" w:color="auto" w:fill="FFFFFF"/>
        </w:rPr>
        <w:t xml:space="preserve"> can be grown with resistan</w:t>
      </w:r>
      <w:r>
        <w:rPr>
          <w:rFonts w:cs="Times New Roman"/>
          <w:bCs/>
          <w:szCs w:val="24"/>
          <w:shd w:val="clear" w:color="auto" w:fill="FFFFFF"/>
        </w:rPr>
        <w:t xml:space="preserve">t </w:t>
      </w:r>
      <w:r w:rsidRPr="008E2CD0">
        <w:rPr>
          <w:rFonts w:cs="Times New Roman"/>
          <w:bCs/>
          <w:szCs w:val="24"/>
          <w:shd w:val="clear" w:color="auto" w:fill="FFFFFF"/>
        </w:rPr>
        <w:t xml:space="preserve">cultivars and supported with other protective practices. Some examples of RKN-resistant cotton cultivars with moderate resistance to RKN include PHY 367 WRF, ST 5458B2RF, ST 4288B2RF, and DP 174 RF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{"citationItems":[{"id":"ITEM-1","itemData":{"abstract":"The starting point for all nematode management programs is knowledge of the nematode species present in each field and their population levels. This information can only be obtained by thoroughly sampling each field shortly after harvest and sending the sample to a nematology laboratory for assay. Only then can a grower select the most cost-effective management program for each field and for the farm as a whole.","author":[{"dropping-particle":"","family":"Mueller","given":"John","non-dropping-particle":"","parse-names":false,"suffix":""}],"id":"ITEM-1","issued":{"date-parts":[["2012"]]},"title":"Managing Nematodes in Cotton-Based Cropping Systems","type":"article-journal"},"uris":["http://www.mendeley.com/documents/?uuid=de158521-e06c-4d69-adcb-0b7580eb83b7"]}],"mendeley":{"formattedCitation":"(Mueller, 2012)","plainTextFormattedCitation":"(Mueller, 2012)","previouslyFormattedCitation":"(Mueller, 2012)"},"properties":{"noteIndex":0},"schema":"https://github.com/citation-style-language/schema/raw/master/csl-citation.json"}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(Mueller, 2012)</w:t>
      </w:r>
      <w:r w:rsidRPr="008E2CD0">
        <w:rPr>
          <w:rFonts w:cs="Times New Roman"/>
          <w:bCs/>
          <w:szCs w:val="24"/>
          <w:shd w:val="clear" w:color="auto" w:fill="FFFFFF"/>
        </w:rPr>
        <w:fldChar w:fldCharType="end"/>
      </w:r>
      <w:r w:rsidRPr="008E2CD0">
        <w:rPr>
          <w:rFonts w:cs="Times New Roman"/>
          <w:bCs/>
          <w:szCs w:val="24"/>
          <w:shd w:val="clear" w:color="auto" w:fill="FFFFFF"/>
        </w:rPr>
        <w:t>. Soybean cultivars vary in their host status to different species of RKN nematodes, and cultivars with the highest resistance to most RK</w:t>
      </w:r>
      <w:r>
        <w:rPr>
          <w:rFonts w:cs="Times New Roman"/>
          <w:bCs/>
          <w:szCs w:val="24"/>
          <w:shd w:val="clear" w:color="auto" w:fill="FFFFFF"/>
        </w:rPr>
        <w:t xml:space="preserve">N species should be selected to reduce the </w:t>
      </w:r>
      <w:r w:rsidRPr="005A4AEF">
        <w:rPr>
          <w:rFonts w:cs="Times New Roman"/>
          <w:bCs/>
          <w:szCs w:val="24"/>
          <w:shd w:val="clear" w:color="auto" w:fill="FFFFFF"/>
        </w:rPr>
        <w:t xml:space="preserve">damage by </w:t>
      </w:r>
      <w:r>
        <w:rPr>
          <w:rFonts w:cs="Times New Roman"/>
          <w:bCs/>
          <w:szCs w:val="24"/>
          <w:shd w:val="clear" w:color="auto" w:fill="FFFFFF"/>
        </w:rPr>
        <w:t xml:space="preserve">most </w:t>
      </w:r>
      <w:r w:rsidRPr="005A4AEF">
        <w:rPr>
          <w:rFonts w:cs="Times New Roman"/>
          <w:bCs/>
          <w:szCs w:val="24"/>
          <w:shd w:val="clear" w:color="auto" w:fill="FFFFFF"/>
        </w:rPr>
        <w:t>species.</w:t>
      </w:r>
      <w:r w:rsidRPr="008E2CD0">
        <w:rPr>
          <w:rFonts w:cs="Times New Roman"/>
          <w:bCs/>
          <w:szCs w:val="24"/>
          <w:shd w:val="clear" w:color="auto" w:fill="FFFFFF"/>
        </w:rPr>
        <w:t xml:space="preserve"> There are high-yielding soybean cultivars in the maturity groups II to IV with resistance to RKN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{"citationItems":[{"id":"ITEM-1","itemData":{"ISBN":"0315880678","ISSN":"0091-6749","abstract":"2</w:instrText>
      </w:r>
      <w:r w:rsidRPr="008E2CD0">
        <w:rPr>
          <w:rFonts w:eastAsia="Malgun Gothic" w:cs="Times New Roman"/>
          <w:bCs/>
          <w:szCs w:val="24"/>
          <w:shd w:val="clear" w:color="auto" w:fill="FFFFFF"/>
        </w:rPr>
        <w:instrText>주차</w:instrText>
      </w:r>
      <w:r w:rsidRPr="008E2CD0">
        <w:rPr>
          <w:rFonts w:cs="Times New Roman"/>
          <w:bCs/>
          <w:szCs w:val="24"/>
          <w:shd w:val="clear" w:color="auto" w:fill="FFFFFF"/>
        </w:rPr>
        <w:instrText>","author":[{"dropping-particle":"","family":"Kruger, G. R., Xing, L., LeRoy, A. R., &amp; Westphal","given":"A.","non-dropping-particle":"","parse-names":false,"suffix":""}],"container-title":"Crop Science","id":"ITEM-1","issue":"2","issued":{"date-parts":[["2008"]]},"page":"10","title":"Meloidogyne incognita resistance in soybean under Midwest conditions. Crop Science, 48(2), 716-726.","type":"article-journal","volume":"48"},"uris":["http://www.mendeley.com/documents/?uuid=aa818a93-e9c5-452a-8a68-f3374e023bf5"]}],"mendeley":{"formattedCitation":"(Kruger, G. R., Xing, L., LeRoy, A. R., &amp; Westphal, 2008)","manualFormatting":"(Kruger et al., 2008)","plainTextFormattedCitation":"(Kruger, G. R., Xing, L., LeRoy, A. R., &amp; Westphal, 2008)","previouslyFormattedCitation":"(Kruger, G. R., Xing, L., LeRoy, A. R., &amp; Westphal, 2008)"},"properties":{"noteIndex":0},"schema":"https://github.com/citation-style-language/schema/raw/master/csl-citation.json"}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(Kruger et al., 2008)</w:t>
      </w:r>
      <w:r w:rsidRPr="008E2CD0">
        <w:rPr>
          <w:rFonts w:cs="Times New Roman"/>
          <w:bCs/>
          <w:szCs w:val="24"/>
          <w:shd w:val="clear" w:color="auto" w:fill="FFFFFF"/>
        </w:rPr>
        <w:fldChar w:fldCharType="end"/>
      </w:r>
      <w:r w:rsidRPr="008E2CD0">
        <w:rPr>
          <w:rFonts w:cs="Times New Roman"/>
          <w:bCs/>
          <w:szCs w:val="24"/>
          <w:shd w:val="clear" w:color="auto" w:fill="FFFFFF"/>
        </w:rPr>
        <w:t xml:space="preserve">. Caution should be exercised to select cultivars with resistance to other nematodes including soybean cyst nematode that may be present in the field in addition to RKN.  Seed treatments are common practices used to reduce the effects of nematodes on crop yields. Abamectin, Fluopyram, and </w:t>
      </w:r>
      <w:r w:rsidRPr="008E2CD0">
        <w:rPr>
          <w:rFonts w:cs="Times New Roman"/>
          <w:bCs/>
          <w:i/>
          <w:szCs w:val="24"/>
          <w:shd w:val="clear" w:color="auto" w:fill="FFFFFF"/>
        </w:rPr>
        <w:t>Bacillus firmus</w:t>
      </w:r>
      <w:r w:rsidRPr="008E2CD0">
        <w:rPr>
          <w:rFonts w:cs="Times New Roman"/>
          <w:bCs/>
          <w:szCs w:val="24"/>
          <w:shd w:val="clear" w:color="auto" w:fill="FFFFFF"/>
        </w:rPr>
        <w:t xml:space="preserve"> are commonly used seed treatments against nematodes (</w:t>
      </w:r>
      <w:r w:rsidRPr="008E2CD0">
        <w:rPr>
          <w:rFonts w:cs="Times New Roman"/>
          <w:szCs w:val="24"/>
          <w:shd w:val="clear" w:color="auto" w:fill="FFFFFF"/>
        </w:rPr>
        <w:t>Eisenback, 2018).</w:t>
      </w:r>
      <w:r w:rsidRPr="008E2CD0">
        <w:rPr>
          <w:rFonts w:cs="Times New Roman"/>
          <w:bCs/>
          <w:szCs w:val="24"/>
          <w:shd w:val="clear" w:color="auto" w:fill="FFFFFF"/>
        </w:rPr>
        <w:t xml:space="preserve"> Also, additional protective practices include the use of finely chopped hay residues (alfalfa, oat, lespedeza, flax), solarization, and suppressive crops such as marigold and rapeseed have been effectively used to manage RKN</w:t>
      </w:r>
      <w:r>
        <w:rPr>
          <w:rFonts w:cs="Times New Roman"/>
          <w:bCs/>
          <w:szCs w:val="24"/>
          <w:shd w:val="clear" w:color="auto" w:fill="FFFFFF"/>
        </w:rPr>
        <w:t xml:space="preserve"> in vegetable fields</w:t>
      </w:r>
      <w:r w:rsidRPr="008E2CD0">
        <w:rPr>
          <w:rFonts w:cs="Times New Roman"/>
          <w:bCs/>
          <w:szCs w:val="24"/>
          <w:shd w:val="clear" w:color="auto" w:fill="FFFFFF"/>
        </w:rPr>
        <w:t xml:space="preserve">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2018)","plainTextFormattedCitation":"(Bernard EC., 1980)","previouslyFormattedCitation":"(Bernard EC., 1980)"},"properties":{"noteIndex":0},"schema":"https://github.com/citation-style-language/schema/raw/master/csl-citation.json"}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(Bernard, 2018)</w:t>
      </w:r>
      <w:r w:rsidRPr="008E2CD0">
        <w:rPr>
          <w:rFonts w:cs="Times New Roman"/>
          <w:bCs/>
          <w:szCs w:val="24"/>
          <w:shd w:val="clear" w:color="auto" w:fill="FFFFFF"/>
        </w:rPr>
        <w:fldChar w:fldCharType="end"/>
      </w:r>
      <w:r w:rsidRPr="008E2CD0">
        <w:rPr>
          <w:rFonts w:cs="Times New Roman"/>
          <w:bCs/>
          <w:szCs w:val="24"/>
          <w:shd w:val="clear" w:color="auto" w:fill="FFFFFF"/>
        </w:rPr>
        <w:t>.</w:t>
      </w:r>
    </w:p>
    <w:p w14:paraId="5EC007CB" w14:textId="77777777" w:rsidR="00D20476" w:rsidRPr="008E2CD0" w:rsidRDefault="00D20476" w:rsidP="00D20476">
      <w:pPr>
        <w:tabs>
          <w:tab w:val="left" w:pos="270"/>
        </w:tabs>
        <w:spacing w:line="360" w:lineRule="auto"/>
        <w:ind w:left="720"/>
        <w:rPr>
          <w:rFonts w:cs="Times New Roman"/>
          <w:b/>
          <w:bCs/>
          <w:szCs w:val="24"/>
          <w:shd w:val="clear" w:color="auto" w:fill="FFFFFF"/>
        </w:rPr>
      </w:pPr>
    </w:p>
    <w:p w14:paraId="07F7DAEE" w14:textId="6B711611" w:rsidR="00D20476" w:rsidRPr="008E2CD0" w:rsidRDefault="00D20476" w:rsidP="00D122A6">
      <w:pPr>
        <w:pStyle w:val="Heading3"/>
      </w:pPr>
      <w:bookmarkStart w:id="33" w:name="_Toc101048070"/>
      <w:r w:rsidRPr="008E2CD0">
        <w:t>Lesion nematode</w:t>
      </w:r>
      <w:bookmarkEnd w:id="33"/>
      <w:r w:rsidRPr="008E2CD0">
        <w:t xml:space="preserve"> </w:t>
      </w:r>
    </w:p>
    <w:p w14:paraId="4A968A51" w14:textId="77777777" w:rsidR="00D20476" w:rsidRPr="008E2CD0" w:rsidRDefault="00D20476" w:rsidP="00D20476">
      <w:pPr>
        <w:tabs>
          <w:tab w:val="left" w:pos="270"/>
        </w:tabs>
        <w:spacing w:line="360" w:lineRule="auto"/>
        <w:ind w:left="720"/>
        <w:rPr>
          <w:rFonts w:cs="Times New Roman"/>
          <w:bCs/>
          <w:szCs w:val="24"/>
          <w:shd w:val="clear" w:color="auto" w:fill="FFFFFF"/>
        </w:rPr>
      </w:pPr>
      <w:r w:rsidRPr="008E2CD0">
        <w:rPr>
          <w:rFonts w:cs="Times New Roman"/>
          <w:b/>
          <w:bCs/>
          <w:szCs w:val="24"/>
          <w:shd w:val="clear" w:color="auto" w:fill="FFFFFF"/>
        </w:rPr>
        <w:tab/>
      </w:r>
      <w:r w:rsidRPr="008E2CD0">
        <w:rPr>
          <w:rFonts w:cs="Times New Roman"/>
          <w:szCs w:val="24"/>
          <w:shd w:val="clear" w:color="auto" w:fill="FFFFFF"/>
        </w:rPr>
        <w:t xml:space="preserve">Lesion nematode is a polyphagous migratory endoparasite capable of attacking an extensive host range of more than 400 plant species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{"citationItems":[{"id":"ITEM-1","itemData":{"author":[{"dropping-particle":"","family":"Davis","given":"Eric L","non-dropping-particle":"","parse-names":false,"suffix":""},{"dropping-particle":"","family":"Carolina","given":"North","non-dropping-particle":"","parse-names":false,"suffix":""},{"dropping-particle":"","family":"Hussey","given":"Richard S","non-dropping-particle":"","parse-names":false,"suffix":""},{"dropping-particle":"","family":"Baum","given":"Thomas J","non-dropping-particle":"","parse-names":false,"suffix":""},{"dropping-particle":"","family":"Abad","given":"Pierre","non-dropping-particle":"","parse-names":false,"suffix":""}],"id":"ITEM-1","issued":{"date-parts":[["2000"]]},"title":"CONTENTS","type":"article-journal"},"uris":["http://www.mendeley.com/documents/?uuid=b68ac0b1-8139-42a2-a5b5-8ee772e0e9cc"]}],"mendeley":{"formattedCitation":"(Eric L Davis et al., 2000)","manualFormatting":"(Davis &amp; MacGuidwin, 2000)","plainTextFormattedCitation":"(Eric L Davis et al., 2000)","previouslyFormattedCitation":"(Eric L Davis et al., 2000)"},"properties":{"noteIndex":0},"schema":"https://github.com/citation-style-language/schema/raw/master/csl-citation.json"}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(Davis &amp; MacGuidwin, 2000)</w:t>
      </w:r>
      <w:r w:rsidRPr="008E2CD0">
        <w:rPr>
          <w:rFonts w:cs="Times New Roman"/>
          <w:szCs w:val="24"/>
          <w:shd w:val="clear" w:color="auto" w:fill="FFFFFF"/>
        </w:rPr>
        <w:fldChar w:fldCharType="end"/>
      </w:r>
      <w:r w:rsidRPr="008E2CD0">
        <w:rPr>
          <w:rFonts w:cs="Times New Roman"/>
          <w:szCs w:val="24"/>
          <w:shd w:val="clear" w:color="auto" w:fill="FFFFFF"/>
        </w:rPr>
        <w:t>. Soybean, corn, peanut, potato, rice, wheat, and vegetables are among the most common economically important hosts of lesion nematodes. Due to the large host range, non-host crops are very limited. Some of the crops or cover</w:t>
      </w:r>
      <w:r>
        <w:rPr>
          <w:rFonts w:cs="Times New Roman"/>
          <w:szCs w:val="24"/>
          <w:shd w:val="clear" w:color="auto" w:fill="FFFFFF"/>
        </w:rPr>
        <w:t xml:space="preserve"> crops</w:t>
      </w:r>
      <w:r w:rsidRPr="008E2CD0">
        <w:rPr>
          <w:rFonts w:cs="Times New Roman"/>
          <w:szCs w:val="24"/>
          <w:shd w:val="clear" w:color="auto" w:fill="FFFFFF"/>
        </w:rPr>
        <w:t xml:space="preserve"> </w:t>
      </w:r>
      <w:r>
        <w:rPr>
          <w:rFonts w:cs="Times New Roman"/>
          <w:szCs w:val="24"/>
          <w:shd w:val="clear" w:color="auto" w:fill="FFFFFF"/>
        </w:rPr>
        <w:t>that have been</w:t>
      </w:r>
      <w:r w:rsidRPr="008E2CD0">
        <w:rPr>
          <w:rFonts w:cs="Times New Roman"/>
          <w:szCs w:val="24"/>
          <w:shd w:val="clear" w:color="auto" w:fill="FFFFFF"/>
        </w:rPr>
        <w:t xml:space="preserve"> identified as poor host</w:t>
      </w:r>
      <w:r>
        <w:rPr>
          <w:rFonts w:cs="Times New Roman"/>
          <w:szCs w:val="24"/>
          <w:shd w:val="clear" w:color="auto" w:fill="FFFFFF"/>
        </w:rPr>
        <w:t xml:space="preserve">s </w:t>
      </w:r>
      <w:r w:rsidRPr="008E2CD0">
        <w:rPr>
          <w:rFonts w:cs="Times New Roman"/>
          <w:szCs w:val="24"/>
          <w:shd w:val="clear" w:color="auto" w:fill="FFFFFF"/>
        </w:rPr>
        <w:t xml:space="preserve">or </w:t>
      </w:r>
      <w:r>
        <w:rPr>
          <w:rFonts w:cs="Times New Roman"/>
          <w:szCs w:val="24"/>
          <w:shd w:val="clear" w:color="auto" w:fill="FFFFFF"/>
        </w:rPr>
        <w:t>have</w:t>
      </w:r>
      <w:r w:rsidRPr="008E2CD0">
        <w:rPr>
          <w:rFonts w:cs="Times New Roman"/>
          <w:szCs w:val="24"/>
          <w:shd w:val="clear" w:color="auto" w:fill="FFFFFF"/>
        </w:rPr>
        <w:t xml:space="preserve"> moderate resistance to lesion nematode include African and French marigolds, pearl millet (cv. HGM 100), Sudax, and Saia oats </w:t>
      </w:r>
      <w:r>
        <w:rPr>
          <w:rFonts w:cs="Times New Roman"/>
          <w:szCs w:val="24"/>
          <w:shd w:val="clear" w:color="auto" w:fill="FFFFFF"/>
        </w:rPr>
        <w:t>(Warner and Bird, 2020)</w:t>
      </w:r>
      <w:r w:rsidRPr="008E2CD0">
        <w:rPr>
          <w:rFonts w:cs="Times New Roman"/>
          <w:szCs w:val="24"/>
          <w:shd w:val="clear" w:color="auto" w:fill="FFFFFF"/>
        </w:rPr>
        <w:t xml:space="preserve">. These crops can reduce lesion nematode below economic thresholds when included in rotation or </w:t>
      </w:r>
      <w:r>
        <w:rPr>
          <w:rFonts w:cs="Times New Roman"/>
          <w:szCs w:val="24"/>
          <w:shd w:val="clear" w:color="auto" w:fill="FFFFFF"/>
        </w:rPr>
        <w:t xml:space="preserve">used as </w:t>
      </w:r>
      <w:r w:rsidRPr="008E2CD0">
        <w:rPr>
          <w:rFonts w:cs="Times New Roman"/>
          <w:szCs w:val="24"/>
          <w:shd w:val="clear" w:color="auto" w:fill="FFFFFF"/>
        </w:rPr>
        <w:t>cover crops where applicable. The lowest threshold for lesion nematode</w:t>
      </w:r>
      <w:r>
        <w:rPr>
          <w:rFonts w:cs="Times New Roman"/>
          <w:szCs w:val="24"/>
          <w:shd w:val="clear" w:color="auto" w:fill="FFFFFF"/>
        </w:rPr>
        <w:t>s</w:t>
      </w:r>
      <w:r w:rsidRPr="008E2CD0">
        <w:rPr>
          <w:rFonts w:cs="Times New Roman"/>
          <w:szCs w:val="24"/>
          <w:shd w:val="clear" w:color="auto" w:fill="FFFFFF"/>
        </w:rPr>
        <w:t xml:space="preserve"> is estimated to be 20, 50, 200 </w:t>
      </w:r>
      <w:r w:rsidRPr="008E2CD0">
        <w:rPr>
          <w:rFonts w:cs="Times New Roman"/>
          <w:szCs w:val="24"/>
        </w:rPr>
        <w:t>nematodes/100 cm</w:t>
      </w:r>
      <w:r w:rsidRPr="008E2CD0">
        <w:rPr>
          <w:rFonts w:cs="Times New Roman"/>
          <w:szCs w:val="24"/>
          <w:vertAlign w:val="superscript"/>
        </w:rPr>
        <w:t xml:space="preserve">3 </w:t>
      </w:r>
      <w:r w:rsidRPr="008E2CD0">
        <w:rPr>
          <w:rFonts w:cs="Times New Roman"/>
          <w:szCs w:val="24"/>
          <w:shd w:val="clear" w:color="auto" w:fill="FFFFFF"/>
        </w:rPr>
        <w:t xml:space="preserve">of soil for soybean </w:t>
      </w:r>
      <w:r w:rsidRPr="000679A1">
        <w:rPr>
          <w:rFonts w:cs="Times New Roman"/>
          <w:szCs w:val="24"/>
          <w:shd w:val="clear" w:color="auto" w:fill="FFFFFF"/>
        </w:rPr>
        <w:t>(</w:t>
      </w:r>
      <w:r w:rsidRPr="000679A1">
        <w:rPr>
          <w:rFonts w:cs="Times New Roman"/>
          <w:szCs w:val="24"/>
        </w:rPr>
        <w:t>Mehl et al., 2018</w:t>
      </w:r>
      <w:r w:rsidRPr="009D77C8">
        <w:rPr>
          <w:rFonts w:cs="Times New Roman"/>
          <w:szCs w:val="24"/>
        </w:rPr>
        <w:t>),</w:t>
      </w:r>
      <w:r w:rsidRPr="008E2CD0">
        <w:rPr>
          <w:rFonts w:cs="Times New Roman"/>
          <w:szCs w:val="24"/>
        </w:rPr>
        <w:t xml:space="preserve"> cotton, and corn, respectively </w:t>
      </w:r>
      <w:r w:rsidRPr="008E2CD0">
        <w:rPr>
          <w:rFonts w:cs="Times New Roman"/>
          <w:szCs w:val="24"/>
        </w:rPr>
        <w:fldChar w:fldCharType="begin" w:fldLock="1"/>
      </w:r>
      <w:r w:rsidRPr="008E2CD0">
        <w:rPr>
          <w:rFonts w:cs="Times New Roman"/>
          <w:szCs w:val="24"/>
        </w:rPr>
        <w:instrText>ADDIN CSL_CITATION {"citationItems":[{"id":"ITEM-1","itemData":{"author":[{"dropping-particle":"","family":"Dickerson","given":"O.J.","non-dropping-particle":"","parse-names":false,"suffix":""},{"dropping-particle":"","family":"Blake","given":"James H.","non-dropping-particle":"","parse-names":false,"suffix":""},{"dropping-particle":"","family":"Lewis","given":"Stephen","non-dropping-particle":"","parse-names":false,"suffix":""},{"dropping-particle":"","family":"Clemson Extension","given":"","non-dropping-particle":"","parse-names":false,"suffix":""}],"id":"ITEM-1","issued":{"date-parts":[["2000"]]},"title":"Nematode Guidelines for South Carolina","type":"article-journal"},"uris":["http://www.mendeley.com/documents/?uuid=73c42754-8ebb-4fed-83d7-3e25b90b4fb4"]}],"mendeley":{"formattedCitation":"(Dickerson et al., 2000)","plainTextFormattedCitation":"(Dickerson et al., 2000)","previouslyFormattedCitation":"(Dickerson et al., 2000)"},"properties":{"noteIndex":0},"schema":"https://github.com/citation-style-language/schema/raw/master/csl-citation.json"}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(Dickerson et al., 2000)</w:t>
      </w:r>
      <w:r w:rsidRPr="008E2CD0">
        <w:rPr>
          <w:rFonts w:cs="Times New Roman"/>
          <w:szCs w:val="24"/>
        </w:rPr>
        <w:fldChar w:fldCharType="end"/>
      </w:r>
      <w:r w:rsidRPr="008E2CD0">
        <w:rPr>
          <w:rFonts w:cs="Times New Roman"/>
          <w:szCs w:val="24"/>
        </w:rPr>
        <w:t xml:space="preserve">. </w:t>
      </w:r>
      <w:r>
        <w:rPr>
          <w:rFonts w:cs="Times New Roman"/>
          <w:szCs w:val="24"/>
        </w:rPr>
        <w:t>Also,</w:t>
      </w:r>
      <w:r w:rsidRPr="008E2CD0">
        <w:rPr>
          <w:rFonts w:cs="Times New Roman"/>
          <w:szCs w:val="24"/>
        </w:rPr>
        <w:t xml:space="preserve"> cover crops such as ryegrass </w:t>
      </w:r>
      <w:r>
        <w:rPr>
          <w:rFonts w:cs="Times New Roman"/>
          <w:szCs w:val="24"/>
        </w:rPr>
        <w:t xml:space="preserve">or canola used as green manures are recommended to </w:t>
      </w:r>
      <w:r w:rsidRPr="008E2CD0">
        <w:rPr>
          <w:rFonts w:cs="Times New Roman"/>
          <w:szCs w:val="24"/>
        </w:rPr>
        <w:t xml:space="preserve">inhibit </w:t>
      </w:r>
      <w:r>
        <w:rPr>
          <w:rFonts w:cs="Times New Roman"/>
          <w:szCs w:val="24"/>
        </w:rPr>
        <w:t>the increase</w:t>
      </w:r>
      <w:r w:rsidRPr="008E2CD0">
        <w:rPr>
          <w:rFonts w:cs="Times New Roman"/>
          <w:szCs w:val="24"/>
        </w:rPr>
        <w:t xml:space="preserve"> of low</w:t>
      </w:r>
      <w:r>
        <w:rPr>
          <w:rFonts w:cs="Times New Roman"/>
          <w:szCs w:val="24"/>
        </w:rPr>
        <w:t xml:space="preserve">-density populations in </w:t>
      </w:r>
      <w:r w:rsidRPr="00E326B2">
        <w:rPr>
          <w:rFonts w:cs="Times New Roman"/>
          <w:szCs w:val="24"/>
        </w:rPr>
        <w:t>Nebraska (</w:t>
      </w:r>
      <w:hyperlink r:id="rId22" w:history="1">
        <w:r w:rsidRPr="004E11C2">
          <w:rPr>
            <w:rStyle w:val="Hyperlink"/>
            <w:color w:val="auto"/>
            <w:u w:val="none"/>
          </w:rPr>
          <w:t>https://cropwatch.unl.edu/potato/lesion</w:t>
        </w:r>
      </w:hyperlink>
      <w:r w:rsidRPr="004E11C2">
        <w:t xml:space="preserve">). </w:t>
      </w:r>
      <w:r w:rsidRPr="00E326B2">
        <w:rPr>
          <w:rFonts w:cs="Times New Roman"/>
          <w:szCs w:val="24"/>
          <w:shd w:val="clear" w:color="auto" w:fill="FFFFFF"/>
        </w:rPr>
        <w:t xml:space="preserve">Resistance </w:t>
      </w:r>
      <w:r w:rsidRPr="008E2CD0">
        <w:rPr>
          <w:rFonts w:cs="Times New Roman"/>
          <w:szCs w:val="24"/>
          <w:shd w:val="clear" w:color="auto" w:fill="FFFFFF"/>
        </w:rPr>
        <w:t xml:space="preserve">is limited for lesion nematodes among most host crops, but some soybean cultivars with moderate resistance to the nematodes have been identified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{"citationItems":[{"id":"ITEM-1","itemData":{"author":[{"dropping-particle":"","family":"Chowdhury, I., Yan, G., Kandel, H., &amp; Plaisance","given":"A.","non-dropping-particle":"","parse-names":false,"suffix":""}],"container-title":"Plant Disease","id":"ITEM-1","issued":{"date-parts":[["2022"]]},"page":"1-24","title":"Population Development of the Root-lesion Nematode","type":"article-journal"},"uris":["http://www.mendeley.com/documents/?uuid=7fffdb97-b47c-43d5-a395-4bbab8176af6"]}],"mendeley":{"formattedCitation":"(Chowdhury, I., Yan, G., Kandel, H., &amp; Plaisance, 2022)","manualFormatting":"(Chowdhury et al., 2022)","plainTextFormattedCitation":"(Chowdhury, I., Yan, G., Kandel, H., &amp; Plaisance, 2022)","previouslyFormattedCitation":"(Chowdhury, I., Yan, G., Kandel, H., &amp; Plaisance, 2022)"},"properties":{"noteIndex":0},"schema":"https://github.com/citation-style-language/schema/raw/master/csl-citation.json"}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(Chowdhury et al., 2022)</w:t>
      </w:r>
      <w:r w:rsidRPr="008E2CD0">
        <w:rPr>
          <w:rFonts w:cs="Times New Roman"/>
          <w:szCs w:val="24"/>
          <w:shd w:val="clear" w:color="auto" w:fill="FFFFFF"/>
        </w:rPr>
        <w:fldChar w:fldCharType="end"/>
      </w:r>
      <w:r w:rsidRPr="008E2CD0">
        <w:rPr>
          <w:rFonts w:cs="Times New Roman"/>
          <w:szCs w:val="24"/>
          <w:shd w:val="clear" w:color="auto" w:fill="FFFFFF"/>
        </w:rPr>
        <w:t xml:space="preserve">. Also, there are suggestions that soil microbial antagonists and weed management can contribute to reducing lesion nematode population density in fields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{"citationItems":[{"id":"ITEM-1","itemData":{"ISSN":"0022-300X","PMID":"19294069","abstract":"Bacillus penetrans inhibited penetration by Meloidogyne incognita second-stage juveniles (J2) into tomato roots in the laboratory and greenhouse. Spores from this Florida population of B. penetrans attached to J2 of M. javanica, M. incognita, and M. arenaria. A greater proportion of J2 of M. javanica were infected than were J2 of either M. incognita or M. arenaria, and a greater number of spores attached to M. incognita than to M. arenaria. Key words: bacterial spore parasite, biological control, root-knot nematode.","author":[{"dropping-particle":"","family":"Brown","given":"Stephen M","non-dropping-particle":"","parse-names":false,"suffix":""},{"dropping-particle":"","family":"Smart","given":"Grover C","non-dropping-particle":"","parse-names":false,"suffix":""}],"container-title":"Journal of Nematology","id":"ITEM-1","issue":"2","issued":{"date-parts":[["1985"]]},"page":"123-125","title":"Root penetration by Meloidogyne incognita juveniles infected with Bacillus penetrans","type":"article-journal","volume":"17"},"uris":["http://www.mendeley.com/documents/?uuid=ba3e2d31-afd2-4fbc-b69f-b5eef2a19bea"]},{"id":"ITEM-2","itemData":{"DOI":"10.1094/phi-i-2000-1030-02","author":[{"dropping-particle":"","family":"Davis","given":"E. L.","non-dropping-particle":"","parse-names":false,"suffix":""},{"dropping-particle":"","family":"MacGuidwin","given":"A. E.","non-dropping-particle":"","parse-names":false,"suffix":""}],"container-title":"The Plant Health Instructor","id":"ITEM-2","issue":"Figure 1","issued":{"date-parts":[["2000"]]},"page":"1-12","title":"Lesion nematode disease","type":"article-journal"},"uris":["http://www.mendeley.com/documents/?uuid=bcb56856-4a0d-4933-8ebb-810dca221853"]},{"id":"ITEM-3","itemData":{"DOI":"10.1094/PDIS-11-12-1060-RE","ISSN":"01912917","abstract":"Field surveys were conducted by collecting soil samples to estimate nematode densities in soil from winter wheat, spring wheat, spring barley, and spring legumes (lentil, chickpea, and pea) fields during 2010 and 2011. Pratylenchus spp. were observed in 60% of sampled fields. However, nematodes were detected in nearly all of the survey fields in high numbers where crops were grown every year. To identify climatic variables associated with density of Pratylenchus spp. in soil, correlation and regression analyses were performed using climate data of survey sites from 1979 to 2010. Fifty-seven climate variables were significantly correlated with densities of Pratylenchus spp. All precipitation variables were significantly positively correlated with nematode abundance. Summer maximum air temperature was negatively correlated and winter minimum air temperature was positively correlated with nematode densities. In addition, both years' nematode densities were significantly correlated with cropping intensity. Five multivariate regression models for 2010 and seven models for 2011 nematode abundance levels were developed. The majority of the climate variables selected in the models were related to precipitation. Knowledge of root-lesion nematode distribution in the dryland region of eastern Washington and associated climate variables may be helpful to determine risk and apply management practices to minimize crop damage.","author":[{"dropping-particle":"","family":"Kandel","given":"Shyam L.","non-dropping-particle":"","parse-names":false,"suffix":""},{"dropping-particle":"","family":"Smiley","given":"Richard W.","non-dropping-particle":"","parse-names":false,"suffix":""},{"dropping-particle":"","family":"Garland-Campbell","given":"Kimberly","non-dropping-particle":"","parse-names":false,"suffix":""},{"dropping-particle":"","family":"Elling","given":"Axel A.","non-dropping-particle":"","parse-names":false,"suffix":""},{"dropping-particle":"","family":"Abatzoglou","given":"John","non-dropping-particle":"","parse-names":false,"suffix":""},{"dropping-particle":"","family":"Huggins","given":"David","non-dropping-particle":"","parse-names":false,"suffix":""},{"dropping-particle":"","family":"Rupp","given":"Richard","non-dropping-particle":"","parse-names":false,"suffix":""},{"dropping-particle":"","family":"Paulitz","given":"Timothy C.","non-dropping-particle":"","parse-names":false,"suffix":""}],"container-title":"Plant Disease","id":"ITEM-3","issue":"11","issued":{"date-parts":[["2013"]]},"page":"1448-1456","title":"Relationship between climatic factors and distribution of pratylenchus spp. in the dryland wheat-production areas of Eastern Washington","type":"article-journal","volume":"97"},"uris":["http://www.mendeley.com/documents/?uuid=1015a015-9832-471a-b6d5-9f60b9de6e0d"]}],"mendeley":{"formattedCitation":"(Brown &amp; Smart, 1985; E. L. Davis &amp; MacGuidwin, 2000; Kandel et al., 2013)","manualFormatting":"(Brown &amp; Smart, 1985; Davis &amp; MacGuidwin, 2000; Kandel et al., 2013)","plainTextFormattedCitation":"(Brown &amp; Smart, 1985; E. L. Davis &amp; MacGuidwin, 2000; Kandel et al., 2013)","previouslyFormattedCitation":"(Brown &amp; Smart, 1985; E. L. Davis &amp; MacGuidwin, 2000; Kandel et al., 2013)"},"properties":{"noteIndex":0},"schema":"https://github.com/citation-style-language/schema/raw/master/csl-citation.json"}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(Brown &amp; Smart, 1985; Davis &amp; MacGuidwin, 2000; Kandel et al., 2013)</w:t>
      </w:r>
      <w:r w:rsidRPr="008E2CD0">
        <w:rPr>
          <w:rFonts w:cs="Times New Roman"/>
          <w:szCs w:val="24"/>
          <w:shd w:val="clear" w:color="auto" w:fill="FFFFFF"/>
        </w:rPr>
        <w:fldChar w:fldCharType="end"/>
      </w:r>
      <w:r w:rsidRPr="008E2CD0">
        <w:rPr>
          <w:rFonts w:cs="Times New Roman"/>
          <w:szCs w:val="24"/>
          <w:shd w:val="clear" w:color="auto" w:fill="FFFFFF"/>
        </w:rPr>
        <w:t xml:space="preserve">. </w:t>
      </w:r>
      <w:r w:rsidRPr="008E2CD0">
        <w:rPr>
          <w:rFonts w:cs="Times New Roman"/>
          <w:bCs/>
          <w:szCs w:val="24"/>
          <w:shd w:val="clear" w:color="auto" w:fill="FFFFFF"/>
        </w:rPr>
        <w:t>Soil fumigation is the most common effective practice used on fields infested with high lesion density to lower population levels to below damage thresholds. Metham-sodium and Telone II (1,3-dichloropropene) are</w:t>
      </w:r>
      <w:r>
        <w:rPr>
          <w:rFonts w:cs="Times New Roman"/>
          <w:bCs/>
          <w:szCs w:val="24"/>
          <w:shd w:val="clear" w:color="auto" w:fill="FFFFFF"/>
        </w:rPr>
        <w:t xml:space="preserve"> recommended </w:t>
      </w:r>
      <w:r w:rsidRPr="008E2CD0">
        <w:rPr>
          <w:rFonts w:cs="Times New Roman"/>
          <w:bCs/>
          <w:szCs w:val="24"/>
          <w:shd w:val="clear" w:color="auto" w:fill="FFFFFF"/>
        </w:rPr>
        <w:t xml:space="preserve">effective soil fumigants for nematodes </w:t>
      </w:r>
      <w:r w:rsidRPr="00E326B2">
        <w:rPr>
          <w:rFonts w:cs="Times New Roman"/>
          <w:bCs/>
          <w:szCs w:val="24"/>
          <w:shd w:val="clear" w:color="auto" w:fill="FFFFFF"/>
        </w:rPr>
        <w:fldChar w:fldCharType="begin" w:fldLock="1"/>
      </w:r>
      <w:r w:rsidRPr="00E326B2">
        <w:rPr>
          <w:rFonts w:cs="Times New Roman"/>
          <w:bCs/>
          <w:szCs w:val="24"/>
          <w:shd w:val="clear" w:color="auto" w:fill="FFFFFF"/>
        </w:rPr>
        <w:instrText>ADDIN CSL_CITATION {"citationItems":[{"id":"ITEM-1","itemData":{"author":[{"dropping-particle":"","family":"Janine","given":"T E Mpad","non-dropping-particle":"","parse-names":false,"suffix":""}],"id":"ITEM-1","issued":{"date-parts":[["2019"]]},"page":"1-4","title":"Le s d e e","type":"article-journal"},"uris":["http://www.mendeley.com/documents/?uuid=1a23ebab-5551-4371-a539-46f21a60a5d9"]},{"id":"ITEM-2","itemData":{"DOI":"10.1007/BF02852973","ISSN":"00030589","abstract":"Ohio field studies in microplots in the past 6 years have demonstrated a synergistic interaction of the lesion nematode Pratylenchus penetrans with Verticillium dahliae in potato early dying. Tests with various populations of P. penetrans and V. dahliae, alone and in combinations, have shown that disease occurs when both pathogens are present at populations which individually have little or no effect. Yield loss is not necessarily associated with foliar symptom development, but occurs with the addition of high temperature stress during tuberization. Comparative studies with two other species of Pratylenchus commonly found in Ohio potato soils have shown that P. crenatus does not interact with V. dahliae and that P. scribneri interacts only slightly. Since all three species feed and reproduce well on potato, Verticillium interactions probably are not due to wounding. The involvement of Pratylenchus with V. dahliae in potato early dying is an important factor that must be considered in the development of future crop-loss predictive systems. © 1985 Springer.","author":[{"dropping-particle":"","family":"Riedel","given":"Richard M.","non-dropping-particle":"","parse-names":false,"suffix":""},{"dropping-particle":"","family":"Rowe","given":"Randall C.","non-dropping-particle":"","parse-names":false,"suffix":""}],"container-title":"American Potato Journal","id":"ITEM-2","issue":"4","issued":{"date-parts":[["1985"]]},"page":"163-171","title":"Lesion nematode involvement in potato early dying disease","type":"article-journal","volume":"62"},"uris":["http://www.mendeley.com/documents/?uuid=f4f9328b-4b1a-47dc-ae44-aed67384161b"]}],"mendeley":{"formattedCitation":"(Janine, 2019; Riedel &amp; Rowe, 1985)","manualFormatting":"(Riedel &amp; Rowe, 1985; (https://cropwatch.unl.edu/potato/lesion).)","plainTextFormattedCitation":"(Janine, 2019; Riedel &amp; Rowe, 1985)","previouslyFormattedCitation":"(Janine, 2019; Riedel &amp; Rowe, 1985)"},"properties":{"noteIndex":0},"schema":"https://github.com/citation-style-language/schema/raw/master/csl-citation.json"}</w:instrText>
      </w:r>
      <w:r w:rsidRPr="00E326B2">
        <w:rPr>
          <w:rFonts w:cs="Times New Roman"/>
          <w:bCs/>
          <w:szCs w:val="24"/>
          <w:shd w:val="clear" w:color="auto" w:fill="FFFFFF"/>
        </w:rPr>
        <w:fldChar w:fldCharType="separate"/>
      </w:r>
      <w:r w:rsidRPr="00E326B2">
        <w:rPr>
          <w:rFonts w:cs="Times New Roman"/>
          <w:bCs/>
          <w:noProof/>
          <w:szCs w:val="24"/>
          <w:shd w:val="clear" w:color="auto" w:fill="FFFFFF"/>
        </w:rPr>
        <w:t xml:space="preserve">(Riedel &amp; Rowe, 1985; </w:t>
      </w:r>
      <w:hyperlink r:id="rId23" w:history="1">
        <w:r w:rsidRPr="004E11C2">
          <w:rPr>
            <w:rStyle w:val="Hyperlink"/>
            <w:color w:val="auto"/>
            <w:u w:val="none"/>
          </w:rPr>
          <w:t>https://cropwatch.unl.edu/potato/lesion</w:t>
        </w:r>
      </w:hyperlink>
      <w:r w:rsidRPr="004E11C2">
        <w:t>)</w:t>
      </w:r>
      <w:r w:rsidRPr="00E326B2">
        <w:t>.</w:t>
      </w:r>
      <w:r w:rsidRPr="00E326B2">
        <w:rPr>
          <w:rFonts w:cs="Times New Roman"/>
          <w:bCs/>
          <w:szCs w:val="24"/>
          <w:shd w:val="clear" w:color="auto" w:fill="FFFFFF"/>
        </w:rPr>
        <w:fldChar w:fldCharType="end"/>
      </w:r>
      <w:r w:rsidRPr="00E326B2">
        <w:rPr>
          <w:rFonts w:cs="Times New Roman"/>
          <w:bCs/>
          <w:szCs w:val="24"/>
          <w:shd w:val="clear" w:color="auto" w:fill="FFFFFF"/>
        </w:rPr>
        <w:t xml:space="preserve"> Non</w:t>
      </w:r>
      <w:r w:rsidRPr="008E2CD0">
        <w:rPr>
          <w:rFonts w:cs="Times New Roman"/>
          <w:bCs/>
          <w:szCs w:val="24"/>
          <w:shd w:val="clear" w:color="auto" w:fill="FFFFFF"/>
        </w:rPr>
        <w:t>-fumigants are effective for lowering lesion nematode density in fields. Aldicarb (Temik</w:t>
      </w:r>
      <w:r>
        <w:rPr>
          <w:rFonts w:cs="Times New Roman"/>
          <w:bCs/>
          <w:szCs w:val="24"/>
          <w:shd w:val="clear" w:color="auto" w:fill="FFFFFF"/>
        </w:rPr>
        <w:t>) is an example of a nonfumigant nematicides still available that</w:t>
      </w:r>
      <w:r w:rsidRPr="008E2CD0">
        <w:rPr>
          <w:rFonts w:cs="Times New Roman"/>
          <w:bCs/>
          <w:szCs w:val="24"/>
          <w:shd w:val="clear" w:color="auto" w:fill="FFFFFF"/>
        </w:rPr>
        <w:t xml:space="preserve"> may offer lasting systemic protection against nematodes </w:t>
      </w:r>
      <w:r w:rsidRPr="008E2CD0">
        <w:rPr>
          <w:rFonts w:cs="Times New Roman"/>
          <w:bCs/>
          <w:szCs w:val="24"/>
          <w:shd w:val="clear" w:color="auto" w:fill="FFFFFF"/>
        </w:rPr>
        <w:fldChar w:fldCharType="begin" w:fldLock="1"/>
      </w:r>
      <w:r w:rsidRPr="008E2CD0">
        <w:rPr>
          <w:rFonts w:cs="Times New Roman"/>
          <w:bCs/>
          <w:szCs w:val="24"/>
          <w:shd w:val="clear" w:color="auto" w:fill="FFFFFF"/>
        </w:rPr>
        <w:instrText>ADDIN CSL_CITATION {"citationItems":[{"id":"ITEM-1","itemData":{"DOI":"10.1094/phi-i-2000-1030-02","author":[{"dropping-particle":"","family":"Davis","given":"E. L.","non-dropping-particle":"","parse-names":false,"suffix":""},{"dropping-particle":"","family":"MacGuidwin","given":"A. E.","non-dropping-particle":"","parse-names":false,"suffix":""}],"container-title":"The Plant Health Instructor","id":"ITEM-1","issue":"Figure 1","issued":{"date-parts":[["2000"]]},"page":"1-12","title":"Lesion nematode disease","type":"article-journal"},"uris":["http://www.mendeley.com/documents/?uuid=bcb56856-4a0d-4933-8ebb-810dca221853"]}],"mendeley":{"formattedCitation":"(E. L. Davis &amp; MacGuidwin, 2000)","manualFormatting":"(Davis &amp; MacGuidwin, 2000)","plainTextFormattedCitation":"(E. L. Davis &amp; MacGuidwin, 2000)","previouslyFormattedCitation":"(E. L. Davis &amp; MacGuidwin, 2000)"},"properties":{"noteIndex":0},"schema":"https://github.com/citation-style-language/schema/raw/master/csl-citation.json"}</w:instrText>
      </w:r>
      <w:r w:rsidRPr="008E2CD0">
        <w:rPr>
          <w:rFonts w:cs="Times New Roman"/>
          <w:bCs/>
          <w:szCs w:val="24"/>
          <w:shd w:val="clear" w:color="auto" w:fill="FFFFFF"/>
        </w:rPr>
        <w:fldChar w:fldCharType="separate"/>
      </w:r>
      <w:r w:rsidRPr="008E2CD0">
        <w:rPr>
          <w:rFonts w:cs="Times New Roman"/>
          <w:bCs/>
          <w:noProof/>
          <w:szCs w:val="24"/>
          <w:shd w:val="clear" w:color="auto" w:fill="FFFFFF"/>
        </w:rPr>
        <w:t>(Davis &amp; MacGuidwin, 2000)</w:t>
      </w:r>
      <w:r w:rsidRPr="008E2CD0">
        <w:rPr>
          <w:rFonts w:cs="Times New Roman"/>
          <w:bCs/>
          <w:szCs w:val="24"/>
          <w:shd w:val="clear" w:color="auto" w:fill="FFFFFF"/>
        </w:rPr>
        <w:fldChar w:fldCharType="end"/>
      </w:r>
      <w:r w:rsidRPr="008E2CD0">
        <w:rPr>
          <w:rFonts w:cs="Times New Roman"/>
          <w:bCs/>
          <w:szCs w:val="24"/>
          <w:shd w:val="clear" w:color="auto" w:fill="FFFFFF"/>
        </w:rPr>
        <w:t>.</w:t>
      </w:r>
    </w:p>
    <w:p w14:paraId="0C452590" w14:textId="77777777" w:rsidR="00D20476" w:rsidRPr="008E2CD0" w:rsidRDefault="00D20476" w:rsidP="00D20476">
      <w:pPr>
        <w:tabs>
          <w:tab w:val="left" w:pos="270"/>
        </w:tabs>
        <w:spacing w:line="360" w:lineRule="auto"/>
        <w:ind w:left="720"/>
        <w:rPr>
          <w:rFonts w:cs="Times New Roman"/>
          <w:bCs/>
          <w:szCs w:val="24"/>
          <w:shd w:val="clear" w:color="auto" w:fill="FFFFFF"/>
        </w:rPr>
      </w:pPr>
    </w:p>
    <w:p w14:paraId="53BEBA83" w14:textId="77777777" w:rsidR="00D20476" w:rsidRPr="008E2CD0" w:rsidRDefault="00D20476" w:rsidP="00D122A6">
      <w:pPr>
        <w:pStyle w:val="Heading3"/>
      </w:pPr>
      <w:bookmarkStart w:id="34" w:name="_Toc101048071"/>
      <w:r w:rsidRPr="008E2CD0">
        <w:t>Reniform nematodes.</w:t>
      </w:r>
      <w:bookmarkEnd w:id="34"/>
      <w:r w:rsidRPr="008E2CD0">
        <w:t xml:space="preserve"> </w:t>
      </w:r>
    </w:p>
    <w:p w14:paraId="1E0A48F7" w14:textId="1E61BBF7" w:rsidR="005C408D" w:rsidRDefault="00D20476" w:rsidP="00D20476">
      <w:pPr>
        <w:tabs>
          <w:tab w:val="left" w:pos="270"/>
        </w:tabs>
        <w:spacing w:line="360" w:lineRule="auto"/>
        <w:ind w:left="720"/>
        <w:rPr>
          <w:rFonts w:cs="Times New Roman"/>
          <w:szCs w:val="24"/>
          <w:shd w:val="clear" w:color="auto" w:fill="FFFFFF"/>
        </w:rPr>
      </w:pPr>
      <w:r w:rsidRPr="008E2CD0">
        <w:rPr>
          <w:rFonts w:cs="Times New Roman"/>
          <w:b/>
          <w:bCs/>
          <w:szCs w:val="24"/>
          <w:shd w:val="clear" w:color="auto" w:fill="FFFFFF"/>
        </w:rPr>
        <w:tab/>
      </w:r>
      <w:r w:rsidRPr="008E2CD0">
        <w:rPr>
          <w:rFonts w:cs="Times New Roman"/>
          <w:szCs w:val="24"/>
          <w:shd w:val="clear" w:color="auto" w:fill="FFFFFF"/>
        </w:rPr>
        <w:t xml:space="preserve">Reniform nematodes are semi-endoparasites of more than 300 host plant species, with the most economically important hosts including cotton, soybean, sweet potato, and vegetables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{"citationItems":[{"id":"ITEM-1","itemData":{"DOI":"10.46429/jaupr.v48i2.12985","ISSN":"0041-994X","abstract":"The reniform nematode which comprises five described and several undescribed species has been recognized as a dangerous plant parasite. It is undoubtedly one of the most common nematode types in our soils and its populations are usually very high. It has been found associated with most of our agricultural crops including pineapple, coffee, pigeonpea, tobacco, sugarcane, ornamentals, and vegetables. Increasing interest in the study of this parasite has suggested the existence of several other species which still remain undescribed. In Puerto Rico, it is now evident that several species are present. This statement is based on differences observed in relation to morphological and pathogenic characteristics among different populations. A list of 201 different host plants from 15 countries, including Puerto Rico and Caja de Muertos, an adjacent Island south of Puerto Rico, is given. Most of them are the result of field observations, but in many cases the susceptibility of the host has been corroborated on greenhouse inoculation trials. Eighty-nine host plants were found in Puerto Rico, 15 of which are new hosts to Rotylenchulus spp., and 74 to R. reniformis. Differences in degrees of susceptibility have been recognized, pigeonpea being the most susceptible, and ornamental crotalaria only a carrier. In Puerto Rico, the nematode has been located in 40 localities in some of which several plants have been found to be hosts. Humidity, elevation, temperature, and soil pH do not seem to be limiting factors in relation to the occurrence and distribution of the nematode. It occurs more in loamic soils but clay or sandy soils with little organic matter harbor large numbers if a suitable host plant is present. A general list of publications regarding this nematode citing 89 papers is also included.","author":[{"dropping-particle":"","family":"Ayala","given":"Alejandro","non-dropping-particle":"","parse-names":false,"suffix":""},{"dropping-particle":"","family":"Ramírez","given":"Carmen T.","non-dropping-particle":"","parse-names":false,"suffix":""}],"container-title":"The Journal of Agriculture of the University of Puerto Rico","id":"ITEM-1","issue":"2","issued":{"date-parts":[["1964"]]},"page":"140-161","title":"Host-Range, Distribution, and Bibliography of the Reniform Nematode, Rotylenchulus reniformis, with Special Reference to Puerto Rico","type":"article-journal","volume":"48"},"uris":["http://www.mendeley.com/documents/?uuid=a785e116-3a8b-4e58-b5a5-ed478a5a6e5c"]}],"mendeley":{"formattedCitation":"(Ayala &amp; Ramírez, 1964)","plainTextFormattedCitation":"(Ayala &amp; Ramírez, 1964)","previouslyFormattedCitation":"(Ayala &amp; Ramírez, 1964)"},"properties":{"noteIndex":0},"schema":"https://github.com/citation-style-language/schema/raw/master/csl-citation.json"}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(Ayala &amp; Ramírez, 1964)</w:t>
      </w:r>
      <w:r w:rsidRPr="008E2CD0">
        <w:rPr>
          <w:rFonts w:cs="Times New Roman"/>
          <w:szCs w:val="24"/>
          <w:shd w:val="clear" w:color="auto" w:fill="FFFFFF"/>
        </w:rPr>
        <w:fldChar w:fldCharType="end"/>
      </w:r>
      <w:r w:rsidRPr="008E2CD0">
        <w:rPr>
          <w:rFonts w:cs="Times New Roman"/>
          <w:szCs w:val="24"/>
          <w:shd w:val="clear" w:color="auto" w:fill="FFFFFF"/>
        </w:rPr>
        <w:t xml:space="preserve">. The nematode can cause damage when </w:t>
      </w:r>
      <w:r>
        <w:rPr>
          <w:rFonts w:cs="Times New Roman"/>
          <w:szCs w:val="24"/>
          <w:shd w:val="clear" w:color="auto" w:fill="FFFFFF"/>
        </w:rPr>
        <w:t xml:space="preserve">soil density reaches </w:t>
      </w:r>
      <w:r w:rsidRPr="008E2CD0">
        <w:rPr>
          <w:rFonts w:cs="Times New Roman"/>
          <w:szCs w:val="24"/>
          <w:shd w:val="clear" w:color="auto" w:fill="FFFFFF"/>
        </w:rPr>
        <w:t>about 210 nematodes/100 cm</w:t>
      </w:r>
      <w:r w:rsidRPr="008E2CD0">
        <w:rPr>
          <w:rFonts w:cs="Times New Roman"/>
          <w:szCs w:val="24"/>
          <w:shd w:val="clear" w:color="auto" w:fill="FFFFFF"/>
          <w:vertAlign w:val="superscript"/>
        </w:rPr>
        <w:t xml:space="preserve">3 </w:t>
      </w:r>
      <w:r w:rsidRPr="008E2CD0">
        <w:rPr>
          <w:rFonts w:cs="Times New Roman"/>
          <w:szCs w:val="24"/>
          <w:shd w:val="clear" w:color="auto" w:fill="FFFFFF"/>
        </w:rPr>
        <w:t>soil at planting or 1,050 nematodes/ 100 cm</w:t>
      </w:r>
      <w:r w:rsidRPr="008E2CD0">
        <w:rPr>
          <w:rFonts w:cs="Times New Roman"/>
          <w:szCs w:val="24"/>
          <w:shd w:val="clear" w:color="auto" w:fill="FFFFFF"/>
          <w:vertAlign w:val="superscript"/>
        </w:rPr>
        <w:t>3</w:t>
      </w:r>
      <w:r w:rsidRPr="008E2CD0">
        <w:rPr>
          <w:rFonts w:cs="Times New Roman"/>
          <w:szCs w:val="24"/>
          <w:shd w:val="clear" w:color="auto" w:fill="FFFFFF"/>
        </w:rPr>
        <w:t xml:space="preserve"> at harvest for cotton (Newman 1998;  Bernard, 2018), while soybean damage can occur at 500 nematodes/100cm</w:t>
      </w:r>
      <w:r w:rsidRPr="008E2CD0">
        <w:rPr>
          <w:rFonts w:cs="Times New Roman"/>
          <w:szCs w:val="24"/>
          <w:shd w:val="clear" w:color="auto" w:fill="FFFFFF"/>
          <w:vertAlign w:val="superscript"/>
        </w:rPr>
        <w:t xml:space="preserve">3 </w:t>
      </w:r>
      <w:r w:rsidRPr="008E2CD0">
        <w:rPr>
          <w:rFonts w:cs="Times New Roman"/>
          <w:szCs w:val="24"/>
          <w:shd w:val="clear" w:color="auto" w:fill="FFFFFF"/>
          <w:vertAlign w:val="superscript"/>
        </w:rPr>
        <w:fldChar w:fldCharType="begin" w:fldLock="1"/>
      </w:r>
      <w:r w:rsidRPr="008E2CD0">
        <w:rPr>
          <w:rFonts w:cs="Times New Roman"/>
          <w:szCs w:val="24"/>
          <w:shd w:val="clear" w:color="auto" w:fill="FFFFFF"/>
          <w:vertAlign w:val="superscript"/>
        </w:rPr>
        <w:instrText>ADDIN CSL_CITATION {"citationItems":[{"id":"ITEM-1","itemData":{"author":[{"dropping-particle":"","family":"Kirkpatrick","given":"Terry","non-dropping-particle":"","parse-names":false,"suffix":""},{"dropping-particle":"","family":"Faske","given":"Travis","non-dropping-particle":"","parse-names":false,"suffix":""},{"dropping-particle":"","family":"Robbins","given":"Bob","non-dropping-particle":"","parse-names":false,"suffix":""}],"id":"ITEM-1","issued":{"date-parts":[["2014"]]},"page":"1-6","title":"10","type":"article-journal"},"uris":["http://www.mendeley.com/documents/?uuid=83d8f06b-905c-4637-934f-317fbc22d636"]}],"mendeley":{"formattedCitation":"(Kirkpatrick et al., 2014)","plainTextFormattedCitation":"(Kirkpatrick et al., 2014)","previouslyFormattedCitation":"(Kirkpatrick et al., 2014)"},"properties":{"noteIndex":0},"schema":"https://github.com/citation-style-language/schema/raw/master/csl-citation.json"}</w:instrText>
      </w:r>
      <w:r w:rsidRPr="008E2CD0">
        <w:rPr>
          <w:rFonts w:cs="Times New Roman"/>
          <w:szCs w:val="24"/>
          <w:shd w:val="clear" w:color="auto" w:fill="FFFFFF"/>
          <w:vertAlign w:val="superscript"/>
        </w:rPr>
        <w:fldChar w:fldCharType="separate"/>
      </w:r>
      <w:r w:rsidRPr="008E2CD0">
        <w:rPr>
          <w:rFonts w:cs="Times New Roman"/>
          <w:noProof/>
          <w:szCs w:val="24"/>
          <w:shd w:val="clear" w:color="auto" w:fill="FFFFFF"/>
        </w:rPr>
        <w:t>(Kirkpatrick et al., 2014)</w:t>
      </w:r>
      <w:r w:rsidRPr="008E2CD0">
        <w:rPr>
          <w:rFonts w:cs="Times New Roman"/>
          <w:szCs w:val="24"/>
          <w:shd w:val="clear" w:color="auto" w:fill="FFFFFF"/>
          <w:vertAlign w:val="superscript"/>
        </w:rPr>
        <w:fldChar w:fldCharType="end"/>
      </w:r>
      <w:r w:rsidRPr="008E2CD0">
        <w:rPr>
          <w:rFonts w:cs="Times New Roman"/>
          <w:szCs w:val="24"/>
          <w:shd w:val="clear" w:color="auto" w:fill="FFFFFF"/>
        </w:rPr>
        <w:t>. Crop rotation with corn, grain sorghum, and peanut can lower population densit</w:t>
      </w:r>
      <w:r>
        <w:rPr>
          <w:rFonts w:cs="Times New Roman"/>
          <w:szCs w:val="24"/>
          <w:shd w:val="clear" w:color="auto" w:fill="FFFFFF"/>
        </w:rPr>
        <w:t>ies</w:t>
      </w:r>
      <w:r w:rsidRPr="008E2CD0">
        <w:rPr>
          <w:rFonts w:cs="Times New Roman"/>
          <w:szCs w:val="24"/>
          <w:shd w:val="clear" w:color="auto" w:fill="FFFFFF"/>
        </w:rPr>
        <w:t xml:space="preserve"> to below damage thresholds. Rotation to corn can reduce reniform nematode by up to 31%. Also, other non-host crops including winter grain crops such as wheat, rye, oats, and barley have been recommended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{"citationItems":[{"id":"ITEM-1","itemData":{"author":[{"dropping-particle":"","family":"KELLY","given":"HEATHER M","non-dropping-particle":"","parse-names":false,"suffix":""}],"container-title":"Control","id":"ITEM-1","issued":{"date-parts":[["2016"]]},"page":"14","title":"COTTON DISEASE AND NEMATODE CONTROL 2016","type":"article-journal"},"uris":["http://www.mendeley.com/documents/?uuid=10b1646d-df5e-4b79-a5f3-738506f7d23e"]}],"mendeley":{"formattedCitation":"(KELLY, 2016)","manualFormatting":"(Kelly, 2016)","plainTextFormattedCitation":"(KELLY, 2016)","previouslyFormattedCitation":"(KELLY, 2016)"},"properties":{"noteIndex":0},"schema":"https://github.com/citation-style-language/schema/raw/master/csl-citation.json"}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(Kelly, 2016)</w:t>
      </w:r>
      <w:r w:rsidRPr="008E2CD0">
        <w:rPr>
          <w:rFonts w:cs="Times New Roman"/>
          <w:szCs w:val="24"/>
          <w:shd w:val="clear" w:color="auto" w:fill="FFFFFF"/>
        </w:rPr>
        <w:fldChar w:fldCharType="end"/>
      </w:r>
      <w:r w:rsidRPr="008E2CD0">
        <w:rPr>
          <w:rFonts w:cs="Times New Roman"/>
          <w:szCs w:val="24"/>
          <w:shd w:val="clear" w:color="auto" w:fill="FFFFFF"/>
        </w:rPr>
        <w:t>. Growing resistan</w:t>
      </w:r>
      <w:r>
        <w:rPr>
          <w:rFonts w:cs="Times New Roman"/>
          <w:szCs w:val="24"/>
          <w:shd w:val="clear" w:color="auto" w:fill="FFFFFF"/>
        </w:rPr>
        <w:t xml:space="preserve">t </w:t>
      </w:r>
      <w:r w:rsidRPr="008E2CD0">
        <w:rPr>
          <w:rFonts w:cs="Times New Roman"/>
          <w:szCs w:val="24"/>
          <w:shd w:val="clear" w:color="auto" w:fill="FFFFFF"/>
        </w:rPr>
        <w:t xml:space="preserve">varieties is one of the most effective practices to reduce nematode damage. While no cotton variety with resistance to reniform is currently available in Tennessee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{"citationItems":[{"id":"ITEM-1","itemData":{"author":[{"dropping-particle":"","family":"KELLY","given":"HEATHER M","non-dropping-particle":"","parse-names":false,"suffix":""}],"container-title":"Control","id":"ITEM-1","issued":{"date-parts":[["2016"]]},"page":"14","title":"COTTON DISEASE AND NEMATODE CONTROL 2016","type":"article-journal"},"uris":["http://www.mendeley.com/documents/?uuid=10b1646d-df5e-4b79-a5f3-738506f7d23e"]}],"mendeley":{"formattedCitation":"(KELLY, 2016)","manualFormatting":"(Kelly, 2016)","plainTextFormattedCitation":"(KELLY, 2016)","previouslyFormattedCitation":"(KELLY, 2016)"},"properties":{"noteIndex":0},"schema":"https://github.com/citation-style-language/schema/raw/master/csl-citation.json"}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(Kelly, 2016)</w:t>
      </w:r>
      <w:r w:rsidRPr="008E2CD0">
        <w:rPr>
          <w:rFonts w:cs="Times New Roman"/>
          <w:szCs w:val="24"/>
          <w:shd w:val="clear" w:color="auto" w:fill="FFFFFF"/>
        </w:rPr>
        <w:fldChar w:fldCharType="end"/>
      </w:r>
      <w:r w:rsidRPr="008E2CD0">
        <w:rPr>
          <w:rFonts w:cs="Times New Roman"/>
          <w:szCs w:val="24"/>
          <w:shd w:val="clear" w:color="auto" w:fill="FFFFFF"/>
        </w:rPr>
        <w:t xml:space="preserve">, varieties with resistance to the nematode have been shown to effectively </w:t>
      </w:r>
      <w:r>
        <w:rPr>
          <w:rFonts w:cs="Times New Roman"/>
          <w:szCs w:val="24"/>
          <w:shd w:val="clear" w:color="auto" w:fill="FFFFFF"/>
        </w:rPr>
        <w:t>reduce population density in a</w:t>
      </w:r>
      <w:r w:rsidRPr="008E2CD0">
        <w:rPr>
          <w:rFonts w:cs="Times New Roman"/>
          <w:szCs w:val="24"/>
          <w:shd w:val="clear" w:color="auto" w:fill="FFFFFF"/>
        </w:rPr>
        <w:t xml:space="preserve"> field elsewhere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{"citationItems":[{"id":"ITEM-1","itemData":{"author":[{"dropping-particle":"","family":"Grabau","given":"Zane","non-dropping-particle":"","parse-names":false,"suffix":""}],"id":"ITEM-1","issued":{"date-parts":[["2022"]]},"title":"Performance of New Cotton Cultivars Resistant to Reniform and Root-knot Nematode in 2021 Trials","type":"article-journal","volume":"1646"},"uris":["http://www.mendeley.com/documents/?uuid=0b239105-81d5-449b-8efb-475f15a235f5"]}],"mendeley":{"formattedCitation":"(Grabau, 2022)","plainTextFormattedCitation":"(Grabau, 2022)","previouslyFormattedCitation":"(Grabau, 2022)"},"properties":{"noteIndex":0},"schema":"https://github.com/citation-style-language/schema/raw/master/csl-citation.json"}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(Grabau, 2022)</w:t>
      </w:r>
      <w:r w:rsidRPr="008E2CD0">
        <w:rPr>
          <w:rFonts w:cs="Times New Roman"/>
          <w:szCs w:val="24"/>
          <w:shd w:val="clear" w:color="auto" w:fill="FFFFFF"/>
        </w:rPr>
        <w:fldChar w:fldCharType="end"/>
      </w:r>
      <w:r w:rsidRPr="008E2CD0">
        <w:rPr>
          <w:rFonts w:cs="Times New Roman"/>
          <w:szCs w:val="24"/>
          <w:shd w:val="clear" w:color="auto" w:fill="FFFFFF"/>
        </w:rPr>
        <w:t xml:space="preserve">. Also, multiple cultivars of soybean with resistance to reniform nematodes are available and can be used to prevent damage and suppress nematode density increase in fields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{"citationItems":[{"id":"ITEM-1","itemData":{"ISSN":"0022300X","abstract":"Two hundred eighty-two soybean cultivars from the variety testing programs of Arkansas and Mississippi were tested in greenhouse pot experiments during summer 1998 to identify soybean cultivars with resistance to the reniform nematode, Rotylenchulus reniformis. Also included in the tests were the resistant cultivars Forrest and Hartwig, the susceptible control Braxton, and fallow infested soil, which were used as controls. Numbers of reniform nematode extracted from the soil and roots and the ratio of the numbers reproducing on each cultivar compared to the number reproducing on Forrest are reported. Cultivars with reproduction not significantly different from Forrest were classified resistant, whereas those with greater reproductive indices were considered susceptible. One of the 18 cultivars of relative maturity group (RMG) ≤ 4.4 was classified as resistant. For the 86 cultivars of RMG 4.5-4.9, 18 were found to be resistant. Of the 43 cultivars of RMG 5.0-5.4, 16 were resistant, while 43 of the 91 cultivars of RMG 5.5-5.9 were resistant. Fifteen of the cultivars with an RMG of ≥ 6.0 were classed as resistant. These data will be useful in the selection of soybean cultivars to use in rotation with cotton to help control the reniform nematode.","author":[{"dropping-particle":"","family":"Robbins","given":"R. T.","non-dropping-particle":"","parse-names":false,"suffix":""},{"dropping-particle":"","family":"Rakes","given":"L.","non-dropping-particle":"","parse-names":false,"suffix":""},{"dropping-particle":"","family":"Jackson","given":"L. E.","non-dropping-particle":"","parse-names":false,"suffix":""},{"dropping-particle":"","family":"Dombek","given":"D. G.","non-dropping-particle":"","parse-names":false,"suffix":""}],"container-title":"Journal of Nematology","id":"ITEM-1","issue":"SUPPL. 4","issued":{"date-parts":[["1999"]]},"page":"667-677","title":"Reniform nematode resistance in selected soybean cultivars","type":"article-journal","volume":"31"},"uris":["http://www.mendeley.com/documents/?uuid=15bc0132-f8c0-4cf5-a4ef-552bceda996e"]}],"mendeley":{"formattedCitation":"(Robbins et al., 1999)","plainTextFormattedCitation":"(Robbins et al., 1999)","previouslyFormattedCitation":"(Robbins et al., 1999)"},"properties":{"noteIndex":0},"schema":"https://github.com/citation-style-language/schema/raw/master/csl-citation.json"}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(Robbins et al., 1999)</w:t>
      </w:r>
      <w:r w:rsidRPr="008E2CD0">
        <w:rPr>
          <w:rFonts w:cs="Times New Roman"/>
          <w:szCs w:val="24"/>
          <w:shd w:val="clear" w:color="auto" w:fill="FFFFFF"/>
        </w:rPr>
        <w:fldChar w:fldCharType="end"/>
      </w:r>
      <w:r w:rsidRPr="008E2CD0">
        <w:rPr>
          <w:rFonts w:cs="Times New Roman"/>
          <w:szCs w:val="24"/>
          <w:shd w:val="clear" w:color="auto" w:fill="FFFFFF"/>
        </w:rPr>
        <w:t xml:space="preserve">. </w:t>
      </w:r>
      <w:r>
        <w:rPr>
          <w:rFonts w:cs="Times New Roman"/>
          <w:szCs w:val="24"/>
          <w:shd w:val="clear" w:color="auto" w:fill="FFFFFF"/>
        </w:rPr>
        <w:t>N</w:t>
      </w:r>
      <w:r w:rsidRPr="008E2CD0">
        <w:rPr>
          <w:rFonts w:cs="Times New Roman"/>
          <w:szCs w:val="24"/>
          <w:shd w:val="clear" w:color="auto" w:fill="FFFFFF"/>
        </w:rPr>
        <w:t>early 350 species of weed</w:t>
      </w:r>
      <w:r>
        <w:rPr>
          <w:rFonts w:cs="Times New Roman"/>
          <w:szCs w:val="24"/>
          <w:shd w:val="clear" w:color="auto" w:fill="FFFFFF"/>
        </w:rPr>
        <w:t xml:space="preserve">s </w:t>
      </w:r>
      <w:r w:rsidRPr="008E2CD0">
        <w:rPr>
          <w:rFonts w:cs="Times New Roman"/>
          <w:szCs w:val="24"/>
          <w:shd w:val="clear" w:color="auto" w:fill="FFFFFF"/>
        </w:rPr>
        <w:t>have been found to support reniform nematode reproduction (Inserra et al., 1989</w:t>
      </w:r>
      <w:r>
        <w:rPr>
          <w:rFonts w:cs="Times New Roman"/>
          <w:szCs w:val="24"/>
          <w:shd w:val="clear" w:color="auto" w:fill="FFFFFF"/>
        </w:rPr>
        <w:t xml:space="preserve">;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{"citationItems":[{"id":"ITEM-1","itemData":{"ISSN":"00995444","abstract":"The ten known species of Rotylenchulus are sedentary root parasites that occur largely in tropical and subtropical latitudes. They can be distinguished with a simple dichotomous key. Hundreds of studies have examined the biology, economic impact, and management of the type species, R. reniformis. Information also is available regarding the geographical distribution, host range, and histopathology induced by R. borealis, R. macrodoratus, R. macrosoma, and R. parvus. Relatively little is known regarding R. anamictus, R. brevitubulus, R. clavicaudatus, R. leptus, and R. sacchari Rotylenchulus reniformis and R. parvus both appear to have a cosmopolitan distribution in warm latitudes; R. borealis, so far, has been reported primarily from Europe and Africa; R. macrodoratus and R. macrosoma have been found primarily in the Mediterranean region. There are clear anatomical differences in the trophic site induced by R. macrodoratus (uninucleate giant cell) compared to those induced by R. borealis, R. macrosoma, R. parvus, and R. reniformis (syncytia). There also are differences in the abilities of these species to parasitize various hosts. Rotylenchulus reniformis appears to have the widest host range and has been reported to reproduce on 86% of 364 plant species examined. Many common weeds are good hosts. However, more than 50 crop or ornamental plants support little or no reproduction by most populations of R. reniformis. Examples include barley, maize, onion, rice, several crotalaria species, and resistant cultivars of soybean. Varying levels of resistance also have been found in cotton, olive, papaya, potato, sweet potato, tobacco, tomato, and various legumes. Most research on crop rotation and mixed cropping for management of R. reniformis has been done on cotton and soybean in the United States, and on legumes in India.","author":[{"dropping-particle":"","family":"Robinson","given":"A. F.","non-dropping-particle":"","parse-names":false,"suffix":""},{"dropping-particle":"","family":"Inserra","given":"R. N.","non-dropping-particle":"","parse-names":false,"suffix":""},{"dropping-particle":"","family":"Caswell-Chen","given":"E. P.","non-dropping-particle":"","parse-names":false,"suffix":""},{"dropping-particle":"","family":"Vovlas","given":"N.","non-dropping-particle":"","parse-names":false,"suffix":""},{"dropping-particle":"","family":"Troccoli","given":"A.","non-dropping-particle":"","parse-names":false,"suffix":""}],"container-title":"Nematropica","id":"ITEM-1","issue":"2","issued":{"date-parts":[["1997"]]},"page":"127-180","title":"Rotylenchulus species: Identification, distribution, host ranges, and crop plant resistance","type":"article","volume":"27"},"uris":["http://www.mendeley.com/documents/?uuid=957349bd-7ff3-4158-b0ea-cceb4b1d8609"]}],"mendeley":{"formattedCitation":"(Robinson et al., 1997)","manualFormatting":"Robinson et al., 1997","plainTextFormattedCitation":"(Robinson et al., 1997)","previouslyFormattedCitation":"(Robinson et al., 1997)"},"properties":{"noteIndex":0},"schema":"https://github.com/citation-style-language/schema/raw/master/csl-citation.json"}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Robinson et al., 1997</w:t>
      </w:r>
      <w:r w:rsidRPr="008E2CD0">
        <w:rPr>
          <w:rFonts w:cs="Times New Roman"/>
          <w:szCs w:val="24"/>
          <w:shd w:val="clear" w:color="auto" w:fill="FFFFFF"/>
        </w:rPr>
        <w:fldChar w:fldCharType="end"/>
      </w:r>
      <w:r w:rsidRPr="008E2CD0">
        <w:rPr>
          <w:rFonts w:cs="Times New Roman"/>
          <w:szCs w:val="24"/>
          <w:shd w:val="clear" w:color="auto" w:fill="FFFFFF"/>
        </w:rPr>
        <w:t xml:space="preserve">). Proper weed management can contribute to lowering the nematode density in the fields. </w:t>
      </w:r>
      <w:r w:rsidRPr="008E2CD0">
        <w:rPr>
          <w:rFonts w:cs="Times New Roman"/>
          <w:szCs w:val="24"/>
        </w:rPr>
        <w:t xml:space="preserve">Other control options include nematicides and seed treatments (e.g. Abamectin, Thiodicarb, or </w:t>
      </w:r>
      <w:r w:rsidRPr="008E2CD0">
        <w:rPr>
          <w:rFonts w:cs="Times New Roman"/>
          <w:i/>
          <w:iCs/>
          <w:szCs w:val="24"/>
        </w:rPr>
        <w:t xml:space="preserve">Bacillus firmus). </w:t>
      </w:r>
      <w:r w:rsidRPr="008E2CD0">
        <w:rPr>
          <w:rFonts w:cs="Times New Roman"/>
          <w:iCs/>
          <w:szCs w:val="24"/>
        </w:rPr>
        <w:t xml:space="preserve">Foliar </w:t>
      </w:r>
      <w:r w:rsidRPr="008E2CD0">
        <w:rPr>
          <w:rFonts w:cs="Times New Roman"/>
          <w:szCs w:val="24"/>
        </w:rPr>
        <w:t xml:space="preserve">applications of Vydate, a systemic nematicide, combined with seed treatments can effectively suppress nematode populations in the field and prevent crop damage (Mueller et al., 2012). </w:t>
      </w:r>
      <w:r w:rsidRPr="008E2CD0">
        <w:rPr>
          <w:rFonts w:cs="Times New Roman"/>
          <w:szCs w:val="24"/>
          <w:shd w:val="clear" w:color="auto" w:fill="FFFFFF"/>
        </w:rPr>
        <w:t xml:space="preserve"> </w:t>
      </w:r>
    </w:p>
    <w:p w14:paraId="2674AA41" w14:textId="77777777" w:rsidR="008504A2" w:rsidRDefault="008504A2" w:rsidP="00D20476">
      <w:pPr>
        <w:tabs>
          <w:tab w:val="left" w:pos="270"/>
        </w:tabs>
        <w:spacing w:line="360" w:lineRule="auto"/>
        <w:ind w:left="720"/>
        <w:rPr>
          <w:rFonts w:cs="Times New Roman"/>
          <w:szCs w:val="24"/>
          <w:shd w:val="clear" w:color="auto" w:fill="FFFFFF"/>
        </w:rPr>
      </w:pPr>
    </w:p>
    <w:p w14:paraId="0B9DDC36" w14:textId="77777777" w:rsidR="00D20476" w:rsidRPr="008E2CD0" w:rsidRDefault="00D20476" w:rsidP="00FD1FC5">
      <w:pPr>
        <w:pStyle w:val="Heading2"/>
      </w:pPr>
      <w:bookmarkStart w:id="35" w:name="_Toc98812685"/>
      <w:bookmarkStart w:id="36" w:name="_Toc98812893"/>
      <w:bookmarkStart w:id="37" w:name="_Toc98813559"/>
      <w:bookmarkStart w:id="38" w:name="_Toc101048072"/>
      <w:r w:rsidRPr="008E2CD0">
        <w:t>Biological control agents of plant-parasitic nematodes</w:t>
      </w:r>
      <w:bookmarkEnd w:id="35"/>
      <w:bookmarkEnd w:id="36"/>
      <w:bookmarkEnd w:id="37"/>
      <w:bookmarkEnd w:id="38"/>
    </w:p>
    <w:p w14:paraId="4215CB19" w14:textId="77777777" w:rsidR="00D20476" w:rsidRPr="008E2CD0" w:rsidRDefault="00D20476" w:rsidP="00FD1FC5">
      <w:pPr>
        <w:pStyle w:val="Heading2"/>
      </w:pPr>
      <w:bookmarkStart w:id="39" w:name="_Toc98812686"/>
      <w:bookmarkStart w:id="40" w:name="_Toc98812894"/>
      <w:bookmarkStart w:id="41" w:name="_Toc98813560"/>
      <w:bookmarkStart w:id="42" w:name="_Toc101048073"/>
      <w:r w:rsidRPr="008E2CD0">
        <w:t>Bacteria</w:t>
      </w:r>
      <w:bookmarkEnd w:id="39"/>
      <w:bookmarkEnd w:id="40"/>
      <w:bookmarkEnd w:id="41"/>
      <w:bookmarkEnd w:id="42"/>
      <w:r w:rsidRPr="008E2CD0">
        <w:t xml:space="preserve"> </w:t>
      </w:r>
    </w:p>
    <w:p w14:paraId="591D62DC" w14:textId="77777777" w:rsidR="00D20476" w:rsidRPr="00AB65D6" w:rsidRDefault="00D20476" w:rsidP="00D122A6">
      <w:pPr>
        <w:pStyle w:val="Heading3"/>
      </w:pPr>
      <w:bookmarkStart w:id="43" w:name="_Toc98812687"/>
      <w:bookmarkStart w:id="44" w:name="_Toc98812895"/>
      <w:bookmarkStart w:id="45" w:name="_Toc98813561"/>
      <w:bookmarkStart w:id="46" w:name="_Toc101048074"/>
      <w:r w:rsidRPr="00AB65D6">
        <w:t>Pasteuria  penetrans</w:t>
      </w:r>
      <w:bookmarkEnd w:id="43"/>
      <w:bookmarkEnd w:id="44"/>
      <w:bookmarkEnd w:id="45"/>
      <w:bookmarkEnd w:id="46"/>
    </w:p>
    <w:p w14:paraId="57667786" w14:textId="6A75A733" w:rsidR="00D20476" w:rsidRPr="008E2CD0" w:rsidRDefault="00AB65D6" w:rsidP="00D20476">
      <w:pPr>
        <w:pStyle w:val="ListParagraph"/>
        <w:tabs>
          <w:tab w:val="left" w:pos="270"/>
        </w:tabs>
        <w:spacing w:line="360" w:lineRule="auto"/>
        <w:ind w:left="720"/>
        <w:rPr>
          <w:rStyle w:val="indexed-hide"/>
          <w:rFonts w:cs="Times New Roman"/>
          <w:b/>
          <w:szCs w:val="24"/>
          <w:shd w:val="clear" w:color="auto" w:fill="FFFFFF"/>
        </w:rPr>
      </w:pPr>
      <w:r>
        <w:rPr>
          <w:rStyle w:val="indexed-hide"/>
          <w:rFonts w:cs="Times New Roman"/>
          <w:iCs/>
          <w:szCs w:val="24"/>
          <w:shd w:val="clear" w:color="auto" w:fill="FFFFFF"/>
        </w:rPr>
        <w:tab/>
      </w:r>
      <w:r w:rsidR="00D20476" w:rsidRPr="008E2CD0">
        <w:rPr>
          <w:rStyle w:val="indexed-hide"/>
          <w:rFonts w:cs="Times New Roman"/>
          <w:iCs/>
          <w:szCs w:val="24"/>
          <w:shd w:val="clear" w:color="auto" w:fill="FFFFFF"/>
        </w:rPr>
        <w:t>Many reports have indicated the biological control activit</w:t>
      </w:r>
      <w:r w:rsidR="00D20476">
        <w:rPr>
          <w:rStyle w:val="indexed-hide"/>
          <w:rFonts w:cs="Times New Roman"/>
          <w:iCs/>
          <w:szCs w:val="24"/>
          <w:shd w:val="clear" w:color="auto" w:fill="FFFFFF"/>
        </w:rPr>
        <w:t>y</w:t>
      </w:r>
      <w:r w:rsidR="00D20476" w:rsidRPr="008E2CD0">
        <w:rPr>
          <w:rStyle w:val="indexed-hide"/>
          <w:rFonts w:cs="Times New Roman"/>
          <w:iCs/>
          <w:szCs w:val="24"/>
          <w:shd w:val="clear" w:color="auto" w:fill="FFFFFF"/>
        </w:rPr>
        <w:t xml:space="preserve"> of </w:t>
      </w:r>
      <w:r w:rsidR="00D20476" w:rsidRPr="008E2CD0">
        <w:rPr>
          <w:rStyle w:val="indexed-hide"/>
          <w:rFonts w:cs="Times New Roman"/>
          <w:i/>
          <w:iCs/>
          <w:szCs w:val="24"/>
          <w:shd w:val="clear" w:color="auto" w:fill="FFFFFF"/>
        </w:rPr>
        <w:t>P. penetrans</w:t>
      </w:r>
      <w:r w:rsidR="00D20476" w:rsidRPr="008E2CD0">
        <w:rPr>
          <w:rStyle w:val="indexed-hide"/>
          <w:rFonts w:cs="Times New Roman"/>
          <w:iCs/>
          <w:szCs w:val="24"/>
          <w:shd w:val="clear" w:color="auto" w:fill="FFFFFF"/>
        </w:rPr>
        <w:t xml:space="preserve"> against RKN (</w:t>
      </w:r>
      <w:r w:rsidR="00D20476" w:rsidRPr="008E2CD0">
        <w:rPr>
          <w:rFonts w:cs="Times New Roman"/>
          <w:szCs w:val="24"/>
          <w:shd w:val="clear" w:color="auto" w:fill="FFFFFF"/>
        </w:rPr>
        <w:t>Mankau, 1975; Brown and Smart, 1985; Sayre, 1980).</w:t>
      </w:r>
      <w:r w:rsidR="00D20476" w:rsidRPr="008E2CD0">
        <w:rPr>
          <w:rStyle w:val="indexed-hide"/>
          <w:rFonts w:cs="Times New Roman"/>
          <w:iCs/>
          <w:szCs w:val="24"/>
          <w:shd w:val="clear" w:color="auto" w:fill="FFFFFF"/>
        </w:rPr>
        <w:t xml:space="preserve">  </w:t>
      </w:r>
      <w:r w:rsidR="00D20476" w:rsidRPr="008E2CD0">
        <w:rPr>
          <w:rFonts w:cs="Times New Roman"/>
          <w:szCs w:val="24"/>
          <w:shd w:val="clear" w:color="auto" w:fill="FFFFFF"/>
        </w:rPr>
        <w:t xml:space="preserve">Brown and Smart (1985) reported that about 20 spores/RKN juvenile inhibited tomato root infection by RKN. At seven days after inoculation, the spores prevent RKN gall formation by over 500%, and at 21 days, root penetration was inhibited by over 1,000%. The bacterial spores were more effective against </w:t>
      </w:r>
      <w:r w:rsidR="00D20476" w:rsidRPr="008E2CD0">
        <w:rPr>
          <w:rFonts w:cs="Times New Roman"/>
          <w:i/>
          <w:szCs w:val="24"/>
          <w:shd w:val="clear" w:color="auto" w:fill="FFFFFF"/>
        </w:rPr>
        <w:t>M. javanica</w:t>
      </w:r>
      <w:r w:rsidR="00D20476" w:rsidRPr="008E2CD0">
        <w:rPr>
          <w:rFonts w:cs="Times New Roman"/>
          <w:szCs w:val="24"/>
          <w:shd w:val="clear" w:color="auto" w:fill="FFFFFF"/>
        </w:rPr>
        <w:t xml:space="preserve"> than against </w:t>
      </w:r>
      <w:r w:rsidR="00D20476" w:rsidRPr="008E2CD0">
        <w:rPr>
          <w:rFonts w:cs="Times New Roman"/>
          <w:i/>
          <w:szCs w:val="24"/>
          <w:shd w:val="clear" w:color="auto" w:fill="FFFFFF"/>
        </w:rPr>
        <w:t>M. incognita</w:t>
      </w:r>
      <w:r w:rsidR="00D20476" w:rsidRPr="008E2CD0">
        <w:rPr>
          <w:rFonts w:cs="Times New Roman"/>
          <w:szCs w:val="24"/>
          <w:shd w:val="clear" w:color="auto" w:fill="FFFFFF"/>
        </w:rPr>
        <w:t xml:space="preserve"> and </w:t>
      </w:r>
      <w:r w:rsidR="00D20476" w:rsidRPr="008E2CD0">
        <w:rPr>
          <w:rFonts w:cs="Times New Roman"/>
          <w:i/>
          <w:szCs w:val="24"/>
          <w:shd w:val="clear" w:color="auto" w:fill="FFFFFF"/>
        </w:rPr>
        <w:t>M. arenaria</w:t>
      </w:r>
      <w:r w:rsidR="00D20476" w:rsidRPr="008E2CD0">
        <w:rPr>
          <w:rFonts w:cs="Times New Roman"/>
          <w:szCs w:val="24"/>
          <w:shd w:val="clear" w:color="auto" w:fill="FFFFFF"/>
        </w:rPr>
        <w:t xml:space="preserve">. </w:t>
      </w:r>
    </w:p>
    <w:p w14:paraId="11043536" w14:textId="77777777" w:rsidR="00D20476" w:rsidRDefault="00D20476" w:rsidP="00D122A6">
      <w:pPr>
        <w:pStyle w:val="Heading3"/>
        <w:rPr>
          <w:rStyle w:val="indexed-hide"/>
        </w:rPr>
      </w:pPr>
      <w:bookmarkStart w:id="47" w:name="_Toc98812692"/>
      <w:bookmarkStart w:id="48" w:name="_Toc98812900"/>
      <w:bookmarkStart w:id="49" w:name="_Toc98813566"/>
    </w:p>
    <w:p w14:paraId="697A10D0" w14:textId="77777777" w:rsidR="00D20476" w:rsidRPr="008E2CD0" w:rsidRDefault="00D20476" w:rsidP="00D122A6">
      <w:pPr>
        <w:pStyle w:val="Heading3"/>
        <w:rPr>
          <w:rStyle w:val="indexed-hide"/>
        </w:rPr>
      </w:pPr>
      <w:bookmarkStart w:id="50" w:name="_Toc101048075"/>
      <w:r w:rsidRPr="008E2CD0">
        <w:rPr>
          <w:rStyle w:val="indexed-hide"/>
        </w:rPr>
        <w:t xml:space="preserve">Bacillus </w:t>
      </w:r>
      <w:r w:rsidRPr="00FC12AC">
        <w:rPr>
          <w:rStyle w:val="indexed-hide"/>
        </w:rPr>
        <w:t>spp</w:t>
      </w:r>
      <w:r w:rsidRPr="008E2CD0">
        <w:rPr>
          <w:rStyle w:val="indexed-hide"/>
        </w:rPr>
        <w:t>.</w:t>
      </w:r>
      <w:bookmarkEnd w:id="47"/>
      <w:bookmarkEnd w:id="48"/>
      <w:bookmarkEnd w:id="49"/>
      <w:bookmarkEnd w:id="50"/>
    </w:p>
    <w:p w14:paraId="0AE3DE3F" w14:textId="3B119946" w:rsidR="00D20476" w:rsidRPr="008E2CD0" w:rsidRDefault="00D20476" w:rsidP="002E4580">
      <w:pPr>
        <w:pStyle w:val="ListParagraph"/>
        <w:tabs>
          <w:tab w:val="left" w:pos="270"/>
        </w:tabs>
        <w:spacing w:line="360" w:lineRule="auto"/>
        <w:ind w:left="720"/>
        <w:rPr>
          <w:rStyle w:val="indexed-hide"/>
          <w:rFonts w:cs="Times New Roman"/>
          <w:szCs w:val="24"/>
          <w:shd w:val="clear" w:color="auto" w:fill="FFFFFF"/>
        </w:rPr>
      </w:pPr>
      <w:r w:rsidRPr="008E2CD0">
        <w:rPr>
          <w:rStyle w:val="indexed-hide"/>
          <w:rFonts w:cs="Times New Roman"/>
          <w:szCs w:val="24"/>
          <w:shd w:val="clear" w:color="auto" w:fill="FFFFFF"/>
        </w:rPr>
        <w:tab/>
        <w:t xml:space="preserve">Numerous strains of </w:t>
      </w:r>
      <w:r w:rsidRPr="008E2CD0">
        <w:rPr>
          <w:rStyle w:val="indexed-hide"/>
          <w:rFonts w:cs="Times New Roman"/>
          <w:i/>
          <w:szCs w:val="24"/>
          <w:shd w:val="clear" w:color="auto" w:fill="FFFFFF"/>
        </w:rPr>
        <w:t xml:space="preserve">Bacillus </w:t>
      </w:r>
      <w:r w:rsidRPr="008E2CD0">
        <w:rPr>
          <w:rStyle w:val="indexed-hide"/>
          <w:rFonts w:cs="Times New Roman"/>
          <w:szCs w:val="24"/>
          <w:shd w:val="clear" w:color="auto" w:fill="FFFFFF"/>
        </w:rPr>
        <w:t>species</w:t>
      </w:r>
      <w:r w:rsidRPr="008E2CD0">
        <w:rPr>
          <w:rStyle w:val="indexed-hide"/>
          <w:rFonts w:cs="Times New Roman"/>
          <w:i/>
          <w:szCs w:val="24"/>
          <w:shd w:val="clear" w:color="auto" w:fill="FFFFFF"/>
        </w:rPr>
        <w:t xml:space="preserve"> </w:t>
      </w:r>
      <w:r w:rsidRPr="008E2CD0">
        <w:rPr>
          <w:rStyle w:val="indexed-hide"/>
          <w:rFonts w:cs="Times New Roman"/>
          <w:szCs w:val="24"/>
          <w:shd w:val="clear" w:color="auto" w:fill="FFFFFF"/>
        </w:rPr>
        <w:t xml:space="preserve">are known for controlling plant-parasitic nematodes. They are attractive biological bacteria due to their heat and desiccation-tolerant endospores. This structure gives </w:t>
      </w:r>
      <w:r w:rsidRPr="008E2CD0">
        <w:rPr>
          <w:rStyle w:val="indexed-hide"/>
          <w:rFonts w:cs="Times New Roman"/>
          <w:i/>
          <w:szCs w:val="24"/>
          <w:shd w:val="clear" w:color="auto" w:fill="FFFFFF"/>
        </w:rPr>
        <w:t>Bacillus</w:t>
      </w:r>
      <w:r w:rsidRPr="008E2CD0">
        <w:rPr>
          <w:rStyle w:val="indexed-hide"/>
          <w:rFonts w:cs="Times New Roman"/>
          <w:szCs w:val="24"/>
          <w:shd w:val="clear" w:color="auto" w:fill="FFFFFF"/>
        </w:rPr>
        <w:t xml:space="preserve">-based products the ability to survive under extreme conditions and a long shelf-life. </w:t>
      </w:r>
      <w:r w:rsidRPr="008E2CD0">
        <w:rPr>
          <w:rStyle w:val="indexed-hide"/>
          <w:rFonts w:cs="Times New Roman"/>
          <w:i/>
          <w:szCs w:val="24"/>
          <w:shd w:val="clear" w:color="auto" w:fill="FFFFFF"/>
        </w:rPr>
        <w:t>B</w:t>
      </w:r>
      <w:r>
        <w:rPr>
          <w:rStyle w:val="indexed-hide"/>
          <w:rFonts w:cs="Times New Roman"/>
          <w:i/>
          <w:szCs w:val="24"/>
          <w:shd w:val="clear" w:color="auto" w:fill="FFFFFF"/>
        </w:rPr>
        <w:t>acillus</w:t>
      </w:r>
      <w:r w:rsidRPr="008E2CD0">
        <w:rPr>
          <w:rStyle w:val="indexed-hide"/>
          <w:rFonts w:cs="Times New Roman"/>
          <w:i/>
          <w:szCs w:val="24"/>
          <w:shd w:val="clear" w:color="auto" w:fill="FFFFFF"/>
        </w:rPr>
        <w:t xml:space="preserve">. thuringiensis, B. subtilis, B. firmus, </w:t>
      </w:r>
      <w:r w:rsidRPr="00FC12AC">
        <w:rPr>
          <w:rStyle w:val="indexed-hide"/>
          <w:shd w:val="clear" w:color="auto" w:fill="FFFFFF"/>
        </w:rPr>
        <w:t>and</w:t>
      </w:r>
      <w:r w:rsidRPr="008E2CD0">
        <w:rPr>
          <w:rStyle w:val="indexed-hide"/>
          <w:rFonts w:cs="Times New Roman"/>
          <w:i/>
          <w:szCs w:val="24"/>
          <w:shd w:val="clear" w:color="auto" w:fill="FFFFFF"/>
        </w:rPr>
        <w:t xml:space="preserve"> B. amyloliqufaciens </w:t>
      </w:r>
      <w:r w:rsidRPr="008E2CD0">
        <w:rPr>
          <w:rStyle w:val="indexed-hide"/>
          <w:rFonts w:cs="Times New Roman"/>
          <w:szCs w:val="24"/>
          <w:shd w:val="clear" w:color="auto" w:fill="FFFFFF"/>
        </w:rPr>
        <w:t xml:space="preserve">are the most common </w:t>
      </w:r>
      <w:r>
        <w:rPr>
          <w:rStyle w:val="indexed-hide"/>
          <w:rFonts w:cs="Times New Roman"/>
          <w:szCs w:val="24"/>
          <w:shd w:val="clear" w:color="auto" w:fill="FFFFFF"/>
        </w:rPr>
        <w:t xml:space="preserve">species used in </w:t>
      </w:r>
      <w:r w:rsidRPr="008E2CD0">
        <w:rPr>
          <w:rStyle w:val="indexed-hide"/>
          <w:rFonts w:cs="Times New Roman"/>
          <w:szCs w:val="24"/>
          <w:shd w:val="clear" w:color="auto" w:fill="FFFFFF"/>
        </w:rPr>
        <w:t>biological control</w:t>
      </w:r>
      <w:r>
        <w:rPr>
          <w:rStyle w:val="indexed-hide"/>
          <w:rFonts w:cs="Times New Roman"/>
          <w:szCs w:val="24"/>
          <w:shd w:val="clear" w:color="auto" w:fill="FFFFFF"/>
        </w:rPr>
        <w:t>.</w:t>
      </w:r>
      <w:r w:rsidRPr="007A4D90">
        <w:rPr>
          <w:rStyle w:val="indexed-hide"/>
          <w:i/>
          <w:shd w:val="clear" w:color="auto" w:fill="FFFFFF"/>
        </w:rPr>
        <w:t xml:space="preserve"> </w:t>
      </w:r>
      <w:r w:rsidRPr="008E2CD0">
        <w:rPr>
          <w:rStyle w:val="indexed-hide"/>
          <w:rFonts w:cs="Times New Roman"/>
          <w:szCs w:val="24"/>
          <w:shd w:val="clear" w:color="auto" w:fill="FFFFFF"/>
        </w:rPr>
        <w:t>A</w:t>
      </w:r>
      <w:r>
        <w:rPr>
          <w:rStyle w:val="indexed-hide"/>
          <w:rFonts w:cs="Times New Roman"/>
          <w:i/>
          <w:szCs w:val="24"/>
          <w:shd w:val="clear" w:color="auto" w:fill="FFFFFF"/>
        </w:rPr>
        <w:t xml:space="preserve"> </w:t>
      </w:r>
      <w:r w:rsidRPr="007A4D90">
        <w:rPr>
          <w:rStyle w:val="indexed-hide"/>
          <w:rFonts w:cs="Times New Roman"/>
          <w:szCs w:val="24"/>
          <w:shd w:val="clear" w:color="auto" w:fill="FFFFFF"/>
        </w:rPr>
        <w:t>strain of</w:t>
      </w:r>
      <w:r>
        <w:rPr>
          <w:rStyle w:val="indexed-hide"/>
          <w:rFonts w:cs="Times New Roman"/>
          <w:i/>
          <w:szCs w:val="24"/>
          <w:shd w:val="clear" w:color="auto" w:fill="FFFFFF"/>
        </w:rPr>
        <w:t xml:space="preserve"> </w:t>
      </w:r>
      <w:r w:rsidRPr="008E2CD0">
        <w:rPr>
          <w:rStyle w:val="indexed-hide"/>
          <w:rFonts w:cs="Times New Roman"/>
          <w:i/>
          <w:szCs w:val="24"/>
          <w:shd w:val="clear" w:color="auto" w:fill="FFFFFF"/>
        </w:rPr>
        <w:t>B. thuringensis</w:t>
      </w:r>
      <w:r>
        <w:rPr>
          <w:rStyle w:val="indexed-hide"/>
          <w:rFonts w:cs="Times New Roman"/>
          <w:szCs w:val="24"/>
          <w:shd w:val="clear" w:color="auto" w:fill="FFFFFF"/>
        </w:rPr>
        <w:t xml:space="preserve"> was reported to suppress </w:t>
      </w:r>
      <w:r w:rsidRPr="008E2CD0">
        <w:rPr>
          <w:rStyle w:val="indexed-hide"/>
          <w:rFonts w:cs="Times New Roman"/>
          <w:i/>
          <w:szCs w:val="24"/>
          <w:shd w:val="clear" w:color="auto" w:fill="FFFFFF"/>
        </w:rPr>
        <w:t>M. impala</w:t>
      </w:r>
      <w:r w:rsidRPr="008E2CD0">
        <w:rPr>
          <w:rStyle w:val="indexed-hide"/>
          <w:rFonts w:cs="Times New Roman"/>
          <w:szCs w:val="24"/>
          <w:shd w:val="clear" w:color="auto" w:fill="FFFFFF"/>
        </w:rPr>
        <w:t xml:space="preserve"> on lettuce </w:t>
      </w:r>
      <w:r w:rsidRPr="008E2CD0">
        <w:rPr>
          <w:rStyle w:val="indexed-hide"/>
          <w:rFonts w:cs="Times New Roman"/>
          <w:szCs w:val="24"/>
          <w:shd w:val="clear" w:color="auto" w:fill="FFFFFF"/>
        </w:rPr>
        <w:fldChar w:fldCharType="begin" w:fldLock="1"/>
      </w:r>
      <w:r w:rsidRPr="008E2CD0">
        <w:rPr>
          <w:rStyle w:val="indexed-hide"/>
          <w:rFonts w:cs="Times New Roman"/>
          <w:szCs w:val="24"/>
          <w:shd w:val="clear" w:color="auto" w:fill="FFFFFF"/>
        </w:rPr>
        <w:instrText>ADDIN CSL_CITATION {"citationItems":[{"id":"ITEM-1","itemData":{"ISSN":"0022300X","PMID":"19270951","abstract":"Chitin, wheat mash, or brewery compost were incorporated into unfumigated and methyl bromide-fumigated organic soils placed in microplots formed from cylindrical drainage tiles (0.25 m-diam. clay tile). After 3 weeks, Meloidogyne hapla and cell or spore suspensions of Bacillus thuringiensis, Paecilomyces marquandii, and Streptomyces costaricanus were individually added to the soils of designated microplots. A B. thuringiensis + S. costaricanus combination was also tested. Lettuce seedlings, cv. Montello, were transplanted into the soils 3 to 4 days later. All the bacterial and fungal antagonists applied without a soil amendment, except the B. thuringiensis + S. costaricanus treatment, reduced root galling and increased lettuce head weight in the unfumigated organic soil, but not in the fumigated soil. All three amendments were also effective against M. hapla and reduced root galling in fumigated and unfumigated soils. Wheat mash amendment increased lettuce head weight in the unfumigated soil. In general, no antagonist x amendment interaction was detected. Soil populations of B. thuringiensis were maintained at ≥ 4.0 log10 colony-forming units/g organic soil during the first 14 days after planting. However, viable cells of B. thuringiensis were not detected after 49 days.","author":[{"dropping-particle":"","family":"Chen","given":"J.","non-dropping-particle":"","parse-names":false,"suffix":""},{"dropping-particle":"","family":"Abawi","given":"G. S.","non-dropping-particle":"","parse-names":false,"suffix":""},{"dropping-particle":"","family":"Zuckerman","given":"B. M.","non-dropping-particle":"","parse-names":false,"suffix":""}],"container-title":"Journal of Nematology","id":"ITEM-1","issue":"1","issued":{"date-parts":[["2000"]]},"page":"70-77","title":"Efficacy of Bacillus thuringiensis, Paecilomyces marquandii, and Streptomyces costaricanus with and without organic amendments against Meloidogyne hapla infecting lettuce","type":"article-journal","volume":"32"},"uris":["http://www.mendeley.com/documents/?uuid=826c70ab-2329-4f1b-b7bf-b293658555a1"]}],"mendeley":{"formattedCitation":"(Chen et al., 2000)","plainTextFormattedCitation":"(Chen et al., 2000)","previouslyFormattedCitation":"(Chen et al., 2000)"},"properties":{"noteIndex":0},"schema":"https://github.com/citation-style-language/schema/raw/master/csl-citation.json"}</w:instrText>
      </w:r>
      <w:r w:rsidRPr="008E2CD0">
        <w:rPr>
          <w:rStyle w:val="indexed-hide"/>
          <w:rFonts w:cs="Times New Roman"/>
          <w:szCs w:val="24"/>
          <w:shd w:val="clear" w:color="auto" w:fill="FFFFFF"/>
        </w:rPr>
        <w:fldChar w:fldCharType="separate"/>
      </w:r>
      <w:r w:rsidRPr="008E2CD0">
        <w:rPr>
          <w:rStyle w:val="indexed-hide"/>
          <w:rFonts w:cs="Times New Roman"/>
          <w:noProof/>
          <w:szCs w:val="24"/>
          <w:shd w:val="clear" w:color="auto" w:fill="FFFFFF"/>
        </w:rPr>
        <w:t>(Chen et al., 2000)</w:t>
      </w:r>
      <w:r w:rsidRPr="008E2CD0">
        <w:rPr>
          <w:rStyle w:val="indexed-hide"/>
          <w:rFonts w:cs="Times New Roman"/>
          <w:szCs w:val="24"/>
          <w:shd w:val="clear" w:color="auto" w:fill="FFFFFF"/>
        </w:rPr>
        <w:fldChar w:fldCharType="end"/>
      </w:r>
      <w:r>
        <w:rPr>
          <w:rStyle w:val="indexed-hide"/>
          <w:rFonts w:cs="Times New Roman"/>
          <w:szCs w:val="24"/>
          <w:shd w:val="clear" w:color="auto" w:fill="FFFFFF"/>
        </w:rPr>
        <w:t xml:space="preserve">. Likewise, </w:t>
      </w:r>
      <w:r w:rsidRPr="008E2CD0">
        <w:rPr>
          <w:rStyle w:val="indexed-hide"/>
          <w:rFonts w:cs="Times New Roman"/>
          <w:i/>
          <w:szCs w:val="24"/>
          <w:shd w:val="clear" w:color="auto" w:fill="FFFFFF"/>
        </w:rPr>
        <w:t xml:space="preserve">B. subtilis </w:t>
      </w:r>
      <w:r w:rsidRPr="007A4D90">
        <w:rPr>
          <w:rStyle w:val="indexed-hide"/>
          <w:shd w:val="clear" w:color="auto" w:fill="FFFFFF"/>
        </w:rPr>
        <w:t>strain</w:t>
      </w:r>
      <w:r w:rsidRPr="008E2CD0">
        <w:rPr>
          <w:rStyle w:val="indexed-hide"/>
          <w:rFonts w:cs="Times New Roman"/>
          <w:szCs w:val="24"/>
          <w:shd w:val="clear" w:color="auto" w:fill="FFFFFF"/>
        </w:rPr>
        <w:t xml:space="preserve"> GBO3 and </w:t>
      </w:r>
      <w:r w:rsidRPr="008E2CD0">
        <w:rPr>
          <w:rStyle w:val="indexed-hide"/>
          <w:rFonts w:cs="Times New Roman"/>
          <w:i/>
          <w:szCs w:val="24"/>
          <w:shd w:val="clear" w:color="auto" w:fill="FFFFFF"/>
        </w:rPr>
        <w:t xml:space="preserve">B. cereus </w:t>
      </w:r>
      <w:r w:rsidRPr="007A4D90">
        <w:rPr>
          <w:rStyle w:val="indexed-hide"/>
          <w:shd w:val="clear" w:color="auto" w:fill="FFFFFF"/>
        </w:rPr>
        <w:t>strain</w:t>
      </w:r>
      <w:r w:rsidRPr="008E2CD0">
        <w:rPr>
          <w:rStyle w:val="indexed-hide"/>
          <w:rFonts w:cs="Times New Roman"/>
          <w:i/>
          <w:szCs w:val="24"/>
          <w:shd w:val="clear" w:color="auto" w:fill="FFFFFF"/>
        </w:rPr>
        <w:t xml:space="preserve"> </w:t>
      </w:r>
      <w:r w:rsidRPr="008E2CD0">
        <w:rPr>
          <w:rStyle w:val="indexed-hide"/>
          <w:rFonts w:cs="Times New Roman"/>
          <w:szCs w:val="24"/>
          <w:shd w:val="clear" w:color="auto" w:fill="FFFFFF"/>
        </w:rPr>
        <w:t xml:space="preserve">C4 reduced </w:t>
      </w:r>
      <w:r>
        <w:rPr>
          <w:rStyle w:val="indexed-hide"/>
          <w:rFonts w:cs="Times New Roman"/>
          <w:szCs w:val="24"/>
          <w:shd w:val="clear" w:color="auto" w:fill="FFFFFF"/>
        </w:rPr>
        <w:t>the number of</w:t>
      </w:r>
      <w:r w:rsidRPr="008E2CD0">
        <w:rPr>
          <w:rStyle w:val="indexed-hide"/>
          <w:rFonts w:cs="Times New Roman"/>
          <w:szCs w:val="24"/>
          <w:shd w:val="clear" w:color="auto" w:fill="FFFFFF"/>
        </w:rPr>
        <w:t xml:space="preserve"> </w:t>
      </w:r>
      <w:r w:rsidRPr="008E2CD0">
        <w:rPr>
          <w:rStyle w:val="indexed-hide"/>
          <w:rFonts w:cs="Times New Roman"/>
          <w:i/>
          <w:szCs w:val="24"/>
          <w:shd w:val="clear" w:color="auto" w:fill="FFFFFF"/>
        </w:rPr>
        <w:t>M. incognita</w:t>
      </w:r>
      <w:r w:rsidRPr="008E2CD0">
        <w:rPr>
          <w:rStyle w:val="indexed-hide"/>
          <w:rFonts w:cs="Times New Roman"/>
          <w:szCs w:val="24"/>
          <w:shd w:val="clear" w:color="auto" w:fill="FFFFFF"/>
        </w:rPr>
        <w:t xml:space="preserve"> root galls on pepper (</w:t>
      </w:r>
      <w:r w:rsidRPr="008E2CD0">
        <w:rPr>
          <w:rStyle w:val="indexed-hide"/>
          <w:rFonts w:cs="Times New Roman"/>
          <w:szCs w:val="24"/>
          <w:shd w:val="clear" w:color="auto" w:fill="FFFFFF"/>
        </w:rPr>
        <w:fldChar w:fldCharType="begin" w:fldLock="1"/>
      </w:r>
      <w:r>
        <w:rPr>
          <w:rStyle w:val="indexed-hide"/>
          <w:rFonts w:cs="Times New Roman"/>
          <w:szCs w:val="24"/>
          <w:shd w:val="clear" w:color="auto" w:fill="FFFFFF"/>
        </w:rPr>
        <w:instrText>ADDIN CSL_CITATION {"citationItems":[{"id":"ITEM-1","itemData":{"author":[{"dropping-particle":"","family":"Kokalis-Burelle","given":"N","non-dropping-particle":"","parse-names":false,"suffix":""},{"dropping-particle":"","family":"Vavrina","given":"CS","non-dropping-particle":"","parse-names":false,"suffix":""},{"dropping-particle":"","family":"Rosskopf","given":"EN","non-dropping-particle":"","parse-names":false,"suffix":""},{"dropping-particle":"","family":"Shelby","given":"RA","non-dropping-particle":"","parse-names":false,"suffix":""}],"container-title":"Plant and Soil","id":"ITEM-1","issue":"2","issued":{"date-parts":[["2002"]]},"page":"257-266","title":"Field evaluation of plant growth-promoting Rhizobacteria amended transplant mixes and soil solarization for tomato and pepper production in Florida Author ( s ): N . Kokalis-Burelle , C . S . Vavrina , E . N . Rosskopf and R . A . Shelby Published by : Sp","type":"article-journal","volume":"238"},"uris":["http://www.mendeley.com/documents/?uuid=a0402234-cfb2-4e5f-9956-aea9106a9c4c"]}],"mendeley":{"formattedCitation":"(Kokalis-Burelle et al., 2002)","manualFormatting":"Kokalis-Burelle et al., 2002)","plainTextFormattedCitation":"(Kokalis-Burelle et al., 2002)","previouslyFormattedCitation":"(Kokalis-Burelle et al., 2002)"},"properties":{"noteIndex":0},"schema":"https://github.com/citation-style-language/schema/raw/master/csl-citation.json"}</w:instrText>
      </w:r>
      <w:r w:rsidRPr="008E2CD0">
        <w:rPr>
          <w:rStyle w:val="indexed-hide"/>
          <w:rFonts w:cs="Times New Roman"/>
          <w:szCs w:val="24"/>
          <w:shd w:val="clear" w:color="auto" w:fill="FFFFFF"/>
        </w:rPr>
        <w:fldChar w:fldCharType="separate"/>
      </w:r>
      <w:r w:rsidRPr="008E2CD0">
        <w:rPr>
          <w:rStyle w:val="indexed-hide"/>
          <w:rFonts w:cs="Times New Roman"/>
          <w:noProof/>
          <w:szCs w:val="24"/>
          <w:shd w:val="clear" w:color="auto" w:fill="FFFFFF"/>
        </w:rPr>
        <w:t>Kokalis-Burelle et al., 2002)</w:t>
      </w:r>
      <w:r w:rsidRPr="008E2CD0">
        <w:rPr>
          <w:rStyle w:val="indexed-hide"/>
          <w:rFonts w:cs="Times New Roman"/>
          <w:szCs w:val="24"/>
          <w:shd w:val="clear" w:color="auto" w:fill="FFFFFF"/>
        </w:rPr>
        <w:fldChar w:fldCharType="end"/>
      </w:r>
      <w:r w:rsidRPr="008E2CD0">
        <w:rPr>
          <w:rStyle w:val="indexed-hide"/>
          <w:rFonts w:cs="Times New Roman"/>
          <w:szCs w:val="24"/>
          <w:shd w:val="clear" w:color="auto" w:fill="FFFFFF"/>
        </w:rPr>
        <w:t xml:space="preserve">. A formulation containing </w:t>
      </w:r>
      <w:r w:rsidRPr="008E2CD0">
        <w:rPr>
          <w:rStyle w:val="indexed-hide"/>
          <w:rFonts w:cs="Times New Roman"/>
          <w:i/>
          <w:szCs w:val="24"/>
          <w:shd w:val="clear" w:color="auto" w:fill="FFFFFF"/>
        </w:rPr>
        <w:t xml:space="preserve">B. subtilis </w:t>
      </w:r>
      <w:r w:rsidRPr="007A4D90">
        <w:rPr>
          <w:rStyle w:val="indexed-hide"/>
          <w:shd w:val="clear" w:color="auto" w:fill="FFFFFF"/>
        </w:rPr>
        <w:t>strain</w:t>
      </w:r>
      <w:r w:rsidRPr="008E2CD0">
        <w:rPr>
          <w:rStyle w:val="indexed-hide"/>
          <w:rFonts w:cs="Times New Roman"/>
          <w:szCs w:val="24"/>
          <w:shd w:val="clear" w:color="auto" w:fill="FFFFFF"/>
        </w:rPr>
        <w:t xml:space="preserve"> GB03, </w:t>
      </w:r>
      <w:r w:rsidRPr="008E2CD0">
        <w:rPr>
          <w:rStyle w:val="indexed-hide"/>
          <w:rFonts w:cs="Times New Roman"/>
          <w:i/>
          <w:szCs w:val="24"/>
          <w:shd w:val="clear" w:color="auto" w:fill="FFFFFF"/>
        </w:rPr>
        <w:t>B. amylolifaciens</w:t>
      </w:r>
      <w:r w:rsidRPr="008E2CD0">
        <w:rPr>
          <w:rStyle w:val="indexed-hide"/>
          <w:rFonts w:cs="Times New Roman"/>
          <w:szCs w:val="24"/>
          <w:shd w:val="clear" w:color="auto" w:fill="FFFFFF"/>
        </w:rPr>
        <w:t xml:space="preserve"> strain GB99, and chitin reduced RKN gall</w:t>
      </w:r>
      <w:r>
        <w:rPr>
          <w:rStyle w:val="indexed-hide"/>
          <w:rFonts w:cs="Times New Roman"/>
          <w:szCs w:val="24"/>
          <w:shd w:val="clear" w:color="auto" w:fill="FFFFFF"/>
        </w:rPr>
        <w:t xml:space="preserve"> number</w:t>
      </w:r>
      <w:r w:rsidRPr="008E2CD0">
        <w:rPr>
          <w:rStyle w:val="indexed-hide"/>
          <w:rFonts w:cs="Times New Roman"/>
          <w:szCs w:val="24"/>
          <w:shd w:val="clear" w:color="auto" w:fill="FFFFFF"/>
        </w:rPr>
        <w:t>s</w:t>
      </w:r>
      <w:r>
        <w:rPr>
          <w:rStyle w:val="indexed-hide"/>
          <w:rFonts w:cs="Times New Roman"/>
          <w:szCs w:val="24"/>
          <w:shd w:val="clear" w:color="auto" w:fill="FFFFFF"/>
        </w:rPr>
        <w:t xml:space="preserve"> on tomatoes. A </w:t>
      </w:r>
      <w:r w:rsidRPr="008E2CD0">
        <w:rPr>
          <w:rStyle w:val="indexed-hide"/>
          <w:rFonts w:cs="Times New Roman"/>
          <w:szCs w:val="24"/>
          <w:shd w:val="clear" w:color="auto" w:fill="FFFFFF"/>
        </w:rPr>
        <w:t xml:space="preserve">strain of </w:t>
      </w:r>
      <w:r w:rsidRPr="008E2CD0">
        <w:rPr>
          <w:rStyle w:val="indexed-hide"/>
          <w:rFonts w:cs="Times New Roman"/>
          <w:i/>
          <w:szCs w:val="24"/>
          <w:shd w:val="clear" w:color="auto" w:fill="FFFFFF"/>
        </w:rPr>
        <w:t>B. firmus</w:t>
      </w:r>
      <w:r w:rsidRPr="008E2CD0">
        <w:rPr>
          <w:rStyle w:val="indexed-hide"/>
          <w:rFonts w:cs="Times New Roman"/>
          <w:szCs w:val="24"/>
          <w:shd w:val="clear" w:color="auto" w:fill="FFFFFF"/>
        </w:rPr>
        <w:t xml:space="preserve"> significantly paralyzed or kill juveniles of </w:t>
      </w:r>
      <w:r w:rsidRPr="008E2CD0">
        <w:rPr>
          <w:rStyle w:val="indexed-hide"/>
          <w:rFonts w:cs="Times New Roman"/>
          <w:i/>
          <w:szCs w:val="24"/>
          <w:shd w:val="clear" w:color="auto" w:fill="FFFFFF"/>
        </w:rPr>
        <w:t>Radopholus similis</w:t>
      </w:r>
      <w:r w:rsidRPr="008E2CD0">
        <w:rPr>
          <w:rStyle w:val="indexed-hide"/>
          <w:rFonts w:cs="Times New Roman"/>
          <w:szCs w:val="24"/>
          <w:shd w:val="clear" w:color="auto" w:fill="FFFFFF"/>
        </w:rPr>
        <w:t>,</w:t>
      </w:r>
      <w:r w:rsidRPr="008E2CD0">
        <w:rPr>
          <w:rStyle w:val="indexed-hide"/>
          <w:rFonts w:cs="Times New Roman"/>
          <w:i/>
          <w:szCs w:val="24"/>
          <w:shd w:val="clear" w:color="auto" w:fill="FFFFFF"/>
        </w:rPr>
        <w:t xml:space="preserve"> M. incognita</w:t>
      </w:r>
      <w:r w:rsidR="004035F8">
        <w:rPr>
          <w:rStyle w:val="indexed-hide"/>
          <w:rFonts w:cs="Times New Roman"/>
          <w:i/>
          <w:szCs w:val="24"/>
          <w:shd w:val="clear" w:color="auto" w:fill="FFFFFF"/>
        </w:rPr>
        <w:t>,</w:t>
      </w:r>
      <w:r w:rsidRPr="008E2CD0">
        <w:rPr>
          <w:rStyle w:val="indexed-hide"/>
          <w:rFonts w:cs="Times New Roman"/>
          <w:szCs w:val="24"/>
          <w:shd w:val="clear" w:color="auto" w:fill="FFFFFF"/>
        </w:rPr>
        <w:t xml:space="preserve"> and </w:t>
      </w:r>
      <w:r w:rsidRPr="008E2CD0">
        <w:rPr>
          <w:rStyle w:val="indexed-hide"/>
          <w:rFonts w:cs="Times New Roman"/>
          <w:i/>
          <w:szCs w:val="24"/>
          <w:shd w:val="clear" w:color="auto" w:fill="FFFFFF"/>
        </w:rPr>
        <w:t xml:space="preserve">Ditylenchus dipsaci </w:t>
      </w:r>
      <w:r w:rsidRPr="008E2CD0">
        <w:rPr>
          <w:rStyle w:val="indexed-hide"/>
          <w:rFonts w:cs="Times New Roman"/>
          <w:szCs w:val="24"/>
          <w:shd w:val="clear" w:color="auto" w:fill="FFFFFF"/>
        </w:rPr>
        <w:t>after incubation in the bacterial filtrate (</w:t>
      </w:r>
      <w:r w:rsidRPr="008E2CD0">
        <w:rPr>
          <w:rStyle w:val="indexed-hide"/>
          <w:rFonts w:cs="Times New Roman"/>
          <w:szCs w:val="24"/>
          <w:shd w:val="clear" w:color="auto" w:fill="FFFFFF"/>
        </w:rPr>
        <w:fldChar w:fldCharType="begin" w:fldLock="1"/>
      </w:r>
      <w:r>
        <w:rPr>
          <w:rStyle w:val="indexed-hide"/>
          <w:rFonts w:cs="Times New Roman"/>
          <w:szCs w:val="24"/>
          <w:shd w:val="clear" w:color="auto" w:fill="FFFFFF"/>
        </w:rPr>
        <w:instrText>ADDIN CSL_CITATION {"citationItems":[{"id":"ITEM-1","itemData":{"DOI":"10.1080/09583150801952143","ISSN":"09583157","abstract":"Antagonistic bacteria have been repeatedly shown to be promising microorganisms for the biological control of sedentary and migratory endoparasitic nematodes. Depending on the bacteria involved, the mechanisms of action include: obligate parasitism, reduction in penetration, growth inhibition due to competition for nutrients and antibiosis associated with bioactive metabolites. In the present studies, the mode of action of the antagonist bacteria Bacillus firmus, isolated from a bionematicide, was evaluated. Significant rates of paralysis and mortality were detected after incubation of three nematode species in low concentrations of the pure culture filtrates following removal of the bacterial cells. The same culture filtrates also significantly reduced hatching of Meloidogyne incognita. Pure bacterial cell suspensions added to sand also reduced survival of R. similis in bioassays by 41% over the controls. The mode-of-action responsible for nematode paralysis and mortality was therefore demonstrated to be closely associated with the production of bioactive compounds secondary metabolites by the bacteria. © 2008 Taylor &amp; Francis.","author":[{"dropping-particle":"","family":"Mendoza","given":"Alexander R.","non-dropping-particle":"","parse-names":false,"suffix":""},{"dropping-particle":"","family":"Kiewnick","given":"Sebastian","non-dropping-particle":"","parse-names":false,"suffix":""},{"dropping-particle":"","family":"Sikora","given":"Richard A.","non-dropping-particle":"","parse-names":false,"suffix":""}],"container-title":"Biocontrol Science and Technology","id":"ITEM-1","issue":"4","issued":{"date-parts":[["2008"]]},"page":"377-389","title":"In vitro activity of Bacillus firmus against the burrowing nematode Radopholus similis, the root-knot nematode Meloidogyne incognita and the stem nematode Ditylenchus dipsaci","type":"article-journal","volume":"18"},"uris":["http://www.mendeley.com/documents/?uuid=dbf21792-5fb9-40fb-a59d-56a9e244c0c8"]}],"mendeley":{"formattedCitation":"(Mendoza et al., 2008)","manualFormatting":"Mendoza et al., 2008)","plainTextFormattedCitation":"(Mendoza et al., 2008)","previouslyFormattedCitation":"(Mendoza et al., 2008)"},"properties":{"noteIndex":0},"schema":"https://github.com/citation-style-language/schema/raw/master/csl-citation.json"}</w:instrText>
      </w:r>
      <w:r w:rsidRPr="008E2CD0">
        <w:rPr>
          <w:rStyle w:val="indexed-hide"/>
          <w:rFonts w:cs="Times New Roman"/>
          <w:szCs w:val="24"/>
          <w:shd w:val="clear" w:color="auto" w:fill="FFFFFF"/>
        </w:rPr>
        <w:fldChar w:fldCharType="separate"/>
      </w:r>
      <w:r w:rsidRPr="008E2CD0">
        <w:rPr>
          <w:rStyle w:val="indexed-hide"/>
          <w:rFonts w:cs="Times New Roman"/>
          <w:noProof/>
          <w:szCs w:val="24"/>
          <w:shd w:val="clear" w:color="auto" w:fill="FFFFFF"/>
        </w:rPr>
        <w:t>Mendoza et al.</w:t>
      </w:r>
      <w:r>
        <w:rPr>
          <w:rStyle w:val="indexed-hide"/>
          <w:rFonts w:cs="Times New Roman"/>
          <w:noProof/>
          <w:szCs w:val="24"/>
          <w:shd w:val="clear" w:color="auto" w:fill="FFFFFF"/>
        </w:rPr>
        <w:t>,</w:t>
      </w:r>
      <w:r w:rsidRPr="008E2CD0">
        <w:rPr>
          <w:rStyle w:val="indexed-hide"/>
          <w:rFonts w:cs="Times New Roman"/>
          <w:noProof/>
          <w:szCs w:val="24"/>
          <w:shd w:val="clear" w:color="auto" w:fill="FFFFFF"/>
        </w:rPr>
        <w:t xml:space="preserve"> 2008)</w:t>
      </w:r>
      <w:r w:rsidRPr="008E2CD0">
        <w:rPr>
          <w:rStyle w:val="indexed-hide"/>
          <w:rFonts w:cs="Times New Roman"/>
          <w:szCs w:val="24"/>
          <w:shd w:val="clear" w:color="auto" w:fill="FFFFFF"/>
        </w:rPr>
        <w:fldChar w:fldCharType="end"/>
      </w:r>
      <w:r w:rsidRPr="008E2CD0">
        <w:rPr>
          <w:rStyle w:val="indexed-hide"/>
          <w:rFonts w:cs="Times New Roman"/>
          <w:szCs w:val="24"/>
          <w:shd w:val="clear" w:color="auto" w:fill="FFFFFF"/>
        </w:rPr>
        <w:t>.</w:t>
      </w:r>
    </w:p>
    <w:p w14:paraId="62D1D2D4" w14:textId="77777777" w:rsidR="00D20476" w:rsidRPr="008E2CD0" w:rsidRDefault="00D20476" w:rsidP="00D20476">
      <w:pPr>
        <w:pStyle w:val="ListParagraph"/>
        <w:tabs>
          <w:tab w:val="left" w:pos="270"/>
        </w:tabs>
        <w:spacing w:line="360" w:lineRule="auto"/>
        <w:ind w:left="720"/>
        <w:rPr>
          <w:rStyle w:val="indexed-hide"/>
          <w:rFonts w:cs="Times New Roman"/>
          <w:szCs w:val="24"/>
          <w:shd w:val="clear" w:color="auto" w:fill="FFFFFF"/>
        </w:rPr>
      </w:pPr>
    </w:p>
    <w:p w14:paraId="2691F4D8" w14:textId="77777777" w:rsidR="00D20476" w:rsidRPr="00D122A6" w:rsidRDefault="00D20476" w:rsidP="00D122A6">
      <w:pPr>
        <w:pStyle w:val="Heading3"/>
        <w:rPr>
          <w:rStyle w:val="indexed-hide"/>
          <w:b w:val="0"/>
        </w:rPr>
      </w:pPr>
      <w:bookmarkStart w:id="51" w:name="_Toc98812693"/>
      <w:bookmarkStart w:id="52" w:name="_Toc98812901"/>
      <w:bookmarkStart w:id="53" w:name="_Toc98813567"/>
      <w:bookmarkStart w:id="54" w:name="_Toc101048076"/>
      <w:r w:rsidRPr="00D122A6">
        <w:rPr>
          <w:rStyle w:val="indexed-hide"/>
        </w:rPr>
        <w:t>Burkholderia capacia</w:t>
      </w:r>
      <w:bookmarkEnd w:id="51"/>
      <w:bookmarkEnd w:id="52"/>
      <w:bookmarkEnd w:id="53"/>
      <w:bookmarkEnd w:id="54"/>
    </w:p>
    <w:p w14:paraId="486AD68A" w14:textId="77777777" w:rsidR="00D20476" w:rsidRPr="008E2CD0" w:rsidRDefault="00D20476" w:rsidP="00D20476">
      <w:pPr>
        <w:widowControl/>
        <w:tabs>
          <w:tab w:val="left" w:pos="270"/>
        </w:tabs>
        <w:autoSpaceDE/>
        <w:autoSpaceDN/>
        <w:spacing w:line="360" w:lineRule="auto"/>
        <w:ind w:left="720"/>
        <w:rPr>
          <w:rStyle w:val="indexed-hide"/>
          <w:rFonts w:cs="Times New Roman"/>
          <w:i/>
          <w:szCs w:val="24"/>
          <w:shd w:val="clear" w:color="auto" w:fill="FFFFFF"/>
        </w:rPr>
      </w:pPr>
      <w:r w:rsidRPr="008E2CD0">
        <w:rPr>
          <w:rStyle w:val="indexed-hide"/>
          <w:rFonts w:cs="Times New Roman"/>
          <w:i/>
          <w:szCs w:val="24"/>
          <w:shd w:val="clear" w:color="auto" w:fill="FFFFFF"/>
        </w:rPr>
        <w:tab/>
      </w:r>
      <w:r w:rsidRPr="001E7F62">
        <w:rPr>
          <w:i/>
          <w:iCs/>
        </w:rPr>
        <w:t>Burkholderia</w:t>
      </w:r>
      <w:r w:rsidRPr="008E2CD0">
        <w:rPr>
          <w:rStyle w:val="indexed-hide"/>
          <w:rFonts w:cs="Times New Roman"/>
          <w:i/>
          <w:szCs w:val="24"/>
          <w:shd w:val="clear" w:color="auto" w:fill="FFFFFF"/>
        </w:rPr>
        <w:t xml:space="preserve"> capacia</w:t>
      </w:r>
      <w:r w:rsidRPr="008E2CD0">
        <w:rPr>
          <w:rStyle w:val="indexed-hide"/>
          <w:rFonts w:cs="Times New Roman"/>
          <w:szCs w:val="24"/>
          <w:shd w:val="clear" w:color="auto" w:fill="FFFFFF"/>
        </w:rPr>
        <w:t xml:space="preserve"> has been indicated for the control of plant-parasitic nematodes </w:t>
      </w:r>
      <w:r>
        <w:rPr>
          <w:rStyle w:val="indexed-hide"/>
          <w:rFonts w:cs="Times New Roman"/>
          <w:szCs w:val="24"/>
          <w:shd w:val="clear" w:color="auto" w:fill="FFFFFF"/>
        </w:rPr>
        <w:t>through</w:t>
      </w:r>
      <w:r w:rsidRPr="008E2CD0">
        <w:rPr>
          <w:rStyle w:val="indexed-hide"/>
          <w:rFonts w:cs="Times New Roman"/>
          <w:szCs w:val="24"/>
          <w:shd w:val="clear" w:color="auto" w:fill="FFFFFF"/>
        </w:rPr>
        <w:t xml:space="preserve"> a non-enzymatic antagonism. Culture filtrates of the bacterium were found to inhibit RKN egg hatching and second-stage juvenile (J2) mobility.</w:t>
      </w:r>
      <w:r>
        <w:rPr>
          <w:rStyle w:val="indexed-hide"/>
          <w:rFonts w:cs="Times New Roman"/>
          <w:szCs w:val="24"/>
          <w:shd w:val="clear" w:color="auto" w:fill="FFFFFF"/>
        </w:rPr>
        <w:t xml:space="preserve"> </w:t>
      </w:r>
      <w:r w:rsidRPr="008E2CD0">
        <w:rPr>
          <w:rStyle w:val="indexed-hide"/>
          <w:rFonts w:cs="Times New Roman"/>
          <w:szCs w:val="24"/>
          <w:shd w:val="clear" w:color="auto" w:fill="FFFFFF"/>
        </w:rPr>
        <w:t xml:space="preserve">Likewise, two strains of </w:t>
      </w:r>
      <w:r w:rsidRPr="008E2CD0">
        <w:rPr>
          <w:rStyle w:val="indexed-hide"/>
          <w:rFonts w:cs="Times New Roman"/>
          <w:i/>
          <w:szCs w:val="24"/>
          <w:shd w:val="clear" w:color="auto" w:fill="FFFFFF"/>
        </w:rPr>
        <w:t>B. capacia</w:t>
      </w:r>
      <w:r w:rsidRPr="008E2CD0">
        <w:rPr>
          <w:rStyle w:val="indexed-hide"/>
          <w:rFonts w:cs="Times New Roman"/>
          <w:szCs w:val="24"/>
          <w:shd w:val="clear" w:color="auto" w:fill="FFFFFF"/>
        </w:rPr>
        <w:t xml:space="preserve"> were reported to reduce the number of </w:t>
      </w:r>
      <w:r w:rsidRPr="008E2CD0">
        <w:rPr>
          <w:rStyle w:val="indexed-hide"/>
          <w:rFonts w:cs="Times New Roman"/>
          <w:i/>
          <w:szCs w:val="24"/>
          <w:shd w:val="clear" w:color="auto" w:fill="FFFFFF"/>
        </w:rPr>
        <w:t>M. incognita</w:t>
      </w:r>
      <w:r w:rsidRPr="008E2CD0">
        <w:rPr>
          <w:rStyle w:val="indexed-hide"/>
          <w:rFonts w:cs="Times New Roman"/>
          <w:szCs w:val="24"/>
          <w:shd w:val="clear" w:color="auto" w:fill="FFFFFF"/>
        </w:rPr>
        <w:t xml:space="preserve"> eggs on bell p</w:t>
      </w:r>
      <w:r>
        <w:rPr>
          <w:rStyle w:val="indexed-hide"/>
          <w:rFonts w:cs="Times New Roman"/>
          <w:szCs w:val="24"/>
          <w:shd w:val="clear" w:color="auto" w:fill="FFFFFF"/>
        </w:rPr>
        <w:t>ep</w:t>
      </w:r>
      <w:r w:rsidRPr="008E2CD0">
        <w:rPr>
          <w:rStyle w:val="indexed-hide"/>
          <w:rFonts w:cs="Times New Roman"/>
          <w:szCs w:val="24"/>
          <w:shd w:val="clear" w:color="auto" w:fill="FFFFFF"/>
        </w:rPr>
        <w:t xml:space="preserve">per by up to 69% </w:t>
      </w:r>
      <w:r w:rsidRPr="008E2CD0">
        <w:rPr>
          <w:rStyle w:val="indexed-hide"/>
          <w:rFonts w:cs="Times New Roman"/>
          <w:szCs w:val="24"/>
          <w:shd w:val="clear" w:color="auto" w:fill="FFFFFF"/>
        </w:rPr>
        <w:fldChar w:fldCharType="begin" w:fldLock="1"/>
      </w:r>
      <w:r>
        <w:rPr>
          <w:rStyle w:val="indexed-hide"/>
          <w:rFonts w:cs="Times New Roman"/>
          <w:szCs w:val="24"/>
          <w:shd w:val="clear" w:color="auto" w:fill="FFFFFF"/>
        </w:rPr>
        <w:instrText>ADDIN CSL_CITATION {"citationItems":[{"id":"ITEM-1","itemData":{"ISSN":"00995444","abstract":"Bell pepper (Capsicum annuum L.) seeds and seedlings were treated with three potentially beneficial microbes, applied alone and in combinations, to compare effects of these formulations on root-knot nematode (Meloidogyne incognita) populations and on plant growth in the greenhouse. Individual treatments (applied as seed coatings and seedling drenches) were formulations of Burkholderia cepacia strains Bc-2 and Bc-F, and of Trichoderma virens strain Gl-3. Combination treatments were Bc-F+Gl-3, Bc-2+Gl-3, Bc-F+Bc-2, and Bc-F+Bc-2+Gl-3. At transplanting, pepper seedlings were each inoculated with 10 000 M. incognita eggs or left uninoculated, and harvested 10 weeks later. Nonviable microbe formulations of each individual strain were also applied; these were tested only on nematode-inoculated plants. No treatment consistently affected plant growth. Numbers of eggs + second-stage juveniles (J2) per g root were significantly lower with the Bc-2, Bc-F, and Gl-3 treatments than in the untreated controls, and highest with the nonviable Gl-3 treatment. This indicates that the viable prep arations suppressed M. incognita numbers on pepper under the greenhouse test conditions. Importantly, the egg + J2 numbers recorded from combination treatments were not significantly different from untreated controls, suggesting that strain combinations decreased biocontrol effectiveness relative to applications of individual microbes.","author":[{"dropping-particle":"","family":"Meyer","given":"Susan L.F.","non-dropping-particle":"","parse-names":false,"suffix":""},{"dropping-particle":"","family":"Roberts","given":"Daniel P.","non-dropping-particle":"","parse-names":false,"suffix":""},{"dropping-particle":"","family":"Chitwood","given":"David J.","non-dropping-particle":"","parse-names":false,"suffix":""},{"dropping-particle":"","family":"Carta","given":"Lynn K.","non-dropping-particle":"","parse-names":false,"suffix":""},{"dropping-particle":"","family":"Lumsden","given":"Robert D.","non-dropping-particle":"","parse-names":false,"suffix":""},{"dropping-particle":"","family":"Mao","given":"Weili","non-dropping-particle":"","parse-names":false,"suffix":""}],"container-title":"Nematropica","id":"ITEM-1","issue":"1","issued":{"date-parts":[["2001"]]},"page":"75-86","title":"Application of Burkholderia cepacia and Trichoderma virens, alone and in combinations, against Meloidogyne incognita on bell pepper","type":"article-journal","volume":"31"},"uris":["http://www.mendeley.com/documents/?uuid=4cddeed0-0423-4c4b-8f3f-73eefa1dbdb1"]}],"mendeley":{"formattedCitation":"(S. L. F. Meyer et al., 2001)","manualFormatting":"( Meyer et al., 2001)","plainTextFormattedCitation":"(S. L. F. Meyer et al., 2001)","previouslyFormattedCitation":"(Meyer et al., 2001)"},"properties":{"noteIndex":0},"schema":"https://github.com/citation-style-language/schema/raw/master/csl-citation.json"}</w:instrText>
      </w:r>
      <w:r w:rsidRPr="008E2CD0">
        <w:rPr>
          <w:rStyle w:val="indexed-hide"/>
          <w:rFonts w:cs="Times New Roman"/>
          <w:szCs w:val="24"/>
          <w:shd w:val="clear" w:color="auto" w:fill="FFFFFF"/>
        </w:rPr>
        <w:fldChar w:fldCharType="separate"/>
      </w:r>
      <w:r w:rsidRPr="00FB5B67">
        <w:rPr>
          <w:rStyle w:val="indexed-hide"/>
          <w:rFonts w:cs="Times New Roman"/>
          <w:noProof/>
          <w:szCs w:val="24"/>
          <w:shd w:val="clear" w:color="auto" w:fill="FFFFFF"/>
        </w:rPr>
        <w:t>( Meyer et al., 2001)</w:t>
      </w:r>
      <w:r w:rsidRPr="008E2CD0">
        <w:rPr>
          <w:rStyle w:val="indexed-hide"/>
          <w:rFonts w:cs="Times New Roman"/>
          <w:szCs w:val="24"/>
          <w:shd w:val="clear" w:color="auto" w:fill="FFFFFF"/>
        </w:rPr>
        <w:fldChar w:fldCharType="end"/>
      </w:r>
      <w:r w:rsidRPr="008E2CD0">
        <w:rPr>
          <w:rStyle w:val="indexed-hide"/>
          <w:rFonts w:cs="Times New Roman"/>
          <w:szCs w:val="24"/>
          <w:shd w:val="clear" w:color="auto" w:fill="FFFFFF"/>
        </w:rPr>
        <w:t xml:space="preserve">. Also, a commercial formulation of the bacterium was reported to reduce the population of </w:t>
      </w:r>
      <w:r w:rsidRPr="008E2CD0">
        <w:rPr>
          <w:rStyle w:val="indexed-hide"/>
          <w:rFonts w:cs="Times New Roman"/>
          <w:i/>
          <w:szCs w:val="24"/>
          <w:shd w:val="clear" w:color="auto" w:fill="FFFFFF"/>
        </w:rPr>
        <w:t>Aphelenchoides fragariae</w:t>
      </w:r>
      <w:r w:rsidRPr="008E2CD0">
        <w:rPr>
          <w:rStyle w:val="indexed-hide"/>
          <w:rFonts w:cs="Times New Roman"/>
          <w:szCs w:val="24"/>
          <w:shd w:val="clear" w:color="auto" w:fill="FFFFFF"/>
        </w:rPr>
        <w:t xml:space="preserve"> on hosta foliage by up to 85% </w:t>
      </w:r>
      <w:r w:rsidRPr="008E2CD0">
        <w:rPr>
          <w:rStyle w:val="indexed-hide"/>
          <w:rFonts w:cs="Times New Roman"/>
          <w:szCs w:val="24"/>
          <w:shd w:val="clear" w:color="auto" w:fill="FFFFFF"/>
        </w:rPr>
        <w:fldChar w:fldCharType="begin" w:fldLock="1"/>
      </w:r>
      <w:r w:rsidRPr="008E2CD0">
        <w:rPr>
          <w:rStyle w:val="indexed-hide"/>
          <w:rFonts w:cs="Times New Roman"/>
          <w:szCs w:val="24"/>
          <w:shd w:val="clear" w:color="auto" w:fill="FFFFFF"/>
        </w:rPr>
        <w:instrText>ADDIN CSL_CITATION {"citationItems":[{"id":"ITEM-1","itemData":{"DOI":"10.1002/ps.472","ISSN":"1526498X","PMID":"11997971","abstract":"The foliar nematodes, Aphelenchoides spp, have emerged as important pests of ornamentals in North America during the last decade. Due to the ban on the use of potentially toxic pesticides, there are currently no nematicides registered to manage foliar nematodes on ornamentals. Therefore, we have evaluated a biological [Burkholderia cepacia (syn Pseudomonas cepacia)], two plant products [clove (Syzygium aromaticum) extract and Nimbecidine (azadirachtin)] and twelve chemical pesticides registered for the management of insects, mites, slugs or diseases of ornamentals, against Aphelenchoides fragariae on the most popular ornamental, hosta (Hosta spp), for two consecutive years. We found ZeroTol (270 g liter-1 peroxyacetic acid), currently labeled as a broad-spectrum fungicide/algicide, to be a very potent nematicide that killed 100% of the nematodes in water suspension. It also caused over 70% reduction in A fragariae population in soil and in the leaves without any phytotoxicity. B cepacia caused 67-85% reduction in A fragariae population in leaves and 50% reduction in the soil whereas insecticidal soap caused over 72% reduction in leaves and 61% reduction in the soil. Clove extract and Nimbecidine did not show any potential for the control of A fragariae on hosta. Although all twelve chemical pesticides were effective in reducing the population of A fragariae in the soil 45 days after treatment (DAT), only diazinon 475 g liter-1 EC, trichlorfon 800 g kg-1 SP, ethoprophos 100 g kg-1 GR, oxamyl 100 g kg-1 GR and ZeroTol caused over 70% reduction in nematode population compared with the control. In the leaves, only diazinon EC, trichlorfon SP, insecticidal soap, oxamyl GR and ZeroTol consistently caused over 70% nematode population reduction compared with the control at 45 DAT in both years. Thus, only diazinon EC, trichlorfon SP, oxamyl GR and ZeroTol consistently caused over 70% reduction in nematode population both in soil and leaves. Due to the recent ban by the US Environmental Protection Agency on the use of the first three of these formulations, only ZeroTol would serve as an effective tool to manage foliar nematodes in ornamentals. Although not as effective as ZeroTol in the soil, insecticidal soap is the only other alternative for foliar nematode management. © 2002 Society of Chemical Industry.","author":[{"dropping-particle":"","family":"Jagdale","given":"Ganpati B.","non-dropping-particle":"","parse-names":false,"suffix":""},{"dropping-particle":"","family":"Grewal","given":"Parwinder S.","non-dropping-particle":"","parse-names":false,"suffix":""}],"container-title":"Pest Management Science","id":"ITEM-1","issue":"5","issued":{"date-parts":[["2002"]]},"page":"451-458","title":"Identification of alternatives for the management of foliar nematodes in floriculture","type":"article-journal","volume":"58"},"uris":["http://www.mendeley.com/documents/?uuid=a5f4b1cd-9cc5-4eed-86d0-2ac68ee9ade2"]}],"mendeley":{"formattedCitation":"(Jagdale &amp; Grewal, 2002)","plainTextFormattedCitation":"(Jagdale &amp; Grewal, 2002)","previouslyFormattedCitation":"(Jagdale &amp; Grewal, 2002)"},"properties":{"noteIndex":0},"schema":"https://github.com/citation-style-language/schema/raw/master/csl-citation.json"}</w:instrText>
      </w:r>
      <w:r w:rsidRPr="008E2CD0">
        <w:rPr>
          <w:rStyle w:val="indexed-hide"/>
          <w:rFonts w:cs="Times New Roman"/>
          <w:szCs w:val="24"/>
          <w:shd w:val="clear" w:color="auto" w:fill="FFFFFF"/>
        </w:rPr>
        <w:fldChar w:fldCharType="separate"/>
      </w:r>
      <w:r w:rsidRPr="008E2CD0">
        <w:rPr>
          <w:rStyle w:val="indexed-hide"/>
          <w:rFonts w:cs="Times New Roman"/>
          <w:noProof/>
          <w:szCs w:val="24"/>
          <w:shd w:val="clear" w:color="auto" w:fill="FFFFFF"/>
        </w:rPr>
        <w:t>(Jagdale &amp; Grewal, 2002)</w:t>
      </w:r>
      <w:r w:rsidRPr="008E2CD0">
        <w:rPr>
          <w:rStyle w:val="indexed-hide"/>
          <w:rFonts w:cs="Times New Roman"/>
          <w:szCs w:val="24"/>
          <w:shd w:val="clear" w:color="auto" w:fill="FFFFFF"/>
        </w:rPr>
        <w:fldChar w:fldCharType="end"/>
      </w:r>
      <w:r w:rsidRPr="008E2CD0">
        <w:rPr>
          <w:rStyle w:val="indexed-hide"/>
          <w:rFonts w:cs="Times New Roman"/>
          <w:szCs w:val="24"/>
          <w:shd w:val="clear" w:color="auto" w:fill="FFFFFF"/>
        </w:rPr>
        <w:t xml:space="preserve">.  An additional report suggested that </w:t>
      </w:r>
      <w:r w:rsidRPr="008E2CD0">
        <w:rPr>
          <w:rStyle w:val="indexed-hide"/>
          <w:rFonts w:cs="Times New Roman"/>
          <w:i/>
          <w:szCs w:val="24"/>
          <w:shd w:val="clear" w:color="auto" w:fill="FFFFFF"/>
        </w:rPr>
        <w:t>B</w:t>
      </w:r>
      <w:r>
        <w:rPr>
          <w:rStyle w:val="indexed-hide"/>
          <w:rFonts w:cs="Times New Roman"/>
          <w:i/>
          <w:szCs w:val="24"/>
          <w:shd w:val="clear" w:color="auto" w:fill="FFFFFF"/>
        </w:rPr>
        <w:t>.</w:t>
      </w:r>
      <w:r w:rsidRPr="008E2CD0">
        <w:rPr>
          <w:rStyle w:val="indexed-hide"/>
          <w:rFonts w:cs="Times New Roman"/>
          <w:i/>
          <w:szCs w:val="24"/>
          <w:shd w:val="clear" w:color="auto" w:fill="FFFFFF"/>
        </w:rPr>
        <w:t xml:space="preserve"> capacia </w:t>
      </w:r>
      <w:r w:rsidRPr="008E2CD0">
        <w:rPr>
          <w:rStyle w:val="indexed-hide"/>
          <w:rFonts w:cs="Times New Roman"/>
          <w:szCs w:val="24"/>
          <w:shd w:val="clear" w:color="auto" w:fill="FFFFFF"/>
        </w:rPr>
        <w:t>exhibit</w:t>
      </w:r>
      <w:r>
        <w:rPr>
          <w:rStyle w:val="indexed-hide"/>
          <w:rFonts w:cs="Times New Roman"/>
          <w:szCs w:val="24"/>
          <w:shd w:val="clear" w:color="auto" w:fill="FFFFFF"/>
        </w:rPr>
        <w:t>ed</w:t>
      </w:r>
      <w:r w:rsidRPr="008E2CD0">
        <w:rPr>
          <w:rStyle w:val="indexed-hide"/>
          <w:rFonts w:cs="Times New Roman"/>
          <w:szCs w:val="24"/>
          <w:shd w:val="clear" w:color="auto" w:fill="FFFFFF"/>
        </w:rPr>
        <w:t xml:space="preserve"> efficacy against RKN but </w:t>
      </w:r>
      <w:r>
        <w:rPr>
          <w:rStyle w:val="indexed-hide"/>
          <w:rFonts w:cs="Times New Roman"/>
          <w:szCs w:val="24"/>
          <w:shd w:val="clear" w:color="auto" w:fill="FFFFFF"/>
        </w:rPr>
        <w:t>was</w:t>
      </w:r>
      <w:r w:rsidRPr="008E2CD0">
        <w:rPr>
          <w:rStyle w:val="indexed-hide"/>
          <w:rFonts w:cs="Times New Roman"/>
          <w:szCs w:val="24"/>
          <w:shd w:val="clear" w:color="auto" w:fill="FFFFFF"/>
        </w:rPr>
        <w:t xml:space="preserve"> ineffective against SCN </w:t>
      </w:r>
      <w:r w:rsidRPr="008E2CD0">
        <w:rPr>
          <w:rStyle w:val="indexed-hide"/>
          <w:rFonts w:cs="Times New Roman"/>
          <w:i/>
          <w:szCs w:val="24"/>
          <w:shd w:val="clear" w:color="auto" w:fill="FFFFFF"/>
        </w:rPr>
        <w:fldChar w:fldCharType="begin" w:fldLock="1"/>
      </w:r>
      <w:r w:rsidRPr="008E2CD0">
        <w:rPr>
          <w:rStyle w:val="indexed-hide"/>
          <w:rFonts w:cs="Times New Roman"/>
          <w:i/>
          <w:szCs w:val="24"/>
          <w:shd w:val="clear" w:color="auto" w:fill="FFFFFF"/>
        </w:rPr>
        <w:instrText>ADDIN CSL_CITATION {"citationItems":[{"id":"ITEM-1","itemData":{"ISSN":"0022-300X","abstract":"A commercial seed treatment containing Pseudomonas cepacia was applied to Glycine max cv. Williams 82 (susceptible to Heterodera glycines) and was compared to Fayette soybean (resistant to H. glycines) for control of H. glycines at two locations in Illinois. The soil at the first location was sandy in texture and the field was irrigated, whereas the soil at the second location was a silty clay loam and the field was not irrigated. At both locations there was no yield increase associated with the seed treatment , but yield of Fayette was significantly (P &lt; 0.05) greater than Williams 82 regardless of treatment.","author":[{"dropping-particle":"","family":"Noel","given":"G R","non-dropping-particle":"","parse-names":false,"suffix":""}],"container-title":"Journal of nematology","id":"ITEM-1","issue":"4S","issued":{"date-parts":[["1990"]]},"page":"792-794","title":"Inability of a Seed Treatment with Pseudomonas cepacia to Control Heterodera glycines on Soybean.","type":"article-journal","volume":"22"},"uris":["http://www.mendeley.com/documents/?uuid=88ea439a-d38a-422d-aa1b-82ae4de6d393"]}],"mendeley":{"formattedCitation":"(Noel, 1990)","plainTextFormattedCitation":"(Noel, 1990)","previouslyFormattedCitation":"(Noel, 1990)"},"properties":{"noteIndex":0},"schema":"https://github.com/citation-style-language/schema/raw/master/csl-citation.json"}</w:instrText>
      </w:r>
      <w:r w:rsidRPr="008E2CD0">
        <w:rPr>
          <w:rStyle w:val="indexed-hide"/>
          <w:rFonts w:cs="Times New Roman"/>
          <w:i/>
          <w:szCs w:val="24"/>
          <w:shd w:val="clear" w:color="auto" w:fill="FFFFFF"/>
        </w:rPr>
        <w:fldChar w:fldCharType="separate"/>
      </w:r>
      <w:r w:rsidRPr="008E2CD0">
        <w:rPr>
          <w:rStyle w:val="indexed-hide"/>
          <w:rFonts w:cs="Times New Roman"/>
          <w:noProof/>
          <w:szCs w:val="24"/>
          <w:shd w:val="clear" w:color="auto" w:fill="FFFFFF"/>
        </w:rPr>
        <w:t>(Noel, 1990)</w:t>
      </w:r>
      <w:r w:rsidRPr="008E2CD0">
        <w:rPr>
          <w:rStyle w:val="indexed-hide"/>
          <w:rFonts w:cs="Times New Roman"/>
          <w:i/>
          <w:szCs w:val="24"/>
          <w:shd w:val="clear" w:color="auto" w:fill="FFFFFF"/>
        </w:rPr>
        <w:fldChar w:fldCharType="end"/>
      </w:r>
      <w:r w:rsidRPr="008E2CD0">
        <w:rPr>
          <w:rStyle w:val="indexed-hide"/>
          <w:rFonts w:cs="Times New Roman"/>
          <w:i/>
          <w:szCs w:val="24"/>
          <w:shd w:val="clear" w:color="auto" w:fill="FFFFFF"/>
        </w:rPr>
        <w:t>.</w:t>
      </w:r>
    </w:p>
    <w:p w14:paraId="45B53E54" w14:textId="77777777" w:rsidR="00D20476" w:rsidRPr="008E2CD0" w:rsidRDefault="00D20476" w:rsidP="00D20476">
      <w:pPr>
        <w:widowControl/>
        <w:tabs>
          <w:tab w:val="left" w:pos="270"/>
        </w:tabs>
        <w:autoSpaceDE/>
        <w:autoSpaceDN/>
        <w:spacing w:line="360" w:lineRule="auto"/>
        <w:ind w:left="720"/>
        <w:rPr>
          <w:rStyle w:val="indexed-hide"/>
          <w:rFonts w:cs="Times New Roman"/>
          <w:i/>
          <w:szCs w:val="24"/>
          <w:shd w:val="clear" w:color="auto" w:fill="FFFFFF"/>
        </w:rPr>
      </w:pPr>
    </w:p>
    <w:p w14:paraId="55250052" w14:textId="77777777" w:rsidR="00D20476" w:rsidRPr="008E2CD0" w:rsidRDefault="00D20476" w:rsidP="00D122A6">
      <w:pPr>
        <w:pStyle w:val="Heading3"/>
        <w:rPr>
          <w:rStyle w:val="indexed-hide"/>
          <w:b w:val="0"/>
          <w:i w:val="0"/>
        </w:rPr>
      </w:pPr>
      <w:bookmarkStart w:id="55" w:name="_Toc98812694"/>
      <w:bookmarkStart w:id="56" w:name="_Toc98812902"/>
      <w:bookmarkStart w:id="57" w:name="_Toc98813568"/>
      <w:bookmarkStart w:id="58" w:name="_Toc101048077"/>
      <w:r w:rsidRPr="008E2CD0">
        <w:rPr>
          <w:rStyle w:val="indexed-hide"/>
        </w:rPr>
        <w:t xml:space="preserve">Pseudomonas </w:t>
      </w:r>
      <w:r w:rsidRPr="007A4D90">
        <w:rPr>
          <w:rStyle w:val="indexed-hide"/>
          <w:rFonts w:cs="Arial"/>
        </w:rPr>
        <w:t>spp</w:t>
      </w:r>
      <w:r w:rsidRPr="008E2CD0">
        <w:rPr>
          <w:rStyle w:val="indexed-hide"/>
        </w:rPr>
        <w:t>.</w:t>
      </w:r>
      <w:bookmarkEnd w:id="55"/>
      <w:bookmarkEnd w:id="56"/>
      <w:bookmarkEnd w:id="57"/>
      <w:bookmarkEnd w:id="58"/>
    </w:p>
    <w:p w14:paraId="078A2189" w14:textId="77777777" w:rsidR="00D20476" w:rsidRDefault="00D20476" w:rsidP="00D20476">
      <w:pPr>
        <w:pStyle w:val="ListParagraph"/>
        <w:tabs>
          <w:tab w:val="left" w:pos="270"/>
        </w:tabs>
        <w:spacing w:line="360" w:lineRule="auto"/>
        <w:ind w:left="720"/>
        <w:rPr>
          <w:rStyle w:val="indexed-hide"/>
          <w:rFonts w:cs="Times New Roman"/>
          <w:szCs w:val="24"/>
          <w:shd w:val="clear" w:color="auto" w:fill="FFFFFF"/>
        </w:rPr>
      </w:pPr>
      <w:r w:rsidRPr="008E2CD0">
        <w:rPr>
          <w:rStyle w:val="indexed-hide"/>
          <w:rFonts w:cs="Times New Roman"/>
          <w:szCs w:val="24"/>
          <w:shd w:val="clear" w:color="auto" w:fill="FFFFFF"/>
        </w:rPr>
        <w:tab/>
        <w:t xml:space="preserve">Several species of </w:t>
      </w:r>
      <w:r w:rsidRPr="008E2CD0">
        <w:rPr>
          <w:rStyle w:val="indexed-hide"/>
          <w:rFonts w:cs="Times New Roman"/>
          <w:i/>
          <w:szCs w:val="24"/>
          <w:shd w:val="clear" w:color="auto" w:fill="FFFFFF"/>
        </w:rPr>
        <w:t>Pseudomonas</w:t>
      </w:r>
      <w:r w:rsidRPr="008E2CD0">
        <w:rPr>
          <w:rStyle w:val="indexed-hide"/>
          <w:rFonts w:cs="Times New Roman"/>
          <w:szCs w:val="24"/>
          <w:shd w:val="clear" w:color="auto" w:fill="FFFFFF"/>
        </w:rPr>
        <w:t xml:space="preserve"> have been indicated for suppressing populations of many plant-parasitic nematodes. </w:t>
      </w:r>
      <w:r>
        <w:rPr>
          <w:rFonts w:cs="Times New Roman"/>
          <w:szCs w:val="24"/>
        </w:rPr>
        <w:t>Siddiqui and Shaukat (2003</w:t>
      </w:r>
      <w:r w:rsidRPr="008E2CD0">
        <w:rPr>
          <w:rFonts w:cs="Times New Roman"/>
          <w:szCs w:val="24"/>
        </w:rPr>
        <w:t xml:space="preserve">) reported the suppressive activity of </w:t>
      </w:r>
      <w:r w:rsidRPr="008E2CD0">
        <w:rPr>
          <w:rFonts w:cs="Times New Roman"/>
          <w:i/>
          <w:iCs/>
          <w:szCs w:val="24"/>
        </w:rPr>
        <w:t xml:space="preserve">P. fluorescens </w:t>
      </w:r>
      <w:r w:rsidRPr="008E2CD0">
        <w:rPr>
          <w:rFonts w:cs="Times New Roman"/>
          <w:szCs w:val="24"/>
        </w:rPr>
        <w:t xml:space="preserve">strain CHA0 and </w:t>
      </w:r>
      <w:r w:rsidRPr="008E2CD0">
        <w:rPr>
          <w:rFonts w:cs="Times New Roman"/>
          <w:i/>
          <w:iCs/>
          <w:szCs w:val="24"/>
        </w:rPr>
        <w:t xml:space="preserve">P. aeruginosa </w:t>
      </w:r>
      <w:r w:rsidRPr="008E2CD0">
        <w:rPr>
          <w:rFonts w:cs="Times New Roman"/>
          <w:szCs w:val="24"/>
        </w:rPr>
        <w:t xml:space="preserve">strain IE-6S against </w:t>
      </w:r>
      <w:r w:rsidRPr="008E2CD0">
        <w:rPr>
          <w:rFonts w:cs="Times New Roman"/>
          <w:i/>
          <w:szCs w:val="24"/>
        </w:rPr>
        <w:t>M. javanica</w:t>
      </w:r>
      <w:r w:rsidRPr="008E2CD0">
        <w:rPr>
          <w:rFonts w:cs="Times New Roman"/>
          <w:szCs w:val="24"/>
        </w:rPr>
        <w:t xml:space="preserve"> on tomato. Hackenberg et al</w:t>
      </w:r>
      <w:r>
        <w:rPr>
          <w:rFonts w:cs="Times New Roman"/>
          <w:szCs w:val="24"/>
        </w:rPr>
        <w:t>.</w:t>
      </w:r>
      <w:r w:rsidRPr="008E2CD0">
        <w:rPr>
          <w:rFonts w:cs="Times New Roman"/>
          <w:szCs w:val="24"/>
        </w:rPr>
        <w:t xml:space="preserve"> (2000) reported the efficacy of </w:t>
      </w:r>
      <w:r w:rsidRPr="008E2CD0">
        <w:rPr>
          <w:rFonts w:cs="Times New Roman"/>
          <w:i/>
          <w:szCs w:val="24"/>
        </w:rPr>
        <w:t>P. chloroaphis</w:t>
      </w:r>
      <w:r w:rsidRPr="008E2CD0">
        <w:rPr>
          <w:rFonts w:cs="Times New Roman"/>
          <w:szCs w:val="24"/>
        </w:rPr>
        <w:t xml:space="preserve"> strain Sm3 against lesion nematode, </w:t>
      </w:r>
      <w:r w:rsidRPr="008E2CD0">
        <w:rPr>
          <w:rFonts w:cs="Times New Roman"/>
          <w:i/>
          <w:szCs w:val="24"/>
        </w:rPr>
        <w:t>Pratylenchus penetrans</w:t>
      </w:r>
      <w:r w:rsidRPr="008E2CD0">
        <w:rPr>
          <w:rFonts w:cs="Times New Roman"/>
          <w:szCs w:val="24"/>
        </w:rPr>
        <w:t xml:space="preserve"> on strawberry. Also, isolates of </w:t>
      </w:r>
      <w:r w:rsidRPr="008E2CD0">
        <w:rPr>
          <w:rFonts w:cs="Times New Roman"/>
          <w:i/>
          <w:iCs/>
          <w:szCs w:val="24"/>
        </w:rPr>
        <w:t>P. aeruginosa</w:t>
      </w:r>
      <w:r w:rsidRPr="008E2CD0">
        <w:rPr>
          <w:rFonts w:cs="Times New Roman"/>
          <w:iCs/>
          <w:szCs w:val="24"/>
        </w:rPr>
        <w:t xml:space="preserve"> protected sesame against the nematode (</w:t>
      </w:r>
      <w:r w:rsidRPr="008E2CD0">
        <w:rPr>
          <w:rFonts w:cs="Times New Roman"/>
          <w:szCs w:val="24"/>
          <w:shd w:val="clear" w:color="auto" w:fill="FFFFFF"/>
        </w:rPr>
        <w:t xml:space="preserve">Kumar et al., 2009).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{"citationItems":[{"id":"ITEM-1","itemData":{"DOI":"10.1007/s11540-020-09452-2","ISSN":"18714528","abstract":"The field efficacy of liquid formulations of Pseudomonas fluorescens, Purpureocillium lilacinum and Trichoderma viride was investigated against natural populations of potato cyst nematodes (PCNs) Globodera rostochiensis and Globodera pallida. Two field experiments were conducted using these biocontrol agents applied as seed treatment (ST) at 1 L t−1 of seed and soil drenching (SD) at 5 L ha−1. Their effect was compared with carbofuran 3 G at 1 kg a.i. ha−1. Results showed that all the tested biocontrol agents were capable to reduce PCN egg density or multiplication rate, root penetration and egg numbers cyst−1 at various levels. The biocontrol efficacy also varied according to their delivery method. P. fluorescens-ST was found causing the highest reduction of egg density (83.1–86.5%), multiplication rate (83.1–86.5%), root penetration (67.1–68.1%) and egg numbers cyst−1 (35.4–36.0%). Similar efficacy was observed in P. lilacinum-SD that reduced egg density by 80.9–85.0%, multiplication rate by 80.7–84.3%, root penetration by 62.0–64.4% and egg numbers cyst−1 by 44.3–49.3%. The potato plants from P. fluorescens-ST and P. lilacinum-SD plots were 31.1–49.5% taller than untreated plants which also resulted in 27.2–32.0% higher tuber yield in P. fluorescens-ST and 25.9–30.2% in P. lilacinum-SD plots. The root colonisation of introduced P. fluorescens was 8.6–13.1 times higher in ST than SD. The trend was vice versa in P. lilacinum that colonised 3.1–3.6 times better in SD method than as ST. Their efficacy was comparable to carbofuran application. It is concluded that P. fluorescens-ST at 1 L t−1 of seed and P. lilacinum-SD at 5 L ha−1 are highly effective for management of PCN under naturally infested field conditions.","author":[{"dropping-particle":"","family":"Nagachandrabose","given":"Seenivasan","non-dropping-particle":"","parse-names":false,"suffix":""}],"container-title":"Potato Research","id":"ITEM-1","issue":"4","issued":{"date-parts":[["2020"]]},"page":"479-496","publisher":"Potato Research","title":"Management of Potato Cyst Nematodes Using Liquid Bioformulations of Pseudomonas fluorescens, Purpureocillium lilacinum and Trichoderma viride","type":"article-journal","volume":"63"},"uris":["http://www.mendeley.com/documents/?uuid=b3491416-1be5-4ad2-b064-55804ff934fb"]}],"mendeley":{"formattedCitation":"(Nagachandrabose, 2020)","manualFormatting":"Nagachandrabose (2020)","plainTextFormattedCitation":"(Nagachandrabose, 2020)","previouslyFormattedCitation":"(Nagachandrabose, 2020)"},"properties":{"noteIndex":0},"schema":"https://github.com/citation-style-language/schema/raw/master/csl-citation.json"}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Nagachandrabose (2020)</w:t>
      </w:r>
      <w:r w:rsidRPr="008E2CD0">
        <w:rPr>
          <w:rFonts w:cs="Times New Roman"/>
          <w:szCs w:val="24"/>
          <w:shd w:val="clear" w:color="auto" w:fill="FFFFFF"/>
        </w:rPr>
        <w:fldChar w:fldCharType="end"/>
      </w:r>
      <w:r w:rsidRPr="008E2CD0">
        <w:rPr>
          <w:rFonts w:cs="Times New Roman"/>
          <w:szCs w:val="24"/>
          <w:shd w:val="clear" w:color="auto" w:fill="FFFFFF"/>
        </w:rPr>
        <w:t xml:space="preserve"> reported that liquid bio-formulations containing </w:t>
      </w:r>
      <w:r w:rsidRPr="008E2CD0">
        <w:rPr>
          <w:rStyle w:val="indexed-hide"/>
          <w:rFonts w:cs="Times New Roman"/>
          <w:i/>
          <w:szCs w:val="24"/>
          <w:shd w:val="clear" w:color="auto" w:fill="FFFFFF"/>
        </w:rPr>
        <w:t>P. fluorescens</w:t>
      </w:r>
      <w:r w:rsidRPr="008E2CD0">
        <w:rPr>
          <w:rStyle w:val="indexed-hide"/>
          <w:rFonts w:cs="Times New Roman"/>
          <w:szCs w:val="24"/>
          <w:shd w:val="clear" w:color="auto" w:fill="FFFFFF"/>
        </w:rPr>
        <w:t xml:space="preserve">, </w:t>
      </w:r>
      <w:r w:rsidRPr="008E2CD0">
        <w:rPr>
          <w:rStyle w:val="indexed-hide"/>
          <w:rFonts w:cs="Times New Roman"/>
          <w:i/>
          <w:szCs w:val="24"/>
          <w:shd w:val="clear" w:color="auto" w:fill="FFFFFF"/>
        </w:rPr>
        <w:t>Purpureocillium lilacinum</w:t>
      </w:r>
      <w:r w:rsidRPr="008E2CD0">
        <w:rPr>
          <w:rStyle w:val="indexed-hide"/>
          <w:rFonts w:cs="Times New Roman"/>
          <w:szCs w:val="24"/>
          <w:shd w:val="clear" w:color="auto" w:fill="FFFFFF"/>
        </w:rPr>
        <w:t xml:space="preserve"> and </w:t>
      </w:r>
      <w:r w:rsidRPr="008E2CD0">
        <w:rPr>
          <w:rStyle w:val="indexed-hide"/>
          <w:rFonts w:cs="Times New Roman"/>
          <w:i/>
          <w:szCs w:val="24"/>
          <w:shd w:val="clear" w:color="auto" w:fill="FFFFFF"/>
        </w:rPr>
        <w:t>Trichoderma viride</w:t>
      </w:r>
      <w:r w:rsidRPr="008E2CD0">
        <w:rPr>
          <w:rStyle w:val="indexed-hide"/>
          <w:rFonts w:cs="Times New Roman"/>
          <w:szCs w:val="24"/>
          <w:shd w:val="clear" w:color="auto" w:fill="FFFFFF"/>
        </w:rPr>
        <w:t xml:space="preserve"> suppressed egg reproduction by potato cyst nematodes,  </w:t>
      </w:r>
      <w:r w:rsidRPr="008E2CD0">
        <w:rPr>
          <w:rStyle w:val="indexed-hide"/>
          <w:rFonts w:cs="Times New Roman"/>
          <w:i/>
          <w:szCs w:val="24"/>
          <w:shd w:val="clear" w:color="auto" w:fill="FFFFFF"/>
        </w:rPr>
        <w:t>Globodera rostochiensis</w:t>
      </w:r>
      <w:r w:rsidRPr="008E2CD0">
        <w:rPr>
          <w:rStyle w:val="indexed-hide"/>
          <w:rFonts w:cs="Times New Roman"/>
          <w:szCs w:val="24"/>
          <w:shd w:val="clear" w:color="auto" w:fill="FFFFFF"/>
        </w:rPr>
        <w:t xml:space="preserve"> and </w:t>
      </w:r>
      <w:r w:rsidRPr="008E2CD0">
        <w:rPr>
          <w:rStyle w:val="indexed-hide"/>
          <w:rFonts w:cs="Times New Roman"/>
          <w:i/>
          <w:szCs w:val="24"/>
          <w:shd w:val="clear" w:color="auto" w:fill="FFFFFF"/>
        </w:rPr>
        <w:t>Globodera pallida</w:t>
      </w:r>
      <w:r>
        <w:rPr>
          <w:rStyle w:val="indexed-hide"/>
          <w:rFonts w:cs="Times New Roman"/>
          <w:szCs w:val="24"/>
          <w:shd w:val="clear" w:color="auto" w:fill="FFFFFF"/>
        </w:rPr>
        <w:t>.</w:t>
      </w:r>
      <w:bookmarkStart w:id="59" w:name="_Toc98812695"/>
      <w:bookmarkStart w:id="60" w:name="_Toc98812903"/>
      <w:bookmarkStart w:id="61" w:name="_Toc98813569"/>
    </w:p>
    <w:p w14:paraId="59352CC8" w14:textId="77777777" w:rsidR="00D20476" w:rsidRDefault="00D20476" w:rsidP="00FD1FC5">
      <w:pPr>
        <w:pStyle w:val="Heading2"/>
      </w:pPr>
    </w:p>
    <w:p w14:paraId="6803CE58" w14:textId="77777777" w:rsidR="00D20476" w:rsidRPr="008E2CD0" w:rsidRDefault="00D20476" w:rsidP="00FD1FC5">
      <w:pPr>
        <w:pStyle w:val="Heading2"/>
      </w:pPr>
      <w:bookmarkStart w:id="62" w:name="_Toc101048078"/>
      <w:r w:rsidRPr="008E2CD0">
        <w:t>Fungi</w:t>
      </w:r>
      <w:bookmarkEnd w:id="59"/>
      <w:bookmarkEnd w:id="60"/>
      <w:bookmarkEnd w:id="61"/>
      <w:bookmarkEnd w:id="62"/>
    </w:p>
    <w:p w14:paraId="750FF010" w14:textId="77777777" w:rsidR="00D20476" w:rsidRPr="008E2CD0" w:rsidRDefault="00D20476" w:rsidP="00D122A6">
      <w:pPr>
        <w:pStyle w:val="Heading3"/>
      </w:pPr>
      <w:bookmarkStart w:id="63" w:name="_Toc98812696"/>
      <w:bookmarkStart w:id="64" w:name="_Toc98812904"/>
      <w:bookmarkStart w:id="65" w:name="_Toc98813570"/>
      <w:bookmarkStart w:id="66" w:name="_Toc101048079"/>
      <w:r w:rsidRPr="008E2CD0">
        <w:t xml:space="preserve">Paecilomyces </w:t>
      </w:r>
      <w:r w:rsidRPr="007A4D90">
        <w:t>spp</w:t>
      </w:r>
      <w:r w:rsidRPr="008E2CD0">
        <w:t>.</w:t>
      </w:r>
      <w:bookmarkEnd w:id="63"/>
      <w:bookmarkEnd w:id="64"/>
      <w:bookmarkEnd w:id="65"/>
      <w:bookmarkEnd w:id="66"/>
      <w:r w:rsidRPr="008E2CD0">
        <w:t xml:space="preserve"> </w:t>
      </w:r>
    </w:p>
    <w:p w14:paraId="105105B2" w14:textId="3302C833" w:rsidR="00D20476" w:rsidRDefault="00D20476" w:rsidP="00D20476">
      <w:pPr>
        <w:widowControl/>
        <w:tabs>
          <w:tab w:val="left" w:pos="270"/>
        </w:tabs>
        <w:autoSpaceDE/>
        <w:autoSpaceDN/>
        <w:spacing w:line="360" w:lineRule="auto"/>
        <w:ind w:left="720"/>
      </w:pPr>
      <w:r w:rsidRPr="008E2CD0">
        <w:rPr>
          <w:rFonts w:cs="Times New Roman"/>
          <w:i/>
          <w:szCs w:val="24"/>
        </w:rPr>
        <w:tab/>
        <w:t xml:space="preserve">Paecilomyces lilacinus </w:t>
      </w:r>
      <w:r w:rsidRPr="007A4D90">
        <w:t>strain</w:t>
      </w:r>
      <w:r w:rsidRPr="008E2CD0">
        <w:rPr>
          <w:rFonts w:cs="Times New Roman"/>
          <w:i/>
          <w:szCs w:val="24"/>
        </w:rPr>
        <w:t xml:space="preserve"> </w:t>
      </w:r>
      <w:r w:rsidRPr="008E2CD0">
        <w:rPr>
          <w:rFonts w:cs="Times New Roman"/>
          <w:szCs w:val="24"/>
        </w:rPr>
        <w:t xml:space="preserve">251 is a registered biological control </w:t>
      </w:r>
      <w:r>
        <w:rPr>
          <w:rFonts w:cs="Times New Roman"/>
          <w:szCs w:val="24"/>
        </w:rPr>
        <w:t>agent for</w:t>
      </w:r>
      <w:r w:rsidRPr="008E2CD0">
        <w:rPr>
          <w:rFonts w:cs="Times New Roman"/>
          <w:szCs w:val="24"/>
        </w:rPr>
        <w:t xml:space="preserve"> nematodes in many countries including the United States. According to </w:t>
      </w:r>
      <w:r w:rsidRPr="008E2CD0">
        <w:rPr>
          <w:rFonts w:cs="Times New Roman"/>
          <w:szCs w:val="24"/>
        </w:rPr>
        <w:fldChar w:fldCharType="begin" w:fldLock="1"/>
      </w:r>
      <w:r w:rsidRPr="008E2CD0">
        <w:rPr>
          <w:rFonts w:cs="Times New Roman"/>
          <w:szCs w:val="24"/>
        </w:rPr>
        <w:instrText>ADDIN CSL_CITATION {"citationItems":[{"id":"ITEM-1","itemData":{"ISSN":"00995444","abstract":"The efficacy of the fungus Paecilomyces lilacinus on the root-knot nematode, and its economic returns in tomato were determined in the field. Paecilomyces lilacinus reduced M. incognita soil and root populations, parasitized the nematode eggs, reduced root galling, and increased crop yield and profit. This organism did not affect the population levels of Rotylenchulus reniformis or Helicotylenchus dihystera. Carbofuran 10G did not reduce the population levels of any of the nematode species.","author":[{"dropping-particle":"","family":"Martéz","given":"Julio Lara","non-dropping-particle":"","parse-names":false,"suffix":""},{"dropping-particle":"","family":"Acosta","given":"Nelia","non-dropping-particle":"","parse-names":false,"suffix":""},{"dropping-particle":"","family":"Betancourt","given":"Carlos","non-dropping-particle":"","parse-names":false,"suffix":""},{"dropping-particle":"","family":"Vicente","given":"Nydia","non-dropping-particle":"","parse-names":false,"suffix":""},{"dropping-particle":"","family":"Rodríguez","given":"Rocío","non-dropping-particle":"","parse-names":false,"suffix":""}],"container-title":"Nematropica","id":"ITEM-1","issue":"2","issued":{"date-parts":[["1996"]]},"page":"143-152","title":"Control biologico de Meloidogyne incognita en tomate en Puerto Rico","type":"article","volume":"26"},"uris":["http://www.mendeley.com/documents/?uuid=a67b3681-1d69-46c6-9813-de8b6840dc11"]}],"mendeley":{"formattedCitation":"(Martéz et al., 1996)","manualFormatting":"Martéz et al. (1996)","plainTextFormattedCitation":"(Martéz et al., 1996)","previouslyFormattedCitation":"(Martéz et al., 1996)"},"properties":{"noteIndex":0},"schema":"https://github.com/citation-style-language/schema/raw/master/csl-citation.json"}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Martéz et al. (1996)</w:t>
      </w:r>
      <w:r w:rsidRPr="008E2CD0">
        <w:rPr>
          <w:rFonts w:cs="Times New Roman"/>
          <w:szCs w:val="24"/>
        </w:rPr>
        <w:fldChar w:fldCharType="end"/>
      </w:r>
      <w:r w:rsidRPr="008E2CD0">
        <w:rPr>
          <w:rFonts w:cs="Times New Roman"/>
          <w:szCs w:val="24"/>
        </w:rPr>
        <w:t xml:space="preserve">, </w:t>
      </w:r>
      <w:r w:rsidRPr="008E2CD0">
        <w:rPr>
          <w:rFonts w:cs="Times New Roman"/>
          <w:i/>
          <w:szCs w:val="24"/>
        </w:rPr>
        <w:t>P. lilacinus</w:t>
      </w:r>
      <w:r w:rsidRPr="008E2CD0">
        <w:rPr>
          <w:rFonts w:cs="Times New Roman"/>
          <w:szCs w:val="24"/>
        </w:rPr>
        <w:t xml:space="preserve"> can suppress </w:t>
      </w:r>
      <w:r w:rsidRPr="008E2CD0">
        <w:rPr>
          <w:rFonts w:cs="Times New Roman"/>
          <w:i/>
          <w:szCs w:val="24"/>
        </w:rPr>
        <w:t>M. incognita</w:t>
      </w:r>
      <w:r w:rsidRPr="008E2CD0">
        <w:rPr>
          <w:rFonts w:cs="Times New Roman"/>
          <w:szCs w:val="24"/>
        </w:rPr>
        <w:t xml:space="preserve"> J2 in tomato fields by 40 to 70%. Also, </w:t>
      </w:r>
      <w:r w:rsidRPr="008E2CD0">
        <w:rPr>
          <w:rFonts w:cs="Times New Roman"/>
          <w:szCs w:val="24"/>
        </w:rPr>
        <w:fldChar w:fldCharType="begin" w:fldLock="1"/>
      </w:r>
      <w:r>
        <w:rPr>
          <w:rFonts w:cs="Times New Roman"/>
          <w:szCs w:val="24"/>
        </w:rPr>
        <w:instrText>ADDIN CSL_CITATION {"citationItems":[{"id":"ITEM-1","itemData":{"DOI":"10.1080/03601230701771164","ISSN":"03601234","PMID":"18368544","abstract":"Management of root knot nematode disease infecting tomato, by the use of fungal bioagents Acremonium strictum and Trichoderma harzianum isolated from egg masses of M. incognita infecting tomato has been carried out. The rhizosphere and rhizoplane of root knot nematode infested tomato revealed consistent association of Acremonium strictum. In the present study A. strictum and other fungal bioagents viz. Aspergillus niger, Paecilomyces lilacinus,Rhizoctonia solani and Trichoderma harzianum isolated earlier from egg-masses of M. incognita, identified and maintained have been investigated through in-vitro and in-vivo trials for their potentiality against M. incognita. Out of the above, isolated mycoflora A. niger was identified to be toxic against M. incognita while A. strictum and T. harzianum was found to possess both egg parasitic or opportunistic and toxic properties. A field trial with all the above fungal bioagents both alone and together showed significant promising performance by the dual treatment of A. strictum and T. harzianum in improving the health of the tomato plant with a remarkable reduction in M. incognita population. Copyright © Taylor &amp; Francis Group, LLC.","author":[{"dropping-particle":"","family":"Goswami","given":"Jaideep","non-dropping-particle":"","parse-names":false,"suffix":""},{"dropping-particle":"","family":"Pandey","given":"Rajesh Kumar","non-dropping-particle":"","parse-names":false,"suffix":""},{"dropping-particle":"","family":"Tewari","given":"J. P.","non-dropping-particle":"","parse-names":false,"suffix":""},{"dropping-particle":"","family":"Goswami","given":"B. K.","non-dropping-particle":"","parse-names":false,"suffix":""}],"container-title":"Journal of Environmental Science and Health - Part B Pesticides, Food Contaminants, and Agricultural Wastes","id":"ITEM-1","issue":"3","issued":{"date-parts":[["2008"]]},"page":"237-240","title":"Management of root knot nematode on tomato through application of fungal antagonists, Acremonium strictum and Trichoderma harzianum","type":"article-journal","volume":"43"},"uris":["http://www.mendeley.com/documents/?uuid=8a75edf5-3de1-4b1b-8eb8-0051d35115dd"]}],"mendeley":{"formattedCitation":"(Goswami et al., 2008)","manualFormatting":"Goswami et al., (2008)","plainTextFormattedCitation":"(Goswami et al., 2008)","previouslyFormattedCitation":"(Goswami et al., 2008)"},"properties":{"noteIndex":0},"schema":"https://github.com/citation-style-language/schema/raw/master/csl-citation.json"}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Goswami et al., (2008)</w:t>
      </w:r>
      <w:r w:rsidRPr="008E2CD0">
        <w:rPr>
          <w:rFonts w:cs="Times New Roman"/>
          <w:szCs w:val="24"/>
        </w:rPr>
        <w:fldChar w:fldCharType="end"/>
      </w:r>
      <w:r w:rsidRPr="008E2CD0">
        <w:rPr>
          <w:rFonts w:cs="Times New Roman"/>
          <w:szCs w:val="24"/>
        </w:rPr>
        <w:t xml:space="preserve"> found that the fungus suppressed tomato root galls (</w:t>
      </w:r>
      <w:r w:rsidRPr="008E2CD0">
        <w:rPr>
          <w:rFonts w:cs="Times New Roman"/>
          <w:i/>
          <w:szCs w:val="24"/>
        </w:rPr>
        <w:t>M. incognita</w:t>
      </w:r>
      <w:r w:rsidRPr="008E2CD0">
        <w:rPr>
          <w:rFonts w:cs="Times New Roman"/>
          <w:szCs w:val="24"/>
        </w:rPr>
        <w:t xml:space="preserve">) by 39%. However, in two experiments, a commercial formulation containing </w:t>
      </w:r>
      <w:r w:rsidRPr="008E2CD0">
        <w:rPr>
          <w:rFonts w:cs="Times New Roman"/>
          <w:i/>
          <w:szCs w:val="24"/>
        </w:rPr>
        <w:t>P. lilacinus</w:t>
      </w:r>
      <w:r w:rsidRPr="008E2CD0">
        <w:rPr>
          <w:rFonts w:cs="Times New Roman"/>
          <w:szCs w:val="24"/>
        </w:rPr>
        <w:t xml:space="preserve"> did not reduce densities of </w:t>
      </w:r>
      <w:r w:rsidRPr="008E2CD0">
        <w:rPr>
          <w:rFonts w:cs="Times New Roman"/>
          <w:i/>
          <w:szCs w:val="24"/>
        </w:rPr>
        <w:t>M. marylandi</w:t>
      </w:r>
      <w:r w:rsidRPr="008E2CD0">
        <w:rPr>
          <w:rFonts w:cs="Times New Roman"/>
          <w:szCs w:val="24"/>
        </w:rPr>
        <w:t xml:space="preserve"> on a golf course (Starr et al.</w:t>
      </w:r>
      <w:r>
        <w:rPr>
          <w:rFonts w:cs="Times New Roman"/>
          <w:szCs w:val="24"/>
        </w:rPr>
        <w:t>,</w:t>
      </w:r>
      <w:r w:rsidRPr="008E2CD0">
        <w:rPr>
          <w:rFonts w:cs="Times New Roman"/>
          <w:szCs w:val="24"/>
        </w:rPr>
        <w:t xml:space="preserve"> 2007), and strain 251 did not reduce galling in tomatoes when used on tomatoes grown in a soil heavily infested with </w:t>
      </w:r>
      <w:r w:rsidRPr="008E2CD0">
        <w:rPr>
          <w:rFonts w:cs="Times New Roman"/>
          <w:i/>
          <w:iCs/>
          <w:szCs w:val="24"/>
        </w:rPr>
        <w:t xml:space="preserve">M. incognita </w:t>
      </w:r>
      <w:r w:rsidRPr="007A4D90">
        <w:t>in the greenhouse</w:t>
      </w:r>
      <w:r w:rsidRPr="008E2CD0">
        <w:rPr>
          <w:rFonts w:cs="Times New Roman"/>
          <w:szCs w:val="24"/>
        </w:rPr>
        <w:t xml:space="preserve"> </w:t>
      </w:r>
      <w:r w:rsidRPr="008E2CD0">
        <w:rPr>
          <w:rFonts w:cs="Times New Roman"/>
          <w:szCs w:val="24"/>
        </w:rPr>
        <w:fldChar w:fldCharType="begin" w:fldLock="1"/>
      </w:r>
      <w:r w:rsidRPr="008E2CD0">
        <w:rPr>
          <w:rFonts w:cs="Times New Roman"/>
          <w:szCs w:val="24"/>
        </w:rPr>
        <w:instrText>ADDIN CSL_CITATION {"citationItems":[{"id":"ITEM-1","itemData":{"DOI":"10.5053/ekoloji.2009.724","ISSN":"13001361","abstract":"The effects of some alternative control methods consisting of biofumigation, intercropping with attractive plants, grafting, solarization or biological nematicides against Meloidogyne incognita in organic tomato production were evaluated in two successive short growing cycles (2007 autumn and 2008 spring) in unheated greenhouse conditions. Eight treatments were investigated in both growing seasons while four treatments were the same in each year, two were different. Soil solarization was applied for 6 weeks with a covering of 110 μm thickness of clear polyethylene sheets. For the biofumigation treatments, all the plant parts of the broccoli (Brassica olerace var. italica) (14 t ha-1) or the leaves and fruits of the castor oil plant (Ricinus communis) (2.5 t ha-1) were added to the soil one week before planting the tomatoes. The American Marigold plant (Tagetes erecta) seedlings were transplanted to the plots one week before planting as an intercrop with the tomato plants. As a biological nematicide, BioAct® [Paecilomyces lilacinus, strain 251: 62.5 g kg-1, 1010 cfu g-1 LD 50&gt;5000 mg kg-1 cfu mL-1 (Boyut Foreign Trade Ltd, Turkey)] was applied three times at the firḿs recommended rates. Organic manure, acting as a biological nematicide namely Netisin® (BioGlobal Company, Turkey), was applied at a rate of 10 kg ha-1 using a drip irrigation system to the soil twice. In both seasons root galling caused by M. incognita was lower (1.90 in autumn and 2.95 in spring) in the grafted tomato plants on the rootstock Beaufort than the other treatments. In terms of yield, among the tested treatments, grafting (0.922 kg plant-1 in autumn and 1.785 kg plant-1 in spring) and biofumigation with R. communis in autumn (0.924 kg plant-1) and biofumigation with broccoli in the spring (2.315 kg plant-1) gave higher yields. The overall results showed that biofumigation with broccoli and grafting could be used efficiently against M. incognita in organic agriculture production.","author":[{"dropping-particle":"","family":"Kaşkavalci","given":"Galip","non-dropping-particle":"","parse-names":false,"suffix":""},{"dropping-particle":"","family":"Tüzel","given":"Yüksel","non-dropping-particle":"","parse-names":false,"suffix":""},{"dropping-particle":"","family":"Dura","given":"Onur","non-dropping-particle":"","parse-names":false,"suffix":""},{"dropping-particle":"","family":"Öztekin","given":"Gölgen B.","non-dropping-particle":"","parse-names":false,"suffix":""}],"container-title":"Ekoloji","id":"ITEM-1","issue":"72","issued":{"date-parts":[["2009"]]},"page":"23-31","title":"Effects of alternative control methods against Meloidogyne incognita in organic tomato production","type":"article-journal","volume":"19"},"uris":["http://www.mendeley.com/documents/?uuid=45bfea13-26fd-4b87-935d-6ebae77cf0eb"]}],"mendeley":{"formattedCitation":"(Kaşkavalci et al., 2009)","plainTextFormattedCitation":"(Kaşkavalci et al., 2009)","previouslyFormattedCitation":"(Kaşkavalci et al., 2009)"},"properties":{"noteIndex":0},"schema":"https://github.com/citation-style-language/schema/raw/master/csl-citation.json"}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(Kaşkavalci et al., 2009)</w:t>
      </w:r>
      <w:r w:rsidRPr="008E2CD0">
        <w:rPr>
          <w:rFonts w:cs="Times New Roman"/>
          <w:szCs w:val="24"/>
        </w:rPr>
        <w:fldChar w:fldCharType="end"/>
      </w:r>
      <w:bookmarkStart w:id="67" w:name="_Toc98812697"/>
      <w:bookmarkStart w:id="68" w:name="_Toc98812905"/>
      <w:bookmarkStart w:id="69" w:name="_Toc98813571"/>
      <w:r>
        <w:rPr>
          <w:rFonts w:cs="Times New Roman"/>
          <w:szCs w:val="24"/>
        </w:rPr>
        <w:t>. T</w:t>
      </w:r>
      <w:r w:rsidRPr="007A4D90">
        <w:t>his suggest</w:t>
      </w:r>
      <w:r>
        <w:t>s</w:t>
      </w:r>
      <w:r w:rsidRPr="007A4D90">
        <w:t xml:space="preserve"> that the nematode suppressive activity of the fungus may vary depending on the nematode species and variations in environments.</w:t>
      </w:r>
    </w:p>
    <w:p w14:paraId="0A933B95" w14:textId="77777777" w:rsidR="00B77F53" w:rsidRDefault="00B77F53" w:rsidP="00D122A6">
      <w:pPr>
        <w:pStyle w:val="Heading3"/>
      </w:pPr>
      <w:bookmarkStart w:id="70" w:name="_Toc101048080"/>
    </w:p>
    <w:p w14:paraId="7DA62E96" w14:textId="52B1D05C" w:rsidR="00D20476" w:rsidRPr="008E2CD0" w:rsidRDefault="00D20476" w:rsidP="00D122A6">
      <w:pPr>
        <w:pStyle w:val="Heading3"/>
      </w:pPr>
      <w:r w:rsidRPr="008E2CD0">
        <w:t>Pochonia chlamydosporia</w:t>
      </w:r>
      <w:bookmarkEnd w:id="67"/>
      <w:bookmarkEnd w:id="68"/>
      <w:bookmarkEnd w:id="69"/>
      <w:bookmarkEnd w:id="70"/>
      <w:r w:rsidRPr="008E2CD0">
        <w:t xml:space="preserve"> </w:t>
      </w:r>
    </w:p>
    <w:p w14:paraId="6B56289A" w14:textId="77777777" w:rsidR="00D20476" w:rsidRDefault="00D20476" w:rsidP="00D20476">
      <w:pPr>
        <w:widowControl/>
        <w:tabs>
          <w:tab w:val="left" w:pos="270"/>
        </w:tabs>
        <w:autoSpaceDE/>
        <w:autoSpaceDN/>
        <w:spacing w:line="360" w:lineRule="auto"/>
        <w:ind w:left="720"/>
        <w:rPr>
          <w:rFonts w:cs="Times New Roman"/>
          <w:szCs w:val="24"/>
        </w:rPr>
      </w:pPr>
      <w:r w:rsidRPr="008E2CD0">
        <w:rPr>
          <w:rFonts w:cs="Times New Roman"/>
          <w:i/>
          <w:szCs w:val="24"/>
        </w:rPr>
        <w:tab/>
        <w:t xml:space="preserve">Pochonia chlamydosporia </w:t>
      </w:r>
      <w:r w:rsidRPr="008E2CD0">
        <w:rPr>
          <w:rFonts w:cs="Times New Roman"/>
          <w:szCs w:val="24"/>
        </w:rPr>
        <w:t xml:space="preserve">is commonly associated with nematode-suppressive soils. It is known as a parasite of root-knot and cyst nematode eggs, it can colonize the roots of several plant species, and can induce plant defense mechanisms </w:t>
      </w:r>
      <w:r w:rsidRPr="008E2CD0">
        <w:rPr>
          <w:rFonts w:cs="Times New Roman"/>
          <w:szCs w:val="24"/>
        </w:rPr>
        <w:fldChar w:fldCharType="begin" w:fldLock="1"/>
      </w:r>
      <w:r w:rsidRPr="008E2CD0">
        <w:rPr>
          <w:rFonts w:cs="Times New Roman"/>
          <w:szCs w:val="24"/>
        </w:rPr>
        <w:instrText>ADDIN CSL_CITATION {"citationItems":[{"id":"ITEM-1","itemData":{"DOI":"10.3389/fpls.2019.00945","ISSN":"1664462X","abstract":"Meloidogyne spp. are the most damaging plant parasitic nematodes for horticultural crops worldwide. Pochonia chlamydosporia is a fungal egg parasite of root-knot and cyst nematodes able to colonize the roots of several plant species and shown to induce plant defense mechanisms in fungal-plant interaction studies, and local resistance in fungal-nematode-plant interactions. This work demonstrates the differential ability of two out of five P. chlamydosporia isolates, M10.43.21 and M10.55.6, to induce systemic resistance against M. incognita in tomato but not in cucumber in split-root experiments. The M10.43.21 isolate reduced infection (32–43%), reproduction (44–59%), and female fecundity (14.7–27.6%), while the isolate M10.55.6 only reduced consistently nematode reproduction (35–47.5%) in the two experiments carried out. The isolate M10.43.21 induced the expression of the salicylic acid pathway (PR-1 gene) in tomato roots 7 days after being inoculated with the fungal isolate and just after nematode inoculation, and at 7 and 42 days after nematode inoculation too. The jasmonate signaling pathway (Lox D gene) was also upregulated at 7 days after nematode inoculation. Thus, some isolates of P. chlamydosporia can induce systemic resistance against root-knot nematodes but this is plant species dependent.","author":[{"dropping-particle":"","family":"Ghahremani","given":"Zahra","non-dropping-particle":"","parse-names":false,"suffix":""},{"dropping-particle":"","family":"Escudero","given":"Nuria","non-dropping-particle":"","parse-names":false,"suffix":""},{"dropping-particle":"","family":"Saus","given":"Ester","non-dropping-particle":"","parse-names":false,"suffix":""},{"dropping-particle":"","family":"Gabaldón","given":"Toni","non-dropping-particle":"","parse-names":false,"suffix":""},{"dropping-particle":"","family":"Sorribas","given":"F. Javier","non-dropping-particle":"","parse-names":false,"suffix":""}],"container-title":"Frontiers in Plant Science","id":"ITEM-1","issue":"August","issued":{"date-parts":[["2019"]]},"title":"Pochonia chlamydosporia Induces Plant-Dependent Systemic Resistance to Meloidogyne incognita","type":"article-journal","volume":"10"},"uris":["http://www.mendeley.com/documents/?uuid=505e937f-f0e7-4de6-8de4-4c4726d72020"]}],"mendeley":{"formattedCitation":"(Ghahremani et al., 2019)","plainTextFormattedCitation":"(Ghahremani et al., 2019)","previouslyFormattedCitation":"(Ghahremani et al., 2019)"},"properties":{"noteIndex":0},"schema":"https://github.com/citation-style-language/schema/raw/master/csl-citation.json"}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(Ghahremani et al., 2019)</w:t>
      </w:r>
      <w:r w:rsidRPr="008E2CD0">
        <w:rPr>
          <w:rFonts w:cs="Times New Roman"/>
          <w:szCs w:val="24"/>
        </w:rPr>
        <w:fldChar w:fldCharType="end"/>
      </w:r>
      <w:r w:rsidRPr="008E2CD0">
        <w:rPr>
          <w:rFonts w:cs="Times New Roman"/>
          <w:szCs w:val="24"/>
        </w:rPr>
        <w:t xml:space="preserve">. The fungus was shown to reduce tomato root galling by </w:t>
      </w:r>
      <w:r w:rsidRPr="008E2CD0">
        <w:rPr>
          <w:rFonts w:cs="Times New Roman"/>
          <w:i/>
          <w:szCs w:val="24"/>
        </w:rPr>
        <w:t xml:space="preserve">M. javanica </w:t>
      </w:r>
      <w:r w:rsidRPr="008E2CD0">
        <w:rPr>
          <w:rFonts w:cs="Times New Roman"/>
          <w:szCs w:val="24"/>
        </w:rPr>
        <w:fldChar w:fldCharType="begin" w:fldLock="1"/>
      </w:r>
      <w:r w:rsidRPr="008E2CD0">
        <w:rPr>
          <w:rFonts w:cs="Times New Roman"/>
          <w:szCs w:val="24"/>
        </w:rPr>
        <w:instrText>ADDIN CSL_CITATION {"citationItems":[{"id":"ITEM-1","itemData":{"DOI":"10.1080/09583150310001606282","ISSN":"09583157","abstract":"Growth chamber and plastic tunnel experiments were conducted to compare the ability of a native and introduced isolate of Pochonia chlamydosporia to colonize the rhizosphere of selected plant species and survive in soil. Effects of the isolates on population density of Meloidogyne javanica and yield of tomato after single or multiple fungal applications were also determined. In growth chamber experiments, both isolates showed a similar ability to colonise the rhizosphere of selected vegetables, except for the introduced isolate, which produced more colony forming units cm-2 of root surface on tomato and cabbage than the native one. In the tunnel house, both isolates parasitized eggs of M. javanica, and the native but not the introduced isolate increased parasitism after multiple applications. The native isolate was recovered more frequently from soil, and was a better colonizer of tomato roots than the introduced one irrespective of the number of fungal applications. Multiple fungal applications of either isolate reduced the nematode gall rating, and the native isolate also reduced the final egg population in roots. Neither isolates reduced final nematode densities in soil or affected tomato yield when compared to untreated plots.","author":[{"dropping-particle":"","family":"Sorribas","given":"F. J.","non-dropping-particle":"","parse-names":false,"suffix":""},{"dropping-particle":"","family":"Ornat","given":"C.","non-dropping-particle":"","parse-names":false,"suffix":""},{"dropping-particle":"","family":"Galeano","given":"M.","non-dropping-particle":"","parse-names":false,"suffix":""},{"dropping-particle":"","family":"Verdejo-Lucas","given":"S.","non-dropping-particle":"","parse-names":false,"suffix":""}],"container-title":"Biocontrol Science and Technology","id":"ITEM-1","issue":"8","issued":{"date-parts":[["2003"]]},"page":"707-714","title":"Evaluation of a Native and Introduced Isolate of Pochonia chlamydosporia against Meloidogyne javanica","type":"article-journal","volume":"13"},"uris":["http://www.mendeley.com/documents/?uuid=51878f3f-f0c4-4549-8a63-c87a4befc0dc"]}],"mendeley":{"formattedCitation":"(Sorribas et al., 2003)","plainTextFormattedCitation":"(Sorribas et al., 2003)","previouslyFormattedCitation":"(Sorribas et al., 2003)"},"properties":{"noteIndex":0},"schema":"https://github.com/citation-style-language/schema/raw/master/csl-citation.json"}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(Sorribas et al., 2003)</w:t>
      </w:r>
      <w:r w:rsidRPr="008E2CD0">
        <w:rPr>
          <w:rFonts w:cs="Times New Roman"/>
          <w:szCs w:val="24"/>
        </w:rPr>
        <w:fldChar w:fldCharType="end"/>
      </w:r>
      <w:r w:rsidRPr="008E2CD0">
        <w:rPr>
          <w:rFonts w:cs="Times New Roman"/>
          <w:szCs w:val="24"/>
        </w:rPr>
        <w:t xml:space="preserve">. </w:t>
      </w:r>
      <w:r w:rsidRPr="008E2CD0">
        <w:rPr>
          <w:rFonts w:cs="Times New Roman"/>
          <w:i/>
          <w:szCs w:val="24"/>
        </w:rPr>
        <w:t>P</w:t>
      </w:r>
      <w:r>
        <w:rPr>
          <w:rFonts w:cs="Times New Roman"/>
          <w:i/>
          <w:szCs w:val="24"/>
        </w:rPr>
        <w:t>ochonia</w:t>
      </w:r>
      <w:r w:rsidRPr="008E2CD0">
        <w:rPr>
          <w:rFonts w:cs="Times New Roman"/>
          <w:i/>
          <w:szCs w:val="24"/>
        </w:rPr>
        <w:t xml:space="preserve"> chlamydosporia </w:t>
      </w:r>
      <w:r w:rsidRPr="008E2CD0">
        <w:rPr>
          <w:rFonts w:cs="Times New Roman"/>
          <w:szCs w:val="24"/>
        </w:rPr>
        <w:t xml:space="preserve">was found to significantly reduce nematode density in a </w:t>
      </w:r>
      <w:r w:rsidRPr="008E2CD0">
        <w:rPr>
          <w:rFonts w:cs="Times New Roman"/>
          <w:i/>
          <w:szCs w:val="24"/>
        </w:rPr>
        <w:t>Globodera pallida</w:t>
      </w:r>
      <w:r w:rsidRPr="008E2CD0">
        <w:rPr>
          <w:rFonts w:cs="Times New Roman"/>
          <w:szCs w:val="24"/>
        </w:rPr>
        <w:t xml:space="preserve">-infested field </w:t>
      </w:r>
      <w:r w:rsidRPr="008E2CD0">
        <w:rPr>
          <w:rFonts w:cs="Times New Roman"/>
          <w:szCs w:val="24"/>
        </w:rPr>
        <w:fldChar w:fldCharType="begin" w:fldLock="1"/>
      </w:r>
      <w:r w:rsidRPr="008E2CD0">
        <w:rPr>
          <w:rFonts w:cs="Times New Roman"/>
          <w:szCs w:val="24"/>
        </w:rPr>
        <w:instrText>ADDIN CSL_CITATION {"citationItems":[{"id":"ITEM-1","itemData":{"DOI":"10.1016/j.biocontrol.2008.03.014","ISSN":"10499644","abstract":"This is the first report of the successful use of Pochonia chlamydosporia as a biological control agent against potato cyst nematodes (PCN) (Globodera pallida and G. rostochiensis) in potato crops grown under commercial field conditions and represents an important step in the development of biological control for PCN. Two field experiments were established in consecutive years (2006 and 2007) at different field sites in Shropshire, England. Treatments comprised of (1) untreated control, (2) P. chlamydosporia, (3) P. chlamydosporia with the nematicide fosthiazate and (4) fosthiazate alone. In both experiments, significant reductions in the nematode multiplication rate (Pf/Pi) for P. chlamydosporia treated plots were observed (48% and 51% control, respectively). The P. chlamydosporia treatment did not differ significantly from both fosthiazate treatments in terms of Pf/Pi in spite of the trend towards increased control particularly in Experiment 1. P. chlamydosporia therefore provided similar levels of nematode population control as fosthiazate. The combined treatment did not provide any additional reduction in Pf/Pi but demonstrated that P. chlamydosporia was compatible with fosthiazate. Over the different developmental stages of the juvenile nematodes, there was evidence of parasitism of adult females on the plant root by P. chlamydosporia. Root colonization by P. chlamydosporia was higher in the P. chlamydosporia treatment due to increased levels of nematodes in plant roots. Results from both experiments demonstrated the efficacy of P. chlamydosporia as a biological control agent of PCN and indicate its potential for use as part of an integrated pest management strategy. © 2008 Elsevier Inc. All rights reserved.","author":[{"dropping-particle":"","family":"Tobin","given":"J. D.","non-dropping-particle":"","parse-names":false,"suffix":""},{"dropping-particle":"","family":"Haydock","given":"P. P.J.","non-dropping-particle":"","parse-names":false,"suffix":""},{"dropping-particle":"","family":"Hare","given":"M. C.","non-dropping-particle":"","parse-names":false,"suffix":""},{"dropping-particle":"","family":"Woods","given":"S. R.","non-dropping-particle":"","parse-names":false,"suffix":""},{"dropping-particle":"","family":"Crump","given":"D. H.","non-dropping-particle":"","parse-names":false,"suffix":""}],"container-title":"Biological Control","id":"ITEM-1","issue":"2","issued":{"date-parts":[["2008"]]},"page":"194-201","title":"Effect of the fungus Pochonia chlamydosporia and fosthiazate on the multiplication rate of potato cyst nematodes (Globodera pallida and G. rostochiensis) in potato crops grown under UK field conditions","type":"article-journal","volume":"46"},"uris":["http://www.mendeley.com/documents/?uuid=0fc2b4dc-0eaf-4e1c-959c-03e3913e0812"]}],"mendeley":{"formattedCitation":"(Tobin et al., 2008)","plainTextFormattedCitation":"(Tobin et al., 2008)","previouslyFormattedCitation":"(Tobin et al., 2008)"},"properties":{"noteIndex":0},"schema":"https://github.com/citation-style-language/schema/raw/master/csl-citation.json"}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(Tobin et al., 2008)</w:t>
      </w:r>
      <w:r w:rsidRPr="008E2CD0">
        <w:rPr>
          <w:rFonts w:cs="Times New Roman"/>
          <w:szCs w:val="24"/>
        </w:rPr>
        <w:fldChar w:fldCharType="end"/>
      </w:r>
      <w:r w:rsidRPr="008E2CD0">
        <w:rPr>
          <w:rFonts w:cs="Times New Roman"/>
          <w:szCs w:val="24"/>
        </w:rPr>
        <w:t xml:space="preserve">. </w:t>
      </w:r>
      <w:r w:rsidRPr="008E2CD0">
        <w:rPr>
          <w:rFonts w:cs="Times New Roman"/>
          <w:szCs w:val="24"/>
        </w:rPr>
        <w:fldChar w:fldCharType="begin" w:fldLock="1"/>
      </w:r>
      <w:r w:rsidRPr="008E2CD0">
        <w:rPr>
          <w:rFonts w:cs="Times New Roman"/>
          <w:szCs w:val="24"/>
        </w:rPr>
        <w:instrText>ADDIN CSL_CITATION {"citationItems":[{"id":"ITEM-1","itemData":{"DOI":"10.3389/fpls.2019.00945","ISSN":"1664462X","abstract":"Meloidogyne spp. are the most damaging plant parasitic nematodes for horticultural crops worldwide. Pochonia chlamydosporia is a fungal egg parasite of root-knot and cyst nematodes able to colonize the roots of several plant species and shown to induce plant defense mechanisms in fungal-plant interaction studies, and local resistance in fungal-nematode-plant interactions. This work demonstrates the differential ability of two out of five P. chlamydosporia isolates, M10.43.21 and M10.55.6, to induce systemic resistance against M. incognita in tomato but not in cucumber in split-root experiments. The M10.43.21 isolate reduced infection (32–43%), reproduction (44–59%), and female fecundity (14.7–27.6%), while the isolate M10.55.6 only reduced consistently nematode reproduction (35–47.5%) in the two experiments carried out. The isolate M10.43.21 induced the expression of the salicylic acid pathway (PR-1 gene) in tomato roots 7 days after being inoculated with the fungal isolate and just after nematode inoculation, and at 7 and 42 days after nematode inoculation too. The jasmonate signaling pathway (Lox D gene) was also upregulated at 7 days after nematode inoculation. Thus, some isolates of P. chlamydosporia can induce systemic resistance against root-knot nematodes but this is plant species dependent.","author":[{"dropping-particle":"","family":"Ghahremani","given":"Zahra","non-dropping-particle":"","parse-names":false,"suffix":""},{"dropping-particle":"","family":"Escudero","given":"Nuria","non-dropping-particle":"","parse-names":false,"suffix":""},{"dropping-particle":"","family":"Saus","given":"Ester","non-dropping-particle":"","parse-names":false,"suffix":""},{"dropping-particle":"","family":"Gabaldón","given":"Toni","non-dropping-particle":"","parse-names":false,"suffix":""},{"dropping-particle":"","family":"Sorribas","given":"F. Javier","non-dropping-particle":"","parse-names":false,"suffix":""}],"container-title":"Frontiers in Plant Science","id":"ITEM-1","issue":"August","issued":{"date-parts":[["2019"]]},"title":"Pochonia chlamydosporia Induces Plant-Dependent Systemic Resistance to Meloidogyne incognita","type":"article-journal","volume":"10"},"uris":["http://www.mendeley.com/documents/?uuid=505e937f-f0e7-4de6-8de4-4c4726d72020"]}],"mendeley":{"formattedCitation":"(Ghahremani et al., 2019)","manualFormatting":"Ghahremani et al. (2019)","plainTextFormattedCitation":"(Ghahremani et al., 2019)","previouslyFormattedCitation":"(Ghahremani et al., 2019)"},"properties":{"noteIndex":0},"schema":"https://github.com/citation-style-language/schema/raw/master/csl-citation.json"}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Ghahremani et al. (2019)</w:t>
      </w:r>
      <w:r w:rsidRPr="008E2CD0">
        <w:rPr>
          <w:rFonts w:cs="Times New Roman"/>
          <w:szCs w:val="24"/>
        </w:rPr>
        <w:fldChar w:fldCharType="end"/>
      </w:r>
      <w:r w:rsidRPr="008E2CD0">
        <w:rPr>
          <w:rFonts w:cs="Times New Roman"/>
          <w:szCs w:val="24"/>
        </w:rPr>
        <w:t xml:space="preserve"> reported that two </w:t>
      </w:r>
      <w:r w:rsidRPr="008E2CD0">
        <w:rPr>
          <w:rFonts w:cs="Times New Roman"/>
          <w:i/>
          <w:iCs/>
          <w:szCs w:val="24"/>
        </w:rPr>
        <w:t xml:space="preserve">P. chlamydosporia </w:t>
      </w:r>
      <w:r w:rsidRPr="008E2CD0">
        <w:rPr>
          <w:rFonts w:cs="Times New Roman"/>
          <w:szCs w:val="24"/>
        </w:rPr>
        <w:t xml:space="preserve">isolates, M10.43.21 and M10.55.6, induce systemic resistance against </w:t>
      </w:r>
      <w:r w:rsidRPr="008E2CD0">
        <w:rPr>
          <w:rFonts w:cs="Times New Roman"/>
          <w:i/>
          <w:iCs/>
          <w:szCs w:val="24"/>
        </w:rPr>
        <w:t xml:space="preserve">M. incognita </w:t>
      </w:r>
      <w:r w:rsidRPr="008E2CD0">
        <w:rPr>
          <w:rFonts w:cs="Times New Roman"/>
          <w:szCs w:val="24"/>
        </w:rPr>
        <w:t xml:space="preserve">in tomatoes. The M10.43.21 isolate decreased infection (43%), reproduction (59%), and female fertility (27.6%), while the isolate M10.55.6 only </w:t>
      </w:r>
      <w:r w:rsidRPr="00B37543">
        <w:rPr>
          <w:rFonts w:cs="Times New Roman"/>
          <w:szCs w:val="24"/>
        </w:rPr>
        <w:t xml:space="preserve">consistently </w:t>
      </w:r>
      <w:r w:rsidRPr="008E2CD0">
        <w:rPr>
          <w:rFonts w:cs="Times New Roman"/>
          <w:szCs w:val="24"/>
        </w:rPr>
        <w:t xml:space="preserve">decreased nematode reproduction (35–47.5%). </w:t>
      </w:r>
    </w:p>
    <w:p w14:paraId="63607C60" w14:textId="77777777" w:rsidR="00D20476" w:rsidRPr="008E2CD0" w:rsidRDefault="00D20476" w:rsidP="00D20476">
      <w:pPr>
        <w:widowControl/>
        <w:tabs>
          <w:tab w:val="left" w:pos="270"/>
        </w:tabs>
        <w:autoSpaceDE/>
        <w:autoSpaceDN/>
        <w:spacing w:line="360" w:lineRule="auto"/>
        <w:ind w:left="720"/>
        <w:rPr>
          <w:rFonts w:cs="Times New Roman"/>
          <w:b/>
          <w:i/>
          <w:szCs w:val="24"/>
        </w:rPr>
      </w:pPr>
    </w:p>
    <w:p w14:paraId="07906664" w14:textId="77777777" w:rsidR="00D20476" w:rsidRPr="008E2CD0" w:rsidRDefault="00D20476" w:rsidP="00D122A6">
      <w:pPr>
        <w:pStyle w:val="Heading3"/>
      </w:pPr>
      <w:bookmarkStart w:id="71" w:name="_Toc98812698"/>
      <w:bookmarkStart w:id="72" w:name="_Toc98812906"/>
      <w:bookmarkStart w:id="73" w:name="_Toc98813572"/>
      <w:bookmarkStart w:id="74" w:name="_Toc101048081"/>
      <w:r w:rsidRPr="008E2CD0">
        <w:t>Trichoderma spp.</w:t>
      </w:r>
      <w:bookmarkEnd w:id="71"/>
      <w:bookmarkEnd w:id="72"/>
      <w:bookmarkEnd w:id="73"/>
      <w:bookmarkEnd w:id="74"/>
      <w:r w:rsidRPr="008E2CD0">
        <w:t xml:space="preserve"> </w:t>
      </w:r>
    </w:p>
    <w:p w14:paraId="466A9B2F" w14:textId="4294981E" w:rsidR="00FD1FC5" w:rsidRDefault="00D20476" w:rsidP="00E326B2">
      <w:pPr>
        <w:widowControl/>
        <w:tabs>
          <w:tab w:val="left" w:pos="270"/>
        </w:tabs>
        <w:autoSpaceDE/>
        <w:autoSpaceDN/>
        <w:spacing w:line="360" w:lineRule="auto"/>
        <w:ind w:left="720"/>
      </w:pPr>
      <w:r w:rsidRPr="008E2CD0">
        <w:rPr>
          <w:rFonts w:cs="Times New Roman"/>
          <w:i/>
          <w:szCs w:val="24"/>
        </w:rPr>
        <w:tab/>
        <w:t xml:space="preserve">Trichoderma </w:t>
      </w:r>
      <w:r w:rsidRPr="007A4D90">
        <w:t>spp.</w:t>
      </w:r>
      <w:r w:rsidRPr="008E2CD0">
        <w:rPr>
          <w:rFonts w:cs="Times New Roman"/>
          <w:i/>
          <w:szCs w:val="24"/>
        </w:rPr>
        <w:t xml:space="preserve"> </w:t>
      </w:r>
      <w:r>
        <w:rPr>
          <w:rFonts w:cs="Times New Roman"/>
          <w:szCs w:val="24"/>
        </w:rPr>
        <w:t>is</w:t>
      </w:r>
      <w:r w:rsidRPr="008E2CD0">
        <w:rPr>
          <w:rFonts w:cs="Times New Roman"/>
          <w:szCs w:val="24"/>
        </w:rPr>
        <w:t xml:space="preserve"> known for antagonizing and suppressing nematode populations using several mechanisms including p</w:t>
      </w:r>
      <w:r w:rsidRPr="008E2CD0">
        <w:rPr>
          <w:rFonts w:cs="Times New Roman"/>
          <w:szCs w:val="24"/>
          <w:shd w:val="clear" w:color="auto" w:fill="FFFFFF"/>
        </w:rPr>
        <w:t xml:space="preserve">arasitism, antibiosis, lytic enzyme production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{"citationItems":[{"id":"ITEM-1","itemData":{"DOI":"10.1016/j.biocontrol.2014.01.009","ISSN":"10499644","abstract":"Heterodera avenae is a devastating plant pathogen that causes significant yield losses in many crops, but there is a lack of scientific information whether this pathogen can be controlled effectively using biocontrol agents. Here we determined the parasitic and lethal effects of Trichoderma longibrachiatum against H. avenae and the possible mechanism involved in this action. Both in vitro and greenhouse experiments were conducted. In vitro, T. longibrachiatum at the concentrations of 1.5×104 to 1.5×108spores per ml had a strong parasitic and lethal effect on the cysts of H. avenae, with the concentration of 1.5×108spores per ml having &gt;90% parasitism 18days after treatments. In greenhouse, T. longibrachiatum inoculation decreased H. avenae infection in wheat (Triticum aestivum) significantly. Observations with microscopes revealed that after mutual recognition with cysts, the spore of T. longibrachiatum germinated with a large number of hyphae, and reproduced rapidly on the surface of cysts. Meanwhile, the cysts surface became uneven, with some cysts producing vacuoles, and the others splitting. Finally the cysts were dissolved by the metabolite of T. longibrachiatum. Chitinase activity increased in the culture filtrates of T. longibrachiatum and reached the maximum 4days after inoculation in the medium supplemented with colloidal chitin (1.02U/minperml) and nematode cysts (0.78U/minperml). The parasitism and inhibition of cysts through the increased extracellular chitinase activity serves as the main mechanism with which T. longibrachiatum against H. avenae. In conclusion, T. longibrachiatum has a great potential to be used as a biocontrol agent against H. avenae. © 2014 Elsevier Inc.","author":[{"dropping-particle":"","family":"Zhang","given":"Shuwu","non-dropping-particle":"","parse-names":false,"suffix":""},{"dropping-particle":"","family":"Gan","given":"Yantai","non-dropping-particle":"","parse-names":false,"suffix":""},{"dropping-particle":"","family":"Xu","given":"Bingliang","non-dropping-particle":"","parse-names":false,"suffix":""},{"dropping-particle":"","family":"Xue","given":"Yingyu","non-dropping-particle":"","parse-names":false,"suffix":""}],"container-title":"Biological Control","id":"ITEM-1","issued":{"date-parts":[["2014"]]},"page":"1-8","publisher":"Elsevier Inc.","title":"The parasitic and lethal effects of Trichoderma longibrachiatum against Heterodera avenae","type":"article-journal","volume":"72"},"uris":["http://www.mendeley.com/documents/?uuid=d5b85638-a052-4fc2-b130-eb672ced5d4a"]}],"mendeley":{"formattedCitation":"(Zhang et al., 2014)","plainTextFormattedCitation":"(Zhang et al., 2014)","previouslyFormattedCitation":"(Zhang et al., 2014)"},"properties":{"noteIndex":0},"schema":"https://github.com/citation-style-language/schema/raw/master/csl-citation.json"}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(Zhang et al., 2014)</w:t>
      </w:r>
      <w:r w:rsidRPr="008E2CD0">
        <w:rPr>
          <w:rFonts w:cs="Times New Roman"/>
          <w:szCs w:val="24"/>
          <w:shd w:val="clear" w:color="auto" w:fill="FFFFFF"/>
        </w:rPr>
        <w:fldChar w:fldCharType="end"/>
      </w:r>
      <w:r w:rsidRPr="008E2CD0">
        <w:rPr>
          <w:rFonts w:cs="Times New Roman"/>
          <w:szCs w:val="24"/>
          <w:shd w:val="clear" w:color="auto" w:fill="FFFFFF"/>
        </w:rPr>
        <w:t xml:space="preserve">, or competing for space and nutrients and modifying the rhizosphere in favor of host plants. </w:t>
      </w:r>
      <w:r>
        <w:rPr>
          <w:rFonts w:cs="Times New Roman"/>
          <w:szCs w:val="24"/>
          <w:shd w:val="clear" w:color="auto" w:fill="FFFFFF"/>
        </w:rPr>
        <w:t>Additionally</w:t>
      </w:r>
      <w:r w:rsidRPr="008E2CD0">
        <w:rPr>
          <w:rFonts w:cs="Times New Roman"/>
          <w:szCs w:val="24"/>
          <w:shd w:val="clear" w:color="auto" w:fill="FFFFFF"/>
        </w:rPr>
        <w:t>, some</w:t>
      </w:r>
      <w:r>
        <w:rPr>
          <w:rFonts w:cs="Times New Roman"/>
          <w:szCs w:val="24"/>
          <w:shd w:val="clear" w:color="auto" w:fill="FFFFFF"/>
        </w:rPr>
        <w:t xml:space="preserve"> </w:t>
      </w:r>
      <w:r w:rsidRPr="008E2CD0">
        <w:rPr>
          <w:rFonts w:cs="Times New Roman"/>
          <w:szCs w:val="24"/>
          <w:shd w:val="clear" w:color="auto" w:fill="FFFFFF"/>
        </w:rPr>
        <w:t xml:space="preserve">can induce hormone-mediated plant-defense mechanisms against nematodes </w:t>
      </w:r>
      <w:r w:rsidRPr="008E2CD0">
        <w:rPr>
          <w:rFonts w:cs="Times New Roman"/>
          <w:szCs w:val="24"/>
          <w:shd w:val="clear" w:color="auto" w:fill="FFFFFF"/>
        </w:rPr>
        <w:fldChar w:fldCharType="begin" w:fldLock="1"/>
      </w:r>
      <w:r w:rsidRPr="008E2CD0">
        <w:rPr>
          <w:rFonts w:cs="Times New Roman"/>
          <w:szCs w:val="24"/>
          <w:shd w:val="clear" w:color="auto" w:fill="FFFFFF"/>
        </w:rPr>
        <w:instrText>ADDIN CSL_CITATION {"citationItems":[{"id":"ITEM-1","itemData":{"DOI":"10.3389/fmicb.2020.00992","ISSN":"1664302X","abstract":"Plant-parasitic-nematodes represent a major threat to the agricultural production of different crops worldwide. Due to the high toxicity of chemical nematicides, it is necessary to develop new control strategies against nematodes. In this respect, filamentous fungi can be an interesting biocontrol alternative. The genus Trichoderma, mycorrhizal and endophytic fungi are the main groups of filamentous fungi studied and used as biological control agents (BCAs) against nematodes as resistance inducers. They are able to reduce the damage caused by plant-parasitic nematodes directly by parasitism, antibiosis, paralysis and by the production of lytic enzymes. But they also minimize harm by space and resource-competition, by providing higher nutrient and water uptake to the plant, or by modifying the root morphology, and/or rhizosphere interactions, that constitutes an advantage for the plant-growth. Besides, filamentous fungi are able to induce resistance against nematodes by activating hormone-mediated (salicylic and jasmonic acid, strigolactones among others) plant-defense mechanisms. Additionally, the alteration of the transport of chemical defense components through the plant or the synthesis of plant secondary metabolites and different enzymes can also contribute to enhancing plant defenses. Therefore, the use of filamentous fungi of the mentioned groups as BCAs is a promising durable biocontrol strategy in agriculture against plant-parasitic nematodes.","author":[{"dropping-particle":"","family":"Poveda","given":"Jorge","non-dropping-particle":"","parse-names":false,"suffix":""},{"dropping-particle":"","family":"Abril-Urias","given":"Patricia","non-dropping-particle":"","parse-names":false,"suffix":""},{"dropping-particle":"","family":"Escobar","given":"Carolina","non-dropping-particle":"","parse-names":false,"suffix":""}],"container-title":"Frontiers in Microbiology","id":"ITEM-1","issue":"May","issued":{"date-parts":[["2020"]]},"page":"1-14","title":"Biological Control of Plant-Parasitic Nematodes by Filamentous Fungi Inducers of Resistance: Trichoderma, Mycorrhizal and Endophytic Fungi","type":"article-journal","volume":"11"},"uris":["http://www.mendeley.com/documents/?uuid=71e65028-71e9-427a-96df-ff543bedc03f"]}],"mendeley":{"formattedCitation":"(Poveda et al., 2020)","plainTextFormattedCitation":"(Poveda et al., 2020)","previouslyFormattedCitation":"(Poveda et al., 2020)"},"properties":{"noteIndex":0},"schema":"https://github.com/citation-style-language/schema/raw/master/csl-citation.json"}</w:instrText>
      </w:r>
      <w:r w:rsidRPr="008E2CD0">
        <w:rPr>
          <w:rFonts w:cs="Times New Roman"/>
          <w:szCs w:val="24"/>
          <w:shd w:val="clear" w:color="auto" w:fill="FFFFFF"/>
        </w:rPr>
        <w:fldChar w:fldCharType="separate"/>
      </w:r>
      <w:r w:rsidRPr="008E2CD0">
        <w:rPr>
          <w:rFonts w:cs="Times New Roman"/>
          <w:noProof/>
          <w:szCs w:val="24"/>
          <w:shd w:val="clear" w:color="auto" w:fill="FFFFFF"/>
        </w:rPr>
        <w:t>(Poveda et al., 2020)</w:t>
      </w:r>
      <w:r w:rsidRPr="008E2CD0">
        <w:rPr>
          <w:rFonts w:cs="Times New Roman"/>
          <w:szCs w:val="24"/>
          <w:shd w:val="clear" w:color="auto" w:fill="FFFFFF"/>
        </w:rPr>
        <w:fldChar w:fldCharType="end"/>
      </w:r>
      <w:r w:rsidRPr="008E2CD0">
        <w:rPr>
          <w:rFonts w:cs="Times New Roman"/>
          <w:szCs w:val="24"/>
          <w:shd w:val="clear" w:color="auto" w:fill="FFFFFF"/>
        </w:rPr>
        <w:t xml:space="preserve">. </w:t>
      </w:r>
      <w:r w:rsidRPr="008E2CD0">
        <w:rPr>
          <w:rFonts w:cs="Times New Roman"/>
          <w:szCs w:val="24"/>
        </w:rPr>
        <w:fldChar w:fldCharType="begin" w:fldLock="1"/>
      </w:r>
      <w:r w:rsidRPr="008E2CD0">
        <w:rPr>
          <w:rFonts w:cs="Times New Roman"/>
          <w:szCs w:val="24"/>
        </w:rPr>
        <w:instrText>ADDIN CSL_CITATION {"citationItems":[{"id":"ITEM-1","itemData":{"DOI":"10.1080/03601230701771164","ISSN":"03601234","PMID":"18368544","abstract":"Management of root knot nematode disease infecting tomato, by the use of fungal bioagents Acremonium strictum and Trichoderma harzianum isolated from egg masses of M. incognita infecting tomato has been carried out. The rhizosphere and rhizoplane of root knot nematode infested tomato revealed consistent association of Acremonium strictum. In the present study A. strictum and other fungal bioagents viz. Aspergillus niger, Paecilomyces lilacinus,Rhizoctonia solani and Trichoderma harzianum isolated earlier from egg-masses of M. incognita, identified and maintained have been investigated through in-vitro and in-vivo trials for their potentiality against M. incognita. Out of the above, isolated mycoflora A. niger was identified to be toxic against M. incognita while A. strictum and T. harzianum was found to possess both egg parasitic or opportunistic and toxic properties. A field trial with all the above fungal bioagents both alone and together showed significant promising performance by the dual treatment of A. strictum and T. harzianum in improving the health of the tomato plant with a remarkable reduction in M. incognita population. Copyright © Taylor &amp; Francis Group, LLC.","author":[{"dropping-particle":"","family":"Goswami","given":"Jaideep","non-dropping-particle":"","parse-names":false,"suffix":""},{"dropping-particle":"","family":"Pandey","given":"Rajesh Kumar","non-dropping-particle":"","parse-names":false,"suffix":""},{"dropping-particle":"","family":"Tewari","given":"J. P.","non-dropping-particle":"","parse-names":false,"suffix":""},{"dropping-particle":"","family":"Goswami","given":"B. K.","non-dropping-particle":"","parse-names":false,"suffix":""}],"container-title":"Journal of Environmental Science and Health - Part B Pesticides, Food Contaminants, and Agricultural Wastes","id":"ITEM-1","issue":"3","issued":{"date-parts":[["2008"]]},"page":"237-240","title":"Management of root knot nematode on tomato through application of fungal antagonists, Acremonium strictum and Trichoderma harzianum","type":"article-journal","volume":"43"},"uris":["http://www.mendeley.com/documents/?uuid=8a75edf5-3de1-4b1b-8eb8-0051d35115dd"]}],"mendeley":{"formattedCitation":"(Goswami et al., 2008)","manualFormatting":"Goswami et al., (2008)","plainTextFormattedCitation":"(Goswami et al., 2008)","previouslyFormattedCitation":"(Goswami et al., 2008)"},"properties":{"noteIndex":0},"schema":"https://github.com/citation-style-language/schema/raw/master/csl-citation.json"}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Goswami et al., (2008)</w:t>
      </w:r>
      <w:r w:rsidRPr="008E2CD0">
        <w:rPr>
          <w:rFonts w:cs="Times New Roman"/>
          <w:szCs w:val="24"/>
        </w:rPr>
        <w:fldChar w:fldCharType="end"/>
      </w:r>
      <w:r w:rsidRPr="008E2CD0">
        <w:rPr>
          <w:rFonts w:cs="Times New Roman"/>
          <w:szCs w:val="24"/>
        </w:rPr>
        <w:t xml:space="preserve"> reported that </w:t>
      </w:r>
      <w:r w:rsidRPr="008E2CD0">
        <w:rPr>
          <w:rFonts w:cs="Times New Roman"/>
          <w:i/>
          <w:szCs w:val="24"/>
        </w:rPr>
        <w:t>T. harzianum</w:t>
      </w:r>
      <w:r w:rsidRPr="008E2CD0">
        <w:rPr>
          <w:rFonts w:cs="Times New Roman"/>
          <w:szCs w:val="24"/>
        </w:rPr>
        <w:t xml:space="preserve"> reduced </w:t>
      </w:r>
      <w:r w:rsidRPr="008E2CD0">
        <w:rPr>
          <w:rFonts w:cs="Times New Roman"/>
          <w:i/>
          <w:szCs w:val="24"/>
        </w:rPr>
        <w:t>M. incognita</w:t>
      </w:r>
      <w:r w:rsidRPr="008E2CD0">
        <w:rPr>
          <w:rFonts w:cs="Times New Roman"/>
          <w:szCs w:val="24"/>
        </w:rPr>
        <w:t xml:space="preserve"> root galls on tomatoes by 47%. </w:t>
      </w:r>
      <w:r>
        <w:rPr>
          <w:rFonts w:cs="Times New Roman"/>
          <w:szCs w:val="24"/>
        </w:rPr>
        <w:t>Oyekanmi et al. (2007)</w:t>
      </w:r>
      <w:r w:rsidRPr="008E2CD0">
        <w:rPr>
          <w:rFonts w:cs="Times New Roman"/>
          <w:szCs w:val="24"/>
        </w:rPr>
        <w:t xml:space="preserve"> reported that a </w:t>
      </w:r>
      <w:r w:rsidRPr="008E2CD0">
        <w:rPr>
          <w:rFonts w:cs="Times New Roman"/>
          <w:i/>
          <w:szCs w:val="24"/>
        </w:rPr>
        <w:t>T. pseudokoningi</w:t>
      </w:r>
      <w:r w:rsidRPr="008E2CD0">
        <w:rPr>
          <w:rFonts w:cs="Times New Roman"/>
          <w:szCs w:val="24"/>
        </w:rPr>
        <w:t xml:space="preserve">i isolate suppressed </w:t>
      </w:r>
      <w:r w:rsidRPr="008E2CD0">
        <w:rPr>
          <w:rFonts w:cs="Times New Roman"/>
          <w:i/>
          <w:szCs w:val="24"/>
        </w:rPr>
        <w:t>M. incognita</w:t>
      </w:r>
      <w:r w:rsidRPr="008E2CD0">
        <w:rPr>
          <w:rFonts w:cs="Times New Roman"/>
          <w:szCs w:val="24"/>
        </w:rPr>
        <w:t xml:space="preserve"> egg masses on soybean in pot experiments. Another species, </w:t>
      </w:r>
      <w:r w:rsidRPr="008E2CD0">
        <w:rPr>
          <w:rFonts w:cs="Times New Roman"/>
          <w:i/>
          <w:szCs w:val="24"/>
        </w:rPr>
        <w:t>T. longbranchiatum</w:t>
      </w:r>
      <w:r w:rsidRPr="007A4D90">
        <w:t>,</w:t>
      </w:r>
      <w:r w:rsidRPr="008E2CD0">
        <w:rPr>
          <w:rFonts w:cs="Times New Roman"/>
          <w:i/>
          <w:szCs w:val="24"/>
        </w:rPr>
        <w:t xml:space="preserve"> </w:t>
      </w:r>
      <w:r w:rsidRPr="008E2CD0">
        <w:rPr>
          <w:rFonts w:cs="Times New Roman"/>
          <w:szCs w:val="24"/>
        </w:rPr>
        <w:t xml:space="preserve">significantly decreased the number of cysts and females of </w:t>
      </w:r>
      <w:r w:rsidRPr="008E2CD0">
        <w:rPr>
          <w:rFonts w:cs="Times New Roman"/>
          <w:i/>
          <w:szCs w:val="24"/>
        </w:rPr>
        <w:t>H. avenae</w:t>
      </w:r>
      <w:r w:rsidRPr="008E2CD0">
        <w:rPr>
          <w:rFonts w:cs="Times New Roman"/>
          <w:szCs w:val="24"/>
        </w:rPr>
        <w:t xml:space="preserve">, and inhibited juvenile development in soils and roots in greenhouse trials </w:t>
      </w:r>
      <w:r w:rsidRPr="008E2CD0">
        <w:rPr>
          <w:rFonts w:cs="Times New Roman"/>
          <w:i/>
          <w:szCs w:val="24"/>
        </w:rPr>
        <w:fldChar w:fldCharType="begin" w:fldLock="1"/>
      </w:r>
      <w:r w:rsidRPr="008E2CD0">
        <w:rPr>
          <w:rFonts w:cs="Times New Roman"/>
          <w:i/>
          <w:szCs w:val="24"/>
        </w:rPr>
        <w:instrText>ADDIN CSL_CITATION {"citationItems":[{"id":"ITEM-1","itemData":{"DOI":"10.1016/j.biocontrol.2014.01.009","ISSN":"10499644","abstract":"Heterodera avenae is a devastating plant pathogen that causes significant yield losses in many crops, but there is a lack of scientific information whether this pathogen can be controlled effectively using biocontrol agents. Here we determined the parasitic and lethal effects of Trichoderma longibrachiatum against H. avenae and the possible mechanism involved in this action. Both in vitro and greenhouse experiments were conducted. In vitro, T. longibrachiatum at the concentrations of 1.5×104 to 1.5×108spores per ml had a strong parasitic and lethal effect on the cysts of H. avenae, with the concentration of 1.5×108spores per ml having &gt;90% parasitism 18days after treatments. In greenhouse, T. longibrachiatum inoculation decreased H. avenae infection in wheat (Triticum aestivum) significantly. Observations with microscopes revealed that after mutual recognition with cysts, the spore of T. longibrachiatum germinated with a large number of hyphae, and reproduced rapidly on the surface of cysts. Meanwhile, the cysts surface became uneven, with some cysts producing vacuoles, and the others splitting. Finally the cysts were dissolved by the metabolite of T. longibrachiatum. Chitinase activity increased in the culture filtrates of T. longibrachiatum and reached the maximum 4days after inoculation in the medium supplemented with colloidal chitin (1.02U/minperml) and nematode cysts (0.78U/minperml). The parasitism and inhibition of cysts through the increased extracellular chitinase activity serves as the main mechanism with which T. longibrachiatum against H. avenae. In conclusion, T. longibrachiatum has a great potential to be used as a biocontrol agent against H. avenae. © 2014 Elsevier Inc.","author":[{"dropping-particle":"","family":"Zhang","given":"Shuwu","non-dropping-particle":"","parse-names":false,"suffix":""},{"dropping-particle":"","family":"Gan","given":"Yantai","non-dropping-particle":"","parse-names":false,"suffix":""},{"dropping-particle":"","family":"Xu","given":"Bingliang","non-dropping-particle":"","parse-names":false,"suffix":""},{"dropping-particle":"","family":"Xue","given":"Yingyu","non-dropping-particle":"","parse-names":false,"suffix":""}],"container-title":"Biological Control","id":"ITEM-1","issued":{"date-parts":[["2014"]]},"page":"1-8","publisher":"Elsevier Inc.","title":"The parasitic and lethal effects of Trichoderma longibrachiatum against Heterodera avenae","type":"article-journal","volume":"72"},"uris":["http://www.mendeley.com/documents/?uuid=d5b85638-a052-4fc2-b130-eb672ced5d4a"]}],"mendeley":{"formattedCitation":"(Zhang et al., 2014)","plainTextFormattedCitation":"(Zhang et al., 2014)","previouslyFormattedCitation":"(Zhang et al., 2014)"},"properties":{"noteIndex":0},"schema":"https://github.com/citation-style-language/schema/raw/master/csl-citation.json"}</w:instrText>
      </w:r>
      <w:r w:rsidRPr="008E2CD0">
        <w:rPr>
          <w:rFonts w:cs="Times New Roman"/>
          <w:i/>
          <w:szCs w:val="24"/>
        </w:rPr>
        <w:fldChar w:fldCharType="separate"/>
      </w:r>
      <w:r w:rsidRPr="008E2CD0">
        <w:rPr>
          <w:rFonts w:cs="Times New Roman"/>
          <w:noProof/>
          <w:szCs w:val="24"/>
        </w:rPr>
        <w:t>(Zhang et al., 2014)</w:t>
      </w:r>
      <w:r w:rsidRPr="008E2CD0">
        <w:rPr>
          <w:rFonts w:cs="Times New Roman"/>
          <w:i/>
          <w:szCs w:val="24"/>
        </w:rPr>
        <w:fldChar w:fldCharType="end"/>
      </w:r>
      <w:r w:rsidRPr="008E2CD0">
        <w:rPr>
          <w:rFonts w:cs="Times New Roman"/>
          <w:i/>
          <w:szCs w:val="24"/>
        </w:rPr>
        <w:t>.</w:t>
      </w:r>
      <w:r w:rsidRPr="008E2CD0">
        <w:rPr>
          <w:rFonts w:cs="Times New Roman"/>
          <w:szCs w:val="24"/>
        </w:rPr>
        <w:t xml:space="preserve"> </w:t>
      </w:r>
      <w:bookmarkStart w:id="75" w:name="_Toc98812699"/>
      <w:bookmarkStart w:id="76" w:name="_Toc98812907"/>
      <w:bookmarkStart w:id="77" w:name="_Toc98813573"/>
      <w:bookmarkStart w:id="78" w:name="_Toc101048082"/>
    </w:p>
    <w:p w14:paraId="7AB420BD" w14:textId="77777777" w:rsidR="00FD1FC5" w:rsidRDefault="00FD1FC5" w:rsidP="00FD1FC5">
      <w:pPr>
        <w:pStyle w:val="Heading2"/>
      </w:pPr>
    </w:p>
    <w:p w14:paraId="2E70B7A4" w14:textId="77777777" w:rsidR="00E326B2" w:rsidRDefault="00E326B2" w:rsidP="00FD1FC5">
      <w:pPr>
        <w:pStyle w:val="Heading2"/>
      </w:pPr>
      <w:r>
        <w:br w:type="page"/>
      </w:r>
    </w:p>
    <w:p w14:paraId="51AEAF78" w14:textId="4AE0D5A3" w:rsidR="00D20476" w:rsidRPr="008E2CD0" w:rsidRDefault="00D20476" w:rsidP="00FD1FC5">
      <w:pPr>
        <w:pStyle w:val="Heading2"/>
      </w:pPr>
      <w:r w:rsidRPr="008E2CD0">
        <w:t>Nematodes</w:t>
      </w:r>
      <w:bookmarkEnd w:id="75"/>
      <w:bookmarkEnd w:id="76"/>
      <w:bookmarkEnd w:id="77"/>
      <w:bookmarkEnd w:id="78"/>
      <w:r w:rsidRPr="008E2CD0">
        <w:t xml:space="preserve"> </w:t>
      </w:r>
    </w:p>
    <w:p w14:paraId="358E7339" w14:textId="312501CF" w:rsidR="00D20476" w:rsidRPr="008E2CD0" w:rsidRDefault="00D20476" w:rsidP="00D122A6">
      <w:pPr>
        <w:pStyle w:val="Heading3"/>
      </w:pPr>
      <w:bookmarkStart w:id="79" w:name="_Toc98812700"/>
      <w:bookmarkStart w:id="80" w:name="_Toc98812908"/>
      <w:bookmarkStart w:id="81" w:name="_Toc98813574"/>
      <w:bookmarkStart w:id="82" w:name="_Toc101048083"/>
      <w:r w:rsidRPr="008E2CD0">
        <w:t>Predatory diplogastrid nematodes</w:t>
      </w:r>
      <w:bookmarkEnd w:id="79"/>
      <w:bookmarkEnd w:id="80"/>
      <w:bookmarkEnd w:id="81"/>
      <w:bookmarkEnd w:id="82"/>
    </w:p>
    <w:p w14:paraId="34E72960" w14:textId="77777777" w:rsidR="00D20476" w:rsidRDefault="00D20476" w:rsidP="00D20476">
      <w:pPr>
        <w:tabs>
          <w:tab w:val="left" w:pos="270"/>
        </w:tabs>
        <w:spacing w:line="360" w:lineRule="auto"/>
        <w:ind w:left="720"/>
        <w:rPr>
          <w:rFonts w:cs="Times New Roman"/>
          <w:szCs w:val="24"/>
        </w:rPr>
      </w:pPr>
      <w:r w:rsidRPr="008E2CD0">
        <w:rPr>
          <w:rFonts w:cs="Times New Roman"/>
          <w:b/>
          <w:szCs w:val="24"/>
        </w:rPr>
        <w:tab/>
      </w:r>
      <w:r w:rsidRPr="008E2CD0">
        <w:t>Predatory diplogastrid nematodes</w:t>
      </w:r>
      <w:r w:rsidRPr="008E2CD0" w:rsidDel="00926C92">
        <w:rPr>
          <w:rFonts w:cs="Times New Roman"/>
          <w:szCs w:val="24"/>
        </w:rPr>
        <w:t xml:space="preserve"> </w:t>
      </w:r>
      <w:r w:rsidRPr="008E2CD0">
        <w:rPr>
          <w:rFonts w:cs="Times New Roman"/>
          <w:szCs w:val="24"/>
        </w:rPr>
        <w:t>are nematode predators that are known as nematode control agents due to their high reproduction rates, short life cycles, and being culturable. Bilgrami et al</w:t>
      </w:r>
      <w:r>
        <w:rPr>
          <w:rFonts w:cs="Times New Roman"/>
          <w:szCs w:val="24"/>
        </w:rPr>
        <w:t>.</w:t>
      </w:r>
      <w:r w:rsidRPr="008E2CD0">
        <w:rPr>
          <w:rFonts w:cs="Times New Roman"/>
          <w:szCs w:val="24"/>
        </w:rPr>
        <w:t xml:space="preserve"> (2008) showed that the diplogasterid nematode species, </w:t>
      </w:r>
      <w:r w:rsidRPr="008E2CD0">
        <w:rPr>
          <w:rFonts w:cs="Times New Roman"/>
          <w:i/>
          <w:szCs w:val="24"/>
        </w:rPr>
        <w:t>Mononchoides gaugleri</w:t>
      </w:r>
      <w:r w:rsidRPr="008E2CD0">
        <w:rPr>
          <w:rFonts w:cs="Times New Roman"/>
          <w:szCs w:val="24"/>
        </w:rPr>
        <w:t xml:space="preserve">, suppressed populations of </w:t>
      </w:r>
      <w:r w:rsidRPr="008E2CD0">
        <w:rPr>
          <w:rFonts w:cs="Times New Roman"/>
          <w:i/>
          <w:szCs w:val="24"/>
        </w:rPr>
        <w:t xml:space="preserve">Ditylenchus </w:t>
      </w:r>
      <w:r w:rsidRPr="007A4D90">
        <w:t>spp</w:t>
      </w:r>
      <w:r w:rsidRPr="008E2CD0">
        <w:rPr>
          <w:rFonts w:cs="Times New Roman"/>
          <w:i/>
          <w:szCs w:val="24"/>
        </w:rPr>
        <w:t xml:space="preserve">., Aphelenchoides </w:t>
      </w:r>
      <w:r w:rsidRPr="007A4D90">
        <w:t>spp.,</w:t>
      </w:r>
      <w:r w:rsidRPr="008E2CD0">
        <w:rPr>
          <w:rFonts w:cs="Times New Roman"/>
          <w:i/>
          <w:szCs w:val="24"/>
        </w:rPr>
        <w:t xml:space="preserve"> Tylenchorhynchus </w:t>
      </w:r>
      <w:r w:rsidRPr="007A4D90">
        <w:t>spp.,</w:t>
      </w:r>
      <w:r w:rsidRPr="008E2CD0">
        <w:rPr>
          <w:rFonts w:cs="Times New Roman"/>
          <w:szCs w:val="24"/>
        </w:rPr>
        <w:t xml:space="preserve"> and </w:t>
      </w:r>
      <w:r w:rsidRPr="008E2CD0">
        <w:rPr>
          <w:rFonts w:cs="Times New Roman"/>
          <w:i/>
          <w:szCs w:val="24"/>
        </w:rPr>
        <w:t>Tylenchus</w:t>
      </w:r>
      <w:r w:rsidRPr="008E2CD0">
        <w:rPr>
          <w:rFonts w:cs="Times New Roman"/>
          <w:szCs w:val="24"/>
        </w:rPr>
        <w:t xml:space="preserve"> </w:t>
      </w:r>
      <w:r w:rsidRPr="007A4D90">
        <w:t>spp</w:t>
      </w:r>
      <w:r w:rsidRPr="008E2CD0">
        <w:rPr>
          <w:rFonts w:cs="Times New Roman"/>
          <w:szCs w:val="24"/>
        </w:rPr>
        <w:t xml:space="preserve">. by up to 45%, compared to </w:t>
      </w:r>
      <w:r>
        <w:rPr>
          <w:rFonts w:cs="Times New Roman"/>
          <w:szCs w:val="24"/>
        </w:rPr>
        <w:t>un</w:t>
      </w:r>
      <w:r w:rsidRPr="008E2CD0">
        <w:rPr>
          <w:rFonts w:cs="Times New Roman"/>
          <w:szCs w:val="24"/>
        </w:rPr>
        <w:t xml:space="preserve">inoculated turfgrass microplots. </w:t>
      </w:r>
    </w:p>
    <w:p w14:paraId="232B0F49" w14:textId="77777777" w:rsidR="00D20476" w:rsidRPr="008E2CD0" w:rsidRDefault="00D20476" w:rsidP="00D20476">
      <w:pPr>
        <w:tabs>
          <w:tab w:val="left" w:pos="270"/>
        </w:tabs>
        <w:spacing w:line="360" w:lineRule="auto"/>
        <w:ind w:left="720"/>
        <w:rPr>
          <w:rFonts w:cs="Times New Roman"/>
          <w:szCs w:val="24"/>
        </w:rPr>
      </w:pPr>
    </w:p>
    <w:p w14:paraId="45F61AF7" w14:textId="5A6F8F00" w:rsidR="00D20476" w:rsidRPr="008E2CD0" w:rsidRDefault="00D20476" w:rsidP="00D122A6">
      <w:pPr>
        <w:pStyle w:val="Heading3"/>
      </w:pPr>
      <w:bookmarkStart w:id="83" w:name="_Toc98812701"/>
      <w:bookmarkStart w:id="84" w:name="_Toc98812909"/>
      <w:bookmarkStart w:id="85" w:name="_Toc98813575"/>
      <w:bookmarkStart w:id="86" w:name="_Toc101048084"/>
      <w:r w:rsidRPr="008E2CD0">
        <w:t>Ste</w:t>
      </w:r>
      <w:r>
        <w:t>i</w:t>
      </w:r>
      <w:r w:rsidRPr="008E2CD0">
        <w:t>nernema and Heterorhabditis</w:t>
      </w:r>
      <w:bookmarkEnd w:id="83"/>
      <w:bookmarkEnd w:id="84"/>
      <w:bookmarkEnd w:id="85"/>
      <w:bookmarkEnd w:id="86"/>
    </w:p>
    <w:p w14:paraId="42DAF944" w14:textId="77777777" w:rsidR="00985092" w:rsidRDefault="00D20476" w:rsidP="00D122A6">
      <w:pPr>
        <w:tabs>
          <w:tab w:val="left" w:pos="270"/>
        </w:tabs>
        <w:spacing w:line="360" w:lineRule="auto"/>
        <w:ind w:left="720"/>
        <w:rPr>
          <w:rFonts w:cs="Times New Roman"/>
          <w:szCs w:val="24"/>
          <w:shd w:val="clear" w:color="auto" w:fill="FFFFFF"/>
        </w:rPr>
        <w:sectPr w:rsidR="00985092" w:rsidSect="00E13094">
          <w:pgSz w:w="12240" w:h="15840" w:code="1"/>
          <w:pgMar w:top="1440" w:right="1440" w:bottom="1440" w:left="1440" w:header="0" w:footer="1440" w:gutter="0"/>
          <w:pgNumType w:start="1"/>
          <w:cols w:space="720"/>
          <w:titlePg/>
          <w:docGrid w:linePitch="326"/>
        </w:sectPr>
      </w:pPr>
      <w:r w:rsidRPr="008E2CD0">
        <w:rPr>
          <w:rFonts w:cs="Times New Roman"/>
          <w:szCs w:val="24"/>
        </w:rPr>
        <w:tab/>
        <w:t xml:space="preserve"> Smitely et al (1992) reported that a mixture of </w:t>
      </w:r>
      <w:r w:rsidRPr="008E2CD0">
        <w:rPr>
          <w:rFonts w:cs="Times New Roman"/>
          <w:i/>
          <w:szCs w:val="24"/>
        </w:rPr>
        <w:t>Ste</w:t>
      </w:r>
      <w:r>
        <w:rPr>
          <w:rFonts w:cs="Times New Roman"/>
          <w:i/>
          <w:szCs w:val="24"/>
        </w:rPr>
        <w:t>i</w:t>
      </w:r>
      <w:r w:rsidRPr="008E2CD0">
        <w:rPr>
          <w:rFonts w:cs="Times New Roman"/>
          <w:i/>
          <w:szCs w:val="24"/>
        </w:rPr>
        <w:t>nernema carpocapsae</w:t>
      </w:r>
      <w:r w:rsidRPr="008E2CD0">
        <w:rPr>
          <w:rFonts w:cs="Times New Roman"/>
          <w:szCs w:val="24"/>
        </w:rPr>
        <w:t xml:space="preserve"> and </w:t>
      </w:r>
      <w:r w:rsidRPr="008E2CD0">
        <w:rPr>
          <w:rFonts w:cs="Times New Roman"/>
          <w:i/>
          <w:szCs w:val="24"/>
        </w:rPr>
        <w:t>H</w:t>
      </w:r>
      <w:r>
        <w:rPr>
          <w:rFonts w:cs="Times New Roman"/>
          <w:i/>
          <w:szCs w:val="24"/>
        </w:rPr>
        <w:t>eterorhabditis</w:t>
      </w:r>
      <w:r w:rsidRPr="008E2CD0">
        <w:rPr>
          <w:rFonts w:cs="Times New Roman"/>
          <w:i/>
          <w:szCs w:val="24"/>
        </w:rPr>
        <w:t xml:space="preserve"> bacteriophora</w:t>
      </w:r>
      <w:r w:rsidRPr="008E2CD0">
        <w:rPr>
          <w:rFonts w:cs="Times New Roman"/>
          <w:szCs w:val="24"/>
        </w:rPr>
        <w:t xml:space="preserve"> </w:t>
      </w:r>
      <w:r>
        <w:rPr>
          <w:rFonts w:cs="Times New Roman"/>
          <w:szCs w:val="24"/>
        </w:rPr>
        <w:t xml:space="preserve">decreased </w:t>
      </w:r>
      <w:r w:rsidRPr="008E2CD0">
        <w:rPr>
          <w:rFonts w:cs="Times New Roman"/>
          <w:szCs w:val="24"/>
        </w:rPr>
        <w:t xml:space="preserve">the population of </w:t>
      </w:r>
      <w:r w:rsidRPr="008E2CD0">
        <w:rPr>
          <w:rFonts w:cs="Times New Roman"/>
          <w:i/>
          <w:szCs w:val="24"/>
        </w:rPr>
        <w:t>Tylenchorhynchus</w:t>
      </w:r>
      <w:r w:rsidRPr="008E2CD0">
        <w:rPr>
          <w:rFonts w:cs="Times New Roman"/>
          <w:szCs w:val="24"/>
        </w:rPr>
        <w:t xml:space="preserve"> </w:t>
      </w:r>
      <w:r w:rsidRPr="007A4D90">
        <w:t>spp</w:t>
      </w:r>
      <w:r w:rsidRPr="008E2CD0">
        <w:rPr>
          <w:rFonts w:cs="Times New Roman"/>
          <w:szCs w:val="24"/>
        </w:rPr>
        <w:t xml:space="preserve">. by 59% at 5 weeks after application in irrigated turfgrass plots. In another report, </w:t>
      </w:r>
      <w:r w:rsidRPr="008E2CD0">
        <w:rPr>
          <w:rFonts w:cs="Times New Roman"/>
          <w:i/>
          <w:szCs w:val="24"/>
        </w:rPr>
        <w:t>S. riobrave</w:t>
      </w:r>
      <w:r w:rsidRPr="008E2CD0">
        <w:rPr>
          <w:rFonts w:cs="Times New Roman"/>
          <w:szCs w:val="24"/>
        </w:rPr>
        <w:t xml:space="preserve"> suppressed populations of </w:t>
      </w:r>
      <w:r w:rsidRPr="008E2CD0">
        <w:rPr>
          <w:rFonts w:cs="Times New Roman"/>
          <w:i/>
          <w:szCs w:val="24"/>
        </w:rPr>
        <w:t>Meloidogyne</w:t>
      </w:r>
      <w:r w:rsidRPr="008E2CD0">
        <w:rPr>
          <w:rFonts w:cs="Times New Roman"/>
          <w:szCs w:val="24"/>
        </w:rPr>
        <w:t xml:space="preserve"> </w:t>
      </w:r>
      <w:r w:rsidRPr="007A4D90">
        <w:t>spp</w:t>
      </w:r>
      <w:r w:rsidRPr="008E2CD0">
        <w:rPr>
          <w:rFonts w:cs="Times New Roman"/>
          <w:szCs w:val="24"/>
        </w:rPr>
        <w:t xml:space="preserve">., </w:t>
      </w:r>
      <w:r w:rsidRPr="008E2CD0">
        <w:rPr>
          <w:rFonts w:cs="Times New Roman"/>
          <w:i/>
          <w:szCs w:val="24"/>
        </w:rPr>
        <w:t>Belonolaimus longidaudatus</w:t>
      </w:r>
      <w:r w:rsidRPr="008E2CD0">
        <w:rPr>
          <w:rFonts w:cs="Times New Roman"/>
          <w:szCs w:val="24"/>
        </w:rPr>
        <w:t xml:space="preserve">, and </w:t>
      </w:r>
      <w:r w:rsidRPr="008E2CD0">
        <w:rPr>
          <w:rFonts w:cs="Times New Roman"/>
          <w:i/>
          <w:szCs w:val="24"/>
        </w:rPr>
        <w:t>Criconemella</w:t>
      </w:r>
      <w:r w:rsidRPr="008E2CD0">
        <w:rPr>
          <w:rFonts w:cs="Times New Roman"/>
          <w:szCs w:val="24"/>
        </w:rPr>
        <w:t xml:space="preserve"> </w:t>
      </w:r>
      <w:r w:rsidRPr="007A4D90">
        <w:t>spp</w:t>
      </w:r>
      <w:r w:rsidRPr="001E7F62">
        <w:rPr>
          <w:rFonts w:cs="Times New Roman"/>
          <w:iCs/>
          <w:szCs w:val="24"/>
        </w:rPr>
        <w:t>.</w:t>
      </w:r>
      <w:r w:rsidRPr="008E2CD0">
        <w:rPr>
          <w:rFonts w:cs="Times New Roman"/>
          <w:szCs w:val="24"/>
        </w:rPr>
        <w:t xml:space="preserve"> by 84 to 100% at 4 and 8 weeks after application into turfgrass golf courses (Grewal et al</w:t>
      </w:r>
      <w:r>
        <w:rPr>
          <w:rFonts w:cs="Times New Roman"/>
          <w:szCs w:val="24"/>
        </w:rPr>
        <w:t>.</w:t>
      </w:r>
      <w:r w:rsidRPr="008E2CD0">
        <w:rPr>
          <w:rFonts w:cs="Times New Roman"/>
          <w:szCs w:val="24"/>
        </w:rPr>
        <w:t xml:space="preserve">, 1997). Also, </w:t>
      </w:r>
      <w:r w:rsidRPr="008E2CD0">
        <w:rPr>
          <w:rFonts w:cs="Times New Roman"/>
          <w:szCs w:val="24"/>
          <w:shd w:val="clear" w:color="auto" w:fill="FFFFFF"/>
        </w:rPr>
        <w:t xml:space="preserve">soil application of </w:t>
      </w:r>
      <w:r w:rsidRPr="008E2CD0">
        <w:rPr>
          <w:rFonts w:cs="Times New Roman"/>
          <w:i/>
          <w:szCs w:val="24"/>
          <w:shd w:val="clear" w:color="auto" w:fill="FFFFFF"/>
        </w:rPr>
        <w:t xml:space="preserve">S. </w:t>
      </w:r>
      <w:r w:rsidRPr="008E2CD0">
        <w:rPr>
          <w:rFonts w:cs="Times New Roman"/>
          <w:i/>
          <w:szCs w:val="24"/>
        </w:rPr>
        <w:t>carpocapsae</w:t>
      </w:r>
      <w:r w:rsidRPr="008E2CD0">
        <w:rPr>
          <w:rFonts w:cs="Times New Roman"/>
          <w:szCs w:val="24"/>
        </w:rPr>
        <w:t xml:space="preserve"> and </w:t>
      </w:r>
      <w:r w:rsidRPr="008E2CD0">
        <w:rPr>
          <w:rFonts w:cs="Times New Roman"/>
          <w:i/>
          <w:szCs w:val="24"/>
        </w:rPr>
        <w:t>H. bacteriophora</w:t>
      </w:r>
      <w:r w:rsidRPr="008E2CD0">
        <w:rPr>
          <w:rFonts w:cs="Times New Roman"/>
          <w:szCs w:val="24"/>
          <w:shd w:val="clear" w:color="auto" w:fill="FFFFFF"/>
        </w:rPr>
        <w:t xml:space="preserve"> individually reduced root galls, eggs, and egg mass formation by </w:t>
      </w:r>
      <w:r w:rsidRPr="008E2CD0">
        <w:rPr>
          <w:rFonts w:cs="Times New Roman"/>
          <w:i/>
          <w:szCs w:val="24"/>
          <w:shd w:val="clear" w:color="auto" w:fill="FFFFFF"/>
        </w:rPr>
        <w:t>Meloidogyne javanica</w:t>
      </w:r>
      <w:r w:rsidRPr="008E2CD0">
        <w:rPr>
          <w:rFonts w:cs="Times New Roman"/>
          <w:szCs w:val="24"/>
          <w:shd w:val="clear" w:color="auto" w:fill="FFFFFF"/>
        </w:rPr>
        <w:t xml:space="preserve"> on cucumber.</w:t>
      </w:r>
      <w:r>
        <w:rPr>
          <w:rFonts w:cs="Times New Roman"/>
          <w:szCs w:val="24"/>
          <w:shd w:val="clear" w:color="auto" w:fill="FFFFFF"/>
        </w:rPr>
        <w:t xml:space="preserve"> A list of biocontrol organisms of plant-parasitic nematodes is summarized in Table 1.1 below.</w:t>
      </w:r>
    </w:p>
    <w:p w14:paraId="69D27D3F" w14:textId="108EE308" w:rsidR="00FD1FC5" w:rsidRPr="00AB65D6" w:rsidRDefault="00FD1FC5" w:rsidP="00FD1FC5">
      <w:pPr>
        <w:pStyle w:val="Caption"/>
        <w:framePr w:wrap="around" w:hAnchor="page" w:x="1551" w:y="181"/>
        <w:spacing w:line="360" w:lineRule="auto"/>
      </w:pPr>
      <w:bookmarkStart w:id="87" w:name="_Toc101347342"/>
      <w:r w:rsidRPr="00AB65D6">
        <w:t>Table 1.</w:t>
      </w:r>
      <w:r w:rsidR="00035AE8">
        <w:fldChar w:fldCharType="begin"/>
      </w:r>
      <w:r w:rsidR="00035AE8">
        <w:instrText xml:space="preserve"> SEQ Table_1. \* ARABIC </w:instrText>
      </w:r>
      <w:r w:rsidR="00035AE8">
        <w:fldChar w:fldCharType="separate"/>
      </w:r>
      <w:r w:rsidR="009C2EDC">
        <w:rPr>
          <w:noProof/>
        </w:rPr>
        <w:t>1</w:t>
      </w:r>
      <w:r w:rsidR="00035AE8">
        <w:rPr>
          <w:noProof/>
        </w:rPr>
        <w:fldChar w:fldCharType="end"/>
      </w:r>
      <w:r w:rsidRPr="00AB65D6">
        <w:t xml:space="preserve">. </w:t>
      </w:r>
      <w:r w:rsidRPr="00AB65D6">
        <w:rPr>
          <w:rStyle w:val="indexed-hide"/>
          <w:rFonts w:cs="Times New Roman"/>
          <w:iCs w:val="0"/>
          <w:shd w:val="clear" w:color="auto" w:fill="FFFFFF"/>
        </w:rPr>
        <w:t>List of biological control agents for plant-parasitic nematodes</w:t>
      </w:r>
      <w:bookmarkEnd w:id="87"/>
    </w:p>
    <w:p w14:paraId="3FFB365D" w14:textId="57D467E3" w:rsidR="00D122A6" w:rsidRPr="00AB65D6" w:rsidRDefault="00D122A6" w:rsidP="00985092">
      <w:pPr>
        <w:rPr>
          <w:rFonts w:cs="Times New Roman"/>
          <w:szCs w:val="24"/>
          <w:shd w:val="clear" w:color="auto" w:fill="FFFFFF"/>
        </w:rPr>
      </w:pPr>
    </w:p>
    <w:tbl>
      <w:tblPr>
        <w:tblStyle w:val="TableGrid"/>
        <w:tblW w:w="8800" w:type="dxa"/>
        <w:tblInd w:w="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0"/>
        <w:gridCol w:w="2459"/>
        <w:gridCol w:w="2821"/>
        <w:gridCol w:w="1320"/>
        <w:gridCol w:w="1760"/>
      </w:tblGrid>
      <w:tr w:rsidR="00D20476" w:rsidRPr="00985092" w14:paraId="2D0B8F5E" w14:textId="77777777" w:rsidTr="00387AD8">
        <w:trPr>
          <w:trHeight w:val="188"/>
        </w:trPr>
        <w:tc>
          <w:tcPr>
            <w:tcW w:w="2899" w:type="dxa"/>
            <w:gridSpan w:val="2"/>
            <w:tcBorders>
              <w:top w:val="single" w:sz="4" w:space="0" w:color="auto"/>
              <w:bottom w:val="single" w:sz="4" w:space="0" w:color="auto"/>
            </w:tcBorders>
          </w:tcPr>
          <w:p w14:paraId="38933CFE" w14:textId="77777777" w:rsidR="00D20476" w:rsidRPr="00985092" w:rsidRDefault="00D20476" w:rsidP="00985092">
            <w:pPr>
              <w:pStyle w:val="NoSpacing"/>
              <w:rPr>
                <w:rStyle w:val="indexed-hide"/>
                <w:rFonts w:ascii="Times New Roman" w:hAnsi="Times New Roman" w:cs="Times New Roman"/>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Potential biocontrol organism  </w:t>
            </w:r>
          </w:p>
        </w:tc>
        <w:tc>
          <w:tcPr>
            <w:tcW w:w="2821" w:type="dxa"/>
            <w:tcBorders>
              <w:top w:val="single" w:sz="4" w:space="0" w:color="auto"/>
              <w:bottom w:val="single" w:sz="4" w:space="0" w:color="auto"/>
            </w:tcBorders>
          </w:tcPr>
          <w:p w14:paraId="0397A93B"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Nematode spp/ stage </w:t>
            </w:r>
          </w:p>
        </w:tc>
        <w:tc>
          <w:tcPr>
            <w:tcW w:w="1320" w:type="dxa"/>
            <w:tcBorders>
              <w:top w:val="single" w:sz="4" w:space="0" w:color="auto"/>
              <w:bottom w:val="single" w:sz="4" w:space="0" w:color="auto"/>
            </w:tcBorders>
          </w:tcPr>
          <w:p w14:paraId="6C43DE73"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Test condition  </w:t>
            </w:r>
          </w:p>
        </w:tc>
        <w:tc>
          <w:tcPr>
            <w:tcW w:w="1760" w:type="dxa"/>
            <w:tcBorders>
              <w:top w:val="single" w:sz="4" w:space="0" w:color="auto"/>
              <w:bottom w:val="single" w:sz="4" w:space="0" w:color="auto"/>
            </w:tcBorders>
          </w:tcPr>
          <w:p w14:paraId="02B9CD7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References </w:t>
            </w:r>
          </w:p>
        </w:tc>
      </w:tr>
      <w:tr w:rsidR="00D20476" w:rsidRPr="00985092" w14:paraId="379C1D81" w14:textId="77777777" w:rsidTr="00FD1FC5">
        <w:trPr>
          <w:trHeight w:val="369"/>
        </w:trPr>
        <w:tc>
          <w:tcPr>
            <w:tcW w:w="440" w:type="dxa"/>
            <w:vMerge w:val="restart"/>
            <w:tcBorders>
              <w:top w:val="single" w:sz="4" w:space="0" w:color="auto"/>
            </w:tcBorders>
            <w:textDirection w:val="btLr"/>
            <w:vAlign w:val="center"/>
          </w:tcPr>
          <w:p w14:paraId="2F87D3C8" w14:textId="0C23784A" w:rsidR="00D20476" w:rsidRPr="00985092" w:rsidRDefault="00D20476" w:rsidP="00FD1FC5">
            <w:pPr>
              <w:pStyle w:val="NoSpacing"/>
              <w:ind w:left="113" w:right="113"/>
              <w:jc w:val="center"/>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Bacteria</w:t>
            </w:r>
          </w:p>
        </w:tc>
        <w:tc>
          <w:tcPr>
            <w:tcW w:w="2459" w:type="dxa"/>
            <w:tcBorders>
              <w:top w:val="single" w:sz="4" w:space="0" w:color="auto"/>
            </w:tcBorders>
          </w:tcPr>
          <w:p w14:paraId="08D466D8"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Pasteuria penetrans </w:t>
            </w:r>
          </w:p>
        </w:tc>
        <w:tc>
          <w:tcPr>
            <w:tcW w:w="2821" w:type="dxa"/>
            <w:tcBorders>
              <w:top w:val="single" w:sz="4" w:space="0" w:color="auto"/>
            </w:tcBorders>
          </w:tcPr>
          <w:p w14:paraId="577A0F0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 </w:t>
            </w:r>
            <w:r w:rsidRPr="00985092">
              <w:rPr>
                <w:rStyle w:val="indexed-hide"/>
                <w:rFonts w:ascii="Times New Roman" w:hAnsi="Times New Roman" w:cs="Times New Roman"/>
                <w:i/>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tomato </w:t>
            </w:r>
          </w:p>
        </w:tc>
        <w:tc>
          <w:tcPr>
            <w:tcW w:w="1320" w:type="dxa"/>
            <w:tcBorders>
              <w:top w:val="single" w:sz="4" w:space="0" w:color="auto"/>
            </w:tcBorders>
          </w:tcPr>
          <w:p w14:paraId="009EB5D1"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Microplot </w:t>
            </w:r>
          </w:p>
        </w:tc>
        <w:tc>
          <w:tcPr>
            <w:tcW w:w="1760" w:type="dxa"/>
            <w:tcBorders>
              <w:top w:val="single" w:sz="4" w:space="0" w:color="auto"/>
            </w:tcBorders>
          </w:tcPr>
          <w:p w14:paraId="63B1D097"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Chen and Dickson, 1998 </w:t>
            </w:r>
          </w:p>
        </w:tc>
      </w:tr>
      <w:tr w:rsidR="00D20476" w:rsidRPr="00985092" w14:paraId="3EFD6749" w14:textId="77777777" w:rsidTr="00FD1FC5">
        <w:trPr>
          <w:trHeight w:val="369"/>
        </w:trPr>
        <w:tc>
          <w:tcPr>
            <w:tcW w:w="440" w:type="dxa"/>
            <w:vMerge/>
          </w:tcPr>
          <w:p w14:paraId="7B24AB56"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48CDFB67"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Pasteuria penetrans</w:t>
            </w:r>
          </w:p>
        </w:tc>
        <w:tc>
          <w:tcPr>
            <w:tcW w:w="2821" w:type="dxa"/>
          </w:tcPr>
          <w:p w14:paraId="21326D5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peanut </w:t>
            </w:r>
          </w:p>
        </w:tc>
        <w:tc>
          <w:tcPr>
            <w:tcW w:w="1320" w:type="dxa"/>
          </w:tcPr>
          <w:p w14:paraId="2698A088"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Pr>
          <w:p w14:paraId="48534EA8"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Kariuti and Dickson, 2007</w:t>
            </w:r>
          </w:p>
        </w:tc>
      </w:tr>
      <w:tr w:rsidR="00D20476" w:rsidRPr="00985092" w14:paraId="1C648103" w14:textId="77777777" w:rsidTr="00FD1FC5">
        <w:trPr>
          <w:trHeight w:val="717"/>
        </w:trPr>
        <w:tc>
          <w:tcPr>
            <w:tcW w:w="440" w:type="dxa"/>
            <w:vMerge/>
          </w:tcPr>
          <w:p w14:paraId="1A7036B6"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5DEF99C4"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Fonts w:ascii="Times New Roman" w:hAnsi="Times New Roman" w:cs="Times New Roman"/>
                <w:i/>
                <w:iCs/>
                <w:sz w:val="20"/>
                <w:szCs w:val="20"/>
              </w:rPr>
              <w:t>Burkholderia</w:t>
            </w:r>
            <w:r w:rsidRPr="00985092">
              <w:rPr>
                <w:rStyle w:val="indexed-hide"/>
                <w:rFonts w:ascii="Times New Roman" w:hAnsi="Times New Roman" w:cs="Times New Roman"/>
                <w:i/>
                <w:iCs/>
                <w:sz w:val="20"/>
                <w:szCs w:val="20"/>
                <w:shd w:val="clear" w:color="auto" w:fill="FFFFFF"/>
              </w:rPr>
              <w:t xml:space="preserve"> capacia </w:t>
            </w:r>
          </w:p>
        </w:tc>
        <w:tc>
          <w:tcPr>
            <w:tcW w:w="2821" w:type="dxa"/>
          </w:tcPr>
          <w:p w14:paraId="4BEAD02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pepper, and </w:t>
            </w:r>
            <w:r w:rsidRPr="00985092">
              <w:rPr>
                <w:rStyle w:val="indexed-hide"/>
                <w:rFonts w:ascii="Times New Roman" w:hAnsi="Times New Roman" w:cs="Times New Roman"/>
                <w:i/>
                <w:iCs/>
                <w:sz w:val="20"/>
                <w:szCs w:val="20"/>
                <w:shd w:val="clear" w:color="auto" w:fill="FFFFFF"/>
              </w:rPr>
              <w:t>Aphelenchoides fragariae</w:t>
            </w:r>
            <w:r w:rsidRPr="00985092">
              <w:rPr>
                <w:rStyle w:val="indexed-hide"/>
                <w:rFonts w:ascii="Times New Roman" w:hAnsi="Times New Roman" w:cs="Times New Roman"/>
                <w:iCs/>
                <w:sz w:val="20"/>
                <w:szCs w:val="20"/>
                <w:shd w:val="clear" w:color="auto" w:fill="FFFFFF"/>
              </w:rPr>
              <w:t xml:space="preserve"> on hosta foliage </w:t>
            </w:r>
          </w:p>
        </w:tc>
        <w:tc>
          <w:tcPr>
            <w:tcW w:w="1320" w:type="dxa"/>
          </w:tcPr>
          <w:p w14:paraId="0A3FCA0D"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Glasshouse </w:t>
            </w:r>
          </w:p>
        </w:tc>
        <w:tc>
          <w:tcPr>
            <w:tcW w:w="1760" w:type="dxa"/>
          </w:tcPr>
          <w:p w14:paraId="4C370773"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Meyer et al., 2001</w:t>
            </w:r>
          </w:p>
          <w:p w14:paraId="76259F7D"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Jagdale and Grewal, 2002</w:t>
            </w:r>
          </w:p>
        </w:tc>
      </w:tr>
      <w:tr w:rsidR="00D20476" w:rsidRPr="00985092" w14:paraId="27123D81" w14:textId="77777777" w:rsidTr="00FD1FC5">
        <w:trPr>
          <w:trHeight w:val="369"/>
        </w:trPr>
        <w:tc>
          <w:tcPr>
            <w:tcW w:w="440" w:type="dxa"/>
            <w:vMerge/>
          </w:tcPr>
          <w:p w14:paraId="56B61AA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2328FB84"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P. aeruginosa </w:t>
            </w:r>
          </w:p>
        </w:tc>
        <w:tc>
          <w:tcPr>
            <w:tcW w:w="2821" w:type="dxa"/>
          </w:tcPr>
          <w:p w14:paraId="7645CD0B"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Heterodera cajani</w:t>
            </w:r>
            <w:r w:rsidRPr="00985092">
              <w:rPr>
                <w:rStyle w:val="indexed-hide"/>
                <w:rFonts w:ascii="Times New Roman" w:hAnsi="Times New Roman" w:cs="Times New Roman"/>
                <w:iCs/>
                <w:sz w:val="20"/>
                <w:szCs w:val="20"/>
                <w:shd w:val="clear" w:color="auto" w:fill="FFFFFF"/>
              </w:rPr>
              <w:t xml:space="preserve"> on sesame </w:t>
            </w:r>
          </w:p>
        </w:tc>
        <w:tc>
          <w:tcPr>
            <w:tcW w:w="1320" w:type="dxa"/>
          </w:tcPr>
          <w:p w14:paraId="6ED813E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Pr>
          <w:p w14:paraId="727FACBA"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Kumar et al., 2009</w:t>
            </w:r>
          </w:p>
        </w:tc>
      </w:tr>
      <w:tr w:rsidR="00D20476" w:rsidRPr="00985092" w14:paraId="2724DF86" w14:textId="77777777" w:rsidTr="00FD1FC5">
        <w:trPr>
          <w:trHeight w:val="369"/>
        </w:trPr>
        <w:tc>
          <w:tcPr>
            <w:tcW w:w="440" w:type="dxa"/>
            <w:vMerge/>
          </w:tcPr>
          <w:p w14:paraId="01CE40EE"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609D8D60"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P. chloroaphis </w:t>
            </w:r>
          </w:p>
        </w:tc>
        <w:tc>
          <w:tcPr>
            <w:tcW w:w="2821" w:type="dxa"/>
          </w:tcPr>
          <w:p w14:paraId="17458E7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Pratylenchus penetrans</w:t>
            </w:r>
            <w:r w:rsidRPr="00985092">
              <w:rPr>
                <w:rStyle w:val="indexed-hide"/>
                <w:rFonts w:ascii="Times New Roman" w:hAnsi="Times New Roman" w:cs="Times New Roman"/>
                <w:iCs/>
                <w:sz w:val="20"/>
                <w:szCs w:val="20"/>
                <w:shd w:val="clear" w:color="auto" w:fill="FFFFFF"/>
              </w:rPr>
              <w:t xml:space="preserve">, on strawberry </w:t>
            </w:r>
          </w:p>
        </w:tc>
        <w:tc>
          <w:tcPr>
            <w:tcW w:w="1320" w:type="dxa"/>
          </w:tcPr>
          <w:p w14:paraId="62766B7A"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Glasshouse </w:t>
            </w:r>
          </w:p>
        </w:tc>
        <w:tc>
          <w:tcPr>
            <w:tcW w:w="1760" w:type="dxa"/>
          </w:tcPr>
          <w:p w14:paraId="74060CC5"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Hackenberg et al., 2000</w:t>
            </w:r>
          </w:p>
        </w:tc>
      </w:tr>
      <w:tr w:rsidR="00D20476" w:rsidRPr="00985092" w14:paraId="192DE2C2" w14:textId="77777777" w:rsidTr="00FD1FC5">
        <w:trPr>
          <w:trHeight w:val="369"/>
        </w:trPr>
        <w:tc>
          <w:tcPr>
            <w:tcW w:w="440" w:type="dxa"/>
            <w:vMerge/>
          </w:tcPr>
          <w:p w14:paraId="4C9FD831"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2B35B8B4"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Streptomyces costaricanus and Bacillus thuriengiensis </w:t>
            </w:r>
          </w:p>
        </w:tc>
        <w:tc>
          <w:tcPr>
            <w:tcW w:w="2821" w:type="dxa"/>
          </w:tcPr>
          <w:p w14:paraId="46FB9041"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lettuce </w:t>
            </w:r>
          </w:p>
        </w:tc>
        <w:tc>
          <w:tcPr>
            <w:tcW w:w="1320" w:type="dxa"/>
          </w:tcPr>
          <w:p w14:paraId="3BD9F6AA"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Microplots</w:t>
            </w:r>
          </w:p>
        </w:tc>
        <w:tc>
          <w:tcPr>
            <w:tcW w:w="1760" w:type="dxa"/>
          </w:tcPr>
          <w:p w14:paraId="33D8A48F"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Chen et al., 2000</w:t>
            </w:r>
          </w:p>
        </w:tc>
      </w:tr>
      <w:tr w:rsidR="00D20476" w:rsidRPr="00985092" w14:paraId="30A6B719" w14:textId="77777777" w:rsidTr="00FD1FC5">
        <w:trPr>
          <w:trHeight w:val="369"/>
        </w:trPr>
        <w:tc>
          <w:tcPr>
            <w:tcW w:w="440" w:type="dxa"/>
            <w:vMerge/>
          </w:tcPr>
          <w:p w14:paraId="1060FA08"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7364B84E"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Bacillus subtillis and B. Cereus </w:t>
            </w:r>
          </w:p>
        </w:tc>
        <w:tc>
          <w:tcPr>
            <w:tcW w:w="2821" w:type="dxa"/>
          </w:tcPr>
          <w:p w14:paraId="79FF7966"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pepper </w:t>
            </w:r>
          </w:p>
        </w:tc>
        <w:tc>
          <w:tcPr>
            <w:tcW w:w="1320" w:type="dxa"/>
          </w:tcPr>
          <w:p w14:paraId="58E14201"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Pr>
          <w:p w14:paraId="54ADF54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sz w:val="20"/>
                <w:szCs w:val="20"/>
                <w:shd w:val="clear" w:color="auto" w:fill="FFFFFF"/>
              </w:rPr>
              <w:fldChar w:fldCharType="begin" w:fldLock="1"/>
            </w:r>
            <w:r w:rsidRPr="00985092">
              <w:rPr>
                <w:rStyle w:val="indexed-hide"/>
                <w:rFonts w:ascii="Times New Roman" w:hAnsi="Times New Roman" w:cs="Times New Roman"/>
                <w:sz w:val="20"/>
                <w:szCs w:val="20"/>
                <w:shd w:val="clear" w:color="auto" w:fill="FFFFFF"/>
              </w:rPr>
              <w:instrText>ADDIN CSL_CITATION {"citationItems":[{"id":"ITEM-1","itemData":{"author":[{"dropping-particle":"","family":"Kokalis-Burelle","given":"N","non-dropping-particle":"","parse-names":false,"suffix":""},{"dropping-particle":"","family":"Vavrina","given":"CS","non-dropping-particle":"","parse-names":false,"suffix":""},{"dropping-particle":"","family":"Rosskopf","given":"EN","non-dropping-particle":"","parse-names":false,"suffix":""},{"dropping-particle":"","family":"Shelby","given":"RA","non-dropping-particle":"","parse-names":false,"suffix":""}],"container-title":"Plant and Soil","id":"ITEM-1","issue":"2","issued":{"date-parts":[["2002"]]},"page":"257-266","title":"Field evaluation of plant growth-promoting Rhizobacteria amended transplant mixes and soil solarization for tomato and pepper production in Florida Author ( s ): N . Kokalis-Burelle , C . S . Vavrina , E . N . Rosskopf and R . A . Shelby Published by : Sp","type":"article-journal","volume":"238"},"uris":["http://www.mendeley.com/documents/?uuid=a0402234-cfb2-4e5f-9956-aea9106a9c4c"]}],"mendeley":{"formattedCitation":"(Kokalis-Burelle et al., 2002)","manualFormatting":"Kokalis-Burelle et al., 2002","plainTextFormattedCitation":"(Kokalis-Burelle et al., 2002)","previouslyFormattedCitation":"(Kokalis-Burelle et al., 2002)"},"properties":{"noteIndex":0},"schema":"https://github.com/citation-style-language/schema/raw/master/csl-citation.json"}</w:instrText>
            </w:r>
            <w:r w:rsidRPr="00985092">
              <w:rPr>
                <w:rStyle w:val="indexed-hide"/>
                <w:rFonts w:ascii="Times New Roman" w:hAnsi="Times New Roman" w:cs="Times New Roman"/>
                <w:sz w:val="20"/>
                <w:szCs w:val="20"/>
                <w:shd w:val="clear" w:color="auto" w:fill="FFFFFF"/>
              </w:rPr>
              <w:fldChar w:fldCharType="separate"/>
            </w:r>
            <w:r w:rsidRPr="00985092">
              <w:rPr>
                <w:rStyle w:val="indexed-hide"/>
                <w:rFonts w:ascii="Times New Roman" w:hAnsi="Times New Roman" w:cs="Times New Roman"/>
                <w:noProof/>
                <w:sz w:val="20"/>
                <w:szCs w:val="20"/>
                <w:shd w:val="clear" w:color="auto" w:fill="FFFFFF"/>
              </w:rPr>
              <w:t>Kokalis-Burelle et al., 2002</w:t>
            </w:r>
            <w:r w:rsidRPr="00985092">
              <w:rPr>
                <w:rStyle w:val="indexed-hide"/>
                <w:rFonts w:ascii="Times New Roman" w:hAnsi="Times New Roman" w:cs="Times New Roman"/>
                <w:sz w:val="20"/>
                <w:szCs w:val="20"/>
                <w:shd w:val="clear" w:color="auto" w:fill="FFFFFF"/>
              </w:rPr>
              <w:fldChar w:fldCharType="end"/>
            </w:r>
          </w:p>
        </w:tc>
      </w:tr>
      <w:tr w:rsidR="00D20476" w:rsidRPr="00985092" w14:paraId="10612AC0" w14:textId="77777777" w:rsidTr="00FD1FC5">
        <w:trPr>
          <w:trHeight w:val="369"/>
        </w:trPr>
        <w:tc>
          <w:tcPr>
            <w:tcW w:w="440" w:type="dxa"/>
            <w:vMerge/>
          </w:tcPr>
          <w:p w14:paraId="06CB16EC"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383B113C"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B. subtilis and B. amyloliqufaciens </w:t>
            </w:r>
          </w:p>
        </w:tc>
        <w:tc>
          <w:tcPr>
            <w:tcW w:w="2821" w:type="dxa"/>
          </w:tcPr>
          <w:p w14:paraId="4D10F8CC"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tomato </w:t>
            </w:r>
          </w:p>
        </w:tc>
        <w:tc>
          <w:tcPr>
            <w:tcW w:w="1320" w:type="dxa"/>
          </w:tcPr>
          <w:p w14:paraId="1F258753"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Pr>
          <w:p w14:paraId="7DC52D20"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Koka and Dickson, 2003</w:t>
            </w:r>
          </w:p>
        </w:tc>
      </w:tr>
      <w:tr w:rsidR="00D20476" w:rsidRPr="00985092" w14:paraId="37872AC5" w14:textId="77777777" w:rsidTr="008D457B">
        <w:trPr>
          <w:trHeight w:val="369"/>
        </w:trPr>
        <w:tc>
          <w:tcPr>
            <w:tcW w:w="440" w:type="dxa"/>
            <w:vMerge/>
            <w:tcBorders>
              <w:bottom w:val="single" w:sz="4" w:space="0" w:color="auto"/>
            </w:tcBorders>
          </w:tcPr>
          <w:p w14:paraId="7AB1C09E"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Borders>
              <w:bottom w:val="single" w:sz="4" w:space="0" w:color="auto"/>
            </w:tcBorders>
          </w:tcPr>
          <w:p w14:paraId="1037686F"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B. firmus </w:t>
            </w:r>
            <w:r w:rsidRPr="00985092">
              <w:rPr>
                <w:rStyle w:val="indexed-hide"/>
                <w:rFonts w:ascii="Times New Roman" w:hAnsi="Times New Roman" w:cs="Times New Roman"/>
                <w:iCs/>
                <w:sz w:val="20"/>
                <w:szCs w:val="20"/>
                <w:shd w:val="clear" w:color="auto" w:fill="FFFFFF"/>
              </w:rPr>
              <w:t>and plant extracts</w:t>
            </w:r>
          </w:p>
        </w:tc>
        <w:tc>
          <w:tcPr>
            <w:tcW w:w="2821" w:type="dxa"/>
            <w:tcBorders>
              <w:bottom w:val="single" w:sz="4" w:space="0" w:color="auto"/>
            </w:tcBorders>
          </w:tcPr>
          <w:p w14:paraId="38AE27B1"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tomato </w:t>
            </w:r>
          </w:p>
        </w:tc>
        <w:tc>
          <w:tcPr>
            <w:tcW w:w="1320" w:type="dxa"/>
            <w:tcBorders>
              <w:bottom w:val="single" w:sz="4" w:space="0" w:color="auto"/>
            </w:tcBorders>
          </w:tcPr>
          <w:p w14:paraId="0C35821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Glasshouse, and tomato nursery </w:t>
            </w:r>
          </w:p>
        </w:tc>
        <w:tc>
          <w:tcPr>
            <w:tcW w:w="1760" w:type="dxa"/>
            <w:tcBorders>
              <w:bottom w:val="single" w:sz="4" w:space="0" w:color="auto"/>
            </w:tcBorders>
          </w:tcPr>
          <w:p w14:paraId="7BCBE565"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Giannakou et al., 2004 </w:t>
            </w:r>
          </w:p>
          <w:p w14:paraId="582C535E"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r>
      <w:tr w:rsidR="00D20476" w:rsidRPr="00985092" w14:paraId="5588FFBA" w14:textId="77777777" w:rsidTr="008D457B">
        <w:trPr>
          <w:trHeight w:val="918"/>
        </w:trPr>
        <w:tc>
          <w:tcPr>
            <w:tcW w:w="440" w:type="dxa"/>
            <w:vMerge w:val="restart"/>
            <w:tcBorders>
              <w:top w:val="single" w:sz="4" w:space="0" w:color="auto"/>
            </w:tcBorders>
            <w:textDirection w:val="btLr"/>
            <w:vAlign w:val="center"/>
          </w:tcPr>
          <w:p w14:paraId="57809770" w14:textId="77777777" w:rsidR="00D20476" w:rsidRPr="00985092" w:rsidRDefault="00D20476" w:rsidP="00FD1FC5">
            <w:pPr>
              <w:pStyle w:val="NoSpacing"/>
              <w:ind w:left="113" w:right="113"/>
              <w:jc w:val="center"/>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Fungi</w:t>
            </w:r>
          </w:p>
        </w:tc>
        <w:tc>
          <w:tcPr>
            <w:tcW w:w="2459" w:type="dxa"/>
            <w:tcBorders>
              <w:top w:val="single" w:sz="4" w:space="0" w:color="auto"/>
            </w:tcBorders>
          </w:tcPr>
          <w:p w14:paraId="7B3E95A6"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Paecilomyces lilacinus </w:t>
            </w:r>
          </w:p>
        </w:tc>
        <w:tc>
          <w:tcPr>
            <w:tcW w:w="2821" w:type="dxa"/>
            <w:tcBorders>
              <w:top w:val="single" w:sz="4" w:space="0" w:color="auto"/>
            </w:tcBorders>
          </w:tcPr>
          <w:p w14:paraId="2B000C13"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 J2 on tomato. But did not suppress </w:t>
            </w:r>
            <w:r w:rsidRPr="00985092">
              <w:rPr>
                <w:rStyle w:val="indexed-hide"/>
                <w:rFonts w:ascii="Times New Roman" w:hAnsi="Times New Roman" w:cs="Times New Roman"/>
                <w:i/>
                <w:iCs/>
                <w:sz w:val="20"/>
                <w:szCs w:val="20"/>
                <w:shd w:val="clear" w:color="auto" w:fill="FFFFFF"/>
              </w:rPr>
              <w:t>Rotylenchus reniformis</w:t>
            </w:r>
            <w:r w:rsidRPr="00985092">
              <w:rPr>
                <w:rStyle w:val="indexed-hide"/>
                <w:rFonts w:ascii="Times New Roman" w:hAnsi="Times New Roman" w:cs="Times New Roman"/>
                <w:iCs/>
                <w:sz w:val="20"/>
                <w:szCs w:val="20"/>
                <w:shd w:val="clear" w:color="auto" w:fill="FFFFFF"/>
              </w:rPr>
              <w:t xml:space="preserve"> and </w:t>
            </w:r>
            <w:r w:rsidRPr="00985092">
              <w:rPr>
                <w:rStyle w:val="indexed-hide"/>
                <w:rFonts w:ascii="Times New Roman" w:hAnsi="Times New Roman" w:cs="Times New Roman"/>
                <w:i/>
                <w:iCs/>
                <w:sz w:val="20"/>
                <w:szCs w:val="20"/>
                <w:shd w:val="clear" w:color="auto" w:fill="FFFFFF"/>
              </w:rPr>
              <w:t>H. cotylenhus</w:t>
            </w:r>
            <w:r w:rsidRPr="00985092">
              <w:rPr>
                <w:rStyle w:val="indexed-hide"/>
                <w:rFonts w:ascii="Times New Roman" w:hAnsi="Times New Roman" w:cs="Times New Roman"/>
                <w:iCs/>
                <w:sz w:val="20"/>
                <w:szCs w:val="20"/>
                <w:shd w:val="clear" w:color="auto" w:fill="FFFFFF"/>
              </w:rPr>
              <w:t xml:space="preserve"> </w:t>
            </w:r>
          </w:p>
        </w:tc>
        <w:tc>
          <w:tcPr>
            <w:tcW w:w="1320" w:type="dxa"/>
            <w:tcBorders>
              <w:top w:val="single" w:sz="4" w:space="0" w:color="auto"/>
            </w:tcBorders>
          </w:tcPr>
          <w:p w14:paraId="3BDBF7AA"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Borders>
              <w:top w:val="single" w:sz="4" w:space="0" w:color="auto"/>
            </w:tcBorders>
          </w:tcPr>
          <w:p w14:paraId="00B90888"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Goswanni et al.,  2007</w:t>
            </w:r>
          </w:p>
        </w:tc>
      </w:tr>
      <w:tr w:rsidR="00D20476" w:rsidRPr="00985092" w14:paraId="084A97A5" w14:textId="77777777" w:rsidTr="008D457B">
        <w:trPr>
          <w:trHeight w:val="415"/>
        </w:trPr>
        <w:tc>
          <w:tcPr>
            <w:tcW w:w="440" w:type="dxa"/>
            <w:vMerge/>
          </w:tcPr>
          <w:p w14:paraId="03C776DD"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1627B7A2"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Pochonia chylamydosporia </w:t>
            </w:r>
          </w:p>
        </w:tc>
        <w:tc>
          <w:tcPr>
            <w:tcW w:w="2821" w:type="dxa"/>
          </w:tcPr>
          <w:p w14:paraId="0CBC6FF0"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Globodera pallida </w:t>
            </w:r>
          </w:p>
        </w:tc>
        <w:tc>
          <w:tcPr>
            <w:tcW w:w="1320" w:type="dxa"/>
          </w:tcPr>
          <w:p w14:paraId="341EF280"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Pr>
          <w:p w14:paraId="2249E7B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Tobin et al., 2008</w:t>
            </w:r>
          </w:p>
        </w:tc>
      </w:tr>
      <w:tr w:rsidR="00D20476" w:rsidRPr="00985092" w14:paraId="7397FC76" w14:textId="77777777" w:rsidTr="00FD1FC5">
        <w:trPr>
          <w:trHeight w:val="407"/>
        </w:trPr>
        <w:tc>
          <w:tcPr>
            <w:tcW w:w="440" w:type="dxa"/>
            <w:vMerge/>
          </w:tcPr>
          <w:p w14:paraId="30A851B6"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44537282"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Pochonia chylamydosporia </w:t>
            </w:r>
          </w:p>
        </w:tc>
        <w:tc>
          <w:tcPr>
            <w:tcW w:w="2821" w:type="dxa"/>
          </w:tcPr>
          <w:p w14:paraId="505CB25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spp. galls on tomato </w:t>
            </w:r>
          </w:p>
        </w:tc>
        <w:tc>
          <w:tcPr>
            <w:tcW w:w="1320" w:type="dxa"/>
          </w:tcPr>
          <w:p w14:paraId="0F3216D6"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Pr>
          <w:p w14:paraId="0FA2CCD0"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Wei et al., 2009</w:t>
            </w:r>
          </w:p>
        </w:tc>
      </w:tr>
      <w:tr w:rsidR="00D20476" w:rsidRPr="00985092" w14:paraId="7F02A665" w14:textId="77777777" w:rsidTr="00FD1FC5">
        <w:trPr>
          <w:trHeight w:val="530"/>
        </w:trPr>
        <w:tc>
          <w:tcPr>
            <w:tcW w:w="440" w:type="dxa"/>
            <w:vMerge/>
          </w:tcPr>
          <w:p w14:paraId="28BD1DD9"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7A2EE5B8"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Trichoderma harzianum </w:t>
            </w:r>
          </w:p>
        </w:tc>
        <w:tc>
          <w:tcPr>
            <w:tcW w:w="2821" w:type="dxa"/>
          </w:tcPr>
          <w:p w14:paraId="742FC68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 incognita</w:t>
            </w:r>
            <w:r w:rsidRPr="00985092">
              <w:rPr>
                <w:rStyle w:val="indexed-hide"/>
                <w:rFonts w:ascii="Times New Roman" w:hAnsi="Times New Roman" w:cs="Times New Roman"/>
                <w:iCs/>
                <w:sz w:val="20"/>
                <w:szCs w:val="20"/>
                <w:shd w:val="clear" w:color="auto" w:fill="FFFFFF"/>
              </w:rPr>
              <w:t xml:space="preserve"> on eggplant but did not reduce galling. </w:t>
            </w:r>
          </w:p>
        </w:tc>
        <w:tc>
          <w:tcPr>
            <w:tcW w:w="1320" w:type="dxa"/>
          </w:tcPr>
          <w:p w14:paraId="67DFADC3"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Microplots </w:t>
            </w:r>
          </w:p>
        </w:tc>
        <w:tc>
          <w:tcPr>
            <w:tcW w:w="1760" w:type="dxa"/>
          </w:tcPr>
          <w:p w14:paraId="0B19FCC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Rao et al., 1998</w:t>
            </w:r>
          </w:p>
        </w:tc>
      </w:tr>
      <w:tr w:rsidR="00D20476" w:rsidRPr="00985092" w14:paraId="58620EAA" w14:textId="77777777" w:rsidTr="00FD1FC5">
        <w:trPr>
          <w:trHeight w:val="407"/>
        </w:trPr>
        <w:tc>
          <w:tcPr>
            <w:tcW w:w="440" w:type="dxa"/>
            <w:vMerge/>
          </w:tcPr>
          <w:p w14:paraId="23B65D90"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2630344E"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Trichoderma harzianum </w:t>
            </w:r>
          </w:p>
        </w:tc>
        <w:tc>
          <w:tcPr>
            <w:tcW w:w="2821" w:type="dxa"/>
          </w:tcPr>
          <w:p w14:paraId="225369C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w:t>
            </w:r>
            <w:r w:rsidRPr="00985092">
              <w:rPr>
                <w:rStyle w:val="indexed-hide"/>
                <w:rFonts w:ascii="Times New Roman" w:hAnsi="Times New Roman" w:cs="Times New Roman"/>
                <w:i/>
                <w:iCs/>
                <w:sz w:val="20"/>
                <w:szCs w:val="20"/>
                <w:shd w:val="clear" w:color="auto" w:fill="FFFFFF"/>
              </w:rPr>
              <w:t>incognita</w:t>
            </w:r>
            <w:r w:rsidRPr="00985092">
              <w:rPr>
                <w:rStyle w:val="indexed-hide"/>
                <w:rFonts w:ascii="Times New Roman" w:hAnsi="Times New Roman" w:cs="Times New Roman"/>
                <w:iCs/>
                <w:sz w:val="20"/>
                <w:szCs w:val="20"/>
                <w:shd w:val="clear" w:color="auto" w:fill="FFFFFF"/>
              </w:rPr>
              <w:t xml:space="preserve"> galls on tomato </w:t>
            </w:r>
          </w:p>
        </w:tc>
        <w:tc>
          <w:tcPr>
            <w:tcW w:w="1320" w:type="dxa"/>
          </w:tcPr>
          <w:p w14:paraId="750CEDA6"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w:t>
            </w:r>
          </w:p>
        </w:tc>
        <w:tc>
          <w:tcPr>
            <w:tcW w:w="1760" w:type="dxa"/>
          </w:tcPr>
          <w:p w14:paraId="0C05DFA9"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Goswanni et al., 2008</w:t>
            </w:r>
          </w:p>
        </w:tc>
      </w:tr>
      <w:tr w:rsidR="00D20476" w:rsidRPr="00985092" w14:paraId="0F763910" w14:textId="77777777" w:rsidTr="008D457B">
        <w:trPr>
          <w:trHeight w:val="931"/>
        </w:trPr>
        <w:tc>
          <w:tcPr>
            <w:tcW w:w="440" w:type="dxa"/>
            <w:vMerge/>
            <w:tcBorders>
              <w:bottom w:val="single" w:sz="4" w:space="0" w:color="auto"/>
            </w:tcBorders>
          </w:tcPr>
          <w:p w14:paraId="44D97968"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Borders>
              <w:bottom w:val="single" w:sz="4" w:space="0" w:color="auto"/>
            </w:tcBorders>
          </w:tcPr>
          <w:p w14:paraId="661368F7"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T. pseudokoningii</w:t>
            </w:r>
          </w:p>
        </w:tc>
        <w:tc>
          <w:tcPr>
            <w:tcW w:w="2821" w:type="dxa"/>
            <w:tcBorders>
              <w:bottom w:val="single" w:sz="4" w:space="0" w:color="auto"/>
            </w:tcBorders>
          </w:tcPr>
          <w:p w14:paraId="11AEB1F0"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Failed to inhibit galls formation </w:t>
            </w:r>
            <w:r w:rsidRPr="00985092">
              <w:rPr>
                <w:rStyle w:val="indexed-hide"/>
                <w:rFonts w:ascii="Times New Roman" w:hAnsi="Times New Roman" w:cs="Times New Roman"/>
                <w:i/>
                <w:iCs/>
                <w:sz w:val="20"/>
                <w:szCs w:val="20"/>
                <w:shd w:val="clear" w:color="auto" w:fill="FFFFFF"/>
              </w:rPr>
              <w:t>Meloidogyne</w:t>
            </w:r>
            <w:r w:rsidRPr="00985092">
              <w:rPr>
                <w:rStyle w:val="indexed-hide"/>
                <w:rFonts w:ascii="Times New Roman" w:hAnsi="Times New Roman" w:cs="Times New Roman"/>
                <w:iCs/>
                <w:sz w:val="20"/>
                <w:szCs w:val="20"/>
                <w:shd w:val="clear" w:color="auto" w:fill="FFFFFF"/>
              </w:rPr>
              <w:t xml:space="preserve"> </w:t>
            </w:r>
            <w:r w:rsidRPr="00985092">
              <w:rPr>
                <w:rStyle w:val="indexed-hide"/>
                <w:rFonts w:ascii="Times New Roman" w:hAnsi="Times New Roman" w:cs="Times New Roman"/>
                <w:i/>
                <w:iCs/>
                <w:sz w:val="20"/>
                <w:szCs w:val="20"/>
                <w:shd w:val="clear" w:color="auto" w:fill="FFFFFF"/>
              </w:rPr>
              <w:t>incognita</w:t>
            </w:r>
            <w:r w:rsidRPr="00985092">
              <w:rPr>
                <w:rStyle w:val="indexed-hide"/>
                <w:rFonts w:ascii="Times New Roman" w:hAnsi="Times New Roman" w:cs="Times New Roman"/>
                <w:iCs/>
                <w:sz w:val="20"/>
                <w:szCs w:val="20"/>
                <w:shd w:val="clear" w:color="auto" w:fill="FFFFFF"/>
              </w:rPr>
              <w:t xml:space="preserve"> on soybean, but reduced egg mass in a pot experiment </w:t>
            </w:r>
          </w:p>
        </w:tc>
        <w:tc>
          <w:tcPr>
            <w:tcW w:w="1320" w:type="dxa"/>
            <w:tcBorders>
              <w:bottom w:val="single" w:sz="4" w:space="0" w:color="auto"/>
            </w:tcBorders>
          </w:tcPr>
          <w:p w14:paraId="75ECEE5F"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Field and greenhouse </w:t>
            </w:r>
          </w:p>
        </w:tc>
        <w:tc>
          <w:tcPr>
            <w:tcW w:w="1760" w:type="dxa"/>
            <w:tcBorders>
              <w:bottom w:val="single" w:sz="4" w:space="0" w:color="auto"/>
            </w:tcBorders>
          </w:tcPr>
          <w:p w14:paraId="1D819678"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Oyekanmi et al., 2007</w:t>
            </w:r>
          </w:p>
        </w:tc>
      </w:tr>
      <w:tr w:rsidR="00D20476" w:rsidRPr="00985092" w14:paraId="624E27B7" w14:textId="77777777" w:rsidTr="008D457B">
        <w:trPr>
          <w:trHeight w:val="188"/>
        </w:trPr>
        <w:tc>
          <w:tcPr>
            <w:tcW w:w="440" w:type="dxa"/>
            <w:vMerge w:val="restart"/>
            <w:tcBorders>
              <w:top w:val="single" w:sz="4" w:space="0" w:color="auto"/>
              <w:bottom w:val="single" w:sz="4" w:space="0" w:color="auto"/>
            </w:tcBorders>
            <w:textDirection w:val="btLr"/>
            <w:vAlign w:val="center"/>
          </w:tcPr>
          <w:p w14:paraId="4577C885" w14:textId="09049852" w:rsidR="00D20476" w:rsidRPr="00985092" w:rsidRDefault="00D20476" w:rsidP="00FD1FC5">
            <w:pPr>
              <w:pStyle w:val="NoSpacing"/>
              <w:ind w:left="113" w:right="113"/>
              <w:jc w:val="center"/>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Nematodes</w:t>
            </w:r>
          </w:p>
        </w:tc>
        <w:tc>
          <w:tcPr>
            <w:tcW w:w="2459" w:type="dxa"/>
            <w:tcBorders>
              <w:top w:val="single" w:sz="4" w:space="0" w:color="auto"/>
            </w:tcBorders>
          </w:tcPr>
          <w:p w14:paraId="1F546884"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Mononchoides gaugleri </w:t>
            </w:r>
          </w:p>
        </w:tc>
        <w:tc>
          <w:tcPr>
            <w:tcW w:w="2821" w:type="dxa"/>
            <w:tcBorders>
              <w:top w:val="single" w:sz="4" w:space="0" w:color="auto"/>
            </w:tcBorders>
          </w:tcPr>
          <w:p w14:paraId="043A4D66"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Suppressed populations of several nematodes including </w:t>
            </w:r>
            <w:r w:rsidRPr="00985092">
              <w:rPr>
                <w:rStyle w:val="indexed-hide"/>
                <w:rFonts w:ascii="Times New Roman" w:hAnsi="Times New Roman" w:cs="Times New Roman"/>
                <w:i/>
                <w:iCs/>
                <w:sz w:val="20"/>
                <w:szCs w:val="20"/>
                <w:shd w:val="clear" w:color="auto" w:fill="FFFFFF"/>
              </w:rPr>
              <w:t>Ditylenchus, Aphelenchoides,</w:t>
            </w:r>
            <w:r w:rsidRPr="00985092">
              <w:rPr>
                <w:rStyle w:val="indexed-hide"/>
                <w:rFonts w:ascii="Times New Roman" w:hAnsi="Times New Roman" w:cs="Times New Roman"/>
                <w:iCs/>
                <w:sz w:val="20"/>
                <w:szCs w:val="20"/>
                <w:shd w:val="clear" w:color="auto" w:fill="FFFFFF"/>
              </w:rPr>
              <w:t xml:space="preserve"> </w:t>
            </w:r>
            <w:r w:rsidRPr="00985092">
              <w:rPr>
                <w:rStyle w:val="indexed-hide"/>
                <w:rFonts w:ascii="Times New Roman" w:hAnsi="Times New Roman" w:cs="Times New Roman"/>
                <w:i/>
                <w:iCs/>
                <w:sz w:val="20"/>
                <w:szCs w:val="20"/>
                <w:shd w:val="clear" w:color="auto" w:fill="FFFFFF"/>
              </w:rPr>
              <w:t>Tylenchorhynchus,</w:t>
            </w:r>
            <w:r w:rsidRPr="00985092">
              <w:rPr>
                <w:rStyle w:val="indexed-hide"/>
                <w:rFonts w:ascii="Times New Roman" w:hAnsi="Times New Roman" w:cs="Times New Roman"/>
                <w:iCs/>
                <w:sz w:val="20"/>
                <w:szCs w:val="20"/>
                <w:shd w:val="clear" w:color="auto" w:fill="FFFFFF"/>
              </w:rPr>
              <w:t xml:space="preserve"> and </w:t>
            </w:r>
            <w:r w:rsidRPr="00985092">
              <w:rPr>
                <w:rStyle w:val="indexed-hide"/>
                <w:rFonts w:ascii="Times New Roman" w:hAnsi="Times New Roman" w:cs="Times New Roman"/>
                <w:i/>
                <w:iCs/>
                <w:sz w:val="20"/>
                <w:szCs w:val="20"/>
                <w:shd w:val="clear" w:color="auto" w:fill="FFFFFF"/>
              </w:rPr>
              <w:t xml:space="preserve">Tylenchus </w:t>
            </w:r>
            <w:r w:rsidRPr="00985092">
              <w:rPr>
                <w:rStyle w:val="indexed-hide"/>
                <w:rFonts w:ascii="Times New Roman" w:hAnsi="Times New Roman" w:cs="Times New Roman"/>
                <w:sz w:val="20"/>
                <w:szCs w:val="20"/>
                <w:shd w:val="clear" w:color="auto" w:fill="FFFFFF"/>
              </w:rPr>
              <w:t>spp</w:t>
            </w:r>
            <w:r w:rsidRPr="00985092">
              <w:rPr>
                <w:rStyle w:val="indexed-hide"/>
                <w:rFonts w:ascii="Times New Roman" w:hAnsi="Times New Roman" w:cs="Times New Roman"/>
                <w:iCs/>
                <w:sz w:val="20"/>
                <w:szCs w:val="20"/>
                <w:shd w:val="clear" w:color="auto" w:fill="FFFFFF"/>
              </w:rPr>
              <w:t>.</w:t>
            </w:r>
          </w:p>
        </w:tc>
        <w:tc>
          <w:tcPr>
            <w:tcW w:w="1320" w:type="dxa"/>
            <w:tcBorders>
              <w:top w:val="single" w:sz="4" w:space="0" w:color="auto"/>
            </w:tcBorders>
          </w:tcPr>
          <w:p w14:paraId="4BB7F36F"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Micro plot</w:t>
            </w:r>
          </w:p>
        </w:tc>
        <w:tc>
          <w:tcPr>
            <w:tcW w:w="1760" w:type="dxa"/>
            <w:tcBorders>
              <w:top w:val="single" w:sz="4" w:space="0" w:color="auto"/>
            </w:tcBorders>
          </w:tcPr>
          <w:p w14:paraId="6B02B7B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Bilgrami et al., 2008 </w:t>
            </w:r>
          </w:p>
        </w:tc>
      </w:tr>
      <w:tr w:rsidR="00D20476" w:rsidRPr="00985092" w14:paraId="24B55949" w14:textId="77777777" w:rsidTr="008D457B">
        <w:trPr>
          <w:trHeight w:val="188"/>
        </w:trPr>
        <w:tc>
          <w:tcPr>
            <w:tcW w:w="440" w:type="dxa"/>
            <w:vMerge/>
            <w:tcBorders>
              <w:bottom w:val="single" w:sz="4" w:space="0" w:color="auto"/>
            </w:tcBorders>
          </w:tcPr>
          <w:p w14:paraId="6B5681A7"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Pr>
          <w:p w14:paraId="70B8CC4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
                <w:iCs/>
                <w:sz w:val="20"/>
                <w:szCs w:val="20"/>
                <w:shd w:val="clear" w:color="auto" w:fill="FFFFFF"/>
              </w:rPr>
              <w:t>Steirnernema carpocapsae</w:t>
            </w:r>
            <w:r w:rsidRPr="00985092">
              <w:rPr>
                <w:rStyle w:val="indexed-hide"/>
                <w:rFonts w:ascii="Times New Roman" w:hAnsi="Times New Roman" w:cs="Times New Roman"/>
                <w:iCs/>
                <w:sz w:val="20"/>
                <w:szCs w:val="20"/>
                <w:shd w:val="clear" w:color="auto" w:fill="FFFFFF"/>
              </w:rPr>
              <w:t xml:space="preserve"> and </w:t>
            </w:r>
            <w:r w:rsidRPr="00985092">
              <w:rPr>
                <w:rStyle w:val="indexed-hide"/>
                <w:rFonts w:ascii="Times New Roman" w:hAnsi="Times New Roman" w:cs="Times New Roman"/>
                <w:i/>
                <w:iCs/>
                <w:sz w:val="20"/>
                <w:szCs w:val="20"/>
                <w:shd w:val="clear" w:color="auto" w:fill="FFFFFF"/>
              </w:rPr>
              <w:t>Heterorhbditis bacteriophora</w:t>
            </w:r>
            <w:r w:rsidRPr="00985092">
              <w:rPr>
                <w:rStyle w:val="indexed-hide"/>
                <w:rFonts w:ascii="Times New Roman" w:hAnsi="Times New Roman" w:cs="Times New Roman"/>
                <w:iCs/>
                <w:sz w:val="20"/>
                <w:szCs w:val="20"/>
                <w:shd w:val="clear" w:color="auto" w:fill="FFFFFF"/>
              </w:rPr>
              <w:t xml:space="preserve"> </w:t>
            </w:r>
          </w:p>
        </w:tc>
        <w:tc>
          <w:tcPr>
            <w:tcW w:w="2821" w:type="dxa"/>
          </w:tcPr>
          <w:p w14:paraId="7C813C6B"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Suppressed </w:t>
            </w:r>
            <w:r w:rsidRPr="00985092">
              <w:rPr>
                <w:rStyle w:val="indexed-hide"/>
                <w:rFonts w:ascii="Times New Roman" w:hAnsi="Times New Roman" w:cs="Times New Roman"/>
                <w:i/>
                <w:sz w:val="20"/>
                <w:szCs w:val="20"/>
                <w:shd w:val="clear" w:color="auto" w:fill="FFFFFF"/>
              </w:rPr>
              <w:t>Tylenchorhynchus</w:t>
            </w:r>
            <w:r w:rsidRPr="00985092">
              <w:rPr>
                <w:rStyle w:val="indexed-hide"/>
                <w:rFonts w:ascii="Times New Roman" w:hAnsi="Times New Roman" w:cs="Times New Roman"/>
                <w:iCs/>
                <w:sz w:val="20"/>
                <w:szCs w:val="20"/>
                <w:shd w:val="clear" w:color="auto" w:fill="FFFFFF"/>
              </w:rPr>
              <w:t xml:space="preserve"> sp. in irrigated plots </w:t>
            </w:r>
          </w:p>
        </w:tc>
        <w:tc>
          <w:tcPr>
            <w:tcW w:w="1320" w:type="dxa"/>
          </w:tcPr>
          <w:p w14:paraId="04F7CE7C"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Turfgrass plots</w:t>
            </w:r>
          </w:p>
        </w:tc>
        <w:tc>
          <w:tcPr>
            <w:tcW w:w="1760" w:type="dxa"/>
          </w:tcPr>
          <w:p w14:paraId="31B91708"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Smitley et al., 1992 </w:t>
            </w:r>
          </w:p>
        </w:tc>
      </w:tr>
      <w:tr w:rsidR="00D20476" w:rsidRPr="00985092" w14:paraId="756B7C16" w14:textId="77777777" w:rsidTr="008D457B">
        <w:trPr>
          <w:trHeight w:val="188"/>
        </w:trPr>
        <w:tc>
          <w:tcPr>
            <w:tcW w:w="440" w:type="dxa"/>
            <w:vMerge/>
            <w:tcBorders>
              <w:bottom w:val="single" w:sz="4" w:space="0" w:color="auto"/>
            </w:tcBorders>
          </w:tcPr>
          <w:p w14:paraId="5C2F1504"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p>
        </w:tc>
        <w:tc>
          <w:tcPr>
            <w:tcW w:w="2459" w:type="dxa"/>
            <w:tcBorders>
              <w:bottom w:val="single" w:sz="4" w:space="0" w:color="auto"/>
            </w:tcBorders>
          </w:tcPr>
          <w:p w14:paraId="15462FF2" w14:textId="77777777" w:rsidR="00D20476" w:rsidRPr="00985092" w:rsidRDefault="00D20476" w:rsidP="00985092">
            <w:pPr>
              <w:pStyle w:val="NoSpacing"/>
              <w:rPr>
                <w:rStyle w:val="indexed-hide"/>
                <w:rFonts w:ascii="Times New Roman" w:hAnsi="Times New Roman" w:cs="Times New Roman"/>
                <w:i/>
                <w:iCs/>
                <w:sz w:val="20"/>
                <w:szCs w:val="20"/>
                <w:shd w:val="clear" w:color="auto" w:fill="FFFFFF"/>
              </w:rPr>
            </w:pPr>
            <w:r w:rsidRPr="00985092">
              <w:rPr>
                <w:rStyle w:val="indexed-hide"/>
                <w:rFonts w:ascii="Times New Roman" w:hAnsi="Times New Roman" w:cs="Times New Roman"/>
                <w:i/>
                <w:iCs/>
                <w:sz w:val="20"/>
                <w:szCs w:val="20"/>
                <w:shd w:val="clear" w:color="auto" w:fill="FFFFFF"/>
              </w:rPr>
              <w:t xml:space="preserve">Steirnernema riobrave </w:t>
            </w:r>
          </w:p>
        </w:tc>
        <w:tc>
          <w:tcPr>
            <w:tcW w:w="2821" w:type="dxa"/>
            <w:tcBorders>
              <w:bottom w:val="single" w:sz="4" w:space="0" w:color="auto"/>
            </w:tcBorders>
          </w:tcPr>
          <w:p w14:paraId="40AA033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Suppressed </w:t>
            </w:r>
            <w:r w:rsidRPr="00985092">
              <w:rPr>
                <w:rStyle w:val="indexed-hide"/>
                <w:rFonts w:ascii="Times New Roman" w:hAnsi="Times New Roman" w:cs="Times New Roman"/>
                <w:i/>
                <w:iCs/>
                <w:sz w:val="20"/>
                <w:szCs w:val="20"/>
                <w:shd w:val="clear" w:color="auto" w:fill="FFFFFF"/>
              </w:rPr>
              <w:t>Melodoigyne, Belonolaimus</w:t>
            </w:r>
            <w:r w:rsidRPr="00985092">
              <w:rPr>
                <w:rStyle w:val="indexed-hide"/>
                <w:rFonts w:ascii="Times New Roman" w:hAnsi="Times New Roman" w:cs="Times New Roman"/>
                <w:iCs/>
                <w:sz w:val="20"/>
                <w:szCs w:val="20"/>
                <w:shd w:val="clear" w:color="auto" w:fill="FFFFFF"/>
              </w:rPr>
              <w:t xml:space="preserve"> </w:t>
            </w:r>
            <w:r w:rsidRPr="00985092">
              <w:rPr>
                <w:rStyle w:val="indexed-hide"/>
                <w:rFonts w:ascii="Times New Roman" w:hAnsi="Times New Roman" w:cs="Times New Roman"/>
                <w:i/>
                <w:iCs/>
                <w:sz w:val="20"/>
                <w:szCs w:val="20"/>
                <w:shd w:val="clear" w:color="auto" w:fill="FFFFFF"/>
              </w:rPr>
              <w:t xml:space="preserve">longidaudatus, </w:t>
            </w:r>
            <w:r w:rsidRPr="00985092">
              <w:rPr>
                <w:rStyle w:val="indexed-hide"/>
                <w:rFonts w:ascii="Times New Roman" w:hAnsi="Times New Roman" w:cs="Times New Roman"/>
                <w:sz w:val="20"/>
                <w:szCs w:val="20"/>
                <w:shd w:val="clear" w:color="auto" w:fill="FFFFFF"/>
              </w:rPr>
              <w:t>and</w:t>
            </w:r>
            <w:r w:rsidRPr="00985092">
              <w:rPr>
                <w:rStyle w:val="indexed-hide"/>
                <w:rFonts w:ascii="Times New Roman" w:hAnsi="Times New Roman" w:cs="Times New Roman"/>
                <w:i/>
                <w:iCs/>
                <w:sz w:val="20"/>
                <w:szCs w:val="20"/>
                <w:shd w:val="clear" w:color="auto" w:fill="FFFFFF"/>
              </w:rPr>
              <w:t xml:space="preserve"> Criconemella </w:t>
            </w:r>
            <w:r w:rsidRPr="00985092">
              <w:rPr>
                <w:rStyle w:val="indexed-hide"/>
                <w:rFonts w:ascii="Times New Roman" w:hAnsi="Times New Roman" w:cs="Times New Roman"/>
                <w:sz w:val="20"/>
                <w:szCs w:val="20"/>
                <w:shd w:val="clear" w:color="auto" w:fill="FFFFFF"/>
              </w:rPr>
              <w:t>spp populations</w:t>
            </w:r>
            <w:r w:rsidRPr="00985092">
              <w:rPr>
                <w:rStyle w:val="indexed-hide"/>
                <w:rFonts w:ascii="Times New Roman" w:hAnsi="Times New Roman" w:cs="Times New Roman"/>
                <w:iCs/>
                <w:sz w:val="20"/>
                <w:szCs w:val="20"/>
                <w:shd w:val="clear" w:color="auto" w:fill="FFFFFF"/>
              </w:rPr>
              <w:t xml:space="preserve"> </w:t>
            </w:r>
          </w:p>
        </w:tc>
        <w:tc>
          <w:tcPr>
            <w:tcW w:w="1320" w:type="dxa"/>
            <w:tcBorders>
              <w:bottom w:val="single" w:sz="4" w:space="0" w:color="auto"/>
            </w:tcBorders>
          </w:tcPr>
          <w:p w14:paraId="55497C6A"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 xml:space="preserve">Turfgrass plots </w:t>
            </w:r>
          </w:p>
        </w:tc>
        <w:tc>
          <w:tcPr>
            <w:tcW w:w="1760" w:type="dxa"/>
            <w:tcBorders>
              <w:bottom w:val="single" w:sz="4" w:space="0" w:color="auto"/>
            </w:tcBorders>
          </w:tcPr>
          <w:p w14:paraId="7F36D3E2" w14:textId="77777777" w:rsidR="00D20476" w:rsidRPr="00985092" w:rsidRDefault="00D20476" w:rsidP="00985092">
            <w:pPr>
              <w:pStyle w:val="NoSpacing"/>
              <w:rPr>
                <w:rStyle w:val="indexed-hide"/>
                <w:rFonts w:ascii="Times New Roman" w:hAnsi="Times New Roman" w:cs="Times New Roman"/>
                <w:iCs/>
                <w:sz w:val="20"/>
                <w:szCs w:val="20"/>
                <w:shd w:val="clear" w:color="auto" w:fill="FFFFFF"/>
              </w:rPr>
            </w:pPr>
            <w:r w:rsidRPr="00985092">
              <w:rPr>
                <w:rStyle w:val="indexed-hide"/>
                <w:rFonts w:ascii="Times New Roman" w:hAnsi="Times New Roman" w:cs="Times New Roman"/>
                <w:iCs/>
                <w:sz w:val="20"/>
                <w:szCs w:val="20"/>
                <w:shd w:val="clear" w:color="auto" w:fill="FFFFFF"/>
              </w:rPr>
              <w:t>Grewal et al., 1997</w:t>
            </w:r>
          </w:p>
        </w:tc>
      </w:tr>
    </w:tbl>
    <w:p w14:paraId="54633879" w14:textId="77777777" w:rsidR="00AB65D6" w:rsidRDefault="00AB65D6" w:rsidP="00FD1FC5">
      <w:pPr>
        <w:pStyle w:val="Heading2"/>
      </w:pPr>
      <w:bookmarkStart w:id="88" w:name="_Toc98812702"/>
      <w:bookmarkStart w:id="89" w:name="_Toc98812910"/>
      <w:bookmarkStart w:id="90" w:name="_Toc98813576"/>
    </w:p>
    <w:p w14:paraId="70D1D6E7" w14:textId="77777777" w:rsidR="00985092" w:rsidRDefault="00985092" w:rsidP="00FD1FC5">
      <w:pPr>
        <w:pStyle w:val="Heading2"/>
        <w:sectPr w:rsidR="00985092" w:rsidSect="00985092">
          <w:pgSz w:w="12240" w:h="15840" w:code="1"/>
          <w:pgMar w:top="1440" w:right="1440" w:bottom="1440" w:left="1440" w:header="0" w:footer="1440" w:gutter="0"/>
          <w:cols w:space="720"/>
          <w:docGrid w:linePitch="326"/>
        </w:sectPr>
      </w:pPr>
      <w:bookmarkStart w:id="91" w:name="_Toc101048085"/>
    </w:p>
    <w:p w14:paraId="6807ECA3" w14:textId="5235B0F0" w:rsidR="00D20476" w:rsidRPr="008E2CD0" w:rsidRDefault="00D20476" w:rsidP="00FD1FC5">
      <w:pPr>
        <w:pStyle w:val="Heading2"/>
      </w:pPr>
      <w:r w:rsidRPr="008E2CD0">
        <w:t xml:space="preserve">Part 2: Charcoal rot of soybean by </w:t>
      </w:r>
      <w:r w:rsidRPr="007A4D90">
        <w:t>Macrophomina phaseolina</w:t>
      </w:r>
      <w:bookmarkEnd w:id="88"/>
      <w:bookmarkEnd w:id="89"/>
      <w:bookmarkEnd w:id="90"/>
      <w:bookmarkEnd w:id="91"/>
    </w:p>
    <w:p w14:paraId="130E1D0F" w14:textId="432102F3" w:rsidR="00D20476" w:rsidRPr="008E2CD0" w:rsidRDefault="00D20476" w:rsidP="00D20476">
      <w:pPr>
        <w:tabs>
          <w:tab w:val="left" w:pos="270"/>
        </w:tabs>
        <w:spacing w:line="360" w:lineRule="auto"/>
        <w:ind w:left="720"/>
        <w:rPr>
          <w:rFonts w:cs="Times New Roman"/>
          <w:szCs w:val="24"/>
        </w:rPr>
      </w:pPr>
      <w:r w:rsidRPr="008E2CD0">
        <w:rPr>
          <w:rFonts w:cs="Times New Roman"/>
          <w:i/>
          <w:szCs w:val="24"/>
        </w:rPr>
        <w:tab/>
        <w:t>Macrophomina phaseolina</w:t>
      </w:r>
      <w:r w:rsidRPr="008E2CD0">
        <w:rPr>
          <w:rFonts w:cs="Times New Roman"/>
          <w:szCs w:val="24"/>
        </w:rPr>
        <w:t xml:space="preserve"> (Tassi) Goid is the causative organism of charcoal rot of soybean (</w:t>
      </w:r>
      <w:r w:rsidRPr="008E2CD0">
        <w:rPr>
          <w:rFonts w:cs="Times New Roman"/>
          <w:i/>
          <w:szCs w:val="24"/>
        </w:rPr>
        <w:t>Glycine max</w:t>
      </w:r>
      <w:r w:rsidRPr="008E2CD0">
        <w:rPr>
          <w:rFonts w:cs="Times New Roman"/>
          <w:szCs w:val="24"/>
        </w:rPr>
        <w:t>), an important disease that causes soybean yield loss and reduces seed quality worldwide (Mengistu et al., 2007; Mengistu et al., 2011; Kaur et al., 2012). With an annual yield loss that can be up to 27 million tons in the U.S, charcoal rot is the second most important soybean pathogen in the U.S</w:t>
      </w:r>
      <w:r>
        <w:rPr>
          <w:rFonts w:cs="Times New Roman"/>
          <w:szCs w:val="24"/>
        </w:rPr>
        <w:t xml:space="preserve"> </w:t>
      </w:r>
      <w:r w:rsidR="00AB3548">
        <w:rPr>
          <w:rFonts w:cs="Times New Roman"/>
          <w:szCs w:val="24"/>
        </w:rPr>
        <w:t xml:space="preserve">behind </w:t>
      </w:r>
      <w:r>
        <w:rPr>
          <w:rFonts w:cs="Times New Roman"/>
          <w:szCs w:val="24"/>
        </w:rPr>
        <w:t>soybean cyst nematode</w:t>
      </w:r>
      <w:r w:rsidRPr="008E2CD0">
        <w:rPr>
          <w:rFonts w:cs="Times New Roman"/>
          <w:szCs w:val="24"/>
        </w:rPr>
        <w:t xml:space="preserve"> and </w:t>
      </w:r>
      <w:r>
        <w:rPr>
          <w:rFonts w:cs="Times New Roman"/>
          <w:szCs w:val="24"/>
        </w:rPr>
        <w:t>is</w:t>
      </w:r>
      <w:r w:rsidRPr="008E2CD0">
        <w:rPr>
          <w:rFonts w:cs="Times New Roman"/>
          <w:szCs w:val="24"/>
        </w:rPr>
        <w:t xml:space="preserve"> responsible for the highest soybean loss in the Southern U.S States (Allen et al., 2017; Wrather and Koenning, 2009). The fungus causing the disease, </w:t>
      </w:r>
      <w:r w:rsidRPr="008E2CD0">
        <w:rPr>
          <w:rFonts w:cs="Times New Roman"/>
          <w:i/>
          <w:szCs w:val="24"/>
        </w:rPr>
        <w:t>M. phaseolina</w:t>
      </w:r>
      <w:r w:rsidRPr="008E2CD0">
        <w:rPr>
          <w:rFonts w:cs="Times New Roman"/>
          <w:szCs w:val="24"/>
        </w:rPr>
        <w:t xml:space="preserve"> (Tassi) Goid, can attack over 500 species of plants and causes disease in many other economical crops, including corn (</w:t>
      </w:r>
      <w:r w:rsidRPr="008E2CD0">
        <w:rPr>
          <w:rFonts w:cs="Times New Roman"/>
          <w:i/>
          <w:szCs w:val="24"/>
        </w:rPr>
        <w:t>Zea mays</w:t>
      </w:r>
      <w:r w:rsidRPr="008E2CD0">
        <w:rPr>
          <w:rFonts w:cs="Times New Roman"/>
          <w:szCs w:val="24"/>
        </w:rPr>
        <w:t xml:space="preserve"> L.), sorghum (</w:t>
      </w:r>
      <w:r w:rsidRPr="008E2CD0">
        <w:rPr>
          <w:rFonts w:cs="Times New Roman"/>
          <w:i/>
          <w:szCs w:val="24"/>
        </w:rPr>
        <w:t>Sorghum moench</w:t>
      </w:r>
      <w:r w:rsidRPr="008E2CD0">
        <w:rPr>
          <w:rFonts w:cs="Times New Roman"/>
          <w:szCs w:val="24"/>
        </w:rPr>
        <w:t>), cotton (</w:t>
      </w:r>
      <w:r w:rsidRPr="008E2CD0">
        <w:rPr>
          <w:rFonts w:cs="Times New Roman"/>
          <w:i/>
          <w:szCs w:val="24"/>
        </w:rPr>
        <w:t>Gossypium</w:t>
      </w:r>
      <w:r w:rsidRPr="008E2CD0">
        <w:rPr>
          <w:rFonts w:cs="Times New Roman"/>
          <w:szCs w:val="24"/>
        </w:rPr>
        <w:t xml:space="preserve"> L.), and tobacco (</w:t>
      </w:r>
      <w:r w:rsidRPr="008E2CD0">
        <w:rPr>
          <w:rFonts w:cs="Times New Roman"/>
          <w:i/>
          <w:szCs w:val="24"/>
        </w:rPr>
        <w:t>Nicotiana</w:t>
      </w:r>
      <w:r>
        <w:rPr>
          <w:rFonts w:cs="Times New Roman"/>
          <w:i/>
          <w:szCs w:val="24"/>
        </w:rPr>
        <w:t xml:space="preserve"> tabacum</w:t>
      </w:r>
      <w:r w:rsidRPr="008E2CD0">
        <w:rPr>
          <w:rFonts w:cs="Times New Roman"/>
          <w:szCs w:val="24"/>
        </w:rPr>
        <w:t>) (Su et al., 2001).</w:t>
      </w:r>
    </w:p>
    <w:p w14:paraId="5D6C5F1F" w14:textId="77777777" w:rsidR="00B9525D" w:rsidRDefault="00B9525D" w:rsidP="00B9525D">
      <w:bookmarkStart w:id="92" w:name="_Toc98812703"/>
      <w:bookmarkStart w:id="93" w:name="_Toc98812911"/>
      <w:bookmarkStart w:id="94" w:name="_Toc98813577"/>
      <w:bookmarkStart w:id="95" w:name="_Toc101048086"/>
    </w:p>
    <w:p w14:paraId="1F7D74E2" w14:textId="65508788" w:rsidR="00D20476" w:rsidRPr="00B9525D" w:rsidRDefault="00D20476" w:rsidP="00FD1FC5">
      <w:pPr>
        <w:pStyle w:val="Heading2"/>
      </w:pPr>
      <w:r w:rsidRPr="008E2CD0">
        <w:t>Prevalence in agricultural soils</w:t>
      </w:r>
      <w:bookmarkEnd w:id="92"/>
      <w:bookmarkEnd w:id="93"/>
      <w:bookmarkEnd w:id="94"/>
      <w:bookmarkEnd w:id="95"/>
      <w:r w:rsidRPr="008E2CD0">
        <w:t xml:space="preserve"> </w:t>
      </w:r>
    </w:p>
    <w:p w14:paraId="2AF9D0EE" w14:textId="77777777" w:rsidR="00D20476" w:rsidRDefault="00D20476" w:rsidP="00D20476">
      <w:pPr>
        <w:tabs>
          <w:tab w:val="left" w:pos="270"/>
        </w:tabs>
        <w:spacing w:line="360" w:lineRule="auto"/>
        <w:ind w:left="720"/>
        <w:rPr>
          <w:rFonts w:cs="Times New Roman"/>
          <w:szCs w:val="24"/>
        </w:rPr>
      </w:pPr>
      <w:r w:rsidRPr="008E2CD0">
        <w:rPr>
          <w:rFonts w:cs="Times New Roman"/>
          <w:i/>
          <w:szCs w:val="24"/>
        </w:rPr>
        <w:tab/>
        <w:t>M. phaseolina</w:t>
      </w:r>
      <w:r w:rsidRPr="008E2CD0">
        <w:rPr>
          <w:rFonts w:cs="Times New Roman"/>
          <w:szCs w:val="24"/>
        </w:rPr>
        <w:t xml:space="preserve"> (Tassi) Goid occurs in all agricultural soils in plant residues in the form of microsclerotia during winter (Smith et al., 2014). The fungal microsclerotia can persist and remain viable in the soil for more than 10 years </w:t>
      </w:r>
      <w:r w:rsidRPr="008E2CD0">
        <w:rPr>
          <w:rFonts w:cs="Times New Roman"/>
          <w:szCs w:val="24"/>
        </w:rPr>
        <w:fldChar w:fldCharType="begin" w:fldLock="1"/>
      </w:r>
      <w:r w:rsidRPr="008E2CD0">
        <w:rPr>
          <w:rFonts w:cs="Times New Roman"/>
          <w:szCs w:val="24"/>
        </w:rPr>
        <w:instrText>ADDIN CSL_CITATION {"citationItems":[{"id":"ITEM-1","itemData":{"DOI":"10.1094/PDIS.2003.87.5.563","ISSN":"01912917","abstract":"Survival of the charcoal rot pathogen (Macrophomina phaseolina) in soybean (Glycine max) on residual root systems was studied over a 2-year period. Root segments colonized by M. phaseolina were placed into fiberglass-mesh bags and buried at depths of 0, 7.6, and 25.4 cm in a Marietta fine sandy loam soil in field microplots. Samples for year 1 and year 2 were buried in October 1999 and 2000, respectively, and sampled every 2 months over a 14-month period. Mean percent frequencies from both years for M. phaseolina showed a decreased linear trend over time from 91% before burial to 24.7% 2 months later, 10.3% at 6 months, and 0.3% after 14 months. Tissues were degraded in the June samplings of both years and this degradation was believed to be partially responsible for the reduced survival of M. phaseolina. Mean isolation frequencies were significantly (P ≤ 0.05) greater at the 0-cm depth than at 7.6 and 25.4 cm across all sampling dates. Other fungi which were present in the preliminary assay, including Fusarium spp. and those in the Phomopsis/Diaporthe complex, also declined by the end of the study. Trichoderma spp. was isolated at significantly (P ≤ 0.05) greater frequencies and a significant positive linear trend over time. It is possible that Trichoderma spp. were involved in direct tissue degradation and nutrient depletion of the root segments, or may have acted as a mycoparasite, reducing the survival of the pathogen M. phaseolina and other associated fungi. Results from this study indicate that farm practices which increase residue destruction immediately after harvest or those that enhance Trichoderma spp. populations may directly or indirectly lower the relative longevity of soilborne pathogens, including M. phaseolina.","author":[{"dropping-particle":"","family":"Baird","given":"Richard E.","non-dropping-particle":"","parse-names":false,"suffix":""},{"dropping-particle":"","family":"Watson","given":"Clarence E.","non-dropping-particle":"","parse-names":false,"suffix":""},{"dropping-particle":"","family":"Scruggs","given":"Mary","non-dropping-particle":"","parse-names":false,"suffix":""}],"container-title":"Plant Disease","id":"ITEM-1","issue":"5","issued":{"date-parts":[["2003"]]},"page":"563-566","title":"Relative longevity of Macrophomina phaseolina and associated mycobiota on residual soybean roots in soil","type":"article-journal","volume":"87"},"uris":["http://www.mendeley.com/documents/?uuid=2a8ad2de-4cdc-4cdc-93a7-5cdea9affa25"]}],"mendeley":{"formattedCitation":"(Baird et al., 2003)","plainTextFormattedCitation":"(Baird et al., 2003)","previouslyFormattedCitation":"(Baird et al., 2003)"},"properties":{"noteIndex":0},"schema":"https://github.com/citation-style-language/schema/raw/master/csl-citation.json"}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(Baird et al., 2003)</w:t>
      </w:r>
      <w:r w:rsidRPr="008E2CD0">
        <w:rPr>
          <w:rFonts w:cs="Times New Roman"/>
          <w:szCs w:val="24"/>
        </w:rPr>
        <w:fldChar w:fldCharType="end"/>
      </w:r>
      <w:r>
        <w:rPr>
          <w:rFonts w:cs="Times New Roman"/>
          <w:szCs w:val="24"/>
        </w:rPr>
        <w:t>. Usually, the density of microsclerotia in soil</w:t>
      </w:r>
      <w:r w:rsidRPr="008E2CD0">
        <w:rPr>
          <w:rFonts w:cs="Times New Roman"/>
          <w:szCs w:val="24"/>
        </w:rPr>
        <w:t xml:space="preserve"> and other factors determine the severity of the next disease incidence. Gray et al (1991) observed that soil microsclerotial density was positively related to charcoal rot incidence in a sorghum field, and Mengistu et al</w:t>
      </w:r>
      <w:r>
        <w:rPr>
          <w:rFonts w:cs="Times New Roman"/>
          <w:szCs w:val="24"/>
        </w:rPr>
        <w:t>.</w:t>
      </w:r>
      <w:r w:rsidRPr="008E2CD0">
        <w:rPr>
          <w:rFonts w:cs="Times New Roman"/>
          <w:szCs w:val="24"/>
        </w:rPr>
        <w:t xml:space="preserve"> (2009) investigated the roles of soil management practices against charcoal rot severity and soybean yields and found that </w:t>
      </w:r>
      <w:r>
        <w:rPr>
          <w:rFonts w:cs="Times New Roman"/>
          <w:szCs w:val="24"/>
        </w:rPr>
        <w:t xml:space="preserve">practices that reduced </w:t>
      </w:r>
      <w:r w:rsidRPr="008E2CD0">
        <w:rPr>
          <w:rFonts w:cs="Times New Roman"/>
          <w:szCs w:val="24"/>
        </w:rPr>
        <w:t xml:space="preserve">microsclerotial density </w:t>
      </w:r>
      <w:r>
        <w:rPr>
          <w:rFonts w:cs="Times New Roman"/>
          <w:szCs w:val="24"/>
        </w:rPr>
        <w:t>in fields can be used to suppress c</w:t>
      </w:r>
      <w:r w:rsidRPr="008E2CD0">
        <w:rPr>
          <w:rFonts w:cs="Times New Roman"/>
          <w:szCs w:val="24"/>
        </w:rPr>
        <w:t xml:space="preserve">harcoal rot severity and </w:t>
      </w:r>
      <w:r>
        <w:rPr>
          <w:rFonts w:cs="Times New Roman"/>
          <w:szCs w:val="24"/>
        </w:rPr>
        <w:t xml:space="preserve">maintain </w:t>
      </w:r>
      <w:r w:rsidRPr="008E2CD0">
        <w:rPr>
          <w:rFonts w:cs="Times New Roman"/>
          <w:szCs w:val="24"/>
        </w:rPr>
        <w:t>soybean yields</w:t>
      </w:r>
      <w:r>
        <w:rPr>
          <w:rFonts w:cs="Times New Roman"/>
          <w:szCs w:val="24"/>
        </w:rPr>
        <w:t>.</w:t>
      </w:r>
      <w:r w:rsidRPr="008E2CD0">
        <w:rPr>
          <w:rFonts w:cs="Times New Roman"/>
          <w:szCs w:val="24"/>
        </w:rPr>
        <w:t xml:space="preserve"> </w:t>
      </w:r>
    </w:p>
    <w:p w14:paraId="4CD0F13C" w14:textId="77777777" w:rsidR="00D20476" w:rsidRPr="008E2CD0" w:rsidRDefault="00D20476" w:rsidP="00D20476">
      <w:pPr>
        <w:tabs>
          <w:tab w:val="left" w:pos="270"/>
        </w:tabs>
        <w:spacing w:line="360" w:lineRule="auto"/>
        <w:ind w:left="720"/>
        <w:rPr>
          <w:rFonts w:cs="Times New Roman"/>
          <w:szCs w:val="24"/>
        </w:rPr>
      </w:pPr>
    </w:p>
    <w:p w14:paraId="06C35C2C" w14:textId="77777777" w:rsidR="00D20476" w:rsidRPr="008E2CD0" w:rsidRDefault="00D20476" w:rsidP="00D122A6">
      <w:pPr>
        <w:pStyle w:val="Heading3"/>
      </w:pPr>
      <w:bookmarkStart w:id="96" w:name="_Toc98812704"/>
      <w:bookmarkStart w:id="97" w:name="_Toc98812912"/>
      <w:bookmarkStart w:id="98" w:name="_Toc98813578"/>
      <w:bookmarkStart w:id="99" w:name="_Toc101048087"/>
      <w:r w:rsidRPr="008E2CD0">
        <w:t>Infection process</w:t>
      </w:r>
      <w:bookmarkEnd w:id="96"/>
      <w:bookmarkEnd w:id="97"/>
      <w:bookmarkEnd w:id="98"/>
      <w:bookmarkEnd w:id="99"/>
      <w:r w:rsidRPr="008E2CD0">
        <w:t xml:space="preserve"> </w:t>
      </w:r>
    </w:p>
    <w:p w14:paraId="0FB3C181" w14:textId="0CFF6EEF" w:rsidR="00D20476" w:rsidRDefault="00D20476" w:rsidP="00D20476">
      <w:pPr>
        <w:tabs>
          <w:tab w:val="left" w:pos="270"/>
        </w:tabs>
        <w:spacing w:line="360" w:lineRule="auto"/>
        <w:ind w:left="720"/>
        <w:rPr>
          <w:rFonts w:cs="Times New Roman"/>
          <w:szCs w:val="24"/>
        </w:rPr>
      </w:pPr>
      <w:r w:rsidRPr="008E2CD0">
        <w:rPr>
          <w:rFonts w:cs="Times New Roman"/>
          <w:szCs w:val="24"/>
        </w:rPr>
        <w:tab/>
        <w:t>During warm wea</w:t>
      </w:r>
      <w:r>
        <w:rPr>
          <w:rFonts w:cs="Times New Roman"/>
          <w:szCs w:val="24"/>
        </w:rPr>
        <w:t xml:space="preserve">ther, when soil becomes warm and ambient temperature increases </w:t>
      </w:r>
      <w:r w:rsidRPr="008E2CD0">
        <w:rPr>
          <w:rFonts w:cs="Times New Roman"/>
          <w:szCs w:val="24"/>
        </w:rPr>
        <w:t xml:space="preserve">above 30°C, microsclerotia near the roots of soybean plants will germinate in response to root exudates and penetrate the roots </w:t>
      </w:r>
      <w:r w:rsidRPr="008E2CD0">
        <w:rPr>
          <w:rFonts w:cs="Times New Roman"/>
          <w:szCs w:val="24"/>
        </w:rPr>
        <w:fldChar w:fldCharType="begin" w:fldLock="1"/>
      </w:r>
      <w:r w:rsidRPr="008E2CD0">
        <w:rPr>
          <w:rFonts w:cs="Times New Roman"/>
          <w:szCs w:val="24"/>
        </w:rPr>
        <w:instrText>ADDIN CSL_CITATION {"citationItems":[{"id":"ITEM-1","itemData":{"DOI":"10.1111/j.1439-0434.2012.01884.x","ISSN":"09311785","abstract":"The fungus Macrophomina phaseolina is a causative agent of diseases in more than 500 plant species. The fungus is primarily soil-inhabiting but is also seed-borne in many crops including soybean. It survives in the soil mainly as microsclerotia that germinate repeatedly during the crop-growing season. Low C:N ratio in the soil and high bulk density as well as high soil moisture content adversely affect the survival of sclerotia. The disease can be managed to some extent by cultural practices, organic amendments, seed treatment and genetic host resistance. The scattered literature on these aspects is reviewed in this paper. © 2012 Blackwell Verlag GmbH.","author":[{"dropping-particle":"","family":"Gupta","given":"Girish K.","non-dropping-particle":"","parse-names":false,"suffix":""},{"dropping-particle":"","family":"Sharma","given":"Sushil K.","non-dropping-particle":"","parse-names":false,"suffix":""},{"dropping-particle":"","family":"Ramteke","given":"Rajkumar","non-dropping-particle":"","parse-names":false,"suffix":""}],"container-title":"Journal of Phytopathology","id":"ITEM-1","issue":"4","issued":{"date-parts":[["2012"]]},"page":"167-180","title":"Biology, Epidemiology and Management of the Pathogenic Fungus Macrophomina phaseolina (Tassi) Goid with Special Reference to Charcoal Rot of Soybean (Glycine max (L.) Merrill)","type":"article","volume":"160"},"uris":["http://www.mendeley.com/documents/?uuid=621423d4-04cf-4738-8676-24362e604c6c"]}],"mendeley":{"formattedCitation":"(Gupta et al., 2012)","plainTextFormattedCitation":"(Gupta et al., 2012)","previouslyFormattedCitation":"(Gupta et al., 2012)"},"properties":{"noteIndex":0},"schema":"https://github.com/citation-style-language/schema/raw/master/csl-citation.json"}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(Gupta et al., 2012)</w:t>
      </w:r>
      <w:r w:rsidRPr="008E2CD0">
        <w:rPr>
          <w:rFonts w:cs="Times New Roman"/>
          <w:szCs w:val="24"/>
        </w:rPr>
        <w:fldChar w:fldCharType="end"/>
      </w:r>
      <w:r w:rsidRPr="008E2CD0">
        <w:rPr>
          <w:rFonts w:cs="Times New Roman"/>
          <w:szCs w:val="24"/>
        </w:rPr>
        <w:t>. The fungus infiltrates root</w:t>
      </w:r>
      <w:r>
        <w:rPr>
          <w:rFonts w:cs="Times New Roman"/>
          <w:szCs w:val="24"/>
        </w:rPr>
        <w:t>s</w:t>
      </w:r>
      <w:r w:rsidRPr="008E2CD0">
        <w:rPr>
          <w:rFonts w:cs="Times New Roman"/>
          <w:szCs w:val="24"/>
        </w:rPr>
        <w:t xml:space="preserve"> by producing specialized structures known as germ tubes on its primary hyphae. The germ tubes possess a needle-like end known as </w:t>
      </w:r>
      <w:r>
        <w:rPr>
          <w:rFonts w:cs="Times New Roman"/>
          <w:szCs w:val="24"/>
        </w:rPr>
        <w:t xml:space="preserve">an </w:t>
      </w:r>
      <w:r w:rsidRPr="008E2CD0">
        <w:rPr>
          <w:rFonts w:cs="Times New Roman"/>
          <w:szCs w:val="24"/>
        </w:rPr>
        <w:t>appressorium which is used for invading the epidermal cell</w:t>
      </w:r>
      <w:r>
        <w:rPr>
          <w:rFonts w:cs="Times New Roman"/>
          <w:szCs w:val="24"/>
        </w:rPr>
        <w:t>. Infection occurs by</w:t>
      </w:r>
      <w:r w:rsidRPr="008E2CD0">
        <w:rPr>
          <w:rFonts w:cs="Times New Roman"/>
          <w:szCs w:val="24"/>
        </w:rPr>
        <w:t xml:space="preserve"> </w:t>
      </w:r>
      <w:r>
        <w:rPr>
          <w:rFonts w:cs="Times New Roman"/>
          <w:szCs w:val="24"/>
        </w:rPr>
        <w:t>either</w:t>
      </w:r>
      <w:r w:rsidRPr="008E2CD0">
        <w:rPr>
          <w:rFonts w:cs="Times New Roman"/>
          <w:szCs w:val="24"/>
        </w:rPr>
        <w:t xml:space="preserve"> breaking through the walls using mechanical pressure and enzymatic activity that breaks the cell wall </w:t>
      </w:r>
      <w:r w:rsidRPr="008E2CD0">
        <w:rPr>
          <w:rFonts w:cs="Times New Roman"/>
          <w:szCs w:val="24"/>
        </w:rPr>
        <w:fldChar w:fldCharType="begin" w:fldLock="1"/>
      </w:r>
      <w:r w:rsidRPr="008E2CD0">
        <w:rPr>
          <w:rFonts w:cs="Times New Roman"/>
          <w:szCs w:val="24"/>
        </w:rPr>
        <w:instrText>ADDIN CSL_CITATION {"citationItems":[{"id":"ITEM-1","itemData":{"DOI":"10.1016/0048-4059(74)90038-1","ISSN":"00484059","abstract":"An ultrastructural investigation of seedling soybean root tissue infected by the charcoal rot fungus indicated that during the initial stages of pathogenesis, the fungus appears to be restricted mostly to the intercellular spaces and that penetration of interior cell walls occurred as a result of both mechanical pressure and chemical softening. Subsequently, the middle lamella disintegrates, the plasmalemma is separated from the cell wall, the cytoplasm becomes highly vesiculated and the mitochondria disorganized. In later stages of pathogenesis, the fungus becomes intracellular and recognizable cytoplasmic organelles disappear. © 1974.","author":[{"dropping-particle":"","family":"Ammon","given":"Vernon","non-dropping-particle":"","parse-names":false,"suffix":""},{"dropping-particle":"","family":"Wyllie","given":"Thomas D.","non-dropping-particle":"","parse-names":false,"suffix":""},{"dropping-particle":"","family":"Brown","given":"Merton F.","non-dropping-particle":"","parse-names":false,"suffix":""}],"container-title":"Physiological Plant Pathology","id":"ITEM-1","issue":"1","issued":{"date-parts":[["1974"]]},"title":"An ultrastructural investigation of pathological alterations induced by Macrophomina phaseolina (Tassi) Goid in seedlings of soybean, Glycine max (L.) Merrill","type":"article-journal","volume":"4"},"uris":["http://www.mendeley.com/documents/?uuid=114268e4-5497-4ea7-b7b2-fed1407a4200"]}],"mendeley":{"formattedCitation":"(Ammon et al., 1974)","plainTextFormattedCitation":"(Ammon et al., 1974)","previouslyFormattedCitation":"(Ammon et al., 1974)"},"properties":{"noteIndex":0},"schema":"https://github.com/citation-style-language/schema/raw/master/csl-citation.json"}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(Ammon et al., 1974)</w:t>
      </w:r>
      <w:r w:rsidRPr="008E2CD0">
        <w:rPr>
          <w:rFonts w:cs="Times New Roman"/>
          <w:szCs w:val="24"/>
        </w:rPr>
        <w:fldChar w:fldCharType="end"/>
      </w:r>
      <w:r w:rsidRPr="008E2CD0">
        <w:rPr>
          <w:rFonts w:cs="Times New Roman"/>
          <w:szCs w:val="24"/>
        </w:rPr>
        <w:t xml:space="preserve"> </w:t>
      </w:r>
      <w:r>
        <w:rPr>
          <w:rFonts w:cs="Times New Roman"/>
          <w:szCs w:val="24"/>
        </w:rPr>
        <w:t>or</w:t>
      </w:r>
      <w:r w:rsidRPr="008E2CD0">
        <w:rPr>
          <w:rFonts w:cs="Times New Roman"/>
          <w:szCs w:val="24"/>
        </w:rPr>
        <w:t xml:space="preserve"> by entering via natural openings or wounds on the root surfaces </w:t>
      </w:r>
      <w:r w:rsidRPr="008E2CD0">
        <w:rPr>
          <w:rFonts w:cs="Times New Roman"/>
          <w:szCs w:val="24"/>
        </w:rPr>
        <w:fldChar w:fldCharType="begin" w:fldLock="1"/>
      </w:r>
      <w:r w:rsidRPr="008E2CD0">
        <w:rPr>
          <w:rFonts w:cs="Times New Roman"/>
          <w:szCs w:val="24"/>
        </w:rPr>
        <w:instrText>ADDIN CSL_CITATION {"citationItems":[{"id":"ITEM-1","itemData":{"DOI":"10.1016/0048-4059(74)90038-1","ISSN":"00484059","abstract":"An ultrastructural investigation of seedling soybean root tissue infected by the charcoal rot fungus indicated that during the initial stages of pathogenesis, the fungus appears to be restricted mostly to the intercellular spaces and that penetration of interior cell walls occurred as a result of both mechanical pressure and chemical softening. Subsequently, the middle lamella disintegrates, the plasmalemma is separated from the cell wall, the cytoplasm becomes highly vesiculated and the mitochondria disorganized. In later stages of pathogenesis, the fungus becomes intracellular and recognizable cytoplasmic organelles disappear. © 1974.","author":[{"dropping-particle":"","family":"Ammon","given":"Vernon","non-dropping-particle":"","parse-names":false,"suffix":""},{"dropping-particle":"","family":"Wyllie","given":"Thomas D.","non-dropping-particle":"","parse-names":false,"suffix":""},{"dropping-particle":"","family":"Brown","given":"Merton F.","non-dropping-particle":"","parse-names":false,"suffix":""}],"container-title":"Physiological Plant Pathology","id":"ITEM-1","issue":"1","issued":{"date-parts":[["1974"]]},"title":"An ultrastructural investigation of pathological alterations induced by Macrophomina phaseolina (Tassi) Goid in seedlings of soybean, Glycine max (L.) Merrill","type":"article-journal","volume":"4"},"uris":["http://www.mendeley.com/documents/?uuid=114268e4-5497-4ea7-b7b2-fed1407a4200"]},{"id":"ITEM-2","itemData":{"DOI":"10.1007/BF00444275","ISSN":"0301486X","abstract":"Sclerotial germination, hyphal growth pattern, and appressorial formation of the charcoal rot fungus, Macrophomina phaseolina (Tassi) Goid. on the surface of soybean roots, Glycine max (L.) Merrill was observed using scanning electron microscopy. Sclerotial germination is followed by a hyphal growth pattern which does not appear to be associated with any specific structural feature on the corrugated root surface. Appressoria are produced on the root surface at the tips of both primary hyphae and side branches within three days after inoculation. © 1975 Dr. W. Junk bv - Publishers.","author":[{"dropping-particle":"","family":"Ammon","given":"Vernon","non-dropping-particle":"","parse-names":false,"suffix":""},{"dropping-particle":"","family":"Wyllie","given":"Thomas D.","non-dropping-particle":"","parse-names":false,"suffix":""},{"dropping-particle":"","family":"Brown","given":"Merton F.","non-dropping-particle":"","parse-names":false,"suffix":""}],"container-title":"Mycopathologia","id":"ITEM-2","issue":"2","issued":{"date-parts":[["1975"]]},"page":"77-81","title":"Investigation of the infection process of macrophomina phaseolina on the surface of soybean roots using scanning electron microscopy","type":"article-journal","volume":"55"},"uris":["http://www.mendeley.com/documents/?uuid=b65bf0a1-77fa-4bef-a6a8-d8c70cdf25cc"]}],"mendeley":{"formattedCitation":"(Ammon et al., 1974, 1975)","manualFormatting":"(Ammon et al., 1975)","plainTextFormattedCitation":"(Ammon et al., 1974, 1975)","previouslyFormattedCitation":"(Ammon et al., 1974, 1975)"},"properties":{"noteIndex":0},"schema":"https://github.com/citation-style-language/schema/raw/master/csl-citation.json"}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(Ammon et al., 1975)</w:t>
      </w:r>
      <w:r w:rsidRPr="008E2CD0">
        <w:rPr>
          <w:rFonts w:cs="Times New Roman"/>
          <w:szCs w:val="24"/>
        </w:rPr>
        <w:fldChar w:fldCharType="end"/>
      </w:r>
      <w:r w:rsidRPr="008E2CD0">
        <w:rPr>
          <w:rFonts w:cs="Times New Roman"/>
          <w:szCs w:val="24"/>
        </w:rPr>
        <w:t>. Once inside the root, the hyphae will occupy intercellular and int</w:t>
      </w:r>
      <w:r>
        <w:rPr>
          <w:rFonts w:cs="Times New Roman"/>
          <w:szCs w:val="24"/>
        </w:rPr>
        <w:t>ra</w:t>
      </w:r>
      <w:r w:rsidRPr="008E2CD0">
        <w:rPr>
          <w:rFonts w:cs="Times New Roman"/>
          <w:szCs w:val="24"/>
        </w:rPr>
        <w:t xml:space="preserve">cellular spaces within the root, pressing against the nearby cells </w:t>
      </w:r>
      <w:r w:rsidRPr="008E2CD0">
        <w:rPr>
          <w:rFonts w:cs="Times New Roman"/>
          <w:szCs w:val="24"/>
        </w:rPr>
        <w:fldChar w:fldCharType="begin" w:fldLock="1"/>
      </w:r>
      <w:r w:rsidRPr="008E2CD0">
        <w:rPr>
          <w:rFonts w:cs="Times New Roman"/>
          <w:szCs w:val="24"/>
        </w:rPr>
        <w:instrText>ADDIN CSL_CITATION {"citationItems":[{"id":"ITEM-1","itemData":{"DOI":"10.1016/j.pmpp.2009.12.003","ISSN":"08855765","abstract":"A general limitation when studying the early events in the infection process of a soil borne plant pathogen is the detection of the hypha arrival at the root surface. We describe a new method to infect plants with soil borne pathogens that may be applicable to examination of the prepenetration and the penetration phases of other soil borne fungi as well as the early responses of the host plant. Development of the in vitro method allowed us to obtain roots of soybean plants infected with Macrophomina phaseolina to characterize the infection process. Using two infection systems we provide evidence that M. phaseolina produces hyaline structures which are undetected by staining methods based on fungal chitin dyes and were identified exclusively by stained lipid vesicles produced by the pathogen within host tissues. © 2009 Elsevier Ltd.","author":[{"dropping-particle":"","family":"Bressano","given":"Marina","non-dropping-particle":"","parse-names":false,"suffix":""},{"dropping-particle":"","family":"Lorena Giachero","given":"M.","non-dropping-particle":"","parse-names":false,"suffix":""},{"dropping-particle":"","family":"Luna","given":"Celina M.","non-dropping-particle":"","parse-names":false,"suffix":""},{"dropping-particle":"","family":"Ducasse","given":"Daniel A.","non-dropping-particle":"","parse-names":false,"suffix":""}],"container-title":"Physiological and Molecular Plant Pathology","id":"ITEM-1","issue":"3-4","issued":{"date-parts":[["2010"]]},"page":"201-204","publisher":"Elsevier Ltd","title":"An in vitro method for examining infection of soybean roots by Macrophomina phaseolina","type":"article-journal","volume":"74"},"uris":["http://www.mendeley.com/documents/?uuid=deeca720-fab5-40fe-9625-3d2f8eaed61e"]},{"id":"ITEM-2","itemData":{"DOI":"10.1094/phyto-68-736","ISSN":"0031949X","author":[{"dropping-particle":"","family":"Short","given":"G. E.","non-dropping-particle":"","parse-names":false,"suffix":""}],"container-title":"Phytopathology","id":"ITEM-2","issue":"5","issued":{"date-parts":[["1978"]]},"page":"736","title":"Quantitative Enumeration of Macrophomina phaseolina in Soybean Tissues","type":"article","volume":"68"},"uris":["http://www.mendeley.com/documents/?uuid=6a75209e-100b-4488-bc09-c57038cd8f51"]}],"mendeley":{"formattedCitation":"(Bressano et al., 2010; Short, 1978)","plainTextFormattedCitation":"(Bressano et al., 2010; Short, 1978)","previouslyFormattedCitation":"(Bressano et al., 2010; Short, 1978)"},"properties":{"noteIndex":0},"schema":"https://github.com/citation-style-language/schema/raw/master/csl-citation.json"}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(Bressano et al., 2010; Short, 1978)</w:t>
      </w:r>
      <w:r w:rsidRPr="008E2CD0">
        <w:rPr>
          <w:rFonts w:cs="Times New Roman"/>
          <w:szCs w:val="24"/>
        </w:rPr>
        <w:fldChar w:fldCharType="end"/>
      </w:r>
      <w:r w:rsidRPr="008E2CD0">
        <w:rPr>
          <w:rFonts w:cs="Times New Roman"/>
          <w:szCs w:val="24"/>
        </w:rPr>
        <w:t xml:space="preserve">. This invasion often results in </w:t>
      </w:r>
      <w:r>
        <w:rPr>
          <w:rFonts w:cs="Times New Roman"/>
          <w:szCs w:val="24"/>
        </w:rPr>
        <w:t xml:space="preserve">the </w:t>
      </w:r>
      <w:r w:rsidRPr="008E2CD0">
        <w:rPr>
          <w:rFonts w:cs="Times New Roman"/>
          <w:szCs w:val="24"/>
        </w:rPr>
        <w:t>death</w:t>
      </w:r>
      <w:r>
        <w:rPr>
          <w:rFonts w:cs="Times New Roman"/>
          <w:szCs w:val="24"/>
        </w:rPr>
        <w:t xml:space="preserve"> of multiple cells</w:t>
      </w:r>
      <w:r w:rsidRPr="008E2CD0">
        <w:rPr>
          <w:rFonts w:cs="Times New Roman"/>
          <w:szCs w:val="24"/>
        </w:rPr>
        <w:t xml:space="preserve"> and disruption of nutrient and water movement in the vascular tissue, thus resulting in the killing of the infected roots, and eventually the plant. Usually, </w:t>
      </w:r>
      <w:r>
        <w:rPr>
          <w:rFonts w:cs="Times New Roman"/>
          <w:szCs w:val="24"/>
        </w:rPr>
        <w:t xml:space="preserve">the </w:t>
      </w:r>
      <w:r w:rsidRPr="008E2CD0">
        <w:rPr>
          <w:rFonts w:cs="Times New Roman"/>
          <w:szCs w:val="24"/>
        </w:rPr>
        <w:t>infection</w:t>
      </w:r>
      <w:r>
        <w:rPr>
          <w:rFonts w:cs="Times New Roman"/>
          <w:szCs w:val="24"/>
        </w:rPr>
        <w:t xml:space="preserve"> </w:t>
      </w:r>
      <w:r>
        <w:t>begins earlier at the vegetative stage but</w:t>
      </w:r>
      <w:r w:rsidRPr="008E2CD0">
        <w:rPr>
          <w:rFonts w:cs="Times New Roman"/>
          <w:szCs w:val="24"/>
        </w:rPr>
        <w:t xml:space="preserve"> becomes vividly evident on infected plants beginning from the flowering or pod setting stage when the plant begins to die</w:t>
      </w:r>
      <w:r>
        <w:rPr>
          <w:rFonts w:cs="Times New Roman"/>
          <w:szCs w:val="24"/>
        </w:rPr>
        <w:t xml:space="preserve"> (</w:t>
      </w:r>
      <w:r w:rsidRPr="008E2CD0">
        <w:rPr>
          <w:rFonts w:cs="Times New Roman"/>
          <w:noProof/>
          <w:szCs w:val="24"/>
        </w:rPr>
        <w:t>Meyer, 1974)</w:t>
      </w:r>
      <w:r w:rsidRPr="008E2CD0">
        <w:rPr>
          <w:rFonts w:cs="Times New Roman"/>
          <w:szCs w:val="24"/>
        </w:rPr>
        <w:t xml:space="preserve">. The death of plant tissue induces the fungus to form microsclerotia. The microsclerotia and remaining fungal hyphae colonize the dead plant tissue until the tissue completely decays. After decay, mycelium and microsclerotia are liberated into the soil and become the inoculum source for the next infection cycle in the next season </w:t>
      </w:r>
      <w:r w:rsidRPr="008E2CD0">
        <w:rPr>
          <w:rFonts w:cs="Times New Roman"/>
          <w:szCs w:val="24"/>
        </w:rPr>
        <w:fldChar w:fldCharType="begin" w:fldLock="1"/>
      </w:r>
      <w:r w:rsidRPr="008E2CD0">
        <w:rPr>
          <w:rFonts w:cs="Times New Roman"/>
          <w:szCs w:val="24"/>
        </w:rPr>
        <w:instrText>ADDIN CSL_CITATION {"citationItems":[{"id":"ITEM-1","itemData":{"DOI":"10.1094/php-2009-0130-01-rs","ISSN":"1535-1025","abstract":"All current commercial soybean cultivars are susceptible to charcoal rot, a disease caused by Macrophomina phaseolina. Efforts to manage this disease through non-genetic means have not been effective. However, the combined effects of tillage, cover crop and herbicide use, and their roles in the population dynamics of this fungus have not been fully investigated. A field experiment was conducted in 2002 through 2004 at Stoneville, MS, to determine the population dynamics of Macrophomina phaseolina (Tassi) in soybean stem and root tissues at harvest and in soil at planting and harvest as affected by tillage, cover crop, and herbicide. The tillage treatments were conventional tillage (CT) and no-tillage (NT); the cover crops were hairy vetch, rye, and no cover crop; and the herbicide treatments were glyphosate- and non-glyphosate-based applications. Analysis of variance indicated that there was an effect due to tillage, cover crop, and tillage by year interaction on colony forming units (CFU) of M. phaseolina recovered from soybean tissue. Colony forming units in soybean tissue were greater under the CT than NT and were greater for hairy vetch and no cover crop than rye. Regardless of the cover crop system used, CFU in tissue was greater for CT in 2002 than in 2003 and 2004. Application of glyphosate did not affect the CFU in stem and root tissues or in the soil. The CFU from soil at harvest was significantly higher than at planting. The CFU in soil at planting and harvest was only affected by tillage and not by cover crop system. The CFU from stem and root tissues was greater than in soil suggesting that quantification of CFU in tissue may provide a better estimate of treatment effects at harvest. These results also suggest that charcoal rot may be better managed in the NT rather than in the CT system.Accepted for publication 11 December 2008. Published 30 January 2009.All current commercial soybean cultivars are susceptible to charcoal rot, caused by Macrophomina phaseolina. Management efforts through non-genetic means have been ineffective, but the combined effects of tillage, cover crop and herbicide use, and their roles in the population dynamics of this fungus have not been fully investigated. Our objective was to determine the effects of tillage, cover crops, and herbicides on the population dynamics of M. phaseolina in stem and root tissue as well as in soil at planting and at harvest.","author":[{"dropping-particle":"","family":"Mengistu","given":"Alemu","non-dropping-particle":"","parse-names":false,"suffix":""},{"dropping-particle":"","family":"Reddy","given":"Krishna N.","non-dropping-particle":"","parse-names":false,"suffix":""},{"dropping-particle":"","family":"Zablotowicz","given":"Robert M.","non-dropping-particle":"","parse-names":false,"suffix":""},{"dropping-particle":"","family":"Wrather","given":"Allen J.","non-dropping-particle":"","parse-names":false,"suffix":""}],"container-title":"Plant Health Progress","id":"ITEM-1","issue":"1","issued":{"date-parts":[["2009"]]},"title":" Propagule Densities of Macrophomina phaseolina in Soybean Tissue and Soil as Affected by Tillage, Cover Crop, and Herbicide ","type":"article-journal","volume":"10"},"uris":["http://www.mendeley.com/documents/?uuid=bca90321-5bd0-486d-8865-151f9f08bc23"]}],"mendeley":{"formattedCitation":"(Mengistu et al., 2009)","plainTextFormattedCitation":"(Mengistu et al., 2009)","previouslyFormattedCitation":"(Mengistu et al., 2009)"},"properties":{"noteIndex":0},"schema":"https://github.com/citation-style-language/schema/raw/master/csl-citation.json"}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(Mengistu et al., 2009)</w:t>
      </w:r>
      <w:r w:rsidRPr="008E2CD0">
        <w:rPr>
          <w:rFonts w:cs="Times New Roman"/>
          <w:szCs w:val="24"/>
        </w:rPr>
        <w:fldChar w:fldCharType="end"/>
      </w:r>
      <w:r w:rsidRPr="008E2CD0">
        <w:rPr>
          <w:rFonts w:cs="Times New Roman"/>
          <w:szCs w:val="24"/>
        </w:rPr>
        <w:t xml:space="preserve">. </w:t>
      </w:r>
    </w:p>
    <w:p w14:paraId="7E132A35" w14:textId="77777777" w:rsidR="00D20476" w:rsidRPr="008E2CD0" w:rsidRDefault="00D20476" w:rsidP="00D20476">
      <w:pPr>
        <w:tabs>
          <w:tab w:val="left" w:pos="270"/>
        </w:tabs>
        <w:spacing w:line="360" w:lineRule="auto"/>
        <w:ind w:left="720"/>
        <w:rPr>
          <w:rFonts w:cs="Times New Roman"/>
          <w:szCs w:val="24"/>
        </w:rPr>
      </w:pPr>
    </w:p>
    <w:p w14:paraId="404723DF" w14:textId="77777777" w:rsidR="00D20476" w:rsidRPr="008E2CD0" w:rsidRDefault="00D20476" w:rsidP="00D122A6">
      <w:pPr>
        <w:pStyle w:val="Heading3"/>
      </w:pPr>
      <w:bookmarkStart w:id="100" w:name="_Toc98812705"/>
      <w:bookmarkStart w:id="101" w:name="_Toc98812913"/>
      <w:bookmarkStart w:id="102" w:name="_Toc98813579"/>
      <w:bookmarkStart w:id="103" w:name="_Toc101048088"/>
      <w:r w:rsidRPr="008E2CD0">
        <w:t>Symptoms</w:t>
      </w:r>
      <w:bookmarkEnd w:id="100"/>
      <w:bookmarkEnd w:id="101"/>
      <w:bookmarkEnd w:id="102"/>
      <w:bookmarkEnd w:id="103"/>
      <w:r w:rsidRPr="008E2CD0">
        <w:t xml:space="preserve"> </w:t>
      </w:r>
    </w:p>
    <w:p w14:paraId="0437FC28" w14:textId="77777777" w:rsidR="00D20476" w:rsidRDefault="00D20476" w:rsidP="00D20476">
      <w:pPr>
        <w:tabs>
          <w:tab w:val="left" w:pos="270"/>
        </w:tabs>
        <w:spacing w:line="360" w:lineRule="auto"/>
        <w:ind w:left="720"/>
        <w:rPr>
          <w:rFonts w:cs="Times New Roman"/>
          <w:szCs w:val="24"/>
        </w:rPr>
      </w:pPr>
      <w:r w:rsidRPr="008E2CD0">
        <w:rPr>
          <w:rFonts w:cs="Times New Roman"/>
          <w:szCs w:val="24"/>
        </w:rPr>
        <w:tab/>
        <w:t>Se</w:t>
      </w:r>
      <w:r>
        <w:rPr>
          <w:rFonts w:cs="Times New Roman"/>
          <w:szCs w:val="24"/>
        </w:rPr>
        <w:t xml:space="preserve">edborne infections may reduce </w:t>
      </w:r>
      <w:r w:rsidRPr="008E2CD0">
        <w:rPr>
          <w:rFonts w:cs="Times New Roman"/>
          <w:szCs w:val="24"/>
        </w:rPr>
        <w:t>seedling emergence</w:t>
      </w:r>
      <w:r>
        <w:rPr>
          <w:rFonts w:cs="Times New Roman"/>
          <w:szCs w:val="24"/>
        </w:rPr>
        <w:t xml:space="preserve">. Infected </w:t>
      </w:r>
      <w:r w:rsidRPr="008E2CD0">
        <w:rPr>
          <w:rFonts w:cs="Times New Roman"/>
          <w:szCs w:val="24"/>
        </w:rPr>
        <w:t>seedling</w:t>
      </w:r>
      <w:r>
        <w:rPr>
          <w:rFonts w:cs="Times New Roman"/>
          <w:szCs w:val="24"/>
        </w:rPr>
        <w:t>s develop lesions on hypocotyls below the cotyledons. Lesions first appear reddish-brown and then become silver-gray before turning dark-brown or black (</w:t>
      </w:r>
      <w:r w:rsidRPr="008E2CD0">
        <w:rPr>
          <w:rFonts w:cs="Times New Roman"/>
          <w:noProof/>
          <w:szCs w:val="24"/>
        </w:rPr>
        <w:t>Meyer, 1974)</w:t>
      </w:r>
      <w:r w:rsidRPr="008E2CD0">
        <w:rPr>
          <w:rFonts w:cs="Times New Roman"/>
          <w:szCs w:val="24"/>
        </w:rPr>
        <w:t>. For older plants, the infection may result in reduced plant vigor, leaf yellowing, wilting, and premature death of the plants, with the leaves still attached to the petioles (Smith et al., 2014). The most common signs associated with the disease include gray streaks on the lower stem and taproots, small black specks (microsclerotia) in the epidermis</w:t>
      </w:r>
      <w:r>
        <w:rPr>
          <w:rFonts w:cs="Times New Roman"/>
          <w:szCs w:val="24"/>
        </w:rPr>
        <w:t>,</w:t>
      </w:r>
      <w:r w:rsidRPr="008E2CD0">
        <w:rPr>
          <w:rFonts w:cs="Times New Roman"/>
          <w:szCs w:val="24"/>
        </w:rPr>
        <w:t xml:space="preserve"> and lower stems and taproots of infected plants, giving them a charcoal (blackish) appearance. </w:t>
      </w:r>
      <w:r>
        <w:rPr>
          <w:rFonts w:cs="Times New Roman"/>
          <w:szCs w:val="24"/>
        </w:rPr>
        <w:t>O</w:t>
      </w:r>
      <w:r w:rsidRPr="008E2CD0">
        <w:rPr>
          <w:rFonts w:cs="Times New Roman"/>
          <w:szCs w:val="24"/>
        </w:rPr>
        <w:t xml:space="preserve">ften, a reddish-brown discoloration may occur in the pith and vascular tissues of the lower stem and root (Smith et al., 2014). </w:t>
      </w:r>
    </w:p>
    <w:p w14:paraId="72D12B59" w14:textId="77777777" w:rsidR="00D20476" w:rsidRPr="008E2CD0" w:rsidRDefault="00D20476" w:rsidP="00D20476">
      <w:pPr>
        <w:tabs>
          <w:tab w:val="left" w:pos="270"/>
        </w:tabs>
        <w:spacing w:line="360" w:lineRule="auto"/>
        <w:ind w:left="720"/>
        <w:rPr>
          <w:rFonts w:cs="Times New Roman"/>
          <w:szCs w:val="24"/>
        </w:rPr>
      </w:pPr>
    </w:p>
    <w:p w14:paraId="5D78E499" w14:textId="77777777" w:rsidR="00D20476" w:rsidRPr="008E2CD0" w:rsidRDefault="00D20476" w:rsidP="00D122A6">
      <w:pPr>
        <w:pStyle w:val="Heading3"/>
      </w:pPr>
      <w:bookmarkStart w:id="104" w:name="_Toc98812706"/>
      <w:bookmarkStart w:id="105" w:name="_Toc98812914"/>
      <w:bookmarkStart w:id="106" w:name="_Toc98813580"/>
      <w:bookmarkStart w:id="107" w:name="_Toc101048089"/>
      <w:r w:rsidRPr="008E2CD0">
        <w:t>Factors affecting charcoal rot severity</w:t>
      </w:r>
      <w:bookmarkEnd w:id="104"/>
      <w:bookmarkEnd w:id="105"/>
      <w:bookmarkEnd w:id="106"/>
      <w:bookmarkEnd w:id="107"/>
      <w:r w:rsidRPr="008E2CD0">
        <w:t xml:space="preserve"> </w:t>
      </w:r>
    </w:p>
    <w:p w14:paraId="01E6B7C0" w14:textId="77777777" w:rsidR="00D20476" w:rsidRPr="008E2CD0" w:rsidRDefault="00D20476" w:rsidP="00D20476">
      <w:pPr>
        <w:tabs>
          <w:tab w:val="left" w:pos="270"/>
        </w:tabs>
        <w:spacing w:line="360" w:lineRule="auto"/>
        <w:ind w:left="720"/>
        <w:rPr>
          <w:rFonts w:cs="Times New Roman"/>
          <w:szCs w:val="24"/>
        </w:rPr>
      </w:pPr>
      <w:r w:rsidRPr="008E2CD0">
        <w:rPr>
          <w:rFonts w:cs="Times New Roman"/>
          <w:i/>
          <w:szCs w:val="24"/>
        </w:rPr>
        <w:tab/>
        <w:t>Macrophomina</w:t>
      </w:r>
      <w:r w:rsidRPr="008E2CD0">
        <w:rPr>
          <w:rFonts w:cs="Times New Roman"/>
          <w:szCs w:val="24"/>
        </w:rPr>
        <w:t xml:space="preserve"> microsclerotia can survive in the soil for 2-15 years depending on environmental conditions  </w:t>
      </w:r>
      <w:r w:rsidRPr="008E2CD0">
        <w:rPr>
          <w:rFonts w:cs="Times New Roman"/>
          <w:szCs w:val="24"/>
        </w:rPr>
        <w:fldChar w:fldCharType="begin" w:fldLock="1"/>
      </w:r>
      <w:r w:rsidRPr="008E2CD0">
        <w:rPr>
          <w:rFonts w:cs="Times New Roman"/>
          <w:szCs w:val="24"/>
        </w:rPr>
        <w:instrText>ADDIN CSL_CITATION {"citationItems":[{"id":"ITEM-1","itemData":{"DOI":"10.1094/PDIS.2003.87.5.563","ISSN":"01912917","abstract":"Survival of the charcoal rot pathogen (Macrophomina phaseolina) in soybean (Glycine max) on residual root systems was studied over a 2-year period. Root segments colonized by M. phaseolina were placed into fiberglass-mesh bags and buried at depths of 0, 7.6, and 25.4 cm in a Marietta fine sandy loam soil in field microplots. Samples for year 1 and year 2 were buried in October 1999 and 2000, respectively, and sampled every 2 months over a 14-month period. Mean percent frequencies from both years for M. phaseolina showed a decreased linear trend over time from 91% before burial to 24.7% 2 months later, 10.3% at 6 months, and 0.3% after 14 months. Tissues were degraded in the June samplings of both years and this degradation was believed to be partially responsible for the reduced survival of M. phaseolina. Mean isolation frequencies were significantly (P ≤ 0.05) greater at the 0-cm depth than at 7.6 and 25.4 cm across all sampling dates. Other fungi which were present in the preliminary assay, including Fusarium spp. and those in the Phomopsis/Diaporthe complex, also declined by the end of the study. Trichoderma spp. was isolated at significantly (P ≤ 0.05) greater frequencies and a significant positive linear trend over time. It is possible that Trichoderma spp. were involved in direct tissue degradation and nutrient depletion of the root segments, or may have acted as a mycoparasite, reducing the survival of the pathogen M. phaseolina and other associated fungi. Results from this study indicate that farm practices which increase residue destruction immediately after harvest or those that enhance Trichoderma spp. populations may directly or indirectly lower the relative longevity of soilborne pathogens, including M. phaseolina.","author":[{"dropping-particle":"","family":"Baird","given":"Richard E.","non-dropping-particle":"","parse-names":false,"suffix":""},{"dropping-particle":"","family":"Watson","given":"Clarence E.","non-dropping-particle":"","parse-names":false,"suffix":""},{"dropping-particle":"","family":"Scruggs","given":"Mary","non-dropping-particle":"","parse-names":false,"suffix":""}],"container-title":"Plant Disease","id":"ITEM-1","issue":"5","issued":{"date-parts":[["2003"]]},"page":"563-566","title":"Relative longevity of Macrophomina phaseolina and associated mycobiota on residual soybean roots in soil","type":"article-journal","volume":"87"},"uris":["http://www.mendeley.com/documents/?uuid=2a8ad2de-4cdc-4cdc-93a7-5cdea9affa25"]}],"mendeley":{"formattedCitation":"(Baird et al., 2003)","plainTextFormattedCitation":"(Baird et al., 2003)","previouslyFormattedCitation":"(Baird et al., 2003)"},"properties":{"noteIndex":0},"schema":"https://github.com/citation-style-language/schema/raw/master/csl-citation.json"}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(Baird et al., 2003)</w:t>
      </w:r>
      <w:r w:rsidRPr="008E2CD0">
        <w:rPr>
          <w:rFonts w:cs="Times New Roman"/>
          <w:szCs w:val="24"/>
        </w:rPr>
        <w:fldChar w:fldCharType="end"/>
      </w:r>
      <w:r w:rsidRPr="008E2CD0">
        <w:rPr>
          <w:rFonts w:cs="Times New Roman"/>
          <w:szCs w:val="24"/>
        </w:rPr>
        <w:t xml:space="preserve">. The germination of the microsclerotia in soybean fields is promoted by high soil temperature (28-35°C), high C: N ratios of amendments, low moisture, low soil compaction, and high oxygen concentrations </w:t>
      </w:r>
      <w:r w:rsidRPr="008E2CD0">
        <w:rPr>
          <w:rFonts w:cs="Times New Roman"/>
          <w:szCs w:val="24"/>
        </w:rPr>
        <w:fldChar w:fldCharType="begin" w:fldLock="1"/>
      </w:r>
      <w:r>
        <w:rPr>
          <w:rFonts w:cs="Times New Roman"/>
          <w:szCs w:val="24"/>
        </w:rPr>
        <w:instrText>ADDIN CSL_CITATION {"citationItems":[{"id":"ITEM-1","itemData":{"DOI":"10.1094/php-2009-0130-01-rs","ISSN":"1535-1025","abstract":"All current commercial soybean cultivars are susceptible to charcoal rot, a disease caused by Macrophomina phaseolina. Efforts to manage this disease through non-genetic means have not been effective. However, the combined effects of tillage, cover crop and herbicide use, and their roles in the population dynamics of this fungus have not been fully investigated. A field experiment was conducted in 2002 through 2004 at Stoneville, MS, to determine the population dynamics of Macrophomina phaseolina (Tassi) in soybean stem and root tissues at harvest and in soil at planting and harvest as affected by tillage, cover crop, and herbicide. The tillage treatments were conventional tillage (CT) and no-tillage (NT); the cover crops were hairy vetch, rye, and no cover crop; and the herbicide treatments were glyphosate- and non-glyphosate-based applications. Analysis of variance indicated that there was an effect due to tillage, cover crop, and tillage by year interaction on colony forming units (CFU) of M. phaseolina recovered from soybean tissue. Colony forming units in soybean tissue were greater under the CT than NT and were greater for hairy vetch and no cover crop than rye. Regardless of the cover crop system used, CFU in tissue was greater for CT in 2002 than in 2003 and 2004. Application of glyphosate did not affect the CFU in stem and root tissues or in the soil. The CFU from soil at harvest was significantly higher than at planting. The CFU in soil at planting and harvest was only affected by tillage and not by cover crop system. The CFU from stem and root tissues was greater than in soil suggesting that quantification of CFU in tissue may provide a better estimate of treatment effects at harvest. These results also suggest that charcoal rot may be better managed in the NT rather than in the CT system.Accepted for publication 11 December 2008. Published 30 January 2009.All current commercial soybean cultivars are susceptible to charcoal rot, caused by Macrophomina phaseolina. Management efforts through non-genetic means have been ineffective, but the combined effects of tillage, cover crop and herbicide use, and their roles in the population dynamics of this fungus have not been fully investigated. Our objective was to determine the effects of tillage, cover crops, and herbicides on the population dynamics of M. phaseolina in stem and root tissue as well as in soil at planting and at harvest.","author":[{"dropping-particle":"","family":"Mengistu","given":"Alemu","non-dropping-particle":"","parse-names":false,"suffix":""},{"dropping-particle":"","family":"Reddy","given":"Krishna N.","non-dropping-particle":"","parse-names":false,"suffix":""},{"dropping-particle":"","family":"Zablotowicz","given":"Robert M.","non-dropping-particle":"","parse-names":false,"suffix":""},{"dropping-particle":"","family":"Wrather","given":"Allen J.","non-dropping-particle":"","parse-names":false,"suffix":""}],"container-title":"Plant Health Progress","id":"ITEM-1","issue":"1","issued":{"date-parts":[["2009"]]},"title":" Propagule Densities of Macrophomina phaseolina in Soybean Tissue and Soil as Affected by Tillage, Cover Crop, and Herbicide ","type":"article-journal","volume":"10"},"uris":["http://www.mendeley.com/documents/?uuid=bca90321-5bd0-486d-8865-151f9f08bc23"]},{"id":"ITEM-2","itemData":{"author":[{"dropping-particle":"","family":"Manici, L. M., Caputo, F., &amp; Cerato","given":"C.","non-dropping-particle":"","parse-names":false,"suffix":""}],"container-title":"Plant disease","id":"ITEM-2","issued":{"date-parts":[["1995"]]},"title":"Temperature responses of isolates of Macrophomina phaseolina from different climatic regions of sunflower production in Italy.","type":"article-journal"},"uris":["http://www.mendeley.com/documents/?uuid=d309ec70-7bc4-40f3-a120-02c9f970d813"]},{"id":"ITEM-3","itemData":{"DOI":"10.1094/phyto-64-845","ISSN":"0031949X","author":[{"dropping-particle":"","family":"Meyer","given":"W. A.","non-dropping-particle":"","parse-names":false,"suffix":""}],"container-title":"Phytopathology","id":"ITEM-3","issue":"6","issued":{"date-parts":[["1974"]]},"page":"845","title":"Factors Affecting Charcoal Rot of Soybean Seedlings","type":"article","volume":"64"},"uris":["http://www.mendeley.com/documents/?uuid=1ad2c0dc-3316-49e5-9306-b10e08c30f9a"]}],"mendeley":{"formattedCitation":"(Manici, L. M., Caputo, F., &amp; Cerato, 1995; Mengistu et al., 2009; W. A. Meyer, 1974)","manualFormatting":"(Manici et al., 1995; Mengistu et al., 2009; Meyer, 1974)","plainTextFormattedCitation":"(Manici, L. M., Caputo, F., &amp; Cerato, 1995; Mengistu et al., 2009; W. A. Meyer, 1974)","previouslyFormattedCitation":"(Manici, L. M., Caputo, F., &amp; Cerato, 1995; Mengistu et al., 2009; Meyer, 1974)"},"properties":{"noteIndex":0},"schema":"https://github.com/citation-style-language/schema/raw/master/csl-citation.json"}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(Manici et al., 1995; Mengistu et al., 2009; Meyer, 1974)</w:t>
      </w:r>
      <w:r w:rsidRPr="008E2CD0">
        <w:rPr>
          <w:rFonts w:cs="Times New Roman"/>
          <w:szCs w:val="24"/>
        </w:rPr>
        <w:fldChar w:fldCharType="end"/>
      </w:r>
      <w:r w:rsidRPr="008E2CD0">
        <w:rPr>
          <w:rFonts w:cs="Times New Roman"/>
          <w:szCs w:val="24"/>
        </w:rPr>
        <w:t xml:space="preserve">. Also, microsclerotia size and density, and history of the fields can promote </w:t>
      </w:r>
      <w:r w:rsidRPr="008E2CD0">
        <w:rPr>
          <w:rFonts w:cs="Times New Roman"/>
          <w:i/>
          <w:szCs w:val="24"/>
        </w:rPr>
        <w:t>Macrophomina</w:t>
      </w:r>
      <w:r w:rsidRPr="008E2CD0">
        <w:rPr>
          <w:rFonts w:cs="Times New Roman"/>
          <w:szCs w:val="24"/>
        </w:rPr>
        <w:t xml:space="preserve"> infections. Generally, large size microsclerotia produce more germ tubes and cause more infections </w:t>
      </w:r>
      <w:r w:rsidRPr="008E2CD0">
        <w:rPr>
          <w:rFonts w:cs="Times New Roman"/>
          <w:szCs w:val="24"/>
        </w:rPr>
        <w:fldChar w:fldCharType="begin" w:fldLock="1"/>
      </w:r>
      <w:r w:rsidRPr="008E2CD0">
        <w:rPr>
          <w:rFonts w:cs="Times New Roman"/>
          <w:szCs w:val="24"/>
        </w:rPr>
        <w:instrText>ADDIN CSL_CITATION {"citationItems":[{"id":"ITEM-1","itemData":{"DOI":"10.1094/phyto-68-736","ISSN":"0031949X","author":[{"dropping-particle":"","family":"Short","given":"G. E.","non-dropping-particle":"","parse-names":false,"suffix":""}],"container-title":"Phytopathology","id":"ITEM-1","issue":"5","issued":{"date-parts":[["1978"]]},"page":"736","title":"Quantitative Enumeration of Macrophomina phaseolina in Soybean Tissues","type":"article","volume":"68"},"uris":["http://www.mendeley.com/documents/?uuid=6a75209e-100b-4488-bc09-c57038cd8f51"]},{"id":"ITEM-2","itemData":{"DOI":"10.5053/ekoloji.2009.724","ISSN":"13001361","abstract":"The effects of some alternative control methods consisting of biofumigation, intercropping with attractive plants, grafting, solarization or biological nematicides against Meloidogyne incognita in organic tomato production were evaluated in two successive short growing cycles (2007 autumn and 2008 spring) in unheated greenhouse conditions. Eight treatments were investigated in both growing seasons while four treatments were the same in each year, two were different. Soil solarization was applied for 6 weeks with a covering of 110 μm thickness of clear polyethylene sheets. For the biofumigation treatments, all the plant parts of the broccoli (Brassica olerace var. italica) (14 t ha-1) or the leaves and fruits of the castor oil plant (Ricinus communis) (2.5 t ha-1) were added to the soil one week before planting the tomatoes. The American Marigold plant (Tagetes erecta) seedlings were transplanted to the plots one week before planting as an intercrop with the tomato plants. As a biological nematicide, BioAct® [Paecilomyces lilacinus, strain 251: 62.5 g kg-1, 1010 cfu g-1 LD 50&gt;5000 mg kg-1 cfu mL-1 (Boyut Foreign Trade Ltd, Turkey)] was applied three times at the firḿs recommended rates. Organic manure, acting as a biological nematicide namely Netisin® (BioGlobal Company, Turkey), was applied at a rate of 10 kg ha-1 using a drip irrigation system to the soil twice. In both seasons root galling caused by M. incognita was lower (1.90 in autumn and 2.95 in spring) in the grafted tomato plants on the rootstock Beaufort than the other treatments. In terms of yield, among the tested treatments, grafting (0.922 kg plant-1 in autumn and 1.785 kg plant-1 in spring) and biofumigation with R. communis in autumn (0.924 kg plant-1) and biofumigation with broccoli in the spring (2.315 kg plant-1) gave higher yields. The overall results showed that biofumigation with broccoli and grafting could be used efficiently against M. incognita in organic agriculture production.","author":[{"dropping-particle":"","family":"Kaşkavalci","given":"Galip","non-dropping-particle":"","parse-names":false,"suffix":""},{"dropping-particle":"","family":"Tüzel","given":"Yüksel","non-dropping-particle":"","parse-names":false,"suffix":""},{"dropping-particle":"","family":"Dura","given":"Onur","non-dropping-particle":"","parse-names":false,"suffix":""},{"dropping-particle":"","family":"Öztekin","given":"Gölgen B.","non-dropping-particle":"","parse-names":false,"suffix":""}],"container-title":"Ekoloji","id":"ITEM-2","issue":"72","issued":{"date-parts":[["2009"]]},"page":"23-31","title":"Effects of alternative control methods against Meloidogyne incognita in organic tomato production","type":"article-journal","volume":"19"},"uris":["http://www.mendeley.com/documents/?uuid=45bfea13-26fd-4b87-935d-6ebae77cf0eb"]}],"mendeley":{"formattedCitation":"(Kaşkavalci et al., 2009; Short, 1978)","plainTextFormattedCitation":"(Kaşkavalci et al., 2009; Short, 1978)","previouslyFormattedCitation":"(Kaşkavalci et al., 2009; Short, 1978)"},"properties":{"noteIndex":0},"schema":"https://github.com/citation-style-language/schema/raw/master/csl-citation.json"}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(Kaşkavalci et al., 2009; Short, 1978)</w:t>
      </w:r>
      <w:r w:rsidRPr="008E2CD0">
        <w:rPr>
          <w:rFonts w:cs="Times New Roman"/>
          <w:szCs w:val="24"/>
        </w:rPr>
        <w:fldChar w:fldCharType="end"/>
      </w:r>
      <w:r w:rsidRPr="008E2CD0">
        <w:rPr>
          <w:rFonts w:cs="Times New Roman"/>
          <w:szCs w:val="24"/>
        </w:rPr>
        <w:t xml:space="preserve">. This suggests that the presence of a high density of large microsclerotia in fields will likely increase fungal germination and infection rate. Also, fields that have been grown consistently with soybean or other </w:t>
      </w:r>
      <w:r w:rsidRPr="008E2CD0">
        <w:rPr>
          <w:rFonts w:cs="Times New Roman"/>
          <w:i/>
          <w:szCs w:val="24"/>
        </w:rPr>
        <w:t>Macrophomina</w:t>
      </w:r>
      <w:r w:rsidRPr="008E2CD0">
        <w:rPr>
          <w:rFonts w:cs="Times New Roman"/>
          <w:szCs w:val="24"/>
        </w:rPr>
        <w:t xml:space="preserve"> hosts will probably support severe charcoal rot infections. Furthermore, some farm practices can promote </w:t>
      </w:r>
      <w:r w:rsidRPr="008E2CD0">
        <w:rPr>
          <w:rFonts w:cs="Times New Roman"/>
          <w:i/>
          <w:szCs w:val="24"/>
        </w:rPr>
        <w:t xml:space="preserve">Macrophomina </w:t>
      </w:r>
      <w:r w:rsidRPr="002F1765">
        <w:t>infection</w:t>
      </w:r>
      <w:r w:rsidRPr="008E2CD0">
        <w:rPr>
          <w:rFonts w:cs="Times New Roman"/>
          <w:szCs w:val="24"/>
        </w:rPr>
        <w:t>. The microsclerotia survive in infected plant residues, hence the presence of residues of highly susceptible soybean plants in fields can promote infection</w:t>
      </w:r>
      <w:r>
        <w:rPr>
          <w:rFonts w:cs="Times New Roman"/>
          <w:szCs w:val="24"/>
        </w:rPr>
        <w:t xml:space="preserve"> </w:t>
      </w:r>
      <w:r w:rsidRPr="008E2CD0">
        <w:rPr>
          <w:rFonts w:cs="Times New Roman"/>
          <w:szCs w:val="24"/>
        </w:rPr>
        <w:fldChar w:fldCharType="begin" w:fldLock="1"/>
      </w:r>
      <w:r w:rsidRPr="008E2CD0">
        <w:rPr>
          <w:rFonts w:cs="Times New Roman"/>
          <w:szCs w:val="24"/>
        </w:rPr>
        <w:instrText>ADDIN CSL_CITATION {"citationItems":[{"id":"ITEM-1","itemData":{"author":[{"dropping-particle":"","family":"Short, G. E., Wyllie, T. D., &amp; Bristow","given":"P. R.","non-dropping-particle":"","parse-names":false,"suffix":""}],"container-title":"Phytopathology","id":"ITEM-1","issue":"1","issued":{"date-parts":[["1980"]]},"page":"17","title":"Survival of Macrophomina phaseolina in soil and in residue of soybean","type":"article-journal","volume":"70"},"uris":["http://www.mendeley.com/documents/?uuid=e01b14f6-00c0-4abf-9257-1cb457f3e311"]}],"mendeley":{"formattedCitation":"(Short, G. E., Wyllie, T. D., &amp; Bristow, 1980)","manualFormatting":"(Short et al., 1980)","plainTextFormattedCitation":"(Short, G. E., Wyllie, T. D., &amp; Bristow, 1980)","previouslyFormattedCitation":"(Short, G. E., Wyllie, T. D., &amp; Bristow, 1980)"},"properties":{"noteIndex":0},"schema":"https://github.com/citation-style-language/schema/raw/master/csl-citation.json"}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(Short et al., 1980)</w:t>
      </w:r>
      <w:r w:rsidRPr="008E2CD0">
        <w:rPr>
          <w:rFonts w:cs="Times New Roman"/>
          <w:szCs w:val="24"/>
        </w:rPr>
        <w:fldChar w:fldCharType="end"/>
      </w:r>
      <w:r w:rsidRPr="008E2CD0">
        <w:rPr>
          <w:rFonts w:cs="Times New Roman"/>
          <w:szCs w:val="24"/>
        </w:rPr>
        <w:t xml:space="preserve">. Also practicing soil tillage may expose microsclerotia to soybean seeds or emerging seedling roots, increase soil aeration, nutrient support for microsclerotia germination, and promote more infection </w:t>
      </w:r>
      <w:r w:rsidRPr="008E2CD0">
        <w:rPr>
          <w:rFonts w:cs="Times New Roman"/>
          <w:noProof/>
          <w:szCs w:val="24"/>
        </w:rPr>
        <w:t>(Mengistu et al., 2009)</w:t>
      </w:r>
      <w:r w:rsidRPr="008E2CD0">
        <w:rPr>
          <w:rFonts w:cs="Times New Roman"/>
          <w:szCs w:val="24"/>
        </w:rPr>
        <w:t>.</w:t>
      </w:r>
    </w:p>
    <w:p w14:paraId="0B23DF06" w14:textId="77777777" w:rsidR="00D20476" w:rsidRPr="008E2CD0" w:rsidRDefault="00D20476" w:rsidP="00D20476">
      <w:pPr>
        <w:tabs>
          <w:tab w:val="left" w:pos="270"/>
        </w:tabs>
        <w:spacing w:line="360" w:lineRule="auto"/>
        <w:ind w:left="720"/>
        <w:rPr>
          <w:rFonts w:cs="Times New Roman"/>
          <w:b/>
          <w:szCs w:val="24"/>
        </w:rPr>
      </w:pPr>
    </w:p>
    <w:p w14:paraId="7A2FAB57" w14:textId="38F89B22" w:rsidR="00D20476" w:rsidRPr="008E2CD0" w:rsidRDefault="00D20476" w:rsidP="00FD1FC5">
      <w:pPr>
        <w:pStyle w:val="Heading2"/>
      </w:pPr>
      <w:bookmarkStart w:id="108" w:name="_Toc101048090"/>
      <w:r w:rsidRPr="008E2CD0">
        <w:t>Management</w:t>
      </w:r>
      <w:bookmarkEnd w:id="108"/>
      <w:r w:rsidRPr="008E2CD0">
        <w:t xml:space="preserve"> </w:t>
      </w:r>
    </w:p>
    <w:p w14:paraId="11CD285A" w14:textId="77777777" w:rsidR="00D20476" w:rsidRDefault="00D20476" w:rsidP="00D20476">
      <w:pPr>
        <w:tabs>
          <w:tab w:val="left" w:pos="270"/>
        </w:tabs>
        <w:spacing w:line="360" w:lineRule="auto"/>
        <w:ind w:left="720"/>
        <w:rPr>
          <w:rFonts w:cs="Times New Roman"/>
          <w:szCs w:val="24"/>
        </w:rPr>
      </w:pPr>
      <w:r w:rsidRPr="008E2CD0">
        <w:rPr>
          <w:rFonts w:cs="Times New Roman"/>
          <w:szCs w:val="24"/>
        </w:rPr>
        <w:tab/>
        <w:t>Strategies to control</w:t>
      </w:r>
      <w:r>
        <w:rPr>
          <w:rFonts w:cs="Times New Roman"/>
          <w:szCs w:val="24"/>
        </w:rPr>
        <w:t xml:space="preserve"> charcoal rot </w:t>
      </w:r>
      <w:r w:rsidRPr="008E2CD0">
        <w:rPr>
          <w:rFonts w:cs="Times New Roman"/>
          <w:szCs w:val="24"/>
        </w:rPr>
        <w:t>include the use of resistant cultivars, seed treatments, and cultural practices such as tillage</w:t>
      </w:r>
      <w:r>
        <w:rPr>
          <w:rFonts w:cs="Times New Roman"/>
          <w:szCs w:val="24"/>
        </w:rPr>
        <w:t>,</w:t>
      </w:r>
      <w:r w:rsidRPr="008E2CD0">
        <w:rPr>
          <w:rFonts w:cs="Times New Roman"/>
          <w:szCs w:val="24"/>
        </w:rPr>
        <w:t xml:space="preserve"> rotation</w:t>
      </w:r>
      <w:r>
        <w:rPr>
          <w:rFonts w:cs="Times New Roman"/>
          <w:szCs w:val="24"/>
        </w:rPr>
        <w:t>,</w:t>
      </w:r>
      <w:r w:rsidRPr="008E2CD0">
        <w:rPr>
          <w:rFonts w:cs="Times New Roman"/>
          <w:szCs w:val="24"/>
        </w:rPr>
        <w:t xml:space="preserve"> irrigation</w:t>
      </w:r>
      <w:r>
        <w:rPr>
          <w:rFonts w:cs="Times New Roman"/>
          <w:szCs w:val="24"/>
        </w:rPr>
        <w:t>,</w:t>
      </w:r>
      <w:r w:rsidRPr="008E2CD0">
        <w:rPr>
          <w:rFonts w:cs="Times New Roman"/>
          <w:szCs w:val="24"/>
        </w:rPr>
        <w:t xml:space="preserve"> and seeding rate management (Smith et al., 2014). Generally, management efforts often focus on lowering the pathogen inoculum propagules in the field (Gupta et al., 2012; Mengistu et al., 2009). This is because the pathogen canno</w:t>
      </w:r>
      <w:r>
        <w:rPr>
          <w:rFonts w:cs="Times New Roman"/>
          <w:szCs w:val="24"/>
        </w:rPr>
        <w:t xml:space="preserve">t be eliminated once in a field, as it can survive under various environmental conditions. Also, </w:t>
      </w:r>
      <w:r w:rsidRPr="008E2CD0">
        <w:rPr>
          <w:rFonts w:cs="Times New Roman"/>
          <w:szCs w:val="24"/>
        </w:rPr>
        <w:t>there is no complete</w:t>
      </w:r>
      <w:r>
        <w:rPr>
          <w:rFonts w:cs="Times New Roman"/>
          <w:szCs w:val="24"/>
        </w:rPr>
        <w:t xml:space="preserve"> resistance </w:t>
      </w:r>
      <w:r w:rsidRPr="008E2CD0">
        <w:rPr>
          <w:rFonts w:cs="Times New Roman"/>
          <w:szCs w:val="24"/>
        </w:rPr>
        <w:t>against the pathogen (Papavizas, 1977; Smith and Carvil, 1997).</w:t>
      </w:r>
    </w:p>
    <w:p w14:paraId="0691C3B7" w14:textId="77777777" w:rsidR="00D20476" w:rsidRPr="008E2CD0" w:rsidRDefault="00D20476" w:rsidP="00D20476">
      <w:pPr>
        <w:tabs>
          <w:tab w:val="left" w:pos="270"/>
        </w:tabs>
        <w:spacing w:line="360" w:lineRule="auto"/>
        <w:ind w:left="720"/>
        <w:rPr>
          <w:rFonts w:cs="Times New Roman"/>
          <w:szCs w:val="24"/>
        </w:rPr>
      </w:pPr>
    </w:p>
    <w:p w14:paraId="210DEDBE" w14:textId="77777777" w:rsidR="00D20476" w:rsidRPr="008E2CD0" w:rsidRDefault="00D20476" w:rsidP="00D122A6">
      <w:pPr>
        <w:pStyle w:val="Heading3"/>
      </w:pPr>
      <w:bookmarkStart w:id="109" w:name="_Toc98812707"/>
      <w:bookmarkStart w:id="110" w:name="_Toc98812915"/>
      <w:bookmarkStart w:id="111" w:name="_Toc98813581"/>
      <w:bookmarkStart w:id="112" w:name="_Toc101048091"/>
      <w:r w:rsidRPr="008E2CD0">
        <w:t>Crop rotation and resistance cultivars</w:t>
      </w:r>
      <w:bookmarkEnd w:id="109"/>
      <w:bookmarkEnd w:id="110"/>
      <w:bookmarkEnd w:id="111"/>
      <w:bookmarkEnd w:id="112"/>
      <w:r w:rsidRPr="008E2CD0">
        <w:t xml:space="preserve"> </w:t>
      </w:r>
    </w:p>
    <w:p w14:paraId="2E665696" w14:textId="77777777" w:rsidR="00D20476" w:rsidRPr="008E2CD0" w:rsidRDefault="00D20476" w:rsidP="00D20476">
      <w:pPr>
        <w:widowControl/>
        <w:tabs>
          <w:tab w:val="left" w:pos="270"/>
        </w:tabs>
        <w:autoSpaceDE/>
        <w:autoSpaceDN/>
        <w:spacing w:line="360" w:lineRule="auto"/>
        <w:ind w:left="720"/>
        <w:textAlignment w:val="baseline"/>
        <w:rPr>
          <w:rFonts w:cs="Times New Roman"/>
          <w:szCs w:val="24"/>
        </w:rPr>
      </w:pPr>
      <w:r w:rsidRPr="008E2CD0">
        <w:rPr>
          <w:rFonts w:cs="Times New Roman"/>
          <w:szCs w:val="24"/>
        </w:rPr>
        <w:tab/>
        <w:t>Rotation to non-hosts for 2-3 years can reduce microsclerotia density in highly infested fields. Also, rotation to corn and grain sorghum for 1 year can keep microsclerotia density below a damaging threshold. Rotation to cotton, sorghum, or corn has been reported to reduce charcoal rot inoculum in fields grown with soybean (</w:t>
      </w:r>
      <w:r w:rsidRPr="008E2CD0">
        <w:rPr>
          <w:rFonts w:cs="Times New Roman"/>
          <w:szCs w:val="24"/>
          <w:shd w:val="clear" w:color="auto" w:fill="FFFFFF"/>
        </w:rPr>
        <w:t>Francl et al., 1988). Also, in a cowpea field, charcoal rot inoculum density was significantly reduced when the field was planted with fonio (</w:t>
      </w:r>
      <w:r w:rsidRPr="008E2CD0">
        <w:rPr>
          <w:rFonts w:cs="Times New Roman"/>
          <w:i/>
          <w:szCs w:val="24"/>
          <w:shd w:val="clear" w:color="auto" w:fill="FFFFFF"/>
        </w:rPr>
        <w:t>Digitaria exilis</w:t>
      </w:r>
      <w:r w:rsidRPr="008E2CD0">
        <w:rPr>
          <w:rFonts w:cs="Times New Roman"/>
          <w:szCs w:val="24"/>
          <w:shd w:val="clear" w:color="auto" w:fill="FFFFFF"/>
        </w:rPr>
        <w:t>) or millet (</w:t>
      </w:r>
      <w:r w:rsidRPr="008E2CD0">
        <w:rPr>
          <w:rFonts w:eastAsia="Times New Roman" w:cs="Times New Roman"/>
          <w:i/>
          <w:szCs w:val="24"/>
        </w:rPr>
        <w:t>Panicum miliaceum</w:t>
      </w:r>
      <w:r w:rsidRPr="008E2CD0">
        <w:rPr>
          <w:rFonts w:eastAsia="Times New Roman" w:cs="Times New Roman"/>
          <w:szCs w:val="24"/>
        </w:rPr>
        <w:t xml:space="preserve">) </w:t>
      </w:r>
      <w:r w:rsidRPr="008E2CD0">
        <w:rPr>
          <w:rFonts w:eastAsia="Times New Roman" w:cs="Times New Roman"/>
          <w:szCs w:val="24"/>
        </w:rPr>
        <w:fldChar w:fldCharType="begin" w:fldLock="1"/>
      </w:r>
      <w:r>
        <w:rPr>
          <w:rFonts w:eastAsia="Times New Roman" w:cs="Times New Roman"/>
          <w:szCs w:val="24"/>
        </w:rPr>
        <w:instrText>ADDIN CSL_CITATION {"citationItems":[{"id":"ITEM-1","itemData":{"ISBN":"9789085046646","abstract":"Cowpea Vignaunguiculata Walp.) is the most important pulse crop in theSahelwith nearly 12.5 million hectares per year and is a valuable source of protein for human and animal nutrition. The most limiting factors for crop growth in the Sahelian zone of West Africa are water and nutrient stress. The average cowpea yields in farmers' fields are low (0.2-0.5 ton/ha) and charcoal rot causes on average a yield loss of 10%, which is equivalent to 30.000 tons cowpea - an estimated value of $146 million for Niger and Senegal alone.Disease resistant or tolerant cultivars of cowpea against M . phaseolina are the most efficient control measures but such cultivars are not yet available. Solarization, addition of organic matter, maintenance of high soil moisture, fumigation and use of biocontrol agents have shown to be potential methods for control of soilborne pathogens.The objectives of the thesis is: 1)to characterize cowpea isolates of Macrophomina phaseolina prevalent in the different cowpea cropping systems in Niger and Senegal with respect to culture characteristics and host range; 2) to determine effects of rotation of cowpea with fonio and millet on M. phaseolina disease of cowpea, and production and survival of microsclerotia in soil; 3) to study the effects of compost and a biocontrol agent on M. phaseolina and charcoal rot on cowpea; 4) to study the effects of solarization alone or in combination with organic residues on M. phaseolina and charcoal rot on cowpea. Macrophominaphaseolina causes heavy yield loss to cowpea Vignaunguiculata grown in different cropping systems in the Sahel region ofAfrica. It was not known if cropping systems could influence physiological, genetic and pathogenic characteristics of M. phaseolina isolates. This study therefore aimed to analyze the population structure of M . phaseolina associated with three cropping systems in theSahel. Isolates were collected from soil and infected tissues of different cropping systems in Senegal and Niger and their growth potential at different temperatures, their morphology on PDA medium, their virulence on three cowpea cultivars and sequence analysis of the ITS (internal transcribed spacer) region of the nuclear ribosomal DNA gene studied.Isolates of M. phaseolina differed to a limited extent in temperature optimum, genetic make-up, and pathogenicity to cereal crops. The grouping according to physiological and genetic traits did not coincide with that based on pathogenicity. However, for the f…","author":[{"dropping-particle":"","family":"Ndiaye","given":"Mbaye","non-dropping-particle":"","parse-names":false,"suffix":""}],"container-title":"Wageningen University","id":"ITEM-1","issued":{"date-parts":[["2007"]]},"number-of-pages":"114 pp.","title":"Ecology and Management of Charcoal Rot (Macrophomina phaseolina) on Cowpea in the Sahel","type":"book"},"uris":["http://www.mendeley.com/documents/?uuid=bfcfa5df-dc82-482f-b123-abe964ab3a1f"]}],"mendeley":{"formattedCitation":"(Ndiaye, 2007)","plainTextFormattedCitation":"(Ndiaye, 2007)","previouslyFormattedCitation":"(Ndiaye, 2007)"},"properties":{"noteIndex":0},"schema":"https://github.com/citation-style-language/schema/raw/master/csl-citation.json"}</w:instrText>
      </w:r>
      <w:r w:rsidRPr="008E2CD0">
        <w:rPr>
          <w:rFonts w:eastAsia="Times New Roman" w:cs="Times New Roman"/>
          <w:szCs w:val="24"/>
        </w:rPr>
        <w:fldChar w:fldCharType="separate"/>
      </w:r>
      <w:r w:rsidRPr="008E2CD0">
        <w:rPr>
          <w:rFonts w:eastAsia="Times New Roman" w:cs="Times New Roman"/>
          <w:noProof/>
          <w:szCs w:val="24"/>
        </w:rPr>
        <w:t>(Ndiaye, 2007)</w:t>
      </w:r>
      <w:r w:rsidRPr="008E2CD0">
        <w:rPr>
          <w:rFonts w:eastAsia="Times New Roman" w:cs="Times New Roman"/>
          <w:szCs w:val="24"/>
        </w:rPr>
        <w:fldChar w:fldCharType="end"/>
      </w:r>
      <w:r w:rsidRPr="008E2CD0">
        <w:rPr>
          <w:rFonts w:eastAsia="Times New Roman" w:cs="Times New Roman"/>
          <w:szCs w:val="24"/>
        </w:rPr>
        <w:t xml:space="preserve">. Limited </w:t>
      </w:r>
      <w:r w:rsidRPr="008E2CD0">
        <w:rPr>
          <w:rFonts w:cs="Times New Roman"/>
          <w:szCs w:val="24"/>
        </w:rPr>
        <w:t xml:space="preserve">soybean cultivars with moderate susceptibility to </w:t>
      </w:r>
      <w:r w:rsidRPr="008E2CD0">
        <w:rPr>
          <w:rFonts w:cs="Times New Roman"/>
          <w:i/>
          <w:szCs w:val="24"/>
        </w:rPr>
        <w:t>Macrophomina</w:t>
      </w:r>
      <w:r w:rsidRPr="008E2CD0">
        <w:rPr>
          <w:rFonts w:cs="Times New Roman"/>
          <w:szCs w:val="24"/>
        </w:rPr>
        <w:t xml:space="preserve"> have been reported</w:t>
      </w:r>
      <w:r>
        <w:rPr>
          <w:rFonts w:cs="Times New Roman"/>
          <w:szCs w:val="24"/>
        </w:rPr>
        <w:t xml:space="preserve"> </w:t>
      </w:r>
      <w:r w:rsidRPr="008E2CD0">
        <w:rPr>
          <w:rFonts w:cs="Times New Roman"/>
          <w:szCs w:val="24"/>
        </w:rPr>
        <w:fldChar w:fldCharType="begin" w:fldLock="1"/>
      </w:r>
      <w:r w:rsidRPr="008E2CD0">
        <w:rPr>
          <w:rFonts w:cs="Times New Roman"/>
          <w:szCs w:val="24"/>
        </w:rPr>
        <w:instrText>ADDIN CSL_CITATION {"citationItems":[{"id":"ITEM-1","itemData":{"DOI":"10.1094/PDIS.1997.81.4.363","ISSN":"01912917","abstract":"From 1992 to 1994, 24 soybean cultivars, ranging in maturity from early group III to late group IV, were assessed in the field for resistance and susceptibility to Macrophomina phaseolina. Cultivars were placed into four relative maturity classes-3.2 to 3.4; 3.5 to 3.8; 3.9 to 4.0; and 4.3 to 4.9-with six cultivars per class. Twelve cultivars were resistant and 12 were susceptible to Heterodera glycines, the soybean cyst nematode. Cultivars were planted on two dates (early May and early June) to assess the effect of environment on yield and lower stem and taproot colonization by the fungus at growth stage R7. Based on seed yields and the levels of lower stem and taproot colonization by M. phaseolina, four cultivars-Asgrow 4715, DeltaPineland 3478, Hamilton, and Jackson II-were rated moderately resistant to M. phaseolina. Seed yields and M. phaseolina levels in host tissues were affected by planting date, relative maturity class, H. glycines response, and the environmental conditions that prevailed over the 3 years of the study. However, in general, the environmental, agronomic, and host genetic factors present in these experiments did not affect the individual cultivar/pathogen interaction. Quantification of microsclerotial propagules in lower stem and taproot tissues at growth stage R7 was a reliable, but time-consuming, method to measure the degree of host compatibility between soybean cultivars and M. phaseolina.","author":[{"dropping-particle":"","family":"Smith","given":"G. S.","non-dropping-particle":"","parse-names":false,"suffix":""},{"dropping-particle":"","family":"Carvil","given":"O. N.","non-dropping-particle":"","parse-names":false,"suffix":""}],"container-title":"Plant Disease","id":"ITEM-1","issue":"4","issued":{"date-parts":[["1997"]]},"page":"363-368","title":"Field screening of commercial and experimental soybean cultivars for their reaction to Macrophomina phaseolina","type":"article-journal","volume":"81"},"uris":["http://www.mendeley.com/documents/?uuid=366afded-29f1-4cfb-92b6-0eba020254d9"]}],"mendeley":{"formattedCitation":"(Smith &amp; Carvil, 1997)","plainTextFormattedCitation":"(Smith &amp; Carvil, 1997)","previouslyFormattedCitation":"(Smith &amp; Carvil, 1997)"},"properties":{"noteIndex":0},"schema":"https://github.com/citation-style-language/schema/raw/master/csl-citation.json"}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(Smith &amp; Carvil, 1997)</w:t>
      </w:r>
      <w:r w:rsidRPr="008E2CD0">
        <w:rPr>
          <w:rFonts w:cs="Times New Roman"/>
          <w:szCs w:val="24"/>
        </w:rPr>
        <w:fldChar w:fldCharType="end"/>
      </w:r>
      <w:r>
        <w:rPr>
          <w:rFonts w:cs="Times New Roman"/>
          <w:szCs w:val="24"/>
        </w:rPr>
        <w:t xml:space="preserve">, and additional moderately resistant genotypes were identified (Mengistu et al., 2007) that can be </w:t>
      </w:r>
      <w:r w:rsidRPr="008E2CD0">
        <w:rPr>
          <w:rFonts w:cs="Times New Roman"/>
          <w:szCs w:val="24"/>
        </w:rPr>
        <w:t xml:space="preserve">used to reduce the impact of charcoal on soybean yield </w:t>
      </w:r>
      <w:r w:rsidRPr="008E2CD0">
        <w:rPr>
          <w:rFonts w:cs="Times New Roman"/>
          <w:szCs w:val="24"/>
        </w:rPr>
        <w:fldChar w:fldCharType="begin" w:fldLock="1"/>
      </w:r>
      <w:r w:rsidRPr="008E2CD0">
        <w:rPr>
          <w:rFonts w:cs="Times New Roman"/>
          <w:szCs w:val="24"/>
        </w:rPr>
        <w:instrText>ADDIN CSL_CITATION {"citationItems":[{"id":"ITEM-1","itemData":{"DOI":"10.1094/PDIS.1997.81.4.363","ISSN":"01912917","abstract":"From 1992 to 1994, 24 soybean cultivars, ranging in maturity from early group III to late group IV, were assessed in the field for resistance and susceptibility to Macrophomina phaseolina. Cultivars were placed into four relative maturity classes-3.2 to 3.4; 3.5 to 3.8; 3.9 to 4.0; and 4.3 to 4.9-with six cultivars per class. Twelve cultivars were resistant and 12 were susceptible to Heterodera glycines, the soybean cyst nematode. Cultivars were planted on two dates (early May and early June) to assess the effect of environment on yield and lower stem and taproot colonization by the fungus at growth stage R7. Based on seed yields and the levels of lower stem and taproot colonization by M. phaseolina, four cultivars-Asgrow 4715, DeltaPineland 3478, Hamilton, and Jackson II-were rated moderately resistant to M. phaseolina. Seed yields and M. phaseolina levels in host tissues were affected by planting date, relative maturity class, H. glycines response, and the environmental conditions that prevailed over the 3 years of the study. However, in general, the environmental, agronomic, and host genetic factors present in these experiments did not affect the individual cultivar/pathogen interaction. Quantification of microsclerotial propagules in lower stem and taproot tissues at growth stage R7 was a reliable, but time-consuming, method to measure the degree of host compatibility between soybean cultivars and M. phaseolina.","author":[{"dropping-particle":"","family":"Smith","given":"G. S.","non-dropping-particle":"","parse-names":false,"suffix":""},{"dropping-particle":"","family":"Carvil","given":"O. N.","non-dropping-particle":"","parse-names":false,"suffix":""}],"container-title":"Plant Disease","id":"ITEM-1","issue":"4","issued":{"date-parts":[["1997"]]},"page":"363-368","title":"Field screening of commercial and experimental soybean cultivars for their reaction to Macrophomina phaseolina","type":"article-journal","volume":"81"},"uris":["http://www.mendeley.com/documents/?uuid=366afded-29f1-4cfb-92b6-0eba020254d9"]}],"mendeley":{"formattedCitation":"(Smith &amp; Carvil, 1997)","plainTextFormattedCitation":"(Smith &amp; Carvil, 1997)","previouslyFormattedCitation":"(Smith &amp; Carvil, 1997)"},"properties":{"noteIndex":0},"schema":"https://github.com/citation-style-language/schema/raw/master/csl-citation.json"}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(Smith &amp; Carvil, 1997)</w:t>
      </w:r>
      <w:r w:rsidRPr="008E2CD0">
        <w:rPr>
          <w:rFonts w:cs="Times New Roman"/>
          <w:szCs w:val="24"/>
        </w:rPr>
        <w:fldChar w:fldCharType="end"/>
      </w:r>
      <w:r w:rsidRPr="008E2CD0">
        <w:rPr>
          <w:rFonts w:cs="Times New Roman"/>
          <w:szCs w:val="24"/>
        </w:rPr>
        <w:t xml:space="preserve">. </w:t>
      </w:r>
    </w:p>
    <w:p w14:paraId="25069B95" w14:textId="77777777" w:rsidR="00AB65D6" w:rsidRDefault="00AB65D6" w:rsidP="00D122A6">
      <w:pPr>
        <w:pStyle w:val="Heading3"/>
      </w:pPr>
    </w:p>
    <w:p w14:paraId="271473B0" w14:textId="2F27CD95" w:rsidR="00D20476" w:rsidRPr="008E2CD0" w:rsidRDefault="00D20476" w:rsidP="00D122A6">
      <w:pPr>
        <w:pStyle w:val="Heading3"/>
      </w:pPr>
      <w:bookmarkStart w:id="113" w:name="_Toc101048092"/>
      <w:r>
        <w:t>Other strategies</w:t>
      </w:r>
      <w:bookmarkEnd w:id="113"/>
      <w:r>
        <w:t xml:space="preserve"> </w:t>
      </w:r>
    </w:p>
    <w:p w14:paraId="4C42631E" w14:textId="77777777" w:rsidR="00AB65D6" w:rsidRDefault="00D20476" w:rsidP="00AB65D6">
      <w:pPr>
        <w:widowControl/>
        <w:tabs>
          <w:tab w:val="left" w:pos="270"/>
        </w:tabs>
        <w:autoSpaceDE/>
        <w:autoSpaceDN/>
        <w:spacing w:line="360" w:lineRule="auto"/>
        <w:ind w:left="720"/>
        <w:textAlignment w:val="baseline"/>
        <w:rPr>
          <w:rFonts w:cs="Times New Roman"/>
          <w:szCs w:val="24"/>
        </w:rPr>
      </w:pPr>
      <w:r w:rsidRPr="008E2CD0">
        <w:rPr>
          <w:rFonts w:cs="Times New Roman"/>
          <w:szCs w:val="24"/>
        </w:rPr>
        <w:tab/>
        <w:t xml:space="preserve">No-till can protect soil moisture, keep soil oxygen level optimum, </w:t>
      </w:r>
      <w:r>
        <w:rPr>
          <w:rFonts w:cs="Times New Roman"/>
          <w:szCs w:val="24"/>
        </w:rPr>
        <w:t>reduce</w:t>
      </w:r>
      <w:r w:rsidRPr="008E2CD0">
        <w:rPr>
          <w:rFonts w:cs="Times New Roman"/>
          <w:szCs w:val="24"/>
        </w:rPr>
        <w:t xml:space="preserve"> soil temperature, and prevent the spread of microsclerotia across the field, thereby reducing the chances of microsclerotia germination and infection </w:t>
      </w:r>
      <w:r w:rsidRPr="008E2CD0">
        <w:rPr>
          <w:rFonts w:cs="Times New Roman"/>
          <w:szCs w:val="24"/>
        </w:rPr>
        <w:fldChar w:fldCharType="begin" w:fldLock="1"/>
      </w:r>
      <w:r w:rsidRPr="008E2CD0">
        <w:rPr>
          <w:rFonts w:cs="Times New Roman"/>
          <w:szCs w:val="24"/>
        </w:rPr>
        <w:instrText>ADDIN CSL_CITATION {"citationItems":[{"id":"ITEM-1","itemData":{"DOI":"10.1094/php-2009-0130-01-rs","ISSN":"1535-1025","abstract":"All current commercial soybean cultivars are susceptible to charcoal rot, a disease caused by Macrophomina phaseolina. Efforts to manage this disease through non-genetic means have not been effective. However, the combined effects of tillage, cover crop and herbicide use, and their roles in the population dynamics of this fungus have not been fully investigated. A field experiment was conducted in 2002 through 2004 at Stoneville, MS, to determine the population dynamics of Macrophomina phaseolina (Tassi) in soybean stem and root tissues at harvest and in soil at planting and harvest as affected by tillage, cover crop, and herbicide. The tillage treatments were conventional tillage (CT) and no-tillage (NT); the cover crops were hairy vetch, rye, and no cover crop; and the herbicide treatments were glyphosate- and non-glyphosate-based applications. Analysis of variance indicated that there was an effect due to tillage, cover crop, and tillage by year interaction on colony forming units (CFU) of M. phaseolina recovered from soybean tissue. Colony forming units in soybean tissue were greater under the CT than NT and were greater for hairy vetch and no cover crop than rye. Regardless of the cover crop system used, CFU in tissue was greater for CT in 2002 than in 2003 and 2004. Application of glyphosate did not affect the CFU in stem and root tissues or in the soil. The CFU from soil at harvest was significantly higher than at planting. The CFU in soil at planting and harvest was only affected by tillage and not by cover crop system. The CFU from stem and root tissues was greater than in soil suggesting that quantification of CFU in tissue may provide a better estimate of treatment effects at harvest. These results also suggest that charcoal rot may be better managed in the NT rather than in the CT system.Accepted for publication 11 December 2008. Published 30 January 2009.All current commercial soybean cultivars are susceptible to charcoal rot, caused by Macrophomina phaseolina. Management efforts through non-genetic means have been ineffective, but the combined effects of tillage, cover crop and herbicide use, and their roles in the population dynamics of this fungus have not been fully investigated. Our objective was to determine the effects of tillage, cover crops, and herbicides on the population dynamics of M. phaseolina in stem and root tissue as well as in soil at planting and at harvest.","author":[{"dropping-particle":"","family":"Mengistu","given":"Alemu","non-dropping-particle":"","parse-names":false,"suffix":""},{"dropping-particle":"","family":"Reddy","given":"Krishna N.","non-dropping-particle":"","parse-names":false,"suffix":""},{"dropping-particle":"","family":"Zablotowicz","given":"Robert M.","non-dropping-particle":"","parse-names":false,"suffix":""},{"dropping-particle":"","family":"Wrather","given":"Allen J.","non-dropping-particle":"","parse-names":false,"suffix":""}],"container-title":"Plant Health Progress","id":"ITEM-1","issue":"1","issued":{"date-parts":[["2009"]]},"title":" Propagule Densities of Macrophomina phaseolina in Soybean Tissue and Soil as Affected by Tillage, Cover Crop, and Herbicide ","type":"article-journal","volume":"10"},"uris":["http://www.mendeley.com/documents/?uuid=bca90321-5bd0-486d-8865-151f9f08bc23"]}],"mendeley":{"formattedCitation":"(Mengistu et al., 2009)","plainTextFormattedCitation":"(Mengistu et al., 2009)","previouslyFormattedCitation":"(Mengistu et al., 2009)"},"properties":{"noteIndex":0},"schema":"https://github.com/citation-style-language/schema/raw/master/csl-citation.json"}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(Mengistu et al., 2009)</w:t>
      </w:r>
      <w:r w:rsidRPr="008E2CD0">
        <w:rPr>
          <w:rFonts w:cs="Times New Roman"/>
          <w:szCs w:val="24"/>
        </w:rPr>
        <w:fldChar w:fldCharType="end"/>
      </w:r>
      <w:r w:rsidRPr="008E2CD0">
        <w:rPr>
          <w:rFonts w:cs="Times New Roman"/>
          <w:szCs w:val="24"/>
        </w:rPr>
        <w:t>.</w:t>
      </w:r>
      <w:bookmarkStart w:id="114" w:name="_Toc98812708"/>
      <w:bookmarkStart w:id="115" w:name="_Toc98812916"/>
      <w:bookmarkStart w:id="116" w:name="_Toc98813582"/>
      <w:r>
        <w:rPr>
          <w:rFonts w:cs="Times New Roman"/>
          <w:szCs w:val="24"/>
        </w:rPr>
        <w:t xml:space="preserve"> Likewise, </w:t>
      </w:r>
      <w:bookmarkEnd w:id="114"/>
      <w:bookmarkEnd w:id="115"/>
      <w:bookmarkEnd w:id="116"/>
      <w:r>
        <w:rPr>
          <w:rFonts w:cs="Times New Roman"/>
          <w:szCs w:val="24"/>
        </w:rPr>
        <w:t>pl</w:t>
      </w:r>
      <w:r w:rsidRPr="008E2CD0">
        <w:rPr>
          <w:rFonts w:cs="Times New Roman"/>
          <w:szCs w:val="24"/>
        </w:rPr>
        <w:t>anting soybean at reduced seeding rates can help to reduce stress by con</w:t>
      </w:r>
      <w:r>
        <w:rPr>
          <w:rFonts w:cs="Times New Roman"/>
          <w:szCs w:val="24"/>
        </w:rPr>
        <w:t>serving soil moisture, and</w:t>
      </w:r>
      <w:r w:rsidRPr="008E2CD0">
        <w:rPr>
          <w:rFonts w:cs="Times New Roman"/>
          <w:szCs w:val="24"/>
        </w:rPr>
        <w:t xml:space="preserve"> early planting of early maturity group soybean can help soybean plants escape the stress window of high temperature during the flowering stage</w:t>
      </w:r>
      <w:r>
        <w:rPr>
          <w:rFonts w:cs="Times New Roman"/>
          <w:szCs w:val="24"/>
        </w:rPr>
        <w:t xml:space="preserve">, reducing the impact of charcoal rot </w:t>
      </w:r>
      <w:r w:rsidRPr="008E2CD0">
        <w:rPr>
          <w:rFonts w:cs="Times New Roman"/>
          <w:szCs w:val="24"/>
        </w:rPr>
        <w:fldChar w:fldCharType="begin" w:fldLock="1"/>
      </w:r>
      <w:r w:rsidRPr="008E2CD0">
        <w:rPr>
          <w:rFonts w:cs="Times New Roman"/>
          <w:szCs w:val="24"/>
        </w:rPr>
        <w:instrText>ADDIN CSL_CITATION {"citationItems":[{"id":"ITEM-1","itemData":{"DOI":"10.1094/php-2007-0917-03-rs","ISSN":"1535-1025","abstract":"A field experiment was conducted during 2000-2003 near Portageville, MO to determine the affects of soybean planting date on the soil population density of Macrophomina phaseolina. The site was planted to cotton the previous 10 years. The planting dates were mid-April, mid-May, and mid-June during 2000-2003, and the cultivars FFR3975 and Asgrow 3834, maturity group 3, were very susceptible to M. phaseolina. Plots were in the same location each year. Soil samples from the top 15-cm soil layer were collected from plots during May 2000-2004 and analyzed for the population density of M. phaseolina. Planting date did not affect the soil population density of M. phaseolina, but the differences in soil population density among years were significant. These results suggest that soybean producers should not be concerned about planting date directly affecting M. phaseolina soil population densities.Accepted for publication 22 May 2007. Published 17 September 2007.A field experiment was conducted during 2000-2003 near Portageville, MO to determine the effects of soybean planting date on the soil population density of Macrophomina phaseolina. The results suggest that soybean producers should not be concerned about planting date directly affecting M. phaseolina soil population densities.","author":[{"dropping-particle":"","family":"Wrather","given":"J. A.","non-dropping-particle":"","parse-names":false,"suffix":""},{"dropping-particle":"","family":"Shannon","given":"J. G.","non-dropping-particle":"","parse-names":false,"suffix":""},{"dropping-particle":"","family":"Mengistu","given":"A.","non-dropping-particle":"","parse-names":false,"suffix":""}],"container-title":"Plant Health Progress","id":"ITEM-1","issue":"1","issued":{"date-parts":[["2007"]]},"page":"15-19","title":" Impact of Soybean Planting Date on Soil Population Density of Macrophomina phaseolina ","type":"article-journal","volume":"8"},"uris":["http://www.mendeley.com/documents/?uuid=c509f9ba-76ef-49b0-a893-2e50d458edb0"]}],"mendeley":{"formattedCitation":"(Wrather et al., 2007)","plainTextFormattedCitation":"(Wrather et al., 2007)","previouslyFormattedCitation":"(Wrather et al., 2007)"},"properties":{"noteIndex":0},"schema":"https://github.com/citation-style-language/schema/raw/master/csl-citation.json"}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(Wrather et al., 2007)</w:t>
      </w:r>
      <w:r w:rsidRPr="008E2CD0">
        <w:rPr>
          <w:rFonts w:cs="Times New Roman"/>
          <w:szCs w:val="24"/>
        </w:rPr>
        <w:fldChar w:fldCharType="end"/>
      </w:r>
      <w:r>
        <w:rPr>
          <w:rFonts w:cs="Times New Roman"/>
          <w:szCs w:val="24"/>
        </w:rPr>
        <w:t xml:space="preserve">. Also, </w:t>
      </w:r>
      <w:r w:rsidRPr="008E2CD0">
        <w:rPr>
          <w:rFonts w:cs="Times New Roman"/>
          <w:szCs w:val="24"/>
        </w:rPr>
        <w:t xml:space="preserve">certified fungicide or biocontrol–treated seeds can help </w:t>
      </w:r>
      <w:r>
        <w:rPr>
          <w:rFonts w:cs="Times New Roman"/>
          <w:szCs w:val="24"/>
        </w:rPr>
        <w:t>protect</w:t>
      </w:r>
      <w:r w:rsidRPr="008E2CD0">
        <w:rPr>
          <w:rFonts w:cs="Times New Roman"/>
          <w:szCs w:val="24"/>
        </w:rPr>
        <w:t xml:space="preserve"> germinating soybean seeds and young seedlings from infection and reduce potential damage </w:t>
      </w:r>
      <w:r w:rsidRPr="008E2CD0">
        <w:rPr>
          <w:rFonts w:cs="Times New Roman"/>
          <w:szCs w:val="24"/>
        </w:rPr>
        <w:fldChar w:fldCharType="begin" w:fldLock="1"/>
      </w:r>
      <w:r w:rsidRPr="008E2CD0">
        <w:rPr>
          <w:rFonts w:cs="Times New Roman"/>
          <w:szCs w:val="24"/>
        </w:rPr>
        <w:instrText>ADDIN CSL_CITATION {"citationItems":[{"id":"ITEM-1","itemData":{"DOI":"10.1111/j.1439-0434.2012.01884.x","ISSN":"09311785","abstract":"The fungus Macrophomina phaseolina is a causative agent of diseases in more than 500 plant species. The fungus is primarily soil-inhabiting but is also seed-borne in many crops including soybean. It survives in the soil mainly as microsclerotia that germinate repeatedly during the crop-growing season. Low C:N ratio in the soil and high bulk density as well as high soil moisture content adversely affect the survival of sclerotia. The disease can be managed to some extent by cultural practices, organic amendments, seed treatment and genetic host resistance. The scattered literature on these aspects is reviewed in this paper. © 2012 Blackwell Verlag GmbH.","author":[{"dropping-particle":"","family":"Gupta","given":"Girish K.","non-dropping-particle":"","parse-names":false,"suffix":""},{"dropping-particle":"","family":"Sharma","given":"Sushil K.","non-dropping-particle":"","parse-names":false,"suffix":""},{"dropping-particle":"","family":"Ramteke","given":"Rajkumar","non-dropping-particle":"","parse-names":false,"suffix":""}],"container-title":"Journal of Phytopathology","id":"ITEM-1","issue":"4","issued":{"date-parts":[["2012"]]},"page":"167-180","title":"Biology, Epidemiology and Management of the Pathogenic Fungus Macrophomina phaseolina (Tassi) Goid with Special Reference to Charcoal Rot of Soybean (Glycine max (L.) Merrill)","type":"article","volume":"160"},"uris":["http://www.mendeley.com/documents/?uuid=621423d4-04cf-4738-8676-24362e604c6c"]},{"id":"ITEM-2","itemData":{"abstract":"Seed treatment with biocontrol agents found suitable to manage the disease charcoal rot. Disease incidence was lowest in T. viride (7.09%) followed by P. fluorescens (8.70%) while maximum incidence was recorded in B. japonicum (16.40%) which was greater than the control (9.40%). Highest percent disease reduction over control was observed in T. viride (15.27%) and lowest was in P. fluorescens (7.0%). There was significant differences observed in plant height. Highest seed index (9.95g) was recorded in seed treatment with T. viride followed by P. fluorescens (9.62g). With regard to yield, highest yield (2274 kg/ha) was recorded in T. viride followed by P. fluorescens (2253kg/ha).","author":[{"dropping-particle":"","family":"Mishra","given":"Pankaj Kumar","non-dropping-particle":"","parse-names":false,"suffix":""},{"dropping-particle":"","family":"Dantre","given":"Ravi Kant","non-dropping-particle":"","parse-names":false,"suffix":""}],"container-title":"Trends in Biosciences","id":"ITEM-2","issue":"15","issued":{"date-parts":[["2017"]]},"page":"2784-2788","title":"Evaluation of Different Biological Agents Used as Seed Treatment to Manage Charcoal Rot of Soybean","type":"article-journal","volume":"10"},"uris":["http://www.mendeley.com/documents/?uuid=c15fbba1-477b-48ad-9e58-e88f14ce3c5a"]}],"mendeley":{"formattedCitation":"(Gupta et al., 2012; Mishra &amp; Dantre, 2017)","plainTextFormattedCitation":"(Gupta et al., 2012; Mishra &amp; Dantre, 2017)","previouslyFormattedCitation":"(Gupta et al., 2012; Mishra &amp; Dantre, 2017)"},"properties":{"noteIndex":0},"schema":"https://github.com/citation-style-language/schema/raw/master/csl-citation.json"}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(Gupta et al., 2012; Mishra &amp; Dantre, 2017)</w:t>
      </w:r>
      <w:r w:rsidRPr="008E2CD0">
        <w:rPr>
          <w:rFonts w:cs="Times New Roman"/>
          <w:szCs w:val="24"/>
        </w:rPr>
        <w:fldChar w:fldCharType="end"/>
      </w:r>
      <w:r w:rsidRPr="008E2CD0">
        <w:rPr>
          <w:rFonts w:cs="Times New Roman"/>
          <w:szCs w:val="24"/>
        </w:rPr>
        <w:t>.</w:t>
      </w:r>
      <w:r>
        <w:rPr>
          <w:rFonts w:cs="Times New Roman"/>
          <w:szCs w:val="24"/>
        </w:rPr>
        <w:t xml:space="preserve"> Drought stress and</w:t>
      </w:r>
      <w:r w:rsidRPr="008E2CD0">
        <w:rPr>
          <w:rFonts w:cs="Times New Roman"/>
          <w:szCs w:val="24"/>
        </w:rPr>
        <w:t xml:space="preserve"> nutrient</w:t>
      </w:r>
      <w:r>
        <w:rPr>
          <w:rFonts w:cs="Times New Roman"/>
          <w:szCs w:val="24"/>
        </w:rPr>
        <w:t xml:space="preserve"> </w:t>
      </w:r>
      <w:r w:rsidRPr="008E2CD0">
        <w:rPr>
          <w:rFonts w:cs="Times New Roman"/>
          <w:szCs w:val="24"/>
        </w:rPr>
        <w:t>(such as nitrogen and phosphor</w:t>
      </w:r>
      <w:r>
        <w:rPr>
          <w:rFonts w:cs="Times New Roman"/>
          <w:szCs w:val="24"/>
        </w:rPr>
        <w:t xml:space="preserve">us) deficiency can make </w:t>
      </w:r>
      <w:r w:rsidRPr="008E2CD0">
        <w:rPr>
          <w:rFonts w:cs="Times New Roman"/>
          <w:szCs w:val="24"/>
        </w:rPr>
        <w:t xml:space="preserve">plants more vulnerable to infection by soilborne pathogens including </w:t>
      </w:r>
      <w:r w:rsidRPr="008E2CD0">
        <w:rPr>
          <w:rFonts w:cs="Times New Roman"/>
          <w:i/>
          <w:szCs w:val="24"/>
        </w:rPr>
        <w:t>Macrophomina</w:t>
      </w:r>
      <w:r>
        <w:rPr>
          <w:rFonts w:cs="Times New Roman"/>
          <w:szCs w:val="24"/>
        </w:rPr>
        <w:t>. Adequate water and nutrient supply to plants can k</w:t>
      </w:r>
      <w:r w:rsidRPr="008E2CD0">
        <w:rPr>
          <w:rFonts w:cs="Times New Roman"/>
          <w:szCs w:val="24"/>
        </w:rPr>
        <w:t>eep plants healthy</w:t>
      </w:r>
      <w:r>
        <w:rPr>
          <w:rFonts w:cs="Times New Roman"/>
          <w:szCs w:val="24"/>
        </w:rPr>
        <w:t xml:space="preserve"> and reduce charcoal rot impact</w:t>
      </w:r>
      <w:r w:rsidRPr="008E2CD0">
        <w:rPr>
          <w:rFonts w:cs="Times New Roman"/>
          <w:szCs w:val="24"/>
        </w:rPr>
        <w:t xml:space="preserve"> </w:t>
      </w:r>
      <w:r w:rsidRPr="008E2CD0">
        <w:rPr>
          <w:rFonts w:cs="Times New Roman"/>
          <w:szCs w:val="24"/>
        </w:rPr>
        <w:fldChar w:fldCharType="begin" w:fldLock="1"/>
      </w:r>
      <w:r w:rsidRPr="008E2CD0">
        <w:rPr>
          <w:rFonts w:cs="Times New Roman"/>
          <w:szCs w:val="24"/>
        </w:rPr>
        <w:instrText>ADDIN CSL_CITATION {"citationItems":[{"id":"ITEM-1","itemData":{"DOI":"10.1111/j.1439-0434.2012.01884.x","ISSN":"09311785","abstract":"The fungus Macrophomina phaseolina is a causative agent of diseases in more than 500 plant species. The fungus is primarily soil-inhabiting but is also seed-borne in many crops including soybean. It survives in the soil mainly as microsclerotia that germinate repeatedly during the crop-growing season. Low C:N ratio in the soil and high bulk density as well as high soil moisture content adversely affect the survival of sclerotia. The disease can be managed to some extent by cultural practices, organic amendments, seed treatment and genetic host resistance. The scattered literature on these aspects is reviewed in this paper. © 2012 Blackwell Verlag GmbH.","author":[{"dropping-particle":"","family":"Gupta","given":"Girish K.","non-dropping-particle":"","parse-names":false,"suffix":""},{"dropping-particle":"","family":"Sharma","given":"Sushil K.","non-dropping-particle":"","parse-names":false,"suffix":""},{"dropping-particle":"","family":"Ramteke","given":"Rajkumar","non-dropping-particle":"","parse-names":false,"suffix":""}],"container-title":"Journal of Phytopathology","id":"ITEM-1","issue":"4","issued":{"date-parts":[["2012"]]},"page":"167-180","title":"Biology, Epidemiology and Management of the Pathogenic Fungus Macrophomina phaseolina (Tassi) Goid with Special Reference to Charcoal Rot of Soybean (Glycine max (L.) Merrill)","type":"article","volume":"160"},"uris":["http://www.mendeley.com/documents/?uuid=621423d4-04cf-4738-8676-24362e604c6c"]}],"mendeley":{"formattedCitation":"(Gupta et al., 2012)","plainTextFormattedCitation":"(Gupta et al., 2012)","previouslyFormattedCitation":"(Gupta et al., 2012)"},"properties":{"noteIndex":0},"schema":"https://github.com/citation-style-language/schema/raw/master/csl-citation.json"}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(Gupta et al., 2012)</w:t>
      </w:r>
      <w:r w:rsidRPr="008E2CD0">
        <w:rPr>
          <w:rFonts w:cs="Times New Roman"/>
          <w:szCs w:val="24"/>
        </w:rPr>
        <w:fldChar w:fldCharType="end"/>
      </w:r>
      <w:r w:rsidRPr="008E2CD0">
        <w:rPr>
          <w:rFonts w:cs="Times New Roman"/>
          <w:szCs w:val="24"/>
        </w:rPr>
        <w:t xml:space="preserve">. </w:t>
      </w:r>
    </w:p>
    <w:p w14:paraId="3621FA4A" w14:textId="77777777" w:rsidR="00AB65D6" w:rsidRDefault="00AB65D6" w:rsidP="00AB65D6">
      <w:pPr>
        <w:widowControl/>
        <w:tabs>
          <w:tab w:val="left" w:pos="270"/>
        </w:tabs>
        <w:autoSpaceDE/>
        <w:autoSpaceDN/>
        <w:spacing w:line="360" w:lineRule="auto"/>
        <w:ind w:left="720"/>
        <w:textAlignment w:val="baseline"/>
      </w:pPr>
      <w:bookmarkStart w:id="117" w:name="_Toc98812712"/>
      <w:bookmarkStart w:id="118" w:name="_Toc98812920"/>
      <w:bookmarkStart w:id="119" w:name="_Toc98813586"/>
    </w:p>
    <w:p w14:paraId="5CF00554" w14:textId="574CBE00" w:rsidR="00D20476" w:rsidRPr="008E2CD0" w:rsidRDefault="00D20476" w:rsidP="00FD1FC5">
      <w:pPr>
        <w:pStyle w:val="Heading2"/>
      </w:pPr>
      <w:bookmarkStart w:id="120" w:name="_Toc101048093"/>
      <w:r w:rsidRPr="008E2CD0">
        <w:t>Part 3. Status and major diseases of hemp in Tennessee</w:t>
      </w:r>
      <w:bookmarkEnd w:id="117"/>
      <w:bookmarkEnd w:id="118"/>
      <w:bookmarkEnd w:id="119"/>
      <w:bookmarkEnd w:id="120"/>
    </w:p>
    <w:p w14:paraId="7F095C53" w14:textId="77777777" w:rsidR="00D20476" w:rsidRPr="008E2CD0" w:rsidRDefault="00D20476" w:rsidP="00D122A6">
      <w:pPr>
        <w:pStyle w:val="Heading3"/>
      </w:pPr>
      <w:bookmarkStart w:id="121" w:name="_Toc98812713"/>
      <w:bookmarkStart w:id="122" w:name="_Toc98812921"/>
      <w:bookmarkStart w:id="123" w:name="_Toc98813587"/>
      <w:bookmarkStart w:id="124" w:name="_Toc101048094"/>
      <w:r w:rsidRPr="008E2CD0">
        <w:t>Brief history</w:t>
      </w:r>
      <w:bookmarkEnd w:id="121"/>
      <w:bookmarkEnd w:id="122"/>
      <w:bookmarkEnd w:id="123"/>
      <w:bookmarkEnd w:id="124"/>
      <w:r w:rsidRPr="008E2CD0">
        <w:t xml:space="preserve"> </w:t>
      </w:r>
      <w:r>
        <w:tab/>
      </w:r>
    </w:p>
    <w:p w14:paraId="2527E32D" w14:textId="77777777" w:rsidR="00D20476" w:rsidRDefault="00D20476" w:rsidP="00D20476">
      <w:pPr>
        <w:pStyle w:val="NormalWeb"/>
        <w:spacing w:before="0" w:beforeAutospacing="0" w:after="0" w:afterAutospacing="0" w:line="360" w:lineRule="auto"/>
        <w:ind w:left="720" w:firstLine="720"/>
      </w:pPr>
      <w:r w:rsidRPr="001C0B21">
        <w:t xml:space="preserve">Hemp is </w:t>
      </w:r>
      <w:r>
        <w:t xml:space="preserve">among </w:t>
      </w:r>
      <w:r w:rsidRPr="001C0B21">
        <w:t>the newest cash crop</w:t>
      </w:r>
      <w:r>
        <w:t>s</w:t>
      </w:r>
      <w:r w:rsidRPr="001C0B21">
        <w:t xml:space="preserve"> in Tennessee, and </w:t>
      </w:r>
      <w:r>
        <w:t>has</w:t>
      </w:r>
      <w:r w:rsidRPr="001C0B21">
        <w:t xml:space="preserve"> described </w:t>
      </w:r>
      <w:r>
        <w:t>h</w:t>
      </w:r>
      <w:r w:rsidRPr="001C0B21">
        <w:t xml:space="preserve">as </w:t>
      </w:r>
      <w:r>
        <w:t>been</w:t>
      </w:r>
      <w:r w:rsidRPr="001C0B21">
        <w:t xml:space="preserve"> described as the new “gold rush” by Tennessee farmers since its reintroduction (Kelman, 2019). Hemp was a major cash crop for Tennessee and the United States up to the </w:t>
      </w:r>
      <w:r>
        <w:t>mid-1930s</w:t>
      </w:r>
      <w:r w:rsidRPr="001C0B21">
        <w:t xml:space="preserve">. In 1850, Tennessee farmers produced over 500 tons of hemp. However, in 1970, </w:t>
      </w:r>
      <w:r w:rsidRPr="001C0B21">
        <w:rPr>
          <w:i/>
          <w:iCs/>
        </w:rPr>
        <w:t>Cannabis</w:t>
      </w:r>
      <w:r w:rsidRPr="001C0B21">
        <w:t xml:space="preserve"> production, including hemp and marijuana, was banned in the U.S (Walker 2018). Hemp and marijuana belong to the same plant species (</w:t>
      </w:r>
      <w:r w:rsidRPr="001C0B21">
        <w:rPr>
          <w:i/>
          <w:iCs/>
        </w:rPr>
        <w:t>Cannabis sativa</w:t>
      </w:r>
      <w:r w:rsidRPr="001C0B21">
        <w:t>), although hemp differs from marijuana. The psychoactive compound tetrahydrocannabinol (THC) is very low (</w:t>
      </w:r>
      <w:r w:rsidRPr="001C0B21">
        <w:rPr>
          <w:lang w:val=""/>
        </w:rPr>
        <w:t>≤</w:t>
      </w:r>
      <w:r w:rsidRPr="001C0B21">
        <w:t>0.3%) in hemp and is considered too low to be intoxicating, compared to that of marijuana (&gt;0.3%</w:t>
      </w:r>
      <w:r>
        <w:t xml:space="preserve"> THC</w:t>
      </w:r>
      <w:r w:rsidRPr="001C0B21">
        <w:t>, usually much higher)</w:t>
      </w:r>
      <w:r>
        <w:t>, which is</w:t>
      </w:r>
      <w:r w:rsidRPr="001C0B21">
        <w:t xml:space="preserve"> intoxicating (</w:t>
      </w:r>
      <w:r w:rsidRPr="001C0B21">
        <w:rPr>
          <w:shd w:val="clear" w:color="auto" w:fill="FFFFFF"/>
        </w:rPr>
        <w:t xml:space="preserve">Cherney and Small, 2016). Recently, hemp was reintroduced </w:t>
      </w:r>
      <w:r>
        <w:rPr>
          <w:shd w:val="clear" w:color="auto" w:fill="FFFFFF"/>
        </w:rPr>
        <w:t xml:space="preserve">as a field and glasshouse crop </w:t>
      </w:r>
      <w:r w:rsidRPr="001C0B21">
        <w:rPr>
          <w:shd w:val="clear" w:color="auto" w:fill="FFFFFF"/>
        </w:rPr>
        <w:t>in Tennessee and several other states while marijuana remains illegal</w:t>
      </w:r>
      <w:r>
        <w:rPr>
          <w:shd w:val="clear" w:color="auto" w:fill="FFFFFF"/>
        </w:rPr>
        <w:t>.</w:t>
      </w:r>
    </w:p>
    <w:p w14:paraId="0642F51E" w14:textId="77777777" w:rsidR="00D20476" w:rsidRDefault="00D20476" w:rsidP="00D20476">
      <w:pPr>
        <w:pStyle w:val="NormalWeb"/>
        <w:spacing w:before="0" w:beforeAutospacing="0" w:after="0" w:afterAutospacing="0" w:line="360" w:lineRule="auto"/>
        <w:ind w:left="720" w:firstLine="720"/>
      </w:pPr>
    </w:p>
    <w:p w14:paraId="51C2231D" w14:textId="77777777" w:rsidR="00D20476" w:rsidRPr="008E2CD0" w:rsidRDefault="00D20476" w:rsidP="00D122A6">
      <w:pPr>
        <w:pStyle w:val="Heading3"/>
      </w:pPr>
      <w:bookmarkStart w:id="125" w:name="_Toc98812714"/>
      <w:bookmarkStart w:id="126" w:name="_Toc98812922"/>
      <w:bookmarkStart w:id="127" w:name="_Toc98813588"/>
      <w:bookmarkStart w:id="128" w:name="_Toc101048095"/>
      <w:r w:rsidRPr="008E2CD0">
        <w:t>Use and demand for hemp products</w:t>
      </w:r>
      <w:bookmarkEnd w:id="125"/>
      <w:bookmarkEnd w:id="126"/>
      <w:bookmarkEnd w:id="127"/>
      <w:bookmarkEnd w:id="128"/>
      <w:r w:rsidRPr="008E2CD0">
        <w:t xml:space="preserve"> </w:t>
      </w:r>
    </w:p>
    <w:p w14:paraId="222D00FA" w14:textId="77E26AAE" w:rsidR="008E0C49" w:rsidRDefault="00D20476" w:rsidP="00511C39">
      <w:pPr>
        <w:pStyle w:val="NormalWeb"/>
        <w:spacing w:before="0" w:beforeAutospacing="0" w:after="0" w:afterAutospacing="0" w:line="360" w:lineRule="auto"/>
        <w:ind w:left="720" w:firstLine="720"/>
        <w:rPr>
          <w:b/>
          <w:bCs/>
          <w:i/>
          <w:shd w:val="clear" w:color="auto" w:fill="FFFFFF"/>
        </w:rPr>
      </w:pPr>
      <w:r w:rsidRPr="001C0B21">
        <w:rPr>
          <w:shd w:val="clear" w:color="auto" w:fill="FFFFFF"/>
        </w:rPr>
        <w:t>H</w:t>
      </w:r>
      <w:r w:rsidRPr="001C0B21">
        <w:t>emp is mainly cultivated for fiber, grain, seed oil, and essential oil. Hemp fiber is useful in making textiles, building materials, mulch, paper, and biofuels. The grain (seed) can be used as food, feed products, or as a source of oil that can be put into several uses. Certain oils from hemp can be used for food and in making personal care and industrial products (paints, solvents, and lubricants). Also, cannabidiol (CBD), which is a non-psychoactive compound found in hemp, is reported to offer broad wellness benefits (</w:t>
      </w:r>
      <w:r w:rsidRPr="001C0B21">
        <w:rPr>
          <w:shd w:val="clear" w:color="auto" w:fill="FFFFFF"/>
        </w:rPr>
        <w:t>Cherney and Small, 2016).</w:t>
      </w:r>
      <w:r w:rsidRPr="001C0B21">
        <w:t xml:space="preserve"> Consequently, there is a nationwide demand for hemp, which creates an opportunity for Tennessee growers to profit from growing hemp. Thus, hemp production acreage has surged in the state. </w:t>
      </w:r>
      <w:bookmarkStart w:id="129" w:name="_Toc98812715"/>
      <w:bookmarkStart w:id="130" w:name="_Toc98812923"/>
      <w:bookmarkStart w:id="131" w:name="_Toc98813589"/>
    </w:p>
    <w:p w14:paraId="48785C45" w14:textId="14AB026E" w:rsidR="00D20476" w:rsidRDefault="008E0C49" w:rsidP="00D122A6">
      <w:pPr>
        <w:pStyle w:val="Heading3"/>
      </w:pPr>
      <w:r>
        <w:tab/>
      </w:r>
    </w:p>
    <w:p w14:paraId="338B407A" w14:textId="77777777" w:rsidR="00D20476" w:rsidRPr="008E2CD0" w:rsidRDefault="00D20476" w:rsidP="00D122A6">
      <w:pPr>
        <w:pStyle w:val="Heading3"/>
      </w:pPr>
      <w:bookmarkStart w:id="132" w:name="_Toc101048096"/>
      <w:r w:rsidRPr="008E2CD0">
        <w:t>Tennessee hemp production acreage</w:t>
      </w:r>
      <w:bookmarkEnd w:id="129"/>
      <w:bookmarkEnd w:id="130"/>
      <w:bookmarkEnd w:id="131"/>
      <w:bookmarkEnd w:id="132"/>
      <w:r w:rsidRPr="008E2CD0">
        <w:t xml:space="preserve"> </w:t>
      </w:r>
    </w:p>
    <w:p w14:paraId="00355101" w14:textId="09A8CDCB" w:rsidR="00D20476" w:rsidRPr="001C0B21" w:rsidRDefault="00D20476" w:rsidP="00D20476">
      <w:pPr>
        <w:pStyle w:val="NormalWeb"/>
        <w:spacing w:before="0" w:beforeAutospacing="0" w:after="0" w:afterAutospacing="0" w:line="360" w:lineRule="auto"/>
        <w:ind w:left="720" w:firstLine="720"/>
      </w:pPr>
      <w:r w:rsidRPr="001C0B21">
        <w:t xml:space="preserve">Tennessee hemp acreage has steadily increased after the re-introduction of hemp as an agricultural crop by the 2014 Agricultural Act (aka. 2015 Farm Bill) (Tennessee Department of Agriculture, 2021). Hemp acreage has increased from approximately 650 acres/year in 2015 to 4,800 acres/year in 2020 (Self, 2021). Production acreage increased by 100% between 2018 and 2019. In 2018, hemp production costs were approximately $2,301/acre in </w:t>
      </w:r>
      <w:r w:rsidRPr="00102AAA">
        <w:t xml:space="preserve">Tennessee (Tennessee Department of Agriculture, 2021). </w:t>
      </w:r>
      <w:r w:rsidRPr="001C0B21">
        <w:t xml:space="preserve">At this rate, it means hemp growers spent over $11 million on hemp acreage in Tennessee in 2020. A large portion of the acreage is under high tunnel and greenhouse or indoor systems. The cultivated indoor space was up to 8 million sq. </w:t>
      </w:r>
      <w:r>
        <w:t>f</w:t>
      </w:r>
      <w:r w:rsidRPr="001C0B21">
        <w:t xml:space="preserve">t. (184 acres, 74 hectares), with growers spreading across </w:t>
      </w:r>
      <w:r>
        <w:t>all</w:t>
      </w:r>
      <w:r w:rsidRPr="001C0B21">
        <w:t xml:space="preserve"> regions </w:t>
      </w:r>
      <w:r>
        <w:t>of the state</w:t>
      </w:r>
      <w:r w:rsidRPr="001C0B21">
        <w:t xml:space="preserve"> (Tennessee Department of Agriculture, 2021).</w:t>
      </w:r>
    </w:p>
    <w:p w14:paraId="18714E2F" w14:textId="77777777" w:rsidR="00D20476" w:rsidRPr="008E2CD0" w:rsidRDefault="00D20476" w:rsidP="00D20476">
      <w:pPr>
        <w:pStyle w:val="NormalWeb"/>
        <w:spacing w:before="0" w:beforeAutospacing="0" w:after="0" w:afterAutospacing="0" w:line="360" w:lineRule="auto"/>
        <w:ind w:left="720"/>
      </w:pPr>
    </w:p>
    <w:p w14:paraId="4DD12B1B" w14:textId="77777777" w:rsidR="00D20476" w:rsidRPr="008E2CD0" w:rsidRDefault="00D20476" w:rsidP="00FD1FC5">
      <w:pPr>
        <w:pStyle w:val="Heading2"/>
      </w:pPr>
      <w:bookmarkStart w:id="133" w:name="_Toc98812716"/>
      <w:bookmarkStart w:id="134" w:name="_Toc98812924"/>
      <w:bookmarkStart w:id="135" w:name="_Toc98813590"/>
      <w:bookmarkStart w:id="136" w:name="_Toc101048097"/>
      <w:r w:rsidRPr="008E2CD0">
        <w:t>Major diseases of hemp in Tennessee</w:t>
      </w:r>
      <w:bookmarkEnd w:id="133"/>
      <w:bookmarkEnd w:id="134"/>
      <w:bookmarkEnd w:id="135"/>
      <w:bookmarkEnd w:id="136"/>
      <w:r w:rsidRPr="008E2CD0">
        <w:t xml:space="preserve"> </w:t>
      </w:r>
    </w:p>
    <w:p w14:paraId="6C6F7E55" w14:textId="77777777" w:rsidR="00D20476" w:rsidRPr="001C0B21" w:rsidRDefault="00D20476" w:rsidP="00D20476">
      <w:pPr>
        <w:pStyle w:val="NormalWeb"/>
        <w:spacing w:before="0" w:beforeAutospacing="0" w:after="0" w:afterAutospacing="0" w:line="360" w:lineRule="auto"/>
        <w:ind w:left="720" w:firstLine="720"/>
      </w:pPr>
      <w:r w:rsidRPr="001C0B21">
        <w:t>Many diseases can affect all hemp production systems. The most frequently reported diseases of hemp in Tennessee are bud rot, leaf spots, southern blight, and powdery mildew (Hansen</w:t>
      </w:r>
      <w:r>
        <w:t xml:space="preserve"> et al.</w:t>
      </w:r>
      <w:r w:rsidRPr="001C0B21">
        <w:t>, 2020a). Fusarium</w:t>
      </w:r>
      <w:r>
        <w:t xml:space="preserve"> foliar and flower blights, </w:t>
      </w:r>
      <w:r w:rsidRPr="001C0B21">
        <w:t>fusarium wilt</w:t>
      </w:r>
      <w:r>
        <w:t xml:space="preserve">, and bacterial leaf spots are also common in some </w:t>
      </w:r>
      <w:r w:rsidRPr="001C0B21">
        <w:t xml:space="preserve">other states </w:t>
      </w:r>
      <w:r w:rsidRPr="001C0B21">
        <w:fldChar w:fldCharType="begin" w:fldLock="1"/>
      </w:r>
      <w:r w:rsidRPr="001C0B21">
        <w:instrText>ADDIN CSL_CITATION {"citationItems":[{"id":"ITEM-1","itemData":{"DOI":"10.1094/PHP-03-20-0017-RS","ISSN":"15351025","abstract":"Industrial hemp(Cannabis sativa L.) has recently been reintroduced as an agricultural commodity in the United States, and, through state-led pilot programs, growers and researchers have been investigating production strategies. Diseases and disorders of industrial hemp in the United States are largely unknowns because record-keeping and taxonomy have improved dramatically in the last several decades. In 2016, North Carolina launched a pilot program to investigate industrial hemp, and diseases and abiotic disorders were surveyed in 2017 and 2018. Producers, consultants, and agricultural extension agents submitted samples to the North Carolina Department of Agriculture and Consumer Services Agronomic Services Division (n = 572) and the North Carolina Plant Disease and Insect Clinic (n = 117). Common field diseases found included Fusarium foliar and flower blights (Fusarium graminearum), Fusarium wilt (Fusarium oxysporum), and Helminthosporium leaf spot (Exserohilum rostratum). Greenhouse diseases were primarily caused by Pythium spp. and Botrytis cinerea. Common environmental disorders were attributed to excessive rainfall flooding roots and poor root development of transplanted clones.","author":[{"dropping-particle":"","family":"Thiessen","given":"Lindsey D.","non-dropping-particle":"","parse-names":false,"suffix":""},{"dropping-particle":"","family":"Schappe","given":"Tyler","non-dropping-particle":"","parse-names":false,"suffix":""},{"dropping-particle":"","family":"Cochran","given":"Sarah","non-dropping-particle":"","parse-names":false,"suffix":""},{"dropping-particle":"","family":"Hicks","given":"Kristin","non-dropping-particle":"","parse-names":false,"suffix":""},{"dropping-particle":"","family":"Post","given":"Angela R.","non-dropping-particle":"","parse-names":false,"suffix":""}],"container-title":"Plant Health Progress","id":"ITEM-1","issue":"4","issued":{"date-parts":[["2020"]]},"page":"321-332","title":"Surveying for Potential Diseases and Abiotic Disorders of Industrial Hemp (Cannabis sativa) Production","type":"article-journal","volume":"21"},"uris":["http://www.mendeley.com/documents/?uuid=da79b907-d855-41a5-8320-7a4e02e36558"]}],"mendeley":{"formattedCitation":"(Thiessen et al., 2020)","plainTextFormattedCitation":"(Thiessen et al., 2020)","previouslyFormattedCitation":"(Thiessen et al., 2020)"},"properties":{"noteIndex":0},"schema":"https://github.com/citation-style-language/schema/raw/master/csl-citation.json"}</w:instrText>
      </w:r>
      <w:r w:rsidRPr="001C0B21">
        <w:fldChar w:fldCharType="separate"/>
      </w:r>
      <w:r w:rsidRPr="001C0B21">
        <w:rPr>
          <w:noProof/>
        </w:rPr>
        <w:t>(Thiessen et al., 2020)</w:t>
      </w:r>
      <w:r w:rsidRPr="001C0B21">
        <w:fldChar w:fldCharType="end"/>
      </w:r>
      <w:r w:rsidRPr="001C0B21">
        <w:t>.</w:t>
      </w:r>
    </w:p>
    <w:p w14:paraId="5488F4D7" w14:textId="509D557F" w:rsidR="00511C39" w:rsidRDefault="00D20476" w:rsidP="00FD1FC5">
      <w:pPr>
        <w:pStyle w:val="NormalWeb"/>
        <w:spacing w:before="0" w:beforeAutospacing="0" w:after="0" w:afterAutospacing="0" w:line="360" w:lineRule="auto"/>
        <w:ind w:left="720"/>
      </w:pPr>
      <w:r w:rsidRPr="008E2CD0">
        <w:t> </w:t>
      </w:r>
      <w:bookmarkStart w:id="137" w:name="_Toc98812717"/>
      <w:bookmarkStart w:id="138" w:name="_Toc98812925"/>
      <w:bookmarkStart w:id="139" w:name="_Toc98813591"/>
      <w:bookmarkStart w:id="140" w:name="_Toc101048098"/>
    </w:p>
    <w:p w14:paraId="39809FF7" w14:textId="0D60C597" w:rsidR="00D20476" w:rsidRPr="008E2CD0" w:rsidRDefault="00D20476" w:rsidP="00FD1FC5">
      <w:pPr>
        <w:pStyle w:val="Heading2"/>
      </w:pPr>
      <w:r w:rsidRPr="008E2CD0">
        <w:t>Powdery mildew</w:t>
      </w:r>
      <w:bookmarkEnd w:id="137"/>
      <w:bookmarkEnd w:id="138"/>
      <w:bookmarkEnd w:id="139"/>
      <w:bookmarkEnd w:id="140"/>
    </w:p>
    <w:p w14:paraId="1E290154" w14:textId="48BCDF80" w:rsidR="00AB65D6" w:rsidRDefault="00D20476" w:rsidP="00511C39">
      <w:pPr>
        <w:pStyle w:val="NormalWeb"/>
        <w:spacing w:before="0" w:beforeAutospacing="0" w:after="0" w:afterAutospacing="0" w:line="360" w:lineRule="auto"/>
        <w:ind w:left="720" w:firstLine="720"/>
        <w:rPr>
          <w:b/>
          <w:bCs/>
          <w:i/>
          <w:shd w:val="clear" w:color="auto" w:fill="FFFFFF"/>
        </w:rPr>
      </w:pPr>
      <w:r w:rsidRPr="001C0B21">
        <w:t xml:space="preserve">Powdery mildew is the most common disease in the greenhouse. Powdery mildew pathogens are supported by warm temperatures and humid conditions that are often present in the greenhouse. This makes the greenhouse environments favorable to powdery mildew development and spread. Powdery mildew spreads by asexual conidial spores that are carried by air currents from infected sources to healthy leaves within the greenhouse. After 2 to 3 days on the healthy leaves, the conidial spores germinate and initiate secondary infections </w:t>
      </w:r>
      <w:r w:rsidRPr="001C0B21">
        <w:fldChar w:fldCharType="begin" w:fldLock="1"/>
      </w:r>
      <w:r w:rsidRPr="001C0B21">
        <w:instrText>ADDIN CSL_CITATION {"citationItems":[{"id":"ITEM-1","itemData":{"DOI":"10.3389/fpls.2019.01120","ISSN":"1664462X","PMID":"31681341","abstract":"Plant pathogens infecting marijuana (Cannabis sativa L.) plants reduce growth of the crop by affecting the roots, crown, and foliage. In addition, fungi (molds) that colonize the inflorescences (buds) during development or after harvest, and which colonize internal tissues as endophytes, can reduce product quality. The pathogens and molds that affect C. sativa grown hydroponically indoors (in environmentally controlled growth rooms and greenhouses) and field-grown plants were studied over multiple years of sampling. A PCR-based assay using primers for the internal transcribed spacer region (ITS) of ribosomal DNA confirmed identity of the cultures. Root-infecting pathogens included Fusarium oxysporum, Fusarium solani, Fusarium brachygibbosum, Pythium dissotocum, Pythium myriotylum, and Pythium aphanidermatum, which caused root browning, discoloration of the crown and pith tissues, stunting and yellowing of plants, and in some instances, plant death. On the foliage, powdery mildew, caused by Golovinomyces cichoracearum, was the major pathogen observed. On inflorescences, Penicillium bud rot (caused by Penicillium olsonii and Penicillium copticola), Botrytis bud rot (Botrytis cinerea), and Fusarium bud rot (F. solani, F. oxysporum) were present to varying extents. Endophytic fungi present in crown, stem, and petiole tissues included soil-colonizing and cellulolytic fungi, such as species of Chaetomium, Trametes, Trichoderma, Penicillium, and Fusarium. Analysis of air samples in indoor growing environments revealed that species of Penicillium, Cladosporium, Aspergillus, Fusarium, Beauveria, and Trichoderma were present. The latter two species were the result of the application of biocontrol products for control of insects and diseases, respectively. Fungal communities present in unpasteurized coconut (coco) fiber growing medium are potential sources of mold contamination on cannabis plants. Swabs taken from greenhouse-grown and indoor buds pre- and post-harvest revealed the presence of Cladosporium and up to five species of Penicillium, as well as low levels of Alternaria species. Mechanical trimming of buds caused an increase in the frequency of Penicillium species, presumably by providing entry points through wounds or spreading endophytes from pith tissues. Aerial distribution of pathogen inoculum and mold spores and dissemination through vegetative propagation are important methods of spread, and entry through wound sites on roots, stems, and bud tissue…","author":[{"dropping-particle":"","family":"Punja","given":"Zamir K.","non-dropping-particle":"","parse-names":false,"suffix":""},{"dropping-particle":"","family":"Collyer","given":"Danielle","non-dropping-particle":"","parse-names":false,"suffix":""},{"dropping-particle":"","family":"Scott","given":"Cameron","non-dropping-particle":"","parse-names":false,"suffix":""},{"dropping-particle":"","family":"Lung","given":"Samantha","non-dropping-particle":"","parse-names":false,"suffix":""},{"dropping-particle":"","family":"Holmes","given":"Janesse","non-dropping-particle":"","parse-names":false,"suffix":""},{"dropping-particle":"","family":"Sutton","given":"Darren","non-dropping-particle":"","parse-names":false,"suffix":""}],"container-title":"Frontiers in Plant Science","id":"ITEM-1","issue":"October","issued":{"date-parts":[["2019"]]},"page":"1-23","title":"Pathogens and Molds Affecting Production and Quality of Cannabis sativa L.","type":"article-journal","volume":"10"},"uris":["http://www.mendeley.com/documents/?uuid=144df317-afdd-4bc4-afd4-4e125e1cfcc8"]}],"mendeley":{"formattedCitation":"(Punja et al., 2019)","plainTextFormattedCitation":"(Punja et al., 2019)","previouslyFormattedCitation":"(Punja et al., 2019)"},"properties":{"noteIndex":0},"schema":"https://github.com/citation-style-language/schema/raw/master/csl-citation.json"}</w:instrText>
      </w:r>
      <w:r w:rsidRPr="001C0B21">
        <w:fldChar w:fldCharType="separate"/>
      </w:r>
      <w:r w:rsidRPr="001C0B21">
        <w:rPr>
          <w:noProof/>
        </w:rPr>
        <w:t>(Punja et al., 2019)</w:t>
      </w:r>
      <w:r w:rsidRPr="001C0B21">
        <w:fldChar w:fldCharType="end"/>
      </w:r>
      <w:r w:rsidRPr="001C0B21">
        <w:t>.</w:t>
      </w:r>
      <w:bookmarkStart w:id="141" w:name="_Toc98812718"/>
      <w:bookmarkStart w:id="142" w:name="_Toc98812926"/>
      <w:bookmarkStart w:id="143" w:name="_Toc98813592"/>
    </w:p>
    <w:p w14:paraId="6FB9469A" w14:textId="77777777" w:rsidR="00D20476" w:rsidRDefault="00D20476" w:rsidP="00D122A6">
      <w:pPr>
        <w:pStyle w:val="Heading3"/>
      </w:pPr>
    </w:p>
    <w:p w14:paraId="2624ABDD" w14:textId="51A40236" w:rsidR="00D20476" w:rsidRPr="008E2CD0" w:rsidRDefault="00D20476" w:rsidP="00D122A6">
      <w:pPr>
        <w:pStyle w:val="Heading3"/>
      </w:pPr>
      <w:bookmarkStart w:id="144" w:name="_Toc101048099"/>
      <w:r w:rsidRPr="008E2CD0">
        <w:t>Symptoms</w:t>
      </w:r>
      <w:bookmarkEnd w:id="141"/>
      <w:bookmarkEnd w:id="142"/>
      <w:bookmarkEnd w:id="143"/>
      <w:bookmarkEnd w:id="144"/>
    </w:p>
    <w:p w14:paraId="67E20789" w14:textId="77777777" w:rsidR="00D20476" w:rsidRPr="008E2CD0" w:rsidRDefault="00D20476" w:rsidP="00D20476">
      <w:pPr>
        <w:pStyle w:val="NormalWeb"/>
        <w:spacing w:before="0" w:beforeAutospacing="0" w:after="0" w:afterAutospacing="0" w:line="360" w:lineRule="auto"/>
        <w:ind w:left="720" w:firstLine="720"/>
      </w:pPr>
      <w:r w:rsidRPr="008E2CD0">
        <w:t xml:space="preserve">Early </w:t>
      </w:r>
      <w:r w:rsidRPr="001C0B21">
        <w:t xml:space="preserve">signs and symptoms appear as white powdery growths, made up of fungal </w:t>
      </w:r>
      <w:r>
        <w:t>hyphae</w:t>
      </w:r>
      <w:r w:rsidRPr="001C0B21">
        <w:t xml:space="preserve"> and conidia, on upper leaf surfaces and stems. As the </w:t>
      </w:r>
      <w:r>
        <w:t xml:space="preserve">hyphae </w:t>
      </w:r>
      <w:r w:rsidRPr="001C0B21">
        <w:t>penetrate the leaf tissues, they absorb nutrients and water, impair photosynthesis, and subsequently initiate secondary symptoms such as leaf distortion, necrosis, and leaf drop. In severe cases, powdery mildew can result in reduced plant health, poor yields, or plant death (Britt 2020; Gauthier</w:t>
      </w:r>
      <w:r>
        <w:t>,</w:t>
      </w:r>
      <w:r w:rsidRPr="001C0B21">
        <w:t xml:space="preserve"> 2020).</w:t>
      </w:r>
    </w:p>
    <w:p w14:paraId="65481332" w14:textId="77777777" w:rsidR="00D20476" w:rsidRDefault="00D20476" w:rsidP="00D122A6">
      <w:pPr>
        <w:pStyle w:val="Heading3"/>
      </w:pPr>
      <w:bookmarkStart w:id="145" w:name="_Toc98812719"/>
      <w:bookmarkStart w:id="146" w:name="_Toc98812927"/>
      <w:bookmarkStart w:id="147" w:name="_Toc98813593"/>
    </w:p>
    <w:p w14:paraId="19154BBE" w14:textId="3FA3D6B0" w:rsidR="00D20476" w:rsidRPr="008E2CD0" w:rsidRDefault="00D20476" w:rsidP="00D122A6">
      <w:pPr>
        <w:pStyle w:val="Heading3"/>
      </w:pPr>
      <w:bookmarkStart w:id="148" w:name="_Toc101048100"/>
      <w:r w:rsidRPr="008E2CD0">
        <w:t>Host range</w:t>
      </w:r>
      <w:bookmarkEnd w:id="145"/>
      <w:bookmarkEnd w:id="146"/>
      <w:bookmarkEnd w:id="147"/>
      <w:bookmarkEnd w:id="148"/>
      <w:r w:rsidRPr="008E2CD0">
        <w:t xml:space="preserve"> </w:t>
      </w:r>
    </w:p>
    <w:p w14:paraId="6107850C" w14:textId="77777777" w:rsidR="00D20476" w:rsidRPr="001C0B21" w:rsidRDefault="00D20476" w:rsidP="00D20476">
      <w:pPr>
        <w:pStyle w:val="NormalWeb"/>
        <w:spacing w:before="0" w:beforeAutospacing="0" w:after="0" w:afterAutospacing="0" w:line="360" w:lineRule="auto"/>
        <w:ind w:left="720" w:firstLine="720"/>
        <w:rPr>
          <w:shd w:val="clear" w:color="auto" w:fill="FFFFFF"/>
        </w:rPr>
      </w:pPr>
      <w:bookmarkStart w:id="149" w:name="_Toc98812720"/>
      <w:bookmarkStart w:id="150" w:name="_Toc98812928"/>
      <w:bookmarkStart w:id="151" w:name="_Toc98813594"/>
      <w:r w:rsidRPr="001C0B21">
        <w:t xml:space="preserve">Powdery mildew can affect a wide range of hosts and is caused by many fungal </w:t>
      </w:r>
      <w:r>
        <w:t xml:space="preserve">species in </w:t>
      </w:r>
      <w:r w:rsidRPr="001C0B21">
        <w:t xml:space="preserve">genera including </w:t>
      </w:r>
      <w:r w:rsidRPr="001C0B21">
        <w:rPr>
          <w:i/>
          <w:iCs/>
        </w:rPr>
        <w:t>Erisyphe, Leveillula, Golovinomyces, Podosphaera, </w:t>
      </w:r>
      <w:r w:rsidRPr="001C0B21">
        <w:t>and</w:t>
      </w:r>
      <w:r w:rsidRPr="001C0B21">
        <w:rPr>
          <w:i/>
          <w:iCs/>
        </w:rPr>
        <w:t> Sphaerotheca</w:t>
      </w:r>
      <w:r w:rsidRPr="001C0B21">
        <w:t xml:space="preserve">. Several species of </w:t>
      </w:r>
      <w:r w:rsidRPr="001C0B21">
        <w:rPr>
          <w:i/>
          <w:iCs/>
        </w:rPr>
        <w:t>Golovinomyces</w:t>
      </w:r>
      <w:r w:rsidRPr="001C0B21">
        <w:t xml:space="preserve"> are known to cause powdery mildew on diverse crops in the United States and elsewhere. </w:t>
      </w:r>
      <w:r w:rsidRPr="001C0B21">
        <w:rPr>
          <w:i/>
          <w:iCs/>
        </w:rPr>
        <w:t xml:space="preserve">Golovinomyces spadiceus </w:t>
      </w:r>
      <w:r w:rsidRPr="001C0B21">
        <w:t>was reported to cause powdery mildew on Green and Gold in Tennessee (</w:t>
      </w:r>
      <w:r w:rsidRPr="001C0B21">
        <w:rPr>
          <w:shd w:val="clear" w:color="auto" w:fill="FFFFFF"/>
        </w:rPr>
        <w:t>Trigiano et al., 2018)</w:t>
      </w:r>
      <w:r w:rsidRPr="001C0B21">
        <w:t>; okra in Georgia (</w:t>
      </w:r>
      <w:r w:rsidRPr="001C0B21">
        <w:rPr>
          <w:shd w:val="clear" w:color="auto" w:fill="FFFFFF"/>
        </w:rPr>
        <w:t xml:space="preserve">Moparthi et al., 2018); </w:t>
      </w:r>
      <w:r>
        <w:rPr>
          <w:i/>
        </w:rPr>
        <w:t>H</w:t>
      </w:r>
      <w:r w:rsidRPr="001C0B21">
        <w:rPr>
          <w:i/>
        </w:rPr>
        <w:t>elianthus</w:t>
      </w:r>
      <w:r w:rsidRPr="001C0B21">
        <w:t xml:space="preserve"> in Washington State (</w:t>
      </w:r>
      <w:r w:rsidRPr="001C0B21">
        <w:rPr>
          <w:shd w:val="clear" w:color="auto" w:fill="FFFFFF"/>
        </w:rPr>
        <w:t>Moparthi et al., 2018);</w:t>
      </w:r>
      <w:r w:rsidRPr="001C0B21">
        <w:t xml:space="preserve"> and industrial hemp in Kentucky and New York (</w:t>
      </w:r>
      <w:r w:rsidRPr="001C0B21">
        <w:rPr>
          <w:shd w:val="clear" w:color="auto" w:fill="FFFFFF"/>
        </w:rPr>
        <w:t>Szarka et al., 2019</w:t>
      </w:r>
      <w:r w:rsidRPr="001C0B21">
        <w:rPr>
          <w:shd w:val="clear" w:color="auto" w:fill="FFFFFF"/>
        </w:rPr>
        <w:fldChar w:fldCharType="begin" w:fldLock="1"/>
      </w:r>
      <w:r w:rsidRPr="001C0B21">
        <w:rPr>
          <w:shd w:val="clear" w:color="auto" w:fill="FFFFFF"/>
        </w:rPr>
        <w:instrText>ADDIN CSL_CITATION {"citationItems":[{"id":"ITEM-1","itemData":{"author":[{"dropping-particle":"","family":"Cala","given":"Ali","non-dropping-particle":"","parse-names":false,"suffix":""},{"dropping-particle":"","family":"Portilla","given":"Nathalia","non-dropping-particle":"","parse-names":false,"suffix":""},{"dropping-particle":"","family":"Weldon","given":"Bill","non-dropping-particle":"","parse-names":false,"suffix":""},{"dropping-particle":"","family":"Gura","given":"William","non-dropping-particle":"","parse-names":false,"suffix":""},{"dropping-particle":"","family":"King","given":"Nicholas","non-dropping-particle":"","parse-names":false,"suffix":""},{"dropping-particle":"","family":"Stack","given":"George","non-dropping-particle":"","parse-names":false,"suffix":""},{"dropping-particle":"","family":"Toth","given":"Jacob","non-dropping-particle":"","parse-names":false,"suffix":""},{"dropping-particle":"","family":"Carlson","given":"Craig","non-dropping-particle":"","parse-names":false,"suffix":""},{"dropping-particle":"","family":"Gadoury","given":"David","non-dropping-particle":"","parse-names":false,"suffix":""},{"dropping-particle":"","family":"Sapkota","given":"Surya","non-dropping-particle":"","parse-names":false,"suffix":""},{"dropping-particle":"","family":"Smart","given":"Larry","non-dropping-particle":"","parse-names":false,"suffix":""},{"dropping-particle":"","family":"Smart","given":"Chris","non-dropping-particle":"","parse-names":false,"suffix":""}],"container-title":"Handout.","id":"ITEM-1","issued":{"date-parts":[["2019"]]},"title":"Evaluating disease resistance in CBD hemp cultivars. Cornell Hemp Field Day 2019.","type":"article-journal"},"uris":["http://www.mendeley.com/documents/?uuid=dbc0d7e1-d66e-4d30-a94b-d2d1884d9c1e"]}],"mendeley":{"formattedCitation":"(Cala et al., 2019)","manualFormatting":"; Cala et al., 2019)","plainTextFormattedCitation":"(Cala et al., 2019)","previouslyFormattedCitation":"(Cala et al., 2019)"},"properties":{"noteIndex":0},"schema":"https://github.com/citation-style-language/schema/raw/master/csl-citation.json"}</w:instrText>
      </w:r>
      <w:r w:rsidRPr="001C0B21">
        <w:rPr>
          <w:shd w:val="clear" w:color="auto" w:fill="FFFFFF"/>
        </w:rPr>
        <w:fldChar w:fldCharType="separate"/>
      </w:r>
      <w:r w:rsidRPr="001C0B21">
        <w:rPr>
          <w:noProof/>
          <w:shd w:val="clear" w:color="auto" w:fill="FFFFFF"/>
        </w:rPr>
        <w:t>; Cala et al., 2019)</w:t>
      </w:r>
      <w:r w:rsidRPr="001C0B21">
        <w:rPr>
          <w:shd w:val="clear" w:color="auto" w:fill="FFFFFF"/>
        </w:rPr>
        <w:fldChar w:fldCharType="end"/>
      </w:r>
      <w:r w:rsidRPr="001C0B21">
        <w:rPr>
          <w:shd w:val="clear" w:color="auto" w:fill="FFFFFF"/>
        </w:rPr>
        <w:t xml:space="preserve">. </w:t>
      </w:r>
      <w:r w:rsidRPr="001C0B21">
        <w:rPr>
          <w:i/>
          <w:iCs/>
        </w:rPr>
        <w:t>G. ambrosiae</w:t>
      </w:r>
      <w:r w:rsidRPr="001C0B21">
        <w:t xml:space="preserve"> was reported on whorled sunflower in Tennessee (</w:t>
      </w:r>
      <w:r w:rsidRPr="001C0B21">
        <w:rPr>
          <w:shd w:val="clear" w:color="auto" w:fill="FFFFFF"/>
        </w:rPr>
        <w:t>Trigiano et al</w:t>
      </w:r>
      <w:r>
        <w:rPr>
          <w:shd w:val="clear" w:color="auto" w:fill="FFFFFF"/>
        </w:rPr>
        <w:t>.,</w:t>
      </w:r>
      <w:r w:rsidRPr="001C0B21">
        <w:rPr>
          <w:shd w:val="clear" w:color="auto" w:fill="FFFFFF"/>
        </w:rPr>
        <w:t xml:space="preserve"> 2016)</w:t>
      </w:r>
      <w:r w:rsidRPr="001C0B21">
        <w:t xml:space="preserve">, and </w:t>
      </w:r>
      <w:r w:rsidRPr="001C0B21">
        <w:rPr>
          <w:i/>
          <w:iCs/>
        </w:rPr>
        <w:t>G. cichoracearum</w:t>
      </w:r>
      <w:r w:rsidRPr="001C0B21">
        <w:t xml:space="preserve"> sensu lato was found on medical cannabis in Canada (</w:t>
      </w:r>
      <w:r w:rsidRPr="001C0B21">
        <w:rPr>
          <w:shd w:val="clear" w:color="auto" w:fill="FFFFFF"/>
        </w:rPr>
        <w:t>Pépin et al., 2018).</w:t>
      </w:r>
    </w:p>
    <w:p w14:paraId="5AA0FC30" w14:textId="77777777" w:rsidR="00511C39" w:rsidRDefault="00511C39" w:rsidP="00D122A6">
      <w:pPr>
        <w:pStyle w:val="Heading3"/>
      </w:pPr>
      <w:bookmarkStart w:id="152" w:name="_Toc101048101"/>
    </w:p>
    <w:p w14:paraId="17508118" w14:textId="38CE3A57" w:rsidR="00D20476" w:rsidRPr="008E2CD0" w:rsidRDefault="00D20476" w:rsidP="00D122A6">
      <w:pPr>
        <w:pStyle w:val="Heading3"/>
      </w:pPr>
      <w:r w:rsidRPr="008E2CD0">
        <w:t>Management</w:t>
      </w:r>
      <w:bookmarkEnd w:id="149"/>
      <w:bookmarkEnd w:id="150"/>
      <w:bookmarkEnd w:id="151"/>
      <w:bookmarkEnd w:id="152"/>
      <w:r w:rsidRPr="008E2CD0">
        <w:t xml:space="preserve"> </w:t>
      </w:r>
    </w:p>
    <w:p w14:paraId="06752A66" w14:textId="4FB5E4A8" w:rsidR="00D20476" w:rsidRPr="001C0B21" w:rsidRDefault="00D20476" w:rsidP="00D20476">
      <w:pPr>
        <w:pStyle w:val="NormalWeb"/>
        <w:spacing w:before="0" w:beforeAutospacing="0" w:after="0" w:afterAutospacing="0" w:line="360" w:lineRule="auto"/>
        <w:ind w:left="720" w:firstLine="720"/>
      </w:pPr>
      <w:r w:rsidRPr="001C0B21">
        <w:t>Effective management of powdery mildew can be achieved by integrating cultural and chemical management tactics. These tactics include the use of less</w:t>
      </w:r>
      <w:r>
        <w:t xml:space="preserve"> </w:t>
      </w:r>
      <w:r w:rsidRPr="00DB12ED">
        <w:t>susceptible or resistant cultivars, removal of inoculum sources, and chemical fungicides (</w:t>
      </w:r>
      <w:r w:rsidRPr="00DB12ED">
        <w:rPr>
          <w:color w:val="222222"/>
          <w:shd w:val="clear" w:color="auto" w:fill="FFFFFF"/>
        </w:rPr>
        <w:t>Pfeufer</w:t>
      </w:r>
      <w:r w:rsidRPr="00DB12ED">
        <w:t xml:space="preserve"> et al., 2017). Although there is no known hemp cultivar with complete resistance to powdery</w:t>
      </w:r>
      <w:r w:rsidRPr="001C0B21">
        <w:t xml:space="preserve"> mildew, studies from T</w:t>
      </w:r>
      <w:r w:rsidR="008F7915">
        <w:t>ennessee (Hansen et al., 2020b) and</w:t>
      </w:r>
      <w:r w:rsidRPr="001C0B21">
        <w:t xml:space="preserve"> </w:t>
      </w:r>
      <w:r w:rsidR="00E56818" w:rsidRPr="001C0B21">
        <w:t>Ne</w:t>
      </w:r>
      <w:r w:rsidR="00E56818">
        <w:t>w</w:t>
      </w:r>
      <w:r w:rsidR="00E56818" w:rsidRPr="001C0B21">
        <w:t xml:space="preserve"> York </w:t>
      </w:r>
      <w:r w:rsidR="008F7915">
        <w:t>(Stack et al., 2021;</w:t>
      </w:r>
      <w:r w:rsidRPr="001C0B21">
        <w:fldChar w:fldCharType="begin" w:fldLock="1"/>
      </w:r>
      <w:r w:rsidRPr="001C0B21">
        <w:instrText>ADDIN CSL_CITATION {"citationItems":[{"id":"ITEM-1","itemData":{"author":[{"dropping-particle":"","family":"Cala","given":"Ali","non-dropping-particle":"","parse-names":false,"suffix":""},{"dropping-particle":"","family":"Portilla","given":"Nathalia","non-dropping-particle":"","parse-names":false,"suffix":""},{"dropping-particle":"","family":"Weldon","given":"Bill","non-dropping-particle":"","parse-names":false,"suffix":""},{"dropping-particle":"","family":"Gura","given":"William","non-dropping-particle":"","parse-names":false,"suffix":""},{"dropping-particle":"","family":"King","given":"Nicholas","non-dropping-particle":"","parse-names":false,"suffix":""},{"dropping-particle":"","family":"Stack","given":"George","non-dropping-particle":"","parse-names":false,"suffix":""},{"dropping-particle":"","family":"Toth","given":"Jacob","non-dropping-particle":"","parse-names":false,"suffix":""},{"dropping-particle":"","family":"Carlson","given":"Craig","non-dropping-particle":"","parse-names":false,"suffix":""},{"dropping-particle":"","family":"Gadoury","given":"David","non-dropping-particle":"","parse-names":false,"suffix":""},{"dropping-particle":"","family":"Sapkota","given":"Surya","non-dropping-particle":"","parse-names":false,"suffix":""},{"dropping-particle":"","family":"Smart","given":"Larry","non-dropping-particle":"","parse-names":false,"suffix":""},{"dropping-particle":"","family":"Smart","given":"Chris","non-dropping-particle":"","parse-names":false,"suffix":""}],"container-title":"Handout.","id":"ITEM-1","issued":{"date-parts":[["2019"]]},"title":"Evaluating disease resistance in CBD hemp cultivars. Cornell Hemp Field Day 2019.","type":"article-journal"},"uris":["http://www.mendeley.com/documents/?uuid=dbc0d7e1-d66e-4d30-a94b-d2d1884d9c1e"]}],"mendeley":{"formattedCitation":"(Cala et al., 2019)","plainTextFormattedCitation":"(Cala et al., 2019)","previouslyFormattedCitation":"(Cala et al., 2019)"},"properties":{"noteIndex":0},"schema":"https://github.com/citation-style-language/schema/raw/master/csl-citation.json"}</w:instrText>
      </w:r>
      <w:r w:rsidRPr="001C0B21">
        <w:fldChar w:fldCharType="separate"/>
      </w:r>
      <w:r w:rsidR="008F7915">
        <w:rPr>
          <w:noProof/>
        </w:rPr>
        <w:t xml:space="preserve"> </w:t>
      </w:r>
      <w:r w:rsidRPr="001C0B21">
        <w:rPr>
          <w:noProof/>
        </w:rPr>
        <w:t>Cala et al., 2019)</w:t>
      </w:r>
      <w:r w:rsidRPr="001C0B21">
        <w:fldChar w:fldCharType="end"/>
      </w:r>
      <w:r w:rsidRPr="001C0B21">
        <w:t xml:space="preserve"> </w:t>
      </w:r>
      <w:r>
        <w:t xml:space="preserve">have </w:t>
      </w:r>
      <w:r w:rsidRPr="001C0B21">
        <w:t>show</w:t>
      </w:r>
      <w:r>
        <w:t>n</w:t>
      </w:r>
      <w:r w:rsidRPr="001C0B21">
        <w:t xml:space="preserve"> that many CBD hemp cultivars exhibit low to moderate susceptibility to powdery mildew. On greenhouse hemp, maintaining low relative humidity, removing infected leaves, and applying fungicides can suppress powdery mildew (Britt, 2020). Many commercial greenhouse growers are attracted to organic or bio-pesticides because of their minimum re-entry intervals, low human toxicity, and their perceived or real reduced environmental impact (Gradish et al., 2010; Tjosvold &amp; Koike, 2001). Many organic fungicides are registered for hemp in the United States (Environmental Protection Agency, 2021) and many of them have been approved for use on hemp in Tennessee. Some options include Double Nickel, Carb-O-Nator, Defguard, Exile, Guarda, Lifeguard, Oxidate, Ramgo, Regalia, Sil-Matrix, Stargus, and ZeroTol (Tennessee Department of Agriculture, 2022).</w:t>
      </w:r>
    </w:p>
    <w:p w14:paraId="57E832C4" w14:textId="77777777" w:rsidR="00D20476" w:rsidRPr="008E2CD0" w:rsidRDefault="00D20476" w:rsidP="00D20476">
      <w:pPr>
        <w:pStyle w:val="NormalWeb"/>
        <w:spacing w:before="0" w:beforeAutospacing="0" w:after="0" w:afterAutospacing="0" w:line="360" w:lineRule="auto"/>
        <w:ind w:left="720" w:firstLine="720"/>
      </w:pPr>
      <w:r w:rsidRPr="008E2CD0">
        <w:t> </w:t>
      </w:r>
    </w:p>
    <w:p w14:paraId="01F06D63" w14:textId="77777777" w:rsidR="00D20476" w:rsidRPr="008E2CD0" w:rsidRDefault="00D20476" w:rsidP="00FD1FC5">
      <w:pPr>
        <w:pStyle w:val="Heading2"/>
      </w:pPr>
      <w:bookmarkStart w:id="153" w:name="_Toc98812721"/>
      <w:bookmarkStart w:id="154" w:name="_Toc98812929"/>
      <w:bookmarkStart w:id="155" w:name="_Toc98813595"/>
      <w:bookmarkStart w:id="156" w:name="_Toc101048102"/>
      <w:r w:rsidRPr="008E2CD0">
        <w:t>Southern blight</w:t>
      </w:r>
      <w:bookmarkEnd w:id="153"/>
      <w:bookmarkEnd w:id="154"/>
      <w:bookmarkEnd w:id="155"/>
      <w:bookmarkEnd w:id="156"/>
    </w:p>
    <w:p w14:paraId="7FA11CD1" w14:textId="77777777" w:rsidR="00D20476" w:rsidRPr="001C0B21" w:rsidRDefault="00D20476" w:rsidP="00D20476">
      <w:pPr>
        <w:pStyle w:val="NormalWeb"/>
        <w:spacing w:before="0" w:beforeAutospacing="0" w:after="0" w:afterAutospacing="0" w:line="360" w:lineRule="auto"/>
        <w:ind w:left="720" w:firstLine="720"/>
        <w:rPr>
          <w:shd w:val="clear" w:color="auto" w:fill="FFFFFF"/>
        </w:rPr>
      </w:pPr>
      <w:r w:rsidRPr="008E2CD0">
        <w:t xml:space="preserve">Southern </w:t>
      </w:r>
      <w:bookmarkStart w:id="157" w:name="_Toc98812722"/>
      <w:bookmarkStart w:id="158" w:name="_Toc98812930"/>
      <w:bookmarkStart w:id="159" w:name="_Toc98813596"/>
      <w:r w:rsidRPr="001C0B21">
        <w:t xml:space="preserve">blight of hemp is caused by the fungus </w:t>
      </w:r>
      <w:r w:rsidRPr="001C0B21">
        <w:rPr>
          <w:i/>
          <w:iCs/>
        </w:rPr>
        <w:t>Athelia rolfsii</w:t>
      </w:r>
      <w:r w:rsidRPr="001C0B21">
        <w:t xml:space="preserve"> (anamorph </w:t>
      </w:r>
      <w:r w:rsidRPr="001C0B21">
        <w:rPr>
          <w:i/>
          <w:iCs/>
        </w:rPr>
        <w:t>Sclerotium rolfsii</w:t>
      </w:r>
      <w:r w:rsidRPr="001C0B21">
        <w:t>)</w:t>
      </w:r>
      <w:r w:rsidRPr="001C0B21">
        <w:rPr>
          <w:i/>
          <w:iCs/>
        </w:rPr>
        <w:t xml:space="preserve"> </w:t>
      </w:r>
      <w:r w:rsidRPr="001C0B21">
        <w:t>(</w:t>
      </w:r>
      <w:r w:rsidRPr="001C0B21">
        <w:rPr>
          <w:shd w:val="clear" w:color="auto" w:fill="FFFFFF"/>
        </w:rPr>
        <w:t xml:space="preserve">Pane et al., 2007). </w:t>
      </w:r>
      <w:r w:rsidRPr="001C0B21">
        <w:t xml:space="preserve">This fungus is known to cause major problems in many economic crops including vegetables, fruits, and field crops (Meadows et al., 2019). Occurring worldwide, it causes damage </w:t>
      </w:r>
      <w:r>
        <w:t>to</w:t>
      </w:r>
      <w:r w:rsidRPr="001C0B21">
        <w:t xml:space="preserve"> tomato, pepper, bean, carrot, watermelon, apple, tobacco, cotton, potato, soybean, and many other plant species. </w:t>
      </w:r>
      <w:r w:rsidRPr="001C0B21">
        <w:rPr>
          <w:shd w:val="clear" w:color="auto" w:fill="FFFFFF"/>
        </w:rPr>
        <w:t>It usually infects lower stems but may infect any part of a susceptible plant under favorable conditions. It survives on dead organic matter as mycelium in the absence of susceptible hosts but also survives as sclerotia in soil. During warm (</w:t>
      </w:r>
      <w:r w:rsidRPr="001C0B21">
        <w:t>81-95ºF</w:t>
      </w:r>
      <w:r w:rsidRPr="001C0B21">
        <w:rPr>
          <w:shd w:val="clear" w:color="auto" w:fill="FFFFFF"/>
        </w:rPr>
        <w:t xml:space="preserve">), humid conditions, sclerotia germinate and hyphal growth occurs and infects susceptible plants. Depending on the type of plants or plant parts infected, the disease symptoms may vary, but typically infected plants wilt and eventually die </w:t>
      </w:r>
      <w:r w:rsidRPr="001C0B21">
        <w:t>(</w:t>
      </w:r>
      <w:r w:rsidRPr="001C0B21">
        <w:rPr>
          <w:shd w:val="clear" w:color="auto" w:fill="FFFFFF"/>
        </w:rPr>
        <w:t>Mullen, 2001).</w:t>
      </w:r>
    </w:p>
    <w:p w14:paraId="62DB846C" w14:textId="77777777" w:rsidR="00D20476" w:rsidRDefault="00D20476" w:rsidP="00D20476">
      <w:pPr>
        <w:pStyle w:val="NormalWeb"/>
        <w:spacing w:before="0" w:beforeAutospacing="0" w:after="0" w:afterAutospacing="0" w:line="360" w:lineRule="auto"/>
        <w:ind w:left="720"/>
      </w:pPr>
    </w:p>
    <w:p w14:paraId="1A7415CD" w14:textId="77777777" w:rsidR="00D20476" w:rsidRPr="008E2CD0" w:rsidRDefault="00D20476" w:rsidP="00D122A6">
      <w:pPr>
        <w:pStyle w:val="Heading3"/>
      </w:pPr>
      <w:bookmarkStart w:id="160" w:name="_Toc101048103"/>
      <w:r w:rsidRPr="008E2CD0">
        <w:t>Symptom</w:t>
      </w:r>
      <w:r>
        <w:t>s</w:t>
      </w:r>
      <w:bookmarkEnd w:id="157"/>
      <w:bookmarkEnd w:id="158"/>
      <w:bookmarkEnd w:id="159"/>
      <w:bookmarkEnd w:id="160"/>
      <w:r w:rsidRPr="008E2CD0">
        <w:t xml:space="preserve"> </w:t>
      </w:r>
    </w:p>
    <w:p w14:paraId="727528E5" w14:textId="77777777" w:rsidR="00D20476" w:rsidRPr="001C0B21" w:rsidRDefault="00D20476" w:rsidP="00D20476">
      <w:pPr>
        <w:pStyle w:val="NormalWeb"/>
        <w:spacing w:before="0" w:beforeAutospacing="0" w:after="0" w:afterAutospacing="0" w:line="360" w:lineRule="auto"/>
        <w:ind w:left="720" w:firstLine="720"/>
        <w:rPr>
          <w:shd w:val="clear" w:color="auto" w:fill="FFFFFF"/>
        </w:rPr>
      </w:pPr>
      <w:bookmarkStart w:id="161" w:name="_Toc98812723"/>
      <w:bookmarkStart w:id="162" w:name="_Toc98812931"/>
      <w:bookmarkStart w:id="163" w:name="_Toc98813597"/>
      <w:r w:rsidRPr="001C0B21">
        <w:rPr>
          <w:shd w:val="clear" w:color="auto" w:fill="FFFFFF"/>
        </w:rPr>
        <w:t xml:space="preserve">Sudden plant wilt and chlorosis, leaf necrosis, and plant death are immediate symptoms. Later, stem decay and sclerotia formation occur near the </w:t>
      </w:r>
      <w:r>
        <w:rPr>
          <w:shd w:val="clear" w:color="auto" w:fill="FFFFFF"/>
        </w:rPr>
        <w:t>soil line</w:t>
      </w:r>
      <w:r w:rsidRPr="001C0B21">
        <w:rPr>
          <w:shd w:val="clear" w:color="auto" w:fill="FFFFFF"/>
        </w:rPr>
        <w:t xml:space="preserve">. A hyphal mat may spread along the soil surface near the base of the decayed stalk </w:t>
      </w:r>
      <w:r w:rsidRPr="001C0B21">
        <w:t>(</w:t>
      </w:r>
      <w:r w:rsidRPr="001C0B21">
        <w:rPr>
          <w:shd w:val="clear" w:color="auto" w:fill="FFFFFF"/>
        </w:rPr>
        <w:t>McPartland et al., 2000).</w:t>
      </w:r>
      <w:r w:rsidRPr="001C0B21">
        <w:rPr>
          <w:sz w:val="20"/>
          <w:szCs w:val="20"/>
          <w:shd w:val="clear" w:color="auto" w:fill="FFFFFF"/>
        </w:rPr>
        <w:t> </w:t>
      </w:r>
      <w:r w:rsidRPr="001C0B21">
        <w:rPr>
          <w:shd w:val="clear" w:color="auto" w:fill="FFFFFF"/>
        </w:rPr>
        <w:t xml:space="preserve"> </w:t>
      </w:r>
    </w:p>
    <w:p w14:paraId="13AEC7B7" w14:textId="77777777" w:rsidR="00D20476" w:rsidRDefault="00D20476" w:rsidP="00D20476">
      <w:pPr>
        <w:pStyle w:val="NormalWeb"/>
        <w:spacing w:before="0" w:beforeAutospacing="0" w:after="0" w:afterAutospacing="0" w:line="360" w:lineRule="auto"/>
        <w:ind w:left="720"/>
      </w:pPr>
    </w:p>
    <w:p w14:paraId="333067F6" w14:textId="77777777" w:rsidR="00D20476" w:rsidRPr="008E2CD0" w:rsidRDefault="00D20476" w:rsidP="00D122A6">
      <w:pPr>
        <w:pStyle w:val="Heading3"/>
      </w:pPr>
      <w:bookmarkStart w:id="164" w:name="_Toc101048104"/>
      <w:r w:rsidRPr="008E2CD0">
        <w:t>Management</w:t>
      </w:r>
      <w:bookmarkEnd w:id="161"/>
      <w:bookmarkEnd w:id="162"/>
      <w:bookmarkEnd w:id="163"/>
      <w:bookmarkEnd w:id="164"/>
      <w:r w:rsidRPr="008E2CD0">
        <w:t xml:space="preserve"> </w:t>
      </w:r>
    </w:p>
    <w:p w14:paraId="63110FD9" w14:textId="77777777" w:rsidR="00D20476" w:rsidRPr="001C0B21" w:rsidRDefault="00D20476" w:rsidP="00D20476">
      <w:pPr>
        <w:pStyle w:val="NormalWeb"/>
        <w:spacing w:before="0" w:beforeAutospacing="0" w:after="0" w:afterAutospacing="0" w:line="360" w:lineRule="auto"/>
        <w:ind w:left="720" w:firstLine="720"/>
        <w:rPr>
          <w:b/>
          <w:shd w:val="clear" w:color="auto" w:fill="FFFFFF"/>
        </w:rPr>
      </w:pPr>
      <w:r w:rsidRPr="001C0B21">
        <w:rPr>
          <w:shd w:val="clear" w:color="auto" w:fill="FFFFFF"/>
        </w:rPr>
        <w:t>Resistan</w:t>
      </w:r>
      <w:r>
        <w:rPr>
          <w:shd w:val="clear" w:color="auto" w:fill="FFFFFF"/>
        </w:rPr>
        <w:t>t</w:t>
      </w:r>
      <w:r w:rsidRPr="001C0B21">
        <w:rPr>
          <w:shd w:val="clear" w:color="auto" w:fill="FFFFFF"/>
        </w:rPr>
        <w:t xml:space="preserve"> cultivars can reduce infection and lower crop damage. </w:t>
      </w:r>
      <w:r>
        <w:rPr>
          <w:shd w:val="clear" w:color="auto" w:fill="FFFFFF"/>
        </w:rPr>
        <w:t>‘</w:t>
      </w:r>
      <w:r w:rsidRPr="001C0B21">
        <w:rPr>
          <w:shd w:val="clear" w:color="auto" w:fill="FFFFFF"/>
        </w:rPr>
        <w:t xml:space="preserve">Dwarf’, ‘medium’, and ‘tall’ were reported as cultivars with some level of resistance to </w:t>
      </w:r>
      <w:r>
        <w:rPr>
          <w:shd w:val="clear" w:color="auto" w:fill="FFFFFF"/>
        </w:rPr>
        <w:t xml:space="preserve">the </w:t>
      </w:r>
      <w:r w:rsidRPr="001C0B21">
        <w:rPr>
          <w:shd w:val="clear" w:color="auto" w:fill="FFFFFF"/>
        </w:rPr>
        <w:t xml:space="preserve">southern blight pathogen </w:t>
      </w:r>
      <w:r w:rsidRPr="001C0B21">
        <w:t>(</w:t>
      </w:r>
      <w:r w:rsidRPr="001C0B21">
        <w:rPr>
          <w:shd w:val="clear" w:color="auto" w:fill="FFFFFF"/>
        </w:rPr>
        <w:t xml:space="preserve">McPartland et al., 2000).  Soil solarization can kill the pathogen. Adequate weeding will eliminate alternative hosts, and fallow periods can eliminate germinated sclerotia of the fungus from the soil. Biocontrol with </w:t>
      </w:r>
      <w:r w:rsidRPr="001C0B21">
        <w:rPr>
          <w:i/>
          <w:shd w:val="clear" w:color="auto" w:fill="FFFFFF"/>
        </w:rPr>
        <w:t>Trichoderma</w:t>
      </w:r>
      <w:r w:rsidRPr="001C0B21">
        <w:rPr>
          <w:shd w:val="clear" w:color="auto" w:fill="FFFFFF"/>
        </w:rPr>
        <w:t xml:space="preserve">, applying mycorrhiza fungi or urea to the soil, and drenching of soil with formalin can protect hemp against the disease </w:t>
      </w:r>
      <w:r w:rsidRPr="001C0B21">
        <w:t>(</w:t>
      </w:r>
      <w:r w:rsidRPr="001C0B21">
        <w:rPr>
          <w:shd w:val="clear" w:color="auto" w:fill="FFFFFF"/>
        </w:rPr>
        <w:t>McPartland et al., 2000).</w:t>
      </w:r>
      <w:r w:rsidRPr="001C0B21">
        <w:rPr>
          <w:sz w:val="20"/>
          <w:szCs w:val="20"/>
          <w:shd w:val="clear" w:color="auto" w:fill="FFFFFF"/>
        </w:rPr>
        <w:t> </w:t>
      </w:r>
    </w:p>
    <w:p w14:paraId="2099DC9D" w14:textId="77777777" w:rsidR="00D20476" w:rsidRDefault="00D20476" w:rsidP="00FD1FC5">
      <w:pPr>
        <w:pStyle w:val="Heading2"/>
      </w:pPr>
      <w:bookmarkStart w:id="165" w:name="_Toc98812724"/>
      <w:bookmarkStart w:id="166" w:name="_Toc98812932"/>
      <w:bookmarkStart w:id="167" w:name="_Toc98813598"/>
    </w:p>
    <w:p w14:paraId="49B13246" w14:textId="77777777" w:rsidR="00D20476" w:rsidRPr="008E2CD0" w:rsidRDefault="00D20476" w:rsidP="00FD1FC5">
      <w:pPr>
        <w:pStyle w:val="Heading2"/>
      </w:pPr>
      <w:bookmarkStart w:id="168" w:name="_Toc101048105"/>
      <w:r w:rsidRPr="008E2CD0">
        <w:t>Fusarium wilt</w:t>
      </w:r>
      <w:bookmarkEnd w:id="165"/>
      <w:bookmarkEnd w:id="166"/>
      <w:bookmarkEnd w:id="167"/>
      <w:bookmarkEnd w:id="168"/>
    </w:p>
    <w:p w14:paraId="2DE28CF5" w14:textId="77777777" w:rsidR="00D20476" w:rsidRPr="001C0B21" w:rsidRDefault="00D20476" w:rsidP="00D20476">
      <w:pPr>
        <w:pStyle w:val="NormalWeb"/>
        <w:spacing w:before="0" w:beforeAutospacing="0" w:after="0" w:afterAutospacing="0" w:line="360" w:lineRule="auto"/>
        <w:ind w:left="720" w:firstLine="720"/>
      </w:pPr>
      <w:bookmarkStart w:id="169" w:name="_Toc98812725"/>
      <w:bookmarkStart w:id="170" w:name="_Toc98812933"/>
      <w:bookmarkStart w:id="171" w:name="_Toc98813599"/>
      <w:r w:rsidRPr="001C0B21">
        <w:rPr>
          <w:shd w:val="clear" w:color="auto" w:fill="FFFFFF"/>
        </w:rPr>
        <w:t>Fusarium wilt is caused by two subspecies of</w:t>
      </w:r>
      <w:r w:rsidRPr="001C0B21">
        <w:rPr>
          <w:i/>
          <w:iCs/>
          <w:shd w:val="clear" w:color="auto" w:fill="FFFFFF"/>
        </w:rPr>
        <w:t xml:space="preserve"> Fusarium oxysporum </w:t>
      </w:r>
      <w:r w:rsidRPr="001C0B21">
        <w:rPr>
          <w:iCs/>
          <w:shd w:val="clear" w:color="auto" w:fill="FFFFFF"/>
        </w:rPr>
        <w:t>including</w:t>
      </w:r>
      <w:r w:rsidRPr="001C0B21">
        <w:rPr>
          <w:i/>
          <w:iCs/>
          <w:shd w:val="clear" w:color="auto" w:fill="FFFFFF"/>
        </w:rPr>
        <w:t xml:space="preserve"> Fusarium oxysporum </w:t>
      </w:r>
      <w:r w:rsidRPr="006436B2">
        <w:rPr>
          <w:iCs/>
          <w:shd w:val="clear" w:color="auto" w:fill="FFFFFF"/>
        </w:rPr>
        <w:t>f. sp</w:t>
      </w:r>
      <w:r w:rsidRPr="001C0B21">
        <w:rPr>
          <w:i/>
          <w:iCs/>
          <w:shd w:val="clear" w:color="auto" w:fill="FFFFFF"/>
        </w:rPr>
        <w:t xml:space="preserve">. vasinfectum and Fusarium oxysporum </w:t>
      </w:r>
      <w:r w:rsidRPr="006436B2">
        <w:rPr>
          <w:iCs/>
          <w:shd w:val="clear" w:color="auto" w:fill="FFFFFF"/>
        </w:rPr>
        <w:t xml:space="preserve">f. sp. </w:t>
      </w:r>
      <w:r w:rsidRPr="001C0B21">
        <w:rPr>
          <w:i/>
          <w:iCs/>
          <w:shd w:val="clear" w:color="auto" w:fill="FFFFFF"/>
        </w:rPr>
        <w:t>cannabis</w:t>
      </w:r>
      <w:r>
        <w:rPr>
          <w:i/>
          <w:iCs/>
          <w:shd w:val="clear" w:color="auto" w:fill="FFFFFF"/>
        </w:rPr>
        <w:t xml:space="preserve"> </w:t>
      </w:r>
      <w:r w:rsidRPr="001C0B21">
        <w:fldChar w:fldCharType="begin" w:fldLock="1"/>
      </w:r>
      <w:r w:rsidRPr="001C0B21">
        <w:instrText>ADDIN CSL_CITATION {"citationItems":[{"id":"ITEM-1","itemData":{"DOI":"10.1300/j237v09n02_07","ISSN":"1537-7881","author":[{"dropping-particle":"","family":"McPartland","given":"John M.","non-dropping-particle":"","parse-names":false,"suffix":""},{"dropping-particle":"","family":"Hillig","given":"Karl W.","non-dropping-particle":"","parse-names":false,"suffix":""}],"container-title":"Journal of Industrial Hemp","id":"ITEM-1","issue":"2","issued":{"date-parts":[["2004"]]},"page":"67-77","title":"CANNABIS CLINIC Fusarium Wilt","type":"article-journal","volume":"9"},"uris":["http://www.mendeley.com/documents/?uuid=e7648977-5227-45c5-8196-2a33e195e81b"]}],"mendeley":{"formattedCitation":"(McPartland &amp; Hillig, 2004)","plainTextFormattedCitation":"(McPartland &amp; Hillig, 2004)","previouslyFormattedCitation":"(McPartland &amp; Hillig, 2004)"},"properties":{"noteIndex":0},"schema":"https://github.com/citation-style-language/schema/raw/master/csl-citation.json"}</w:instrText>
      </w:r>
      <w:r w:rsidRPr="001C0B21">
        <w:fldChar w:fldCharType="separate"/>
      </w:r>
      <w:r w:rsidRPr="001C0B21">
        <w:rPr>
          <w:noProof/>
        </w:rPr>
        <w:t>(McPartland &amp; Hillig, 2004)</w:t>
      </w:r>
      <w:r w:rsidRPr="001C0B21">
        <w:fldChar w:fldCharType="end"/>
      </w:r>
      <w:r w:rsidRPr="001C0B21">
        <w:rPr>
          <w:shd w:val="clear" w:color="auto" w:fill="FFFFFF"/>
        </w:rPr>
        <w:t xml:space="preserve">. Fusarium wilt </w:t>
      </w:r>
      <w:r w:rsidRPr="001C0B21">
        <w:t>can reduce hemp fiber quality and yield, and seed yields</w:t>
      </w:r>
      <w:r>
        <w:t xml:space="preserve">, with </w:t>
      </w:r>
      <w:r w:rsidRPr="001C0B21">
        <w:rPr>
          <w:shd w:val="clear" w:color="auto" w:fill="FFFFFF"/>
        </w:rPr>
        <w:t xml:space="preserve">crop loss </w:t>
      </w:r>
      <w:r>
        <w:rPr>
          <w:shd w:val="clear" w:color="auto" w:fill="FFFFFF"/>
        </w:rPr>
        <w:t xml:space="preserve">reaching </w:t>
      </w:r>
      <w:r w:rsidRPr="001C0B21">
        <w:rPr>
          <w:shd w:val="clear" w:color="auto" w:fill="FFFFFF"/>
        </w:rPr>
        <w:t>up to 90% if unchecked</w:t>
      </w:r>
      <w:r>
        <w:rPr>
          <w:shd w:val="clear" w:color="auto" w:fill="FFFFFF"/>
        </w:rPr>
        <w:t xml:space="preserve"> </w:t>
      </w:r>
      <w:r w:rsidRPr="001C0B21">
        <w:fldChar w:fldCharType="begin" w:fldLock="1"/>
      </w:r>
      <w:r w:rsidRPr="001C0B21">
        <w:instrText>ADDIN CSL_CITATION {"citationItems":[{"id":"ITEM-1","itemData":{"DOI":"10.1300/j237v09n02_07","ISSN":"1537-7881","author":[{"dropping-particle":"","family":"McPartland","given":"John M.","non-dropping-particle":"","parse-names":false,"suffix":""},{"dropping-particle":"","family":"Hillig","given":"Karl W.","non-dropping-particle":"","parse-names":false,"suffix":""}],"container-title":"Journal of Industrial Hemp","id":"ITEM-1","issue":"2","issued":{"date-parts":[["2004"]]},"page":"67-77","title":"CANNABIS CLINIC Fusarium Wilt","type":"article-journal","volume":"9"},"uris":["http://www.mendeley.com/documents/?uuid=e7648977-5227-45c5-8196-2a33e195e81b"]}],"mendeley":{"formattedCitation":"(McPartland &amp; Hillig, 2004)","plainTextFormattedCitation":"(McPartland &amp; Hillig, 2004)","previouslyFormattedCitation":"(McPartland &amp; Hillig, 2004)"},"properties":{"noteIndex":0},"schema":"https://github.com/citation-style-language/schema/raw/master/csl-citation.json"}</w:instrText>
      </w:r>
      <w:r w:rsidRPr="001C0B21">
        <w:fldChar w:fldCharType="separate"/>
      </w:r>
      <w:r w:rsidRPr="001C0B21">
        <w:rPr>
          <w:noProof/>
        </w:rPr>
        <w:t>(McPartland &amp; Hillig, 2004)</w:t>
      </w:r>
      <w:r w:rsidRPr="001C0B21">
        <w:fldChar w:fldCharType="end"/>
      </w:r>
      <w:r w:rsidRPr="001C0B21">
        <w:t xml:space="preserve">. The disease can be very devastating </w:t>
      </w:r>
      <w:r>
        <w:t>to</w:t>
      </w:r>
      <w:r w:rsidRPr="001C0B21">
        <w:t xml:space="preserve"> hemp</w:t>
      </w:r>
      <w:r>
        <w:t xml:space="preserve"> to the extent that h</w:t>
      </w:r>
      <w:r w:rsidRPr="001C0B21">
        <w:t>istorically, in the 1980s, the fusarium wilt fungi w</w:t>
      </w:r>
      <w:r>
        <w:t>ere</w:t>
      </w:r>
      <w:r w:rsidRPr="001C0B21">
        <w:t xml:space="preserve"> adopted by the U.S government in </w:t>
      </w:r>
      <w:r>
        <w:t xml:space="preserve">an </w:t>
      </w:r>
      <w:r w:rsidRPr="001C0B21">
        <w:t xml:space="preserve">attempt to destroy illegal cannabis cultivation </w:t>
      </w:r>
      <w:r w:rsidRPr="001C0B21">
        <w:rPr>
          <w:shd w:val="clear" w:color="auto" w:fill="FFFFFF"/>
        </w:rPr>
        <w:t>(McPartland and Hillig, 2004)</w:t>
      </w:r>
      <w:r w:rsidRPr="001C0B21">
        <w:t>. T</w:t>
      </w:r>
      <w:r w:rsidRPr="001C0B21">
        <w:rPr>
          <w:shd w:val="clear" w:color="auto" w:fill="FFFFFF"/>
        </w:rPr>
        <w:t xml:space="preserve">he fungus </w:t>
      </w:r>
      <w:r>
        <w:rPr>
          <w:shd w:val="clear" w:color="auto" w:fill="FFFFFF"/>
        </w:rPr>
        <w:t>overwinters</w:t>
      </w:r>
      <w:r w:rsidRPr="001C0B21">
        <w:rPr>
          <w:shd w:val="clear" w:color="auto" w:fill="FFFFFF"/>
        </w:rPr>
        <w:t xml:space="preserve"> in the form of </w:t>
      </w:r>
      <w:r w:rsidRPr="001C0B21">
        <w:t xml:space="preserve">chlamydospores in soil or mycelium on debris </w:t>
      </w:r>
      <w:r w:rsidRPr="001C0B21">
        <w:rPr>
          <w:shd w:val="clear" w:color="auto" w:fill="FFFFFF"/>
        </w:rPr>
        <w:t xml:space="preserve">(McPartland, 1996). In spring during warm weather, </w:t>
      </w:r>
      <w:r w:rsidRPr="001C0B21">
        <w:t xml:space="preserve">chlamydospores germinate and produce hyphae to infect young roots of seedlings or enter through wounds of older plant parts. The hyphae will spread within the root and produce microconidia which block water passage in the xylem, interrupting water flow, and killing the plant </w:t>
      </w:r>
      <w:r w:rsidRPr="001C0B21">
        <w:rPr>
          <w:shd w:val="clear" w:color="auto" w:fill="FFFFFF"/>
        </w:rPr>
        <w:t xml:space="preserve">(McPartland, 1996). A review of hemp (cannabis) diseases caused by diverse </w:t>
      </w:r>
      <w:r w:rsidRPr="00A66C4B">
        <w:rPr>
          <w:i/>
          <w:shd w:val="clear" w:color="auto" w:fill="FFFFFF"/>
        </w:rPr>
        <w:t>Fusarium</w:t>
      </w:r>
      <w:r w:rsidRPr="001C0B21">
        <w:rPr>
          <w:shd w:val="clear" w:color="auto" w:fill="FFFFFF"/>
        </w:rPr>
        <w:t xml:space="preserve"> species ha</w:t>
      </w:r>
      <w:r>
        <w:rPr>
          <w:shd w:val="clear" w:color="auto" w:fill="FFFFFF"/>
        </w:rPr>
        <w:t>s</w:t>
      </w:r>
      <w:r w:rsidRPr="001C0B21">
        <w:rPr>
          <w:shd w:val="clear" w:color="auto" w:fill="FFFFFF"/>
        </w:rPr>
        <w:t xml:space="preserve"> been recently published, and it expands on five </w:t>
      </w:r>
      <w:r w:rsidRPr="001C0B21">
        <w:rPr>
          <w:i/>
          <w:shd w:val="clear" w:color="auto" w:fill="FFFFFF"/>
        </w:rPr>
        <w:t>Fusarium</w:t>
      </w:r>
      <w:r w:rsidRPr="001C0B21">
        <w:rPr>
          <w:shd w:val="clear" w:color="auto" w:fill="FFFFFF"/>
        </w:rPr>
        <w:t xml:space="preserve"> species complexes that can cause disease </w:t>
      </w:r>
      <w:r>
        <w:rPr>
          <w:shd w:val="clear" w:color="auto" w:fill="FFFFFF"/>
        </w:rPr>
        <w:t>i</w:t>
      </w:r>
      <w:r w:rsidRPr="001C0B21">
        <w:rPr>
          <w:shd w:val="clear" w:color="auto" w:fill="FFFFFF"/>
        </w:rPr>
        <w:t xml:space="preserve">n hemp </w:t>
      </w:r>
      <w:r w:rsidRPr="001C0B21">
        <w:rPr>
          <w:shd w:val="clear" w:color="auto" w:fill="FFFFFF"/>
        </w:rPr>
        <w:fldChar w:fldCharType="begin" w:fldLock="1"/>
      </w:r>
      <w:r w:rsidRPr="001C0B21">
        <w:rPr>
          <w:shd w:val="clear" w:color="auto" w:fill="FFFFFF"/>
        </w:rPr>
        <w:instrText>ADDIN CSL_CITATION {"citationItems":[{"id":"ITEM-1","itemData":{"DOI":"10.3389/fagro.2021.796062","ISSN":"26733218","abstract":"The potential of species of Fusarium to cause significant economic losses in Cannabis sativa due to plant diseases and mycotoxin residues is the subject of this review. Sixteen species of Fusarium, reported as associated with cannabis production, are classified in six species complexes: Fusarium oxysporum, F. solani, F. incarnatum-equiseti, F. sambucinum, F. tricinctum, and F. fujikuroi. Taxonomy in this genus is the subject of debate, and removal of species in the F. solani Species Complex to the genus, Neocosmospora, has been proposed. Many species associated with C. sativa are also opportunistic pathogens of humans and animals. Species of Fusarium produce a myriad of mycotoxins, including at least three (deoxynivalenol, zearalenone, and fumonisin B) deemed the most important mycotoxins in human and animal foods. These chemicals vary from the very simple chemicals (moniliformin and butanolide) to the structurally complex depsipeptides (beauvericin and enniatin B) and trichothecenes (deoxynivalenol and its acetylated derivatives, diacetoxyscirpenol, and T-2-toxin). The robust strategies for disease management (e.g., exclusion of the pathogen, control of environment, and host resistance) are in development for this new crop and have primarily relied on management systems for other crops. Biopesticides have been labeled for use on C. sativa; however, few efficacy trials have been performed. Host resistance to these pathogens and transmission are also understudied. The new markets for C. sativa and its derivative products require knowledge for control of these important fungal diseases to provide safe products for human consumption.","author":[{"dropping-particle":"","family":"Gwinn","given":"Kimberly D.","non-dropping-particle":"","parse-names":false,"suffix":""},{"dropping-particle":"","family":"Hansen","given":"Zachariah","non-dropping-particle":"","parse-names":false,"suffix":""},{"dropping-particle":"","family":"Kelly","given":"Heather","non-dropping-particle":"","parse-names":false,"suffix":""},{"dropping-particle":"","family":"Ownley","given":"Bonnie H.","non-dropping-particle":"","parse-names":false,"suffix":""}],"container-title":"Frontiers in Agronomy","id":"ITEM-1","issue":"January","issued":{"date-parts":[["2022"]]},"page":"1-17","title":"Diseases of Cannabis sativa Caused by Diverse Fusarium Species","type":"article-journal","volume":"3"},"uris":["http://www.mendeley.com/documents/?uuid=dd702376-f2a0-4830-bd70-b528774eb265"]}],"mendeley":{"formattedCitation":"(Gwinn et al., 2022)","plainTextFormattedCitation":"(Gwinn et al., 2022)","previouslyFormattedCitation":"(Gwinn et al., 2022)"},"properties":{"noteIndex":0},"schema":"https://github.com/citation-style-language/schema/raw/master/csl-citation.json"}</w:instrText>
      </w:r>
      <w:r w:rsidRPr="001C0B21">
        <w:rPr>
          <w:shd w:val="clear" w:color="auto" w:fill="FFFFFF"/>
        </w:rPr>
        <w:fldChar w:fldCharType="separate"/>
      </w:r>
      <w:r w:rsidRPr="001C0B21">
        <w:rPr>
          <w:noProof/>
          <w:shd w:val="clear" w:color="auto" w:fill="FFFFFF"/>
        </w:rPr>
        <w:t>(Gwinn et al., 2022)</w:t>
      </w:r>
      <w:r w:rsidRPr="001C0B21">
        <w:rPr>
          <w:shd w:val="clear" w:color="auto" w:fill="FFFFFF"/>
        </w:rPr>
        <w:fldChar w:fldCharType="end"/>
      </w:r>
      <w:r w:rsidRPr="001C0B21">
        <w:rPr>
          <w:shd w:val="clear" w:color="auto" w:fill="FFFFFF"/>
        </w:rPr>
        <w:t>.</w:t>
      </w:r>
    </w:p>
    <w:p w14:paraId="67467190" w14:textId="77777777" w:rsidR="00D20476" w:rsidRDefault="00D20476" w:rsidP="00D122A6">
      <w:pPr>
        <w:pStyle w:val="Heading3"/>
      </w:pPr>
    </w:p>
    <w:p w14:paraId="147F83FF" w14:textId="77777777" w:rsidR="00D20476" w:rsidRPr="008E2CD0" w:rsidRDefault="00D20476" w:rsidP="00D122A6">
      <w:pPr>
        <w:pStyle w:val="Heading3"/>
      </w:pPr>
      <w:bookmarkStart w:id="172" w:name="_Toc101048106"/>
      <w:r w:rsidRPr="008E2CD0">
        <w:t>Symptoms</w:t>
      </w:r>
      <w:bookmarkEnd w:id="169"/>
      <w:bookmarkEnd w:id="170"/>
      <w:bookmarkEnd w:id="171"/>
      <w:bookmarkEnd w:id="172"/>
    </w:p>
    <w:p w14:paraId="51090901" w14:textId="1B49E3F1" w:rsidR="008E0C49" w:rsidRDefault="00D20476" w:rsidP="00511C39">
      <w:pPr>
        <w:pStyle w:val="NormalWeb"/>
        <w:spacing w:before="0" w:beforeAutospacing="0" w:after="0" w:afterAutospacing="0" w:line="360" w:lineRule="auto"/>
        <w:ind w:left="720" w:firstLine="720"/>
        <w:rPr>
          <w:shd w:val="clear" w:color="auto" w:fill="FFFFFF"/>
        </w:rPr>
      </w:pPr>
      <w:bookmarkStart w:id="173" w:name="_Toc98812726"/>
      <w:bookmarkStart w:id="174" w:name="_Toc98812934"/>
      <w:bookmarkStart w:id="175" w:name="_Toc98813600"/>
      <w:r w:rsidRPr="001C0B21">
        <w:rPr>
          <w:shd w:val="clear" w:color="auto" w:fill="FFFFFF"/>
        </w:rPr>
        <w:t xml:space="preserve">Initial symptoms include small, dark, irregular spots on lower leaves. Later, the leaf suddenly turns yellow and begins wilting, leaf tips curling upward as infections become severe. Wilted leaves dry and appear yellow-tan in color and remain on plants without falling off. Wilted stems also appear yellow-tan and stem xylem tissue shows reddish-brown discoloration when split-opened </w:t>
      </w:r>
      <w:r w:rsidRPr="001C0B21">
        <w:t>(</w:t>
      </w:r>
      <w:r w:rsidRPr="001C0B21">
        <w:rPr>
          <w:shd w:val="clear" w:color="auto" w:fill="FFFFFF"/>
        </w:rPr>
        <w:t>McPartland et al., 2000).</w:t>
      </w:r>
      <w:r w:rsidRPr="001C0B21">
        <w:rPr>
          <w:sz w:val="20"/>
          <w:szCs w:val="20"/>
          <w:shd w:val="clear" w:color="auto" w:fill="FFFFFF"/>
        </w:rPr>
        <w:t> </w:t>
      </w:r>
      <w:r w:rsidRPr="001C0B21">
        <w:rPr>
          <w:shd w:val="clear" w:color="auto" w:fill="FFFFFF"/>
        </w:rPr>
        <w:t xml:space="preserve"> </w:t>
      </w:r>
    </w:p>
    <w:p w14:paraId="7CBA6672" w14:textId="77777777" w:rsidR="00511C39" w:rsidRDefault="00511C39" w:rsidP="00511C39">
      <w:pPr>
        <w:pStyle w:val="NormalWeb"/>
        <w:spacing w:before="0" w:beforeAutospacing="0" w:after="0" w:afterAutospacing="0" w:line="360" w:lineRule="auto"/>
        <w:ind w:left="720" w:firstLine="720"/>
        <w:rPr>
          <w:b/>
          <w:bCs/>
          <w:i/>
          <w:shd w:val="clear" w:color="auto" w:fill="FFFFFF"/>
        </w:rPr>
      </w:pPr>
    </w:p>
    <w:p w14:paraId="2F33135D" w14:textId="6DB843AC" w:rsidR="00D20476" w:rsidRPr="008E2CD0" w:rsidRDefault="00D20476" w:rsidP="00D122A6">
      <w:pPr>
        <w:pStyle w:val="Heading3"/>
      </w:pPr>
      <w:bookmarkStart w:id="176" w:name="_Toc101048107"/>
      <w:r w:rsidRPr="008E2CD0">
        <w:t>Management</w:t>
      </w:r>
      <w:bookmarkEnd w:id="173"/>
      <w:bookmarkEnd w:id="174"/>
      <w:bookmarkEnd w:id="175"/>
      <w:bookmarkEnd w:id="176"/>
      <w:r w:rsidRPr="008E2CD0">
        <w:t xml:space="preserve"> </w:t>
      </w:r>
    </w:p>
    <w:p w14:paraId="557AAFF3" w14:textId="77777777" w:rsidR="00D20476" w:rsidRDefault="00D20476" w:rsidP="00511C39">
      <w:pPr>
        <w:widowControl/>
        <w:autoSpaceDE/>
        <w:autoSpaceDN/>
        <w:spacing w:line="360" w:lineRule="auto"/>
        <w:ind w:left="720" w:firstLine="720"/>
        <w:rPr>
          <w:rFonts w:cs="Times New Roman"/>
          <w:sz w:val="20"/>
          <w:szCs w:val="20"/>
          <w:shd w:val="clear" w:color="auto" w:fill="FFFFFF"/>
        </w:rPr>
      </w:pPr>
      <w:bookmarkStart w:id="177" w:name="_Toc98812727"/>
      <w:bookmarkStart w:id="178" w:name="_Toc98812935"/>
      <w:bookmarkStart w:id="179" w:name="_Toc98813601"/>
      <w:r w:rsidRPr="001C0B21">
        <w:rPr>
          <w:rFonts w:cs="Times New Roman"/>
          <w:szCs w:val="24"/>
        </w:rPr>
        <w:t>Crop rotation to non-host crops (wheat has been suggested) can reduce disease pressure, and fusarium wilt-resistant cultivars (‘Fibramulta 151’) can reduce disease and prevent potential crop damage. Proper nutrient management, including avoiding excess nitrogen and maintaining optimal calcium and potash support plants against wilt disease. Soil pH should be maintained near neutral. Supplying soil with organic materials and manure can support natural soil Fusarium-antagonist microbes (</w:t>
      </w:r>
      <w:r w:rsidRPr="001C0B21">
        <w:rPr>
          <w:rFonts w:cs="Times New Roman"/>
          <w:szCs w:val="24"/>
          <w:shd w:val="clear" w:color="auto" w:fill="FFFFFF"/>
        </w:rPr>
        <w:t>McPartland and Hillig, 2004</w:t>
      </w:r>
      <w:r w:rsidRPr="001C0B21">
        <w:rPr>
          <w:rFonts w:cs="Times New Roman"/>
          <w:szCs w:val="24"/>
        </w:rPr>
        <w:t xml:space="preserve">). Biocontrol fungi such as </w:t>
      </w:r>
      <w:r w:rsidRPr="001C0B21">
        <w:rPr>
          <w:rFonts w:cs="Times New Roman"/>
          <w:i/>
          <w:szCs w:val="24"/>
        </w:rPr>
        <w:t>Trichoderma, Bulkoldera</w:t>
      </w:r>
      <w:r w:rsidRPr="001C0B21">
        <w:rPr>
          <w:rFonts w:cs="Times New Roman"/>
          <w:szCs w:val="24"/>
        </w:rPr>
        <w:t xml:space="preserve">, and </w:t>
      </w:r>
      <w:r w:rsidRPr="001C0B21">
        <w:rPr>
          <w:rFonts w:cs="Times New Roman"/>
          <w:i/>
          <w:szCs w:val="24"/>
        </w:rPr>
        <w:t>Streptomyces</w:t>
      </w:r>
      <w:r w:rsidRPr="001C0B21">
        <w:rPr>
          <w:rFonts w:cs="Times New Roman"/>
          <w:szCs w:val="24"/>
        </w:rPr>
        <w:t xml:space="preserve"> are reported to be effective against Fusarium wilt when used combined with </w:t>
      </w:r>
      <w:r w:rsidRPr="001C0B21">
        <w:rPr>
          <w:rFonts w:cs="Times New Roman"/>
          <w:i/>
          <w:szCs w:val="24"/>
        </w:rPr>
        <w:t>F. oxysporium</w:t>
      </w:r>
      <w:r w:rsidRPr="001C0B21">
        <w:rPr>
          <w:rFonts w:cs="Times New Roman"/>
          <w:szCs w:val="24"/>
        </w:rPr>
        <w:t xml:space="preserve"> biocontrol product. Chemical control options are limited to treating seeds with fungicides and applying soil fumigants (</w:t>
      </w:r>
      <w:r w:rsidRPr="001C0B21">
        <w:rPr>
          <w:rFonts w:cs="Times New Roman"/>
          <w:szCs w:val="24"/>
          <w:shd w:val="clear" w:color="auto" w:fill="FFFFFF"/>
        </w:rPr>
        <w:t>McPartland et al., 2000).</w:t>
      </w:r>
      <w:r w:rsidRPr="001C0B21">
        <w:rPr>
          <w:rFonts w:cs="Times New Roman"/>
          <w:sz w:val="20"/>
          <w:szCs w:val="20"/>
          <w:shd w:val="clear" w:color="auto" w:fill="FFFFFF"/>
        </w:rPr>
        <w:t> </w:t>
      </w:r>
    </w:p>
    <w:p w14:paraId="5EBCDCF6" w14:textId="77777777" w:rsidR="00D20476" w:rsidRDefault="00D20476" w:rsidP="00511C39">
      <w:pPr>
        <w:widowControl/>
        <w:autoSpaceDE/>
        <w:autoSpaceDN/>
        <w:spacing w:line="360" w:lineRule="auto"/>
        <w:ind w:left="720" w:firstLine="720"/>
        <w:rPr>
          <w:rFonts w:cs="Times New Roman"/>
          <w:sz w:val="20"/>
          <w:szCs w:val="20"/>
          <w:shd w:val="clear" w:color="auto" w:fill="FFFFFF"/>
        </w:rPr>
      </w:pPr>
    </w:p>
    <w:p w14:paraId="0E75A17C" w14:textId="77777777" w:rsidR="00D20476" w:rsidRPr="001C0B21" w:rsidRDefault="00D20476" w:rsidP="00FD1FC5">
      <w:pPr>
        <w:pStyle w:val="Heading2"/>
      </w:pPr>
      <w:bookmarkStart w:id="180" w:name="_Toc101048108"/>
      <w:r w:rsidRPr="001C0B21">
        <w:t>Hemp leaf spots</w:t>
      </w:r>
      <w:bookmarkEnd w:id="180"/>
    </w:p>
    <w:p w14:paraId="51C0DCE6" w14:textId="77777777" w:rsidR="00D20476" w:rsidRDefault="00D20476" w:rsidP="00D20476">
      <w:pPr>
        <w:spacing w:line="360" w:lineRule="auto"/>
        <w:ind w:left="720" w:firstLine="720"/>
        <w:rPr>
          <w:rFonts w:cs="Times New Roman"/>
          <w:szCs w:val="24"/>
        </w:rPr>
      </w:pPr>
      <w:r w:rsidRPr="00E866D9">
        <w:rPr>
          <w:rFonts w:cs="Times New Roman"/>
          <w:szCs w:val="24"/>
        </w:rPr>
        <w:t>Leaf spot diseases are among the most common diseases of hemp. Hemp leaf spots are caused by bacteria</w:t>
      </w:r>
      <w:r>
        <w:rPr>
          <w:rFonts w:cs="Times New Roman"/>
          <w:szCs w:val="24"/>
        </w:rPr>
        <w:t>l</w:t>
      </w:r>
      <w:r w:rsidRPr="00E866D9">
        <w:rPr>
          <w:rFonts w:cs="Times New Roman"/>
          <w:szCs w:val="24"/>
        </w:rPr>
        <w:t xml:space="preserve"> and fung</w:t>
      </w:r>
      <w:r>
        <w:rPr>
          <w:rFonts w:cs="Times New Roman"/>
          <w:szCs w:val="24"/>
        </w:rPr>
        <w:t xml:space="preserve">al </w:t>
      </w:r>
      <w:r w:rsidRPr="00E866D9">
        <w:rPr>
          <w:rFonts w:cs="Times New Roman"/>
          <w:szCs w:val="24"/>
        </w:rPr>
        <w:t xml:space="preserve">species. Among frequently reported hemp leaf spots include anthracnose leaf spot </w:t>
      </w:r>
      <w:r w:rsidRPr="00E866D9">
        <w:rPr>
          <w:rFonts w:cs="Times New Roman"/>
          <w:szCs w:val="24"/>
        </w:rPr>
        <w:fldChar w:fldCharType="begin" w:fldLock="1"/>
      </w:r>
      <w:r w:rsidRPr="00E866D9">
        <w:rPr>
          <w:rFonts w:cs="Times New Roman"/>
          <w:szCs w:val="24"/>
        </w:rPr>
        <w:instrText>ADDIN CSL_CITATION {"citationItems":[{"id":"ITEM-1","itemData":{"DOI":"10.1094/PDIS-10-19-2216-PDN","ISSN":"19437692","author":[{"dropping-particle":"","family":"Szarka","given":"D.","non-dropping-particle":"","parse-names":false,"suffix":""},{"dropping-particle":"","family":"McCulloch","given":"M.","non-dropping-particle":"","parse-names":false,"suffix":""},{"dropping-particle":"","family":"Beale","given":"J.","non-dropping-particle":"","parse-names":false,"suffix":""},{"dropping-particle":"","family":"Long","given":"S.","non-dropping-particle":"","parse-names":false,"suffix":""},{"dropping-particle":"","family":"Dixon","given":"E.","non-dropping-particle":"","parse-names":false,"suffix":""},{"dropping-particle":"","family":"Gauthier","given":"N.","non-dropping-particle":"","parse-names":false,"suffix":""}],"container-title":"Plant Disease","id":"ITEM-1","issue":"5","issued":{"date-parts":[["2020"]]},"page":"4-6","title":"First report of anthracnose leaf spot caused by Colletotrichum fioriniae on Hemp (Cannabis sativa)","type":"article-journal","volume":"104"},"uris":["http://www.mendeley.com/documents/?uuid=bf1bbfa9-e59b-4aa9-881e-55f0d24e8721"]}],"mendeley":{"formattedCitation":"(D. Szarka et al., 2020)","plainTextFormattedCitation":"(D. Szarka et al., 2020)","previouslyFormattedCitation":"(D. Szarka et al., 2020)"},"properties":{"noteIndex":0},"schema":"https://github.com/citation-style-language/schema/raw/master/csl-citation.json"}</w:instrText>
      </w:r>
      <w:r w:rsidRPr="00E866D9">
        <w:rPr>
          <w:rFonts w:cs="Times New Roman"/>
          <w:szCs w:val="24"/>
        </w:rPr>
        <w:fldChar w:fldCharType="separate"/>
      </w:r>
      <w:r w:rsidRPr="00E866D9">
        <w:rPr>
          <w:rFonts w:cs="Times New Roman"/>
          <w:noProof/>
          <w:szCs w:val="24"/>
        </w:rPr>
        <w:t>(D. Szarka et al., 2020)</w:t>
      </w:r>
      <w:r w:rsidRPr="00E866D9">
        <w:rPr>
          <w:rFonts w:cs="Times New Roman"/>
          <w:szCs w:val="24"/>
        </w:rPr>
        <w:fldChar w:fldCharType="end"/>
      </w:r>
      <w:r w:rsidRPr="00E866D9">
        <w:rPr>
          <w:rFonts w:cs="Times New Roman"/>
          <w:szCs w:val="24"/>
        </w:rPr>
        <w:t xml:space="preserve">, bacterial leaf spot </w:t>
      </w:r>
      <w:r w:rsidRPr="00E866D9">
        <w:rPr>
          <w:rFonts w:cs="Times New Roman"/>
          <w:szCs w:val="24"/>
        </w:rPr>
        <w:fldChar w:fldCharType="begin" w:fldLock="1"/>
      </w:r>
      <w:r w:rsidRPr="00E866D9">
        <w:rPr>
          <w:rFonts w:cs="Times New Roman"/>
          <w:szCs w:val="24"/>
        </w:rPr>
        <w:instrText>ADDIN CSL_CITATION {"citationItems":[{"id":"ITEM-1","itemData":{"DOI":"10.1094/PHP-03-20-0017-RS","ISSN":"15351025","abstract":"Industrial hemp(Cannabis sativa L.) has recently been reintroduced as an agricultural commodity in the United States, and, through state-led pilot programs, growers and researchers have been investigating production strategies. Diseases and disorders of industrial hemp in the United States are largely unknowns because record-keeping and taxonomy have improved dramatically in the last several decades. In 2016, North Carolina launched a pilot program to investigate industrial hemp, and diseases and abiotic disorders were surveyed in 2017 and 2018. Producers, consultants, and agricultural extension agents submitted samples to the North Carolina Department of Agriculture and Consumer Services Agronomic Services Division (n = 572) and the North Carolina Plant Disease and Insect Clinic (n = 117). Common field diseases found included Fusarium foliar and flower blights (Fusarium graminearum), Fusarium wilt (Fusarium oxysporum), and Helminthosporium leaf spot (Exserohilum rostratum). Greenhouse diseases were primarily caused by Pythium spp. and Botrytis cinerea. Common environmental disorders were attributed to excessive rainfall flooding roots and poor root development of transplanted clones.","author":[{"dropping-particle":"","family":"Thiessen","given":"Lindsey D.","non-dropping-particle":"","parse-names":false,"suffix":""},{"dropping-particle":"","family":"Schappe","given":"Tyler","non-dropping-particle":"","parse-names":false,"suffix":""},{"dropping-particle":"","family":"Cochran","given":"Sarah","non-dropping-particle":"","parse-names":false,"suffix":""},{"dropping-particle":"","family":"Hicks","given":"Kristin","non-dropping-particle":"","parse-names":false,"suffix":""},{"dropping-particle":"","family":"Post","given":"Angela R.","non-dropping-particle":"","parse-names":false,"suffix":""}],"container-title":"Plant Health Progress","id":"ITEM-1","issue":"4","issued":{"date-parts":[["2020"]]},"page":"321-332","title":"Surveying for Potential Diseases and Abiotic Disorders of Industrial Hemp (Cannabis sativa) Production","type":"article-journal","volume":"21"},"uris":["http://www.mendeley.com/documents/?uuid=da79b907-d855-41a5-8320-7a4e02e36558"]}],"mendeley":{"formattedCitation":"(Thiessen et al., 2020)","plainTextFormattedCitation":"(Thiessen et al., 2020)","previouslyFormattedCitation":"(Thiessen et al., 2020)"},"properties":{"noteIndex":0},"schema":"https://github.com/citation-style-language/schema/raw/master/csl-citation.json"}</w:instrText>
      </w:r>
      <w:r w:rsidRPr="00E866D9">
        <w:rPr>
          <w:rFonts w:cs="Times New Roman"/>
          <w:szCs w:val="24"/>
        </w:rPr>
        <w:fldChar w:fldCharType="separate"/>
      </w:r>
      <w:r w:rsidRPr="00E866D9">
        <w:rPr>
          <w:rFonts w:cs="Times New Roman"/>
          <w:noProof/>
          <w:szCs w:val="24"/>
        </w:rPr>
        <w:t>(Thiessen et al., 2020)</w:t>
      </w:r>
      <w:r w:rsidRPr="00E866D9">
        <w:rPr>
          <w:rFonts w:cs="Times New Roman"/>
          <w:szCs w:val="24"/>
        </w:rPr>
        <w:fldChar w:fldCharType="end"/>
      </w:r>
      <w:r w:rsidRPr="00E866D9">
        <w:rPr>
          <w:rFonts w:cs="Times New Roman"/>
          <w:szCs w:val="24"/>
        </w:rPr>
        <w:t xml:space="preserve">, </w:t>
      </w:r>
      <w:r>
        <w:rPr>
          <w:rFonts w:cs="Times New Roman"/>
          <w:szCs w:val="24"/>
        </w:rPr>
        <w:t>C</w:t>
      </w:r>
      <w:r w:rsidRPr="00E866D9">
        <w:rPr>
          <w:rFonts w:cs="Times New Roman"/>
          <w:szCs w:val="24"/>
        </w:rPr>
        <w:t xml:space="preserve">ercospora leaf spot </w:t>
      </w:r>
      <w:r w:rsidRPr="00E866D9">
        <w:rPr>
          <w:rFonts w:cs="Times New Roman"/>
          <w:szCs w:val="24"/>
        </w:rPr>
        <w:fldChar w:fldCharType="begin" w:fldLock="1"/>
      </w:r>
      <w:r>
        <w:rPr>
          <w:rFonts w:cs="Times New Roman"/>
          <w:szCs w:val="24"/>
        </w:rPr>
        <w:instrText>ADDIN CSL_CITATION {"citationItems":[{"id":"ITEM-1","itemData":{"DOI":"10.1094/PDIS-11-19-2287-PDN","ISSN":"19437692","author":[{"dropping-particle":"V.","family":"Marin","given":"M.","non-dropping-particle":"","parse-names":false,"suffix":""},{"dropping-particle":"","family":"Coburn","given":"J.","non-dropping-particle":"","parse-names":false,"suffix":""},{"dropping-particle":"","family":"Desaeger","given":"J.","non-dropping-particle":"","parse-names":false,"suffix":""},{"dropping-particle":"","family":"Peres","given":"N. A.","non-dropping-particle":"","parse-names":false,"suffix":""}],"container-title":"Plant Disease","id":"ITEM-1","issue":"5","issued":{"date-parts":[["2020"]]},"title":"First report of cercospora leaf spot caused by cercospora cf. Flagellaris on industrial hemp in Florida","type":"article-journal","volume":"104"},"uris":["http://www.mendeley.com/documents/?uuid=0ae7b5dd-371e-423a-9933-21fd6f52cd51"]}],"mendeley":{"formattedCitation":"(Marin, Coburn, et al., 2020)","manualFormatting":"(Marin et al., 2020a)","plainTextFormattedCitation":"(Marin, Coburn, et al., 2020)","previouslyFormattedCitation":"(Marin, Coburn, et al., 2020)"},"properties":{"noteIndex":0},"schema":"https://github.com/citation-style-language/schema/raw/master/csl-citation.json"}</w:instrText>
      </w:r>
      <w:r w:rsidRPr="00E866D9">
        <w:rPr>
          <w:rFonts w:cs="Times New Roman"/>
          <w:szCs w:val="24"/>
        </w:rPr>
        <w:fldChar w:fldCharType="separate"/>
      </w:r>
      <w:r>
        <w:rPr>
          <w:rFonts w:cs="Times New Roman"/>
          <w:noProof/>
          <w:szCs w:val="24"/>
        </w:rPr>
        <w:t xml:space="preserve">(Marin </w:t>
      </w:r>
      <w:r w:rsidRPr="00E866D9">
        <w:rPr>
          <w:rFonts w:cs="Times New Roman"/>
          <w:noProof/>
          <w:szCs w:val="24"/>
        </w:rPr>
        <w:t>et al., 2020</w:t>
      </w:r>
      <w:r>
        <w:rPr>
          <w:rFonts w:cs="Times New Roman"/>
          <w:noProof/>
          <w:szCs w:val="24"/>
        </w:rPr>
        <w:t>a</w:t>
      </w:r>
      <w:r w:rsidRPr="00E866D9">
        <w:rPr>
          <w:rFonts w:cs="Times New Roman"/>
          <w:noProof/>
          <w:szCs w:val="24"/>
        </w:rPr>
        <w:t>)</w:t>
      </w:r>
      <w:r w:rsidRPr="00E866D9">
        <w:rPr>
          <w:rFonts w:cs="Times New Roman"/>
          <w:szCs w:val="24"/>
        </w:rPr>
        <w:fldChar w:fldCharType="end"/>
      </w:r>
      <w:r w:rsidRPr="00E866D9">
        <w:rPr>
          <w:rFonts w:cs="Times New Roman"/>
          <w:szCs w:val="24"/>
        </w:rPr>
        <w:t xml:space="preserve">, </w:t>
      </w:r>
      <w:r>
        <w:rPr>
          <w:rFonts w:cs="Times New Roman"/>
          <w:szCs w:val="24"/>
        </w:rPr>
        <w:t>C</w:t>
      </w:r>
      <w:r w:rsidRPr="00E866D9">
        <w:rPr>
          <w:rFonts w:cs="Times New Roman"/>
          <w:szCs w:val="24"/>
        </w:rPr>
        <w:t xml:space="preserve">urvularia leaf spot </w:t>
      </w:r>
      <w:r w:rsidRPr="00E866D9">
        <w:rPr>
          <w:rFonts w:cs="Times New Roman"/>
          <w:szCs w:val="24"/>
        </w:rPr>
        <w:fldChar w:fldCharType="begin" w:fldLock="1"/>
      </w:r>
      <w:r w:rsidRPr="00E866D9">
        <w:rPr>
          <w:rFonts w:cs="Times New Roman"/>
          <w:szCs w:val="24"/>
        </w:rPr>
        <w:instrText>ADDIN CSL_CITATION {"citationItems":[{"id":"ITEM-1","itemData":{"DOI":"10.1094/PDIS-03-20-0546-PDN","ISSN":"19437692","author":[{"dropping-particle":"V.","family":"Marin","given":"M.","non-dropping-particle":"","parse-names":false,"suffix":""},{"dropping-particle":"","family":"Wang","given":"N. Y.","non-dropping-particle":"","parse-names":false,"suffix":""},{"dropping-particle":"","family":"Coburn","given":"J.","non-dropping-particle":"","parse-names":false,"suffix":""},{"dropping-particle":"","family":"Desaeger","given":"J.","non-dropping-particle":"","parse-names":false,"suffix":""},{"dropping-particle":"","family":"Peres","given":"N. A.","non-dropping-particle":"","parse-names":false,"suffix":""}],"container-title":"Plant Disease","id":"ITEM-1","issue":"12","issued":{"date-parts":[["2020"]]},"page":"3262","title":"First report of curvularia pseudobrachyspora causing leaf spot on hemp (cannabis sativa) in Florida","type":"article-journal","volume":"104"},"uris":["http://www.mendeley.com/documents/?uuid=aa605578-9198-4338-a467-326db3f1c752"]}],"mendeley":{"formattedCitation":"(Marin, Wang, et al., 2020)","plainTextFormattedCitation":"(Marin, Wang, et al., 2020)","previouslyFormattedCitation":"(Marin, Wang, et al., 2020)"},"properties":{"noteIndex":0},"schema":"https://github.com/citation-style-language/schema/raw/master/csl-citation.json"}</w:instrText>
      </w:r>
      <w:r w:rsidRPr="00E866D9">
        <w:rPr>
          <w:rFonts w:cs="Times New Roman"/>
          <w:szCs w:val="24"/>
        </w:rPr>
        <w:fldChar w:fldCharType="separate"/>
      </w:r>
      <w:r>
        <w:rPr>
          <w:rFonts w:cs="Times New Roman"/>
          <w:noProof/>
          <w:szCs w:val="24"/>
        </w:rPr>
        <w:t>(Marin e</w:t>
      </w:r>
      <w:r w:rsidRPr="00E866D9">
        <w:rPr>
          <w:rFonts w:cs="Times New Roman"/>
          <w:noProof/>
          <w:szCs w:val="24"/>
        </w:rPr>
        <w:t>t al., 2020</w:t>
      </w:r>
      <w:r>
        <w:rPr>
          <w:rFonts w:cs="Times New Roman"/>
          <w:noProof/>
          <w:szCs w:val="24"/>
        </w:rPr>
        <w:t>b</w:t>
      </w:r>
      <w:r w:rsidRPr="00E866D9">
        <w:rPr>
          <w:rFonts w:cs="Times New Roman"/>
          <w:noProof/>
          <w:szCs w:val="24"/>
        </w:rPr>
        <w:t>)</w:t>
      </w:r>
      <w:r w:rsidRPr="00E866D9">
        <w:rPr>
          <w:rFonts w:cs="Times New Roman"/>
          <w:szCs w:val="24"/>
        </w:rPr>
        <w:fldChar w:fldCharType="end"/>
      </w:r>
      <w:r w:rsidRPr="00E866D9">
        <w:rPr>
          <w:rFonts w:cs="Times New Roman"/>
          <w:szCs w:val="24"/>
        </w:rPr>
        <w:t xml:space="preserve">, </w:t>
      </w:r>
      <w:r>
        <w:rPr>
          <w:rFonts w:cs="Times New Roman"/>
          <w:szCs w:val="24"/>
        </w:rPr>
        <w:t>C</w:t>
      </w:r>
      <w:r w:rsidRPr="00E866D9">
        <w:rPr>
          <w:rFonts w:cs="Times New Roman"/>
          <w:szCs w:val="24"/>
        </w:rPr>
        <w:t xml:space="preserve">orynespora leaf spot, hemp (Bipolaris) leaf spot </w:t>
      </w:r>
      <w:r w:rsidRPr="00E866D9">
        <w:rPr>
          <w:rFonts w:cs="Times New Roman"/>
          <w:szCs w:val="24"/>
        </w:rPr>
        <w:fldChar w:fldCharType="begin" w:fldLock="1"/>
      </w:r>
      <w:r w:rsidRPr="00E866D9">
        <w:rPr>
          <w:rFonts w:cs="Times New Roman"/>
          <w:szCs w:val="24"/>
        </w:rPr>
        <w:instrText>ADDIN CSL_CITATION {"citationItems":[{"id":"ITEM-1","itemData":{"DOI":"10.1094/PHP-01-20-0004-BR","ISSN":"15351025","abstract":"The passage of the 2014 U.S. Farm Bill (Agricultural Act of 2014, Public Law 113-79) granted growers the opportunity to cultivate industrial hemp (Cannabis sativa) under university and state government research pilot programs. By 2019, over 1,000 growers representing approximately 9,700 ha (24,000 acres) participated in the program in Kentucky. Industrial hemp was grown outdoors in traditional fields for fiber and grain production. Hemp grown for cannabidiol (CBD) was raised in either fields or greenhouses. CBD cultivars continue to be the most widely grown type. In 2019, 92% of the acreage grown in Kentucky was intended for cannabinoid extraction (https://www.kyagr.com/marketing/hempoverview. html).","author":[{"dropping-particle":"","family":"Szarka","given":"Desiree","non-dropping-particle":"","parse-names":false,"suffix":""},{"dropping-particle":"","family":"Amsden","given":"Bernadette","non-dropping-particle":"","parse-names":false,"suffix":""},{"dropping-particle":"","family":"Beale","given":"Julie","non-dropping-particle":"","parse-names":false,"suffix":""},{"dropping-particle":"","family":"Dixon","given":"Ed","non-dropping-particle":"","parse-names":false,"suffix":""},{"dropping-particle":"","family":"Schardl","given":"Christopher L.","non-dropping-particle":"","parse-names":false,"suffix":""},{"dropping-particle":"","family":"Gauthier","given":"Nicole","non-dropping-particle":"","parse-names":false,"suffix":""}],"container-title":"Plant Health Progress","id":"ITEM-1","issue":"2","issued":{"date-parts":[["2020"]]},"page":"82-84","title":"First report of hemp leaf spot caused by a bipolaris species on hemp (Cannabis sativa) in Kentucky","type":"article-journal","volume":"21"},"uris":["http://www.mendeley.com/documents/?uuid=7901bcd0-587a-4b40-acd2-4e5757e2e392"]}],"mendeley":{"formattedCitation":"(Desiree Szarka et al., 2020)","plainTextFormattedCitation":"(Desiree Szarka et al., 2020)","previouslyFormattedCitation":"(Desiree Szarka et al., 2020)"},"properties":{"noteIndex":0},"schema":"https://github.com/citation-style-language/schema/raw/master/csl-citation.json"}</w:instrText>
      </w:r>
      <w:r w:rsidRPr="00E866D9">
        <w:rPr>
          <w:rFonts w:cs="Times New Roman"/>
          <w:szCs w:val="24"/>
        </w:rPr>
        <w:fldChar w:fldCharType="separate"/>
      </w:r>
      <w:r w:rsidRPr="00E866D9">
        <w:rPr>
          <w:rFonts w:cs="Times New Roman"/>
          <w:noProof/>
          <w:szCs w:val="24"/>
        </w:rPr>
        <w:t>(Desiree Szarka et al., 2020)</w:t>
      </w:r>
      <w:r w:rsidRPr="00E866D9">
        <w:rPr>
          <w:rFonts w:cs="Times New Roman"/>
          <w:szCs w:val="24"/>
        </w:rPr>
        <w:fldChar w:fldCharType="end"/>
      </w:r>
      <w:r w:rsidRPr="00E866D9">
        <w:rPr>
          <w:rFonts w:cs="Times New Roman"/>
          <w:szCs w:val="24"/>
        </w:rPr>
        <w:t xml:space="preserve">, </w:t>
      </w:r>
      <w:r>
        <w:rPr>
          <w:rFonts w:cs="Times New Roman"/>
          <w:szCs w:val="24"/>
        </w:rPr>
        <w:t>S</w:t>
      </w:r>
      <w:r w:rsidRPr="00E866D9">
        <w:rPr>
          <w:rFonts w:cs="Times New Roman"/>
          <w:szCs w:val="24"/>
        </w:rPr>
        <w:t xml:space="preserve">eptoria leaf spot </w:t>
      </w:r>
      <w:r w:rsidRPr="00E866D9">
        <w:rPr>
          <w:rFonts w:cs="Times New Roman"/>
          <w:szCs w:val="24"/>
        </w:rPr>
        <w:fldChar w:fldCharType="begin" w:fldLock="1"/>
      </w:r>
      <w:r w:rsidRPr="00E866D9">
        <w:rPr>
          <w:rFonts w:cs="Times New Roman"/>
          <w:szCs w:val="24"/>
        </w:rPr>
        <w:instrText>ADDIN CSL_CITATION {"citationItems":[{"id":"ITEM-1","itemData":{"DOI":"10.1094/PDIS-12-20-2620-SC","ISSN":"19437692","PMID":"33719542","abstract":"Hemp reemerged in 2014 after being illegal for over 50 years and restricted for 90 years. Today, hemp is primarily grown for production of cannabidiol (CBD), with limited acreage dedicated to fiber. One of the most frequent and destructive leaf spot diseases of hemp cultivars grown for CBD is Septoria leaf spot. Symptoms are mostly observed in lower leaves and inner canopy. Leaf spots begin as small, irregular, brown to gray spots that rapidly expand to about 5.0 to 7.5 mm in diameter. Pycnidia are scattered, round, dark brown to black in color, and measure 38.8 to 145.0 lm in diameter. Conidia are hyaline, curved but occasionally straight, pointed at the apex, and contain 3 to 4 septa. Morphological characteristics were similar to those reported for Septoria cannabis. Gene sequences from seven diagnostic loci (elongation factor, b-tubulin, RNA polymerase II, large subunit, internal transcribed spacer, actin, and calmodulin) did not match any published accessions. There are no published sequences for S. cannabis available for comparison. Phylogenetic analysis of concatenated sequences showed that isolates from hemp grouped separately from other Septoria spp. Similarity of morphological characteristics and lack of sequence data matching other Septoria spp. led to the conclusion that isolates collected from hemp in Kentucky are S. cannabis. This new information will serve as an update for Septoria leaf spot diagnostics, especially as hemp acreage continues to increase across the United States.","author":[{"dropping-particle":"","family":"Rahnama","given":"Mostafa","non-dropping-particle":"","parse-names":false,"suffix":""},{"dropping-particle":"","family":"Szarka","given":"Desiree","non-dropping-particle":"","parse-names":false,"suffix":""},{"dropping-particle":"","family":"Li","given":"Hua","non-dropping-particle":"","parse-names":false,"suffix":""},{"dropping-particle":"","family":"Dixon","given":"Ed","non-dropping-particle":"","parse-names":false,"suffix":""},{"dropping-particle":"","family":"Castlebury","given":"Lisa","non-dropping-particle":"","parse-names":false,"suffix":""},{"dropping-particle":"","family":"Ward Gauthier","given":"Nicole A.","non-dropping-particle":"","parse-names":false,"suffix":""}],"container-title":"Plant Disease","id":"ITEM-1","issue":"9","issued":{"date-parts":[["2021"]]},"page":"2286-2289","title":"Reemergence of Septoria leaf spot caused by Septoria cannabis on hemp in Kentucky","type":"article-journal","volume":"105"},"uris":["http://www.mendeley.com/documents/?uuid=796ce969-349b-43fc-b0fd-822bec5185f0"]}],"mendeley":{"formattedCitation":"(Rahnama et al., 2021)","plainTextFormattedCitation":"(Rahnama et al., 2021)","previouslyFormattedCitation":"(Rahnama et al., 2021)"},"properties":{"noteIndex":0},"schema":"https://github.com/citation-style-language/schema/raw/master/csl-citation.json"}</w:instrText>
      </w:r>
      <w:r w:rsidRPr="00E866D9">
        <w:rPr>
          <w:rFonts w:cs="Times New Roman"/>
          <w:szCs w:val="24"/>
        </w:rPr>
        <w:fldChar w:fldCharType="separate"/>
      </w:r>
      <w:r w:rsidRPr="00E866D9">
        <w:rPr>
          <w:rFonts w:cs="Times New Roman"/>
          <w:noProof/>
          <w:szCs w:val="24"/>
        </w:rPr>
        <w:t>(Rahnama et al., 2021)</w:t>
      </w:r>
      <w:r w:rsidRPr="00E866D9">
        <w:rPr>
          <w:rFonts w:cs="Times New Roman"/>
          <w:szCs w:val="24"/>
        </w:rPr>
        <w:fldChar w:fldCharType="end"/>
      </w:r>
      <w:r w:rsidRPr="00E866D9">
        <w:rPr>
          <w:rFonts w:cs="Times New Roman"/>
          <w:szCs w:val="24"/>
        </w:rPr>
        <w:t xml:space="preserve">, and </w:t>
      </w:r>
      <w:r>
        <w:rPr>
          <w:rFonts w:cs="Times New Roman"/>
          <w:szCs w:val="24"/>
        </w:rPr>
        <w:t>H</w:t>
      </w:r>
      <w:r w:rsidRPr="00E866D9">
        <w:rPr>
          <w:rFonts w:cs="Times New Roman"/>
          <w:szCs w:val="24"/>
        </w:rPr>
        <w:t xml:space="preserve">elminthosporium leaf spot </w:t>
      </w:r>
      <w:r w:rsidRPr="00E866D9">
        <w:rPr>
          <w:rFonts w:cs="Times New Roman"/>
          <w:szCs w:val="24"/>
        </w:rPr>
        <w:fldChar w:fldCharType="begin" w:fldLock="1"/>
      </w:r>
      <w:r w:rsidRPr="00E866D9">
        <w:rPr>
          <w:rFonts w:cs="Times New Roman"/>
          <w:szCs w:val="24"/>
        </w:rPr>
        <w:instrText>ADDIN CSL_CITATION {"citationItems":[{"id":"ITEM-1","itemData":{"DOI":"10.1094/PHP-03-20-0017-RS","ISSN":"15351025","abstract":"Industrial hemp(Cannabis sativa L.) has recently been reintroduced as an agricultural commodity in the United States, and, through state-led pilot programs, growers and researchers have been investigating production strategies. Diseases and disorders of industrial hemp in the United States are largely unknowns because record-keeping and taxonomy have improved dramatically in the last several decades. In 2016, North Carolina launched a pilot program to investigate industrial hemp, and diseases and abiotic disorders were surveyed in 2017 and 2018. Producers, consultants, and agricultural extension agents submitted samples to the North Carolina Department of Agriculture and Consumer Services Agronomic Services Division (n = 572) and the North Carolina Plant Disease and Insect Clinic (n = 117). Common field diseases found included Fusarium foliar and flower blights (Fusarium graminearum), Fusarium wilt (Fusarium oxysporum), and Helminthosporium leaf spot (Exserohilum rostratum). Greenhouse diseases were primarily caused by Pythium spp. and Botrytis cinerea. Common environmental disorders were attributed to excessive rainfall flooding roots and poor root development of transplanted clones.","author":[{"dropping-particle":"","family":"Thiessen","given":"Lindsey D.","non-dropping-particle":"","parse-names":false,"suffix":""},{"dropping-particle":"","family":"Schappe","given":"Tyler","non-dropping-particle":"","parse-names":false,"suffix":""},{"dropping-particle":"","family":"Cochran","given":"Sarah","non-dropping-particle":"","parse-names":false,"suffix":""},{"dropping-particle":"","family":"Hicks","given":"Kristin","non-dropping-particle":"","parse-names":false,"suffix":""},{"dropping-particle":"","family":"Post","given":"Angela R.","non-dropping-particle":"","parse-names":false,"suffix":""}],"container-title":"Plant Health Progress","id":"ITEM-1","issue":"4","issued":{"date-parts":[["2020"]]},"page":"321-332","title":"Surveying for Potential Diseases and Abiotic Disorders of Industrial Hemp (Cannabis sativa) Production","type":"article-journal","volume":"21"},"uris":["http://www.mendeley.com/documents/?uuid=da79b907-d855-41a5-8320-7a4e02e36558"]}],"mendeley":{"formattedCitation":"(Thiessen et al., 2020)","plainTextFormattedCitation":"(Thiessen et al., 2020)","previouslyFormattedCitation":"(Thiessen et al., 2020)"},"properties":{"noteIndex":0},"schema":"https://github.com/citation-style-language/schema/raw/master/csl-citation.json"}</w:instrText>
      </w:r>
      <w:r w:rsidRPr="00E866D9">
        <w:rPr>
          <w:rFonts w:cs="Times New Roman"/>
          <w:szCs w:val="24"/>
        </w:rPr>
        <w:fldChar w:fldCharType="separate"/>
      </w:r>
      <w:r w:rsidRPr="00E866D9">
        <w:rPr>
          <w:rFonts w:cs="Times New Roman"/>
          <w:noProof/>
          <w:szCs w:val="24"/>
        </w:rPr>
        <w:t>(Thiessen et al., 2020)</w:t>
      </w:r>
      <w:r w:rsidRPr="00E866D9">
        <w:rPr>
          <w:rFonts w:cs="Times New Roman"/>
          <w:szCs w:val="24"/>
        </w:rPr>
        <w:fldChar w:fldCharType="end"/>
      </w:r>
      <w:r w:rsidRPr="00E866D9">
        <w:rPr>
          <w:rFonts w:cs="Times New Roman"/>
          <w:szCs w:val="24"/>
        </w:rPr>
        <w:t xml:space="preserve">. </w:t>
      </w:r>
      <w:r w:rsidRPr="00E866D9">
        <w:rPr>
          <w:rFonts w:cs="Times New Roman"/>
          <w:i/>
          <w:szCs w:val="24"/>
        </w:rPr>
        <w:t>Curvu</w:t>
      </w:r>
      <w:r>
        <w:rPr>
          <w:rFonts w:cs="Times New Roman"/>
          <w:i/>
          <w:szCs w:val="24"/>
        </w:rPr>
        <w:t>l</w:t>
      </w:r>
      <w:r w:rsidRPr="00E866D9">
        <w:rPr>
          <w:rFonts w:cs="Times New Roman"/>
          <w:i/>
          <w:szCs w:val="24"/>
        </w:rPr>
        <w:t>aria</w:t>
      </w:r>
      <w:r w:rsidRPr="00E866D9">
        <w:rPr>
          <w:rFonts w:cs="Times New Roman"/>
          <w:szCs w:val="24"/>
        </w:rPr>
        <w:t xml:space="preserve"> and </w:t>
      </w:r>
      <w:r w:rsidRPr="00E866D9">
        <w:rPr>
          <w:rFonts w:cs="Times New Roman"/>
          <w:i/>
          <w:szCs w:val="24"/>
        </w:rPr>
        <w:t>Bipolaris</w:t>
      </w:r>
      <w:r w:rsidRPr="00E866D9">
        <w:rPr>
          <w:rFonts w:cs="Times New Roman"/>
          <w:szCs w:val="24"/>
        </w:rPr>
        <w:t xml:space="preserve"> were associated with leaf spot</w:t>
      </w:r>
      <w:r>
        <w:rPr>
          <w:rFonts w:cs="Times New Roman"/>
          <w:szCs w:val="24"/>
        </w:rPr>
        <w:t>s</w:t>
      </w:r>
      <w:r w:rsidRPr="00E866D9">
        <w:rPr>
          <w:rFonts w:cs="Times New Roman"/>
          <w:szCs w:val="24"/>
        </w:rPr>
        <w:t xml:space="preserve"> in Tennessee </w:t>
      </w:r>
      <w:r w:rsidRPr="00E866D9">
        <w:rPr>
          <w:rFonts w:cs="Times New Roman"/>
          <w:szCs w:val="24"/>
        </w:rPr>
        <w:fldChar w:fldCharType="begin" w:fldLock="1"/>
      </w:r>
      <w:r>
        <w:rPr>
          <w:rFonts w:cs="Times New Roman"/>
          <w:szCs w:val="24"/>
        </w:rPr>
        <w:instrText>ADDIN CSL_CITATION {"citationItems":[{"id":"ITEM-1","itemData":{"author":[{"dropping-particle":"","family":"Akinrinlola","given":"Rufus","non-dropping-particle":"","parse-names":false,"suffix":""},{"dropping-particle":"","family":"Hansen","given":"Zachariah","non-dropping-particle":"","parse-names":false,"suffix":""}],"id":"ITEM-1","issue":"C","issued":{"date-parts":[["2021"]]},"page":"1-5","title":"Hemp Fungicide Efficacy Field Trial for Leaf Spot and Powdery Mildew","type":"article-journal"},"uris":["http://www.mendeley.com/documents/?uuid=fe0780b6-420d-4326-8d92-b07485108d00"]}],"mendeley":{"formattedCitation":"(R. Akinrinlola &amp; Hansen, 2021)","manualFormatting":"(Akinrinlola &amp; Hansen, 2021)","plainTextFormattedCitation":"(R. Akinrinlola &amp; Hansen, 2021)","previouslyFormattedCitation":"(Akinrinlola &amp; Hansen, 2021)"},"properties":{"noteIndex":0},"schema":"https://github.com/citation-style-language/schema/raw/master/csl-citation.json"}</w:instrText>
      </w:r>
      <w:r w:rsidRPr="00E866D9">
        <w:rPr>
          <w:rFonts w:cs="Times New Roman"/>
          <w:szCs w:val="24"/>
        </w:rPr>
        <w:fldChar w:fldCharType="separate"/>
      </w:r>
      <w:r>
        <w:rPr>
          <w:rFonts w:cs="Times New Roman"/>
          <w:noProof/>
          <w:szCs w:val="24"/>
        </w:rPr>
        <w:t>(</w:t>
      </w:r>
      <w:r w:rsidRPr="00FB5B67">
        <w:rPr>
          <w:rFonts w:cs="Times New Roman"/>
          <w:noProof/>
          <w:szCs w:val="24"/>
        </w:rPr>
        <w:t>Akinrinlola &amp; Hansen, 2021)</w:t>
      </w:r>
      <w:r w:rsidRPr="00E866D9">
        <w:rPr>
          <w:rFonts w:cs="Times New Roman"/>
          <w:szCs w:val="24"/>
        </w:rPr>
        <w:fldChar w:fldCharType="end"/>
      </w:r>
      <w:r w:rsidRPr="00E866D9">
        <w:rPr>
          <w:rFonts w:cs="Times New Roman"/>
          <w:szCs w:val="24"/>
        </w:rPr>
        <w:t>. Leaf spot diseases can be very detrimental to hemp plants. Leaf spot incidence can range from 50 to 100%, covering parts or whole plant foliar parts</w:t>
      </w:r>
      <w:r>
        <w:rPr>
          <w:rFonts w:cs="Times New Roman"/>
          <w:szCs w:val="24"/>
        </w:rPr>
        <w:t>,</w:t>
      </w:r>
      <w:r w:rsidRPr="00E866D9">
        <w:rPr>
          <w:rFonts w:cs="Times New Roman"/>
          <w:szCs w:val="24"/>
        </w:rPr>
        <w:t xml:space="preserve"> and severity and damage can be up to 100% </w:t>
      </w:r>
      <w:r w:rsidRPr="00E866D9">
        <w:rPr>
          <w:rFonts w:cs="Times New Roman"/>
          <w:szCs w:val="24"/>
        </w:rPr>
        <w:fldChar w:fldCharType="begin" w:fldLock="1"/>
      </w:r>
      <w:r>
        <w:rPr>
          <w:rFonts w:cs="Times New Roman"/>
          <w:szCs w:val="24"/>
        </w:rPr>
        <w:instrText>ADDIN CSL_CITATION {"citationItems":[{"id":"ITEM-1","itemData":{"DOI":"10.1094/PHP-01-20-0004-BR","ISSN":"15351025","abstract":"The passage of the 2014 U.S. Farm Bill (Agricultural Act of 2014, Public Law 113-79) granted growers the opportunity to cultivate industrial hemp (Cannabis sativa) under university and state government research pilot programs. By 2019, over 1,000 growers representing approximately 9,700 ha (24,000 acres) participated in the program in Kentucky. Industrial hemp was grown outdoors in traditional fields for fiber and grain production. Hemp grown for cannabidiol (CBD) was raised in either fields or greenhouses. CBD cultivars continue to be the most widely grown type. In 2019, 92% of the acreage grown in Kentucky was intended for cannabinoid extraction (https://www.kyagr.com/marketing/hempoverview. html).","author":[{"dropping-particle":"","family":"Szarka","given":"Desiree","non-dropping-particle":"","parse-names":false,"suffix":""},{"dropping-particle":"","family":"Amsden","given":"Bernadette","non-dropping-particle":"","parse-names":false,"suffix":""},{"dropping-particle":"","family":"Beale","given":"Julie","non-dropping-particle":"","parse-names":false,"suffix":""},{"dropping-particle":"","family":"Dixon","given":"Ed","non-dropping-particle":"","parse-names":false,"suffix":""},{"dropping-particle":"","family":"Schardl","given":"Christopher L.","non-dropping-particle":"","parse-names":false,"suffix":""},{"dropping-particle":"","family":"Gauthier","given":"Nicole","non-dropping-particle":"","parse-names":false,"suffix":""}],"container-title":"Plant Health Progress","id":"ITEM-1","issue":"2","issued":{"date-parts":[["2020"]]},"page":"82-84","title":"First report of hemp leaf spot caused by a bipolaris species on hemp (Cannabis sativa) in Kentucky","type":"article-journal","volume":"21"},"uris":["http://www.mendeley.com/documents/?uuid=7901bcd0-587a-4b40-acd2-4e5757e2e392"]},{"id":"ITEM-2","itemData":{"author":[{"dropping-particle":"","family":"Akinrinlola","given":"Rufus","non-dropping-particle":"","parse-names":false,"suffix":""},{"dropping-particle":"","family":"Hansen","given":"Zachariah","non-dropping-particle":"","parse-names":false,"suffix":""}],"id":"ITEM-2","issue":"C","issued":{"date-parts":[["2021"]]},"page":"1-5","title":"Hemp Fungicide Efficacy Field Trial for Leaf Spot and Powdery Mildew","type":"article-journal"},"uris":["http://www.mendeley.com/documents/?uuid=fe0780b6-420d-4326-8d92-b07485108d00"]}],"mendeley":{"formattedCitation":"(R. Akinrinlola &amp; Hansen, 2021; Desiree Szarka et al., 2020)","manualFormatting":"(Akinrinlola &amp; Hansen, 2021; Szarka et al., 2020)","plainTextFormattedCitation":"(R. Akinrinlola &amp; Hansen, 2021; Desiree Szarka et al., 2020)","previouslyFormattedCitation":"(Akinrinlola &amp; Hansen, 2021; Desiree Szarka et al., 2020)"},"properties":{"noteIndex":0},"schema":"https://github.com/citation-style-language/schema/raw/master/csl-citation.json"}</w:instrText>
      </w:r>
      <w:r w:rsidRPr="00E866D9">
        <w:rPr>
          <w:rFonts w:cs="Times New Roman"/>
          <w:szCs w:val="24"/>
        </w:rPr>
        <w:fldChar w:fldCharType="separate"/>
      </w:r>
      <w:r w:rsidRPr="00E866D9">
        <w:rPr>
          <w:rFonts w:cs="Times New Roman"/>
          <w:noProof/>
          <w:szCs w:val="24"/>
        </w:rPr>
        <w:t>(Aki</w:t>
      </w:r>
      <w:r>
        <w:rPr>
          <w:rFonts w:cs="Times New Roman"/>
          <w:noProof/>
          <w:szCs w:val="24"/>
        </w:rPr>
        <w:t xml:space="preserve">nrinlola &amp; Hansen, 2021; </w:t>
      </w:r>
      <w:r w:rsidRPr="00E866D9">
        <w:rPr>
          <w:rFonts w:cs="Times New Roman"/>
          <w:noProof/>
          <w:szCs w:val="24"/>
        </w:rPr>
        <w:t>Szarka et al., 2020)</w:t>
      </w:r>
      <w:r w:rsidRPr="00E866D9">
        <w:rPr>
          <w:rFonts w:cs="Times New Roman"/>
          <w:szCs w:val="24"/>
        </w:rPr>
        <w:fldChar w:fldCharType="end"/>
      </w:r>
      <w:r w:rsidRPr="00E866D9">
        <w:rPr>
          <w:rFonts w:cs="Times New Roman"/>
          <w:szCs w:val="24"/>
        </w:rPr>
        <w:t>.</w:t>
      </w:r>
    </w:p>
    <w:p w14:paraId="6EE74F00" w14:textId="77777777" w:rsidR="00D20476" w:rsidRDefault="00D20476" w:rsidP="00D20476">
      <w:pPr>
        <w:spacing w:line="360" w:lineRule="auto"/>
        <w:ind w:left="720" w:firstLine="720"/>
        <w:rPr>
          <w:rFonts w:cs="Times New Roman"/>
          <w:szCs w:val="24"/>
        </w:rPr>
      </w:pPr>
    </w:p>
    <w:p w14:paraId="3ACE9EF9" w14:textId="77777777" w:rsidR="00D20476" w:rsidRPr="001C0B21" w:rsidRDefault="00D20476" w:rsidP="00D122A6">
      <w:pPr>
        <w:pStyle w:val="Heading3"/>
      </w:pPr>
      <w:bookmarkStart w:id="181" w:name="_Toc101048109"/>
      <w:r w:rsidRPr="001C0B21">
        <w:t>Symptoms</w:t>
      </w:r>
      <w:bookmarkEnd w:id="181"/>
      <w:r w:rsidRPr="001C0B21">
        <w:t xml:space="preserve"> </w:t>
      </w:r>
    </w:p>
    <w:p w14:paraId="23B5868F" w14:textId="77777777" w:rsidR="00D20476" w:rsidRPr="001C0B21" w:rsidRDefault="00D20476" w:rsidP="00D20476">
      <w:pPr>
        <w:spacing w:line="360" w:lineRule="auto"/>
        <w:ind w:left="720" w:firstLine="720"/>
        <w:rPr>
          <w:rFonts w:cs="Times New Roman"/>
        </w:rPr>
      </w:pPr>
      <w:r w:rsidRPr="001C0B21">
        <w:rPr>
          <w:rFonts w:cs="Times New Roman"/>
        </w:rPr>
        <w:t>Leaf spot symptoms can slightly vary among organisms and hemp cultivars. A typical symptom starts as small round lesions having a tan</w:t>
      </w:r>
      <w:r>
        <w:rPr>
          <w:rFonts w:cs="Times New Roman"/>
        </w:rPr>
        <w:t xml:space="preserve"> </w:t>
      </w:r>
      <w:r w:rsidRPr="001C0B21">
        <w:rPr>
          <w:rFonts w:cs="Times New Roman"/>
        </w:rPr>
        <w:t xml:space="preserve">center and brown to dark or purple margins. Yellow halos and packs of conidiophores may be visible to a naked eye or through </w:t>
      </w:r>
      <w:r>
        <w:rPr>
          <w:rFonts w:cs="Times New Roman"/>
        </w:rPr>
        <w:t xml:space="preserve">a </w:t>
      </w:r>
      <w:r w:rsidRPr="001C0B21">
        <w:rPr>
          <w:rFonts w:cs="Times New Roman"/>
        </w:rPr>
        <w:t>hand lens at the center. As the disease becomes severe and lesions coalesce, large lesions with more irregular shape</w:t>
      </w:r>
      <w:r>
        <w:rPr>
          <w:rFonts w:cs="Times New Roman"/>
        </w:rPr>
        <w:t>s</w:t>
      </w:r>
      <w:r w:rsidRPr="001C0B21">
        <w:rPr>
          <w:rFonts w:cs="Times New Roman"/>
        </w:rPr>
        <w:t xml:space="preserve"> and dark/brown centers known as leaf blights may result. </w:t>
      </w:r>
      <w:r>
        <w:rPr>
          <w:rFonts w:cs="Times New Roman"/>
        </w:rPr>
        <w:t>Leaves</w:t>
      </w:r>
      <w:r w:rsidRPr="001C0B21">
        <w:rPr>
          <w:rFonts w:cs="Times New Roman"/>
        </w:rPr>
        <w:t xml:space="preserve"> often turn yellow and </w:t>
      </w:r>
      <w:r>
        <w:rPr>
          <w:rFonts w:cs="Times New Roman"/>
        </w:rPr>
        <w:t xml:space="preserve">fall off </w:t>
      </w:r>
      <w:r w:rsidRPr="001C0B21">
        <w:rPr>
          <w:rFonts w:cs="Times New Roman"/>
        </w:rPr>
        <w:t xml:space="preserve">prematurely </w:t>
      </w:r>
      <w:r w:rsidRPr="001C0B21">
        <w:rPr>
          <w:rFonts w:cs="Times New Roman"/>
        </w:rPr>
        <w:fldChar w:fldCharType="begin" w:fldLock="1"/>
      </w:r>
      <w:r>
        <w:rPr>
          <w:rFonts w:cs="Times New Roman"/>
        </w:rPr>
        <w:instrText>ADDIN CSL_CITATION {"citationItems":[{"id":"ITEM-1","itemData":{"DOI":"10.1094/PHP-01-20-0004-BR","ISSN":"15351025","abstract":"The passage of the 2014 U.S. Farm Bill (Agricultural Act of 2014, Public Law 113-79) granted growers the opportunity to cultivate industrial hemp (Cannabis sativa) under university and state government research pilot programs. By 2019, over 1,000 growers representing approximately 9,700 ha (24,000 acres) participated in the program in Kentucky. Industrial hemp was grown outdoors in traditional fields for fiber and grain production. Hemp grown for cannabidiol (CBD) was raised in either fields or greenhouses. CBD cultivars continue to be the most widely grown type. In 2019, 92% of the acreage grown in Kentucky was intended for cannabinoid extraction (https://www.kyagr.com/marketing/hempoverview. html).","author":[{"dropping-particle":"","family":"Szarka","given":"Desiree","non-dropping-particle":"","parse-names":false,"suffix":""},{"dropping-particle":"","family":"Amsden","given":"Bernadette","non-dropping-particle":"","parse-names":false,"suffix":""},{"dropping-particle":"","family":"Beale","given":"Julie","non-dropping-particle":"","parse-names":false,"suffix":""},{"dropping-particle":"","family":"Dixon","given":"Ed","non-dropping-particle":"","parse-names":false,"suffix":""},{"dropping-particle":"","family":"Schardl","given":"Christopher L.","non-dropping-particle":"","parse-names":false,"suffix":""},{"dropping-particle":"","family":"Gauthier","given":"Nicole","non-dropping-particle":"","parse-names":false,"suffix":""}],"container-title":"Plant Health Progress","id":"ITEM-1","issue":"2","issued":{"date-parts":[["2020"]]},"page":"82-84","title":"First report of hemp leaf spot caused by a bipolaris species on hemp (Cannabis sativa) in Kentucky","type":"article-journal","volume":"21"},"uris":["http://www.mendeley.com/documents/?uuid=7901bcd0-587a-4b40-acd2-4e5757e2e392"]},{"id":"ITEM-2","itemData":{"author":[{"dropping-particle":"","family":"Akinrinlola","given":"Rufus","non-dropping-particle":"","parse-names":false,"suffix":""},{"dropping-particle":"","family":"Hansen","given":"Zachariah","non-dropping-particle":"","parse-names":false,"suffix":""}],"id":"ITEM-2","issue":"C","issued":{"date-parts":[["2021"]]},"page":"1-5","title":"Hemp Fungicide Efficacy Field Trial for Leaf Spot and Powdery Mildew","type":"article-journal"},"uris":["http://www.mendeley.com/documents/?uuid=fe0780b6-420d-4326-8d92-b07485108d00"]}],"mendeley":{"formattedCitation":"(R. Akinrinlola &amp; Hansen, 2021; Desiree Szarka et al., 2020)","manualFormatting":"(Akinrinlola &amp; Hansen, 2021; Szarka et al., 2020)","plainTextFormattedCitation":"(R. Akinrinlola &amp; Hansen, 2021; Desiree Szarka et al., 2020)","previouslyFormattedCitation":"(Akinrinlola &amp; Hansen, 2021; Desiree Szarka et al., 2020)"},"properties":{"noteIndex":0},"schema":"https://github.com/citation-style-language/schema/raw/master/csl-citation.json"}</w:instrText>
      </w:r>
      <w:r w:rsidRPr="001C0B21">
        <w:rPr>
          <w:rFonts w:cs="Times New Roman"/>
        </w:rPr>
        <w:fldChar w:fldCharType="separate"/>
      </w:r>
      <w:r w:rsidRPr="001C0B21">
        <w:rPr>
          <w:rFonts w:cs="Times New Roman"/>
          <w:noProof/>
        </w:rPr>
        <w:t>(Akinrinlola &amp; Hansen, 2021; Szarka et al., 2020)</w:t>
      </w:r>
      <w:r w:rsidRPr="001C0B21">
        <w:rPr>
          <w:rFonts w:cs="Times New Roman"/>
        </w:rPr>
        <w:fldChar w:fldCharType="end"/>
      </w:r>
      <w:r w:rsidRPr="001C0B21">
        <w:rPr>
          <w:rFonts w:cs="Times New Roman"/>
        </w:rPr>
        <w:t xml:space="preserve">. In most leaf spots, symptoms </w:t>
      </w:r>
      <w:r>
        <w:rPr>
          <w:rFonts w:cs="Times New Roman"/>
        </w:rPr>
        <w:t>often</w:t>
      </w:r>
      <w:r w:rsidRPr="001C0B21">
        <w:rPr>
          <w:rFonts w:cs="Times New Roman"/>
        </w:rPr>
        <w:t xml:space="preserve"> start from lower/older leaves and inner canopy and spread through</w:t>
      </w:r>
      <w:r>
        <w:rPr>
          <w:rFonts w:cs="Times New Roman"/>
        </w:rPr>
        <w:t>out</w:t>
      </w:r>
      <w:r w:rsidRPr="001C0B21">
        <w:rPr>
          <w:rFonts w:cs="Times New Roman"/>
        </w:rPr>
        <w:t xml:space="preserve"> </w:t>
      </w:r>
      <w:r>
        <w:rPr>
          <w:rFonts w:cs="Times New Roman"/>
        </w:rPr>
        <w:t xml:space="preserve">the </w:t>
      </w:r>
      <w:r w:rsidRPr="001C0B21">
        <w:rPr>
          <w:rFonts w:cs="Times New Roman"/>
        </w:rPr>
        <w:t xml:space="preserve">plant canopy </w:t>
      </w:r>
      <w:r w:rsidRPr="001C0B21">
        <w:rPr>
          <w:rFonts w:cs="Times New Roman"/>
        </w:rPr>
        <w:fldChar w:fldCharType="begin" w:fldLock="1"/>
      </w:r>
      <w:r w:rsidRPr="001C0B21">
        <w:rPr>
          <w:rFonts w:cs="Times New Roman"/>
        </w:rPr>
        <w:instrText>ADDIN CSL_CITATION {"citationItems":[{"id":"ITEM-1","itemData":{"DOI":"10.1094/PDIS-03-20-0546-PDN","ISSN":"19437692","author":[{"dropping-particle":"V.","family":"Marin","given":"M.","non-dropping-particle":"","parse-names":false,"suffix":""},{"dropping-particle":"","family":"Wang","given":"N. Y.","non-dropping-particle":"","parse-names":false,"suffix":""},{"dropping-particle":"","family":"Coburn","given":"J.","non-dropping-particle":"","parse-names":false,"suffix":""},{"dropping-particle":"","family":"Desaeger","given":"J.","non-dropping-particle":"","parse-names":false,"suffix":""},{"dropping-particle":"","family":"Peres","given":"N. A.","non-dropping-particle":"","parse-names":false,"suffix":""}],"container-title":"Plant Disease","id":"ITEM-1","issue":"12","issued":{"date-parts":[["2020"]]},"page":"3262","title":"First report of curvularia pseudobrachyspora causing leaf spot on hemp (cannabis sativa) in Florida","type":"article-journal","volume":"104"},"uris":["http://www.mendeley.com/documents/?uuid=aa605578-9198-4338-a467-326db3f1c752"]},{"id":"ITEM-2","itemData":{"DOI":"10.1094/PDIS-12-20-2620-SC","ISSN":"19437692","PMID":"33719542","abstract":"Hemp reemerged in 2014 after being illegal for over 50 years and restricted for 90 years. Today, hemp is primarily grown for production of cannabidiol (CBD), with limited acreage dedicated to fiber. One of the most frequent and destructive leaf spot diseases of hemp cultivars grown for CBD is Septoria leaf spot. Symptoms are mostly observed in lower leaves and inner canopy. Leaf spots begin as small, irregular, brown to gray spots that rapidly expand to about 5.0 to 7.5 mm in diameter. Pycnidia are scattered, round, dark brown to black in color, and measure 38.8 to 145.0 lm in diameter. Conidia are hyaline, curved but occasionally straight, pointed at the apex, and contain 3 to 4 septa. Morphological characteristics were similar to those reported for Septoria cannabis. Gene sequences from seven diagnostic loci (elongation factor, b-tubulin, RNA polymerase II, large subunit, internal transcribed spacer, actin, and calmodulin) did not match any published accessions. There are no published sequences for S. cannabis available for comparison. Phylogenetic analysis of concatenated sequences showed that isolates from hemp grouped separately from other Septoria spp. Similarity of morphological characteristics and lack of sequence data matching other Septoria spp. led to the conclusion that isolates collected from hemp in Kentucky are S. cannabis. This new information will serve as an update for Septoria leaf spot diagnostics, especially as hemp acreage continues to increase across the United States.","author":[{"dropping-particle":"","family":"Rahnama","given":"Mostafa","non-dropping-particle":"","parse-names":false,"suffix":""},{"dropping-particle":"","family":"Szarka","given":"Desiree","non-dropping-particle":"","parse-names":false,"suffix":""},{"dropping-particle":"","family":"Li","given":"Hua","non-dropping-particle":"","parse-names":false,"suffix":""},{"dropping-particle":"","family":"Dixon","given":"Ed","non-dropping-particle":"","parse-names":false,"suffix":""},{"dropping-particle":"","family":"Castlebury","given":"Lisa","non-dropping-particle":"","parse-names":false,"suffix":""},{"dropping-particle":"","family":"Ward Gauthier","given":"Nicole A.","non-dropping-particle":"","parse-names":false,"suffix":""}],"container-title":"Plant Disease","id":"ITEM-2","issue":"9","issued":{"date-parts":[["2021"]]},"page":"2286-2289","title":"Reemergence of Septoria leaf spot caused by Septoria cannabis on hemp in Kentucky","type":"article-journal","volume":"105"},"uris":["http://www.mendeley.com/documents/?uuid=796ce969-349b-43fc-b0fd-822bec5185f0"]}],"mendeley":{"formattedCitation":"(Marin, Wang, et al., 2020; Rahnama et al., 2021)","manualFormatting":"(Marin et al., 2020; Rahnama et al., 2021)","plainTextFormattedCitation":"(Marin, Wang, et al., 2020; Rahnama et al., 2021)","previouslyFormattedCitation":"(Marin, Wang, et al., 2020; Rahnama et al., 2021)"},"properties":{"noteIndex":0},"schema":"https://github.com/citation-style-language/schema/raw/master/csl-citation.json"}</w:instrText>
      </w:r>
      <w:r w:rsidRPr="001C0B21">
        <w:rPr>
          <w:rFonts w:cs="Times New Roman"/>
        </w:rPr>
        <w:fldChar w:fldCharType="separate"/>
      </w:r>
      <w:r w:rsidRPr="001C0B21">
        <w:rPr>
          <w:rFonts w:cs="Times New Roman"/>
          <w:noProof/>
        </w:rPr>
        <w:t>(Marin et al., 2020</w:t>
      </w:r>
      <w:r>
        <w:rPr>
          <w:rFonts w:cs="Times New Roman"/>
          <w:noProof/>
        </w:rPr>
        <w:t>a</w:t>
      </w:r>
      <w:r w:rsidRPr="001C0B21">
        <w:rPr>
          <w:rFonts w:cs="Times New Roman"/>
          <w:noProof/>
        </w:rPr>
        <w:t>; Rahnama et al., 2021)</w:t>
      </w:r>
      <w:r w:rsidRPr="001C0B21">
        <w:rPr>
          <w:rFonts w:cs="Times New Roman"/>
        </w:rPr>
        <w:fldChar w:fldCharType="end"/>
      </w:r>
      <w:r w:rsidRPr="001C0B21">
        <w:rPr>
          <w:rFonts w:cs="Times New Roman"/>
        </w:rPr>
        <w:t xml:space="preserve">. </w:t>
      </w:r>
    </w:p>
    <w:p w14:paraId="05F7D619" w14:textId="77777777" w:rsidR="00D20476" w:rsidRDefault="00D20476" w:rsidP="00FD1FC5">
      <w:pPr>
        <w:pStyle w:val="Heading2"/>
      </w:pPr>
    </w:p>
    <w:p w14:paraId="0FDD2EC3" w14:textId="77777777" w:rsidR="00D20476" w:rsidRPr="008E2CD0" w:rsidRDefault="00D20476" w:rsidP="00D122A6">
      <w:pPr>
        <w:pStyle w:val="Heading3"/>
      </w:pPr>
      <w:bookmarkStart w:id="182" w:name="_Toc101048110"/>
      <w:r w:rsidRPr="008E2CD0">
        <w:t>Bipolaris leaf spot</w:t>
      </w:r>
      <w:bookmarkEnd w:id="177"/>
      <w:bookmarkEnd w:id="178"/>
      <w:bookmarkEnd w:id="179"/>
      <w:bookmarkEnd w:id="182"/>
    </w:p>
    <w:p w14:paraId="3357B2BA" w14:textId="77777777" w:rsidR="00D20476" w:rsidRDefault="00D20476" w:rsidP="00D20476">
      <w:pPr>
        <w:pStyle w:val="NormalWeb"/>
        <w:spacing w:before="0" w:beforeAutospacing="0" w:after="0" w:afterAutospacing="0" w:line="360" w:lineRule="auto"/>
        <w:ind w:left="720" w:firstLine="360"/>
        <w:rPr>
          <w:shd w:val="clear" w:color="auto" w:fill="FFFFFF"/>
        </w:rPr>
      </w:pPr>
      <w:r w:rsidRPr="001C0B21">
        <w:rPr>
          <w:i/>
          <w:iCs/>
        </w:rPr>
        <w:t>Bipolaris</w:t>
      </w:r>
      <w:r w:rsidRPr="001C0B21">
        <w:t xml:space="preserve"> is an important fungus with a wide host range and causes diseases in many other valuable crops including rice, corn, wheat, barley, and sorghum. Rice brown spot is caused by a </w:t>
      </w:r>
      <w:r w:rsidRPr="001C0B21">
        <w:rPr>
          <w:i/>
          <w:iCs/>
        </w:rPr>
        <w:t xml:space="preserve">Bipolaris </w:t>
      </w:r>
      <w:r w:rsidRPr="001C0B21">
        <w:t>species and was responsible for the famine that resulted in human starvation in India in 1943 (</w:t>
      </w:r>
      <w:r w:rsidRPr="001C0B21">
        <w:rPr>
          <w:shd w:val="clear" w:color="auto" w:fill="FFFFFF"/>
        </w:rPr>
        <w:t>Manamgoda et al., 2014). Although little is known about the fungus in hemp, typically it is</w:t>
      </w:r>
      <w:r w:rsidRPr="001C0B21">
        <w:t xml:space="preserve"> known to survive as thick-walled conidia or mycelium during harsh conditions or </w:t>
      </w:r>
      <w:r>
        <w:t xml:space="preserve">in </w:t>
      </w:r>
      <w:r w:rsidRPr="001C0B21">
        <w:t xml:space="preserve">the absence of its host. During favorable warm humid conditions, it develops and infects young plant roots, crowns, or other below-ground parts. As infections spread to above-ground parts, conidia develop and spread with the aid of wind or rain splash to cause secondary infections (Creswell and Harris, </w:t>
      </w:r>
      <w:r w:rsidRPr="001C0B21">
        <w:rPr>
          <w:shd w:val="clear" w:color="auto" w:fill="FFFFFF"/>
        </w:rPr>
        <w:t>2014).</w:t>
      </w:r>
    </w:p>
    <w:p w14:paraId="467052C6" w14:textId="78BA0C40" w:rsidR="00FD1FC5" w:rsidRDefault="00FD1FC5">
      <w:pPr>
        <w:rPr>
          <w:rFonts w:cs="Times New Roman"/>
          <w:b/>
          <w:bCs/>
          <w:i/>
          <w:szCs w:val="24"/>
          <w:shd w:val="clear" w:color="auto" w:fill="FFFFFF"/>
        </w:rPr>
      </w:pPr>
      <w:r>
        <w:br w:type="page"/>
      </w:r>
    </w:p>
    <w:p w14:paraId="5E246186" w14:textId="77777777" w:rsidR="00D20476" w:rsidRPr="001C0B21" w:rsidRDefault="00D20476" w:rsidP="00D122A6">
      <w:pPr>
        <w:pStyle w:val="Heading3"/>
      </w:pPr>
      <w:bookmarkStart w:id="183" w:name="_Toc101048111"/>
      <w:r w:rsidRPr="001C0B21">
        <w:t>Management</w:t>
      </w:r>
      <w:bookmarkEnd w:id="183"/>
      <w:r w:rsidRPr="001C0B21">
        <w:t xml:space="preserve"> </w:t>
      </w:r>
    </w:p>
    <w:p w14:paraId="1439F282" w14:textId="5FBBCDAD" w:rsidR="004111C2" w:rsidRDefault="00D20476" w:rsidP="004111C2">
      <w:pPr>
        <w:pStyle w:val="NormalWeb"/>
        <w:spacing w:before="0" w:beforeAutospacing="0" w:after="0" w:afterAutospacing="0" w:line="360" w:lineRule="auto"/>
        <w:ind w:left="720" w:firstLine="720"/>
      </w:pPr>
      <w:r w:rsidRPr="001C0B21">
        <w:rPr>
          <w:shd w:val="clear" w:color="auto" w:fill="FFFFFF"/>
        </w:rPr>
        <w:t xml:space="preserve">Presently the best control option for hemp leaf spots is to avoid susceptible cultivars. Resistant or moderately resistant cultivars can reduce disease severity and prevent yield loss to leaf spots. Cultivars with </w:t>
      </w:r>
      <w:r>
        <w:rPr>
          <w:shd w:val="clear" w:color="auto" w:fill="FFFFFF"/>
        </w:rPr>
        <w:t xml:space="preserve">a </w:t>
      </w:r>
      <w:r w:rsidRPr="001C0B21">
        <w:rPr>
          <w:shd w:val="clear" w:color="auto" w:fill="FFFFFF"/>
        </w:rPr>
        <w:t xml:space="preserve">significant level of resistance were identified in Tennessee </w:t>
      </w:r>
      <w:r w:rsidRPr="001C0B21">
        <w:rPr>
          <w:shd w:val="clear" w:color="auto" w:fill="FFFFFF"/>
        </w:rPr>
        <w:fldChar w:fldCharType="begin" w:fldLock="1"/>
      </w:r>
      <w:r>
        <w:rPr>
          <w:shd w:val="clear" w:color="auto" w:fill="FFFFFF"/>
        </w:rPr>
        <w:instrText>ADDIN CSL_CITATION {"citationItems":[{"id":"ITEM-1","itemData":{"author":[{"dropping-particle":"","family":"Hansen","given":"Zachariah","non-dropping-particle":"","parse-names":false,"suffix":""},{"dropping-particle":"","family":"Akinrinlola","given":"Rufus","non-dropping-particle":"","parse-names":false,"suffix":""},{"dropping-particle":"","family":"Kelly","given":"Heather","non-dropping-particle":"","parse-names":false,"suffix":""},{"dropping-particle":"","family":"Virginia","given":"Sykes","non-dropping-particle":"","parse-names":false,"suffix":""},{"dropping-particle":"","family":"Rachel","given":"Guyer","non-dropping-particle":"","parse-names":false,"suffix":""},{"dropping-particle":"","family":"Cartwright","given":"Madison","non-dropping-particle":"","parse-names":false,"suffix":""},{"dropping-particle":"","family":"Grant","given":"Jerome","non-dropping-particle":"","parse-names":false,"suffix":""},{"dropping-particle":"","family":"Cosner","given":"Julian","non-dropping-particle":"","parse-names":false,"suffix":""}],"container-title":"UT Extension publication","id":"ITEM-1","issued":{"date-parts":[["2020"]]},"page":"1-10","title":"HEMP VARIETY TRIALS IN TENNESSEE 2020 (W 1016)","type":"article-journal"},"uris":["http://www.mendeley.com/documents/?uuid=c6794366-b820-4cb1-a188-fe8ee5b85008"]}],"mendeley":{"formattedCitation":"(Hansen et al., 2020)","manualFormatting":"(Hansen et al., 2020b)","plainTextFormattedCitation":"(Hansen et al., 2020)","previouslyFormattedCitation":"(Hansen et al., 2020)"},"properties":{"noteIndex":0},"schema":"https://github.com/citation-style-language/schema/raw/master/csl-citation.json"}</w:instrText>
      </w:r>
      <w:r w:rsidRPr="001C0B21">
        <w:rPr>
          <w:shd w:val="clear" w:color="auto" w:fill="FFFFFF"/>
        </w:rPr>
        <w:fldChar w:fldCharType="separate"/>
      </w:r>
      <w:r w:rsidRPr="001C0B21">
        <w:rPr>
          <w:noProof/>
          <w:shd w:val="clear" w:color="auto" w:fill="FFFFFF"/>
        </w:rPr>
        <w:t>(Hansen et al., 2020</w:t>
      </w:r>
      <w:r>
        <w:rPr>
          <w:noProof/>
          <w:shd w:val="clear" w:color="auto" w:fill="FFFFFF"/>
        </w:rPr>
        <w:t>b</w:t>
      </w:r>
      <w:r w:rsidRPr="001C0B21">
        <w:rPr>
          <w:noProof/>
          <w:shd w:val="clear" w:color="auto" w:fill="FFFFFF"/>
        </w:rPr>
        <w:t>)</w:t>
      </w:r>
      <w:r w:rsidRPr="001C0B21">
        <w:rPr>
          <w:shd w:val="clear" w:color="auto" w:fill="FFFFFF"/>
        </w:rPr>
        <w:fldChar w:fldCharType="end"/>
      </w:r>
      <w:r w:rsidRPr="001C0B21">
        <w:rPr>
          <w:shd w:val="clear" w:color="auto" w:fill="FFFFFF"/>
        </w:rPr>
        <w:t>. Likewise, fungicides with varying level</w:t>
      </w:r>
      <w:r>
        <w:rPr>
          <w:shd w:val="clear" w:color="auto" w:fill="FFFFFF"/>
        </w:rPr>
        <w:t>s</w:t>
      </w:r>
      <w:r w:rsidRPr="001C0B21">
        <w:rPr>
          <w:shd w:val="clear" w:color="auto" w:fill="FFFFFF"/>
        </w:rPr>
        <w:t xml:space="preserve"> of efficacy against leaf spots have been identified </w:t>
      </w:r>
      <w:r w:rsidRPr="001C0B21">
        <w:fldChar w:fldCharType="begin" w:fldLock="1"/>
      </w:r>
      <w:r>
        <w:instrText>ADDIN CSL_CITATION {"citationItems":[{"id":"ITEM-1","itemData":{"author":[{"dropping-particle":"","family":"Akinrinlola","given":"Rufus","non-dropping-particle":"","parse-names":false,"suffix":""},{"dropping-particle":"","family":"Hansen","given":"Zachariah","non-dropping-particle":"","parse-names":false,"suffix":""}],"id":"ITEM-1","issue":"C","issued":{"date-parts":[["2021"]]},"page":"1-5","title":"Hemp Fungicide Efficacy Field Trial for Leaf Spot and Powdery Mildew","type":"article-journal"},"uris":["http://www.mendeley.com/documents/?uuid=fe0780b6-420d-4326-8d92-b07485108d00"]}],"mendeley":{"formattedCitation":"(R. Akinrinlola &amp; Hansen, 2021)","plainTextFormattedCitation":"(R. Akinrinlola &amp; Hansen, 2021)","previouslyFormattedCitation":"(Akinrinlola &amp; Hansen, 2021)"},"properties":{"noteIndex":0},"schema":"https://github.com/citation-style-language/schema/raw/master/csl-citation.json"}</w:instrText>
      </w:r>
      <w:r w:rsidRPr="001C0B21">
        <w:fldChar w:fldCharType="separate"/>
      </w:r>
      <w:r>
        <w:rPr>
          <w:noProof/>
        </w:rPr>
        <w:t>(</w:t>
      </w:r>
      <w:r w:rsidRPr="00FB5B67">
        <w:rPr>
          <w:noProof/>
        </w:rPr>
        <w:t>Akinrinlola &amp; Hansen, 2021)</w:t>
      </w:r>
      <w:r w:rsidRPr="001C0B21">
        <w:fldChar w:fldCharType="end"/>
      </w:r>
      <w:r w:rsidRPr="001C0B21">
        <w:t xml:space="preserve">. </w:t>
      </w:r>
      <w:r w:rsidRPr="001C0B21">
        <w:rPr>
          <w:shd w:val="clear" w:color="auto" w:fill="FFFFFF"/>
        </w:rPr>
        <w:t xml:space="preserve">Some examples of fungicides with known efficacy </w:t>
      </w:r>
      <w:r>
        <w:rPr>
          <w:shd w:val="clear" w:color="auto" w:fill="FFFFFF"/>
        </w:rPr>
        <w:t>that</w:t>
      </w:r>
      <w:r w:rsidRPr="001C0B21">
        <w:rPr>
          <w:shd w:val="clear" w:color="auto" w:fill="FFFFFF"/>
        </w:rPr>
        <w:t xml:space="preserve"> </w:t>
      </w:r>
      <w:r w:rsidRPr="001C0B21">
        <w:t>have been recommended to control leaf spots on hemp</w:t>
      </w:r>
      <w:r w:rsidRPr="001C0B21">
        <w:rPr>
          <w:shd w:val="clear" w:color="auto" w:fill="FFFFFF"/>
        </w:rPr>
        <w:t xml:space="preserve"> include </w:t>
      </w:r>
      <w:r w:rsidRPr="001C0B21">
        <w:rPr>
          <w:rFonts w:eastAsia="Gotham-Book"/>
        </w:rPr>
        <w:t>Exile, Stargus</w:t>
      </w:r>
      <w:r>
        <w:rPr>
          <w:rFonts w:eastAsia="Gotham-Book"/>
        </w:rPr>
        <w:t>,</w:t>
      </w:r>
      <w:r w:rsidRPr="001C0B21">
        <w:rPr>
          <w:rFonts w:eastAsia="Gotham-Book"/>
        </w:rPr>
        <w:t xml:space="preserve"> and Regalia</w:t>
      </w:r>
      <w:r w:rsidRPr="001C0B21">
        <w:t xml:space="preserve"> </w:t>
      </w:r>
      <w:r w:rsidRPr="001C0B21">
        <w:fldChar w:fldCharType="begin" w:fldLock="1"/>
      </w:r>
      <w:r>
        <w:instrText>ADDIN CSL_CITATION {"citationItems":[{"id":"ITEM-1","itemData":{"author":[{"dropping-particle":"","family":"Akinrinlola","given":"Rufus","non-dropping-particle":"","parse-names":false,"suffix":""},{"dropping-particle":"","family":"Hansen","given":"Zachariah","non-dropping-particle":"","parse-names":false,"suffix":""}],"id":"ITEM-1","issue":"C","issued":{"date-parts":[["2021"]]},"page":"1-5","title":"Hemp Fungicide Efficacy Field Trial for Leaf Spot and Powdery Mildew","type":"article-journal"},"uris":["http://www.mendeley.com/documents/?uuid=fe0780b6-420d-4326-8d92-b07485108d00"]}],"mendeley":{"formattedCitation":"(R. Akinrinlola &amp; Hansen, 2021)","plainTextFormattedCitation":"(R. Akinrinlola &amp; Hansen, 2021)","previouslyFormattedCitation":"(Akinrinlola &amp; Hansen, 2021)"},"properties":{"noteIndex":0},"schema":"https://github.com/citation-style-language/schema/raw/master/csl-citation.json"}</w:instrText>
      </w:r>
      <w:r w:rsidRPr="001C0B21">
        <w:fldChar w:fldCharType="separate"/>
      </w:r>
      <w:r>
        <w:rPr>
          <w:noProof/>
        </w:rPr>
        <w:t>(</w:t>
      </w:r>
      <w:r w:rsidRPr="00FB5B67">
        <w:rPr>
          <w:noProof/>
        </w:rPr>
        <w:t>Akinrinlola &amp; Hansen, 2021)</w:t>
      </w:r>
      <w:r w:rsidRPr="001C0B21">
        <w:fldChar w:fldCharType="end"/>
      </w:r>
      <w:r w:rsidRPr="001C0B21">
        <w:t>. It is important that growers read, understand, and follow fungicide label</w:t>
      </w:r>
      <w:r>
        <w:t>s</w:t>
      </w:r>
      <w:r w:rsidRPr="001C0B21">
        <w:t xml:space="preserve"> before applying them </w:t>
      </w:r>
      <w:r>
        <w:t>to</w:t>
      </w:r>
      <w:r w:rsidRPr="001C0B21">
        <w:t xml:space="preserve"> crops </w:t>
      </w:r>
      <w:r>
        <w:t>to ensure fungicides are applied safely and legally</w:t>
      </w:r>
      <w:r w:rsidRPr="001C0B21">
        <w:t xml:space="preserve">. </w:t>
      </w:r>
    </w:p>
    <w:p w14:paraId="42CE3E1D" w14:textId="77777777" w:rsidR="004111C2" w:rsidRDefault="004111C2">
      <w:pPr>
        <w:rPr>
          <w:rFonts w:eastAsia="Times New Roman" w:cs="Times New Roman"/>
          <w:szCs w:val="24"/>
        </w:rPr>
      </w:pPr>
      <w:r>
        <w:br w:type="page"/>
      </w:r>
    </w:p>
    <w:p w14:paraId="348B9A7E" w14:textId="77777777" w:rsidR="00D20476" w:rsidRPr="008E2CD0" w:rsidRDefault="00D20476" w:rsidP="004E11C2">
      <w:pPr>
        <w:pStyle w:val="Heading1"/>
        <w:spacing w:line="360" w:lineRule="auto"/>
        <w:ind w:left="720"/>
        <w:jc w:val="center"/>
      </w:pPr>
      <w:bookmarkStart w:id="184" w:name="_Toc98812728"/>
      <w:bookmarkStart w:id="185" w:name="_Toc98812936"/>
      <w:bookmarkStart w:id="186" w:name="_Toc98813602"/>
      <w:bookmarkStart w:id="187" w:name="_Toc101048112"/>
      <w:r w:rsidRPr="008E2CD0">
        <w:t>References</w:t>
      </w:r>
      <w:bookmarkEnd w:id="184"/>
      <w:bookmarkEnd w:id="185"/>
      <w:bookmarkEnd w:id="186"/>
      <w:bookmarkEnd w:id="187"/>
    </w:p>
    <w:p w14:paraId="6AB2A525" w14:textId="77777777" w:rsidR="00D20476" w:rsidRPr="00102AAA" w:rsidRDefault="00D20476" w:rsidP="004E11C2">
      <w:pPr>
        <w:pStyle w:val="NormalWeb"/>
        <w:spacing w:before="0" w:beforeAutospacing="0" w:after="0" w:afterAutospacing="0" w:line="360" w:lineRule="auto"/>
        <w:ind w:left="720" w:hanging="630"/>
      </w:pPr>
    </w:p>
    <w:p w14:paraId="62766052" w14:textId="77777777" w:rsidR="00D20476" w:rsidRPr="00644EE1" w:rsidRDefault="00D20476" w:rsidP="004E11C2">
      <w:pPr>
        <w:pStyle w:val="NormalWeb"/>
        <w:spacing w:before="0" w:beforeAutospacing="0" w:after="0" w:afterAutospacing="0" w:line="360" w:lineRule="auto"/>
        <w:ind w:left="720" w:hanging="630"/>
      </w:pPr>
      <w:r w:rsidRPr="00644EE1">
        <w:t xml:space="preserve">Acedo, J. R., Dropkin, V. H., &amp; Luedders, V. D. (1984). Nematode Population Attrition and Histopathology of </w:t>
      </w:r>
      <w:r w:rsidRPr="00644EE1">
        <w:rPr>
          <w:i/>
        </w:rPr>
        <w:t>Heterodera glycines</w:t>
      </w:r>
      <w:r w:rsidRPr="00644EE1">
        <w:t xml:space="preserve">-Soybean Associations. </w:t>
      </w:r>
      <w:r w:rsidRPr="00644EE1">
        <w:rPr>
          <w:i/>
          <w:iCs/>
        </w:rPr>
        <w:t>Journal of Nematology</w:t>
      </w:r>
      <w:r w:rsidRPr="00644EE1">
        <w:t xml:space="preserve">, </w:t>
      </w:r>
      <w:r w:rsidRPr="00644EE1">
        <w:rPr>
          <w:i/>
          <w:iCs/>
        </w:rPr>
        <w:t>16</w:t>
      </w:r>
      <w:r w:rsidRPr="00644EE1">
        <w:t>(1), 48–56.</w:t>
      </w:r>
    </w:p>
    <w:p w14:paraId="725A087F" w14:textId="77D89BAC" w:rsidR="00D20476" w:rsidRPr="00644EE1" w:rsidRDefault="00476E3B" w:rsidP="004E11C2">
      <w:pPr>
        <w:adjustRightInd w:val="0"/>
        <w:spacing w:line="360" w:lineRule="auto"/>
        <w:ind w:left="480" w:hanging="480"/>
        <w:rPr>
          <w:rFonts w:cs="Times New Roman"/>
          <w:noProof/>
          <w:szCs w:val="24"/>
        </w:rPr>
      </w:pPr>
      <w:r w:rsidRPr="00644EE1">
        <w:t xml:space="preserve">Akinrinlola, R., &amp; Hansen, Z. 2021. Hemp Fungicide Efficacy Field Trial for Leaf Spot and Powdery Mildew. University of Tennessee Extension, W995. </w:t>
      </w:r>
      <w:r w:rsidR="00D20476" w:rsidRPr="00644EE1">
        <w:rPr>
          <w:rFonts w:cs="Times New Roman"/>
          <w:noProof/>
          <w:szCs w:val="24"/>
        </w:rPr>
        <w:t>https://extension.tennessee.edu/publications/Documents/W995.pdf</w:t>
      </w:r>
    </w:p>
    <w:p w14:paraId="0304E0C2" w14:textId="77777777" w:rsidR="00D20476" w:rsidRPr="00644EE1" w:rsidRDefault="00D20476" w:rsidP="004E11C2">
      <w:pPr>
        <w:pStyle w:val="NormalWeb"/>
        <w:spacing w:before="0" w:beforeAutospacing="0" w:after="0" w:afterAutospacing="0" w:line="360" w:lineRule="auto"/>
        <w:ind w:left="720" w:hanging="630"/>
      </w:pPr>
      <w:r w:rsidRPr="00644EE1">
        <w:t xml:space="preserve">Ammon, V., Wyllie, T. D., &amp; Brown, M. F. (1974). An ultrastructural investigation of pathological alterations induced by </w:t>
      </w:r>
      <w:r w:rsidRPr="00644EE1">
        <w:rPr>
          <w:i/>
        </w:rPr>
        <w:t>Macrophomina phaseolina</w:t>
      </w:r>
      <w:r w:rsidRPr="00644EE1">
        <w:t xml:space="preserve"> (Tassi) Goid in seedlings of soybean, </w:t>
      </w:r>
      <w:r w:rsidRPr="00644EE1">
        <w:rPr>
          <w:i/>
        </w:rPr>
        <w:t>Glycine max</w:t>
      </w:r>
      <w:r w:rsidRPr="00644EE1">
        <w:t xml:space="preserve"> (L.) Merrill. </w:t>
      </w:r>
      <w:r w:rsidRPr="00644EE1">
        <w:rPr>
          <w:i/>
          <w:iCs/>
        </w:rPr>
        <w:t>Physiological Plant Pathology</w:t>
      </w:r>
      <w:r w:rsidRPr="00644EE1">
        <w:t xml:space="preserve">, </w:t>
      </w:r>
      <w:r w:rsidRPr="00644EE1">
        <w:rPr>
          <w:i/>
          <w:iCs/>
        </w:rPr>
        <w:t>4</w:t>
      </w:r>
      <w:r w:rsidRPr="00644EE1">
        <w:t xml:space="preserve">(1). </w:t>
      </w:r>
      <w:hyperlink r:id="rId24" w:history="1">
        <w:r w:rsidRPr="00644EE1">
          <w:rPr>
            <w:rStyle w:val="Hyperlink"/>
            <w:color w:val="auto"/>
            <w:u w:val="none"/>
          </w:rPr>
          <w:t>https://doi.org/10.1016/0048-4059(74)90038-1</w:t>
        </w:r>
      </w:hyperlink>
    </w:p>
    <w:p w14:paraId="6D2F2640" w14:textId="77777777" w:rsidR="00D20476" w:rsidRPr="00644EE1" w:rsidRDefault="00D20476" w:rsidP="004E11C2">
      <w:pPr>
        <w:pStyle w:val="NormalWeb"/>
        <w:spacing w:before="0" w:beforeAutospacing="0" w:after="0" w:afterAutospacing="0" w:line="360" w:lineRule="auto"/>
        <w:ind w:left="720" w:hanging="630"/>
      </w:pPr>
      <w:r w:rsidRPr="00644EE1">
        <w:t xml:space="preserve">Ammon, V., Wyllie, T. D., &amp; Brown, M. F. (1975). Investigation of the infection process of </w:t>
      </w:r>
      <w:r w:rsidRPr="00644EE1">
        <w:rPr>
          <w:i/>
        </w:rPr>
        <w:t>macrophomina phaseolina</w:t>
      </w:r>
      <w:r w:rsidRPr="00644EE1">
        <w:t xml:space="preserve"> on the surface of soybean roots using scanning electron microscopy. </w:t>
      </w:r>
      <w:r w:rsidRPr="00644EE1">
        <w:rPr>
          <w:i/>
          <w:iCs/>
        </w:rPr>
        <w:t>Mycopathologia</w:t>
      </w:r>
      <w:r w:rsidRPr="00644EE1">
        <w:t xml:space="preserve">, </w:t>
      </w:r>
      <w:r w:rsidRPr="00644EE1">
        <w:rPr>
          <w:i/>
          <w:iCs/>
        </w:rPr>
        <w:t>55</w:t>
      </w:r>
      <w:r w:rsidRPr="00644EE1">
        <w:t xml:space="preserve">(2), 77–81. </w:t>
      </w:r>
      <w:hyperlink r:id="rId25" w:history="1">
        <w:r w:rsidRPr="00644EE1">
          <w:rPr>
            <w:rStyle w:val="Hyperlink"/>
            <w:color w:val="auto"/>
            <w:u w:val="none"/>
          </w:rPr>
          <w:t>https://doi.org/10.1007/BF00444275</w:t>
        </w:r>
      </w:hyperlink>
    </w:p>
    <w:p w14:paraId="44DB52CC" w14:textId="77777777" w:rsidR="00D20476" w:rsidRPr="00644EE1" w:rsidRDefault="00D20476" w:rsidP="004E11C2">
      <w:pPr>
        <w:pStyle w:val="NormalWeb"/>
        <w:spacing w:before="0" w:beforeAutospacing="0" w:after="0" w:afterAutospacing="0" w:line="360" w:lineRule="auto"/>
        <w:ind w:left="720" w:hanging="630"/>
      </w:pPr>
      <w:r w:rsidRPr="00644EE1">
        <w:t xml:space="preserve">Ayala, A., &amp; Ramírez, C. T. (1964). Host-Range, Distribution, and Bibliography of the Reniform Nematode, </w:t>
      </w:r>
      <w:r w:rsidRPr="00644EE1">
        <w:rPr>
          <w:i/>
        </w:rPr>
        <w:t>Rotylenchulus reniformis</w:t>
      </w:r>
      <w:r w:rsidRPr="00644EE1">
        <w:t xml:space="preserve">, with Special Reference to Puerto Rico. </w:t>
      </w:r>
      <w:r w:rsidRPr="00644EE1">
        <w:rPr>
          <w:i/>
          <w:iCs/>
        </w:rPr>
        <w:t>The Journal of Agriculture of the University of Puerto Rico</w:t>
      </w:r>
      <w:r w:rsidRPr="00644EE1">
        <w:t xml:space="preserve">, </w:t>
      </w:r>
      <w:r w:rsidRPr="00644EE1">
        <w:rPr>
          <w:i/>
          <w:iCs/>
        </w:rPr>
        <w:t>48</w:t>
      </w:r>
      <w:r w:rsidRPr="00644EE1">
        <w:t xml:space="preserve">(2), 140–161. </w:t>
      </w:r>
      <w:hyperlink r:id="rId26" w:history="1">
        <w:r w:rsidRPr="00644EE1">
          <w:rPr>
            <w:rStyle w:val="Hyperlink"/>
            <w:color w:val="auto"/>
            <w:u w:val="none"/>
          </w:rPr>
          <w:t>https://doi.org/10.46429/jaupr.v48i2.12985</w:t>
        </w:r>
      </w:hyperlink>
    </w:p>
    <w:p w14:paraId="2D043C18" w14:textId="77777777" w:rsidR="00D20476" w:rsidRPr="00644EE1" w:rsidRDefault="00D20476" w:rsidP="004E11C2">
      <w:pPr>
        <w:pStyle w:val="NormalWeb"/>
        <w:spacing w:before="0" w:beforeAutospacing="0" w:after="0" w:afterAutospacing="0" w:line="360" w:lineRule="auto"/>
        <w:ind w:left="720" w:hanging="630"/>
      </w:pPr>
      <w:r w:rsidRPr="00644EE1">
        <w:t xml:space="preserve">Baird, R. E., Watson, C. E., &amp; Scruggs, M. (2003). Relative longevity of </w:t>
      </w:r>
      <w:r w:rsidRPr="00644EE1">
        <w:rPr>
          <w:i/>
        </w:rPr>
        <w:t>Macrophomina phaseolina</w:t>
      </w:r>
      <w:r w:rsidRPr="00644EE1">
        <w:t xml:space="preserve"> and associated mycobiota on residual soybean roots in soil. </w:t>
      </w:r>
      <w:r w:rsidRPr="00644EE1">
        <w:rPr>
          <w:i/>
          <w:iCs/>
        </w:rPr>
        <w:t>Plant Disease</w:t>
      </w:r>
      <w:r w:rsidRPr="00644EE1">
        <w:t xml:space="preserve">, </w:t>
      </w:r>
      <w:r w:rsidRPr="00644EE1">
        <w:rPr>
          <w:i/>
          <w:iCs/>
        </w:rPr>
        <w:t>87</w:t>
      </w:r>
      <w:r w:rsidRPr="00644EE1">
        <w:t xml:space="preserve">(5), 563–566. </w:t>
      </w:r>
      <w:hyperlink r:id="rId27" w:history="1">
        <w:r w:rsidRPr="00644EE1">
          <w:rPr>
            <w:rStyle w:val="Hyperlink"/>
            <w:color w:val="auto"/>
            <w:u w:val="none"/>
          </w:rPr>
          <w:t>https://doi.org/10.1094/PDIS.2003.87.5.563</w:t>
        </w:r>
      </w:hyperlink>
    </w:p>
    <w:p w14:paraId="16823259" w14:textId="77777777" w:rsidR="00D20476" w:rsidRPr="00644EE1" w:rsidRDefault="00D20476" w:rsidP="004E11C2">
      <w:pPr>
        <w:pStyle w:val="NormalWeb"/>
        <w:spacing w:before="0" w:beforeAutospacing="0" w:after="0" w:afterAutospacing="0" w:line="360" w:lineRule="auto"/>
        <w:ind w:left="720" w:hanging="630"/>
      </w:pPr>
      <w:r w:rsidRPr="00644EE1">
        <w:t xml:space="preserve">Bernard EC. (1980). Identification, distribution, and plant associations of plant-parasitic nematodes in Tennessee. </w:t>
      </w:r>
      <w:r w:rsidRPr="00644EE1">
        <w:rPr>
          <w:i/>
          <w:iCs/>
        </w:rPr>
        <w:t>University of Tennessee Agricultural Experiment Station Bulletin</w:t>
      </w:r>
      <w:r w:rsidRPr="00644EE1">
        <w:t xml:space="preserve">, </w:t>
      </w:r>
      <w:r w:rsidRPr="00644EE1">
        <w:rPr>
          <w:i/>
          <w:iCs/>
        </w:rPr>
        <w:t>594</w:t>
      </w:r>
      <w:r w:rsidRPr="00644EE1">
        <w:t>, 1–18.</w:t>
      </w:r>
    </w:p>
    <w:p w14:paraId="1BD23AB4"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Bernard, E. C. (2018). Plant parasitic nematodes of tennessee and kentucky. In </w:t>
      </w:r>
      <w:r w:rsidRPr="00644EE1">
        <w:rPr>
          <w:i/>
          <w:iCs/>
          <w:shd w:val="clear" w:color="auto" w:fill="FFFFFF"/>
        </w:rPr>
        <w:t>Plant Parasitic Nematodes in Sustainable Agriculture of North America</w:t>
      </w:r>
      <w:r w:rsidRPr="00644EE1">
        <w:rPr>
          <w:shd w:val="clear" w:color="auto" w:fill="FFFFFF"/>
        </w:rPr>
        <w:t> (pp. 305-325). Springer, Cham.</w:t>
      </w:r>
    </w:p>
    <w:p w14:paraId="6B22D1F9"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Bilgrami, A. L. (2008). Biological control potentials of predatory nematodes. In </w:t>
      </w:r>
      <w:r w:rsidRPr="00644EE1">
        <w:rPr>
          <w:i/>
          <w:iCs/>
          <w:shd w:val="clear" w:color="auto" w:fill="FFFFFF"/>
        </w:rPr>
        <w:t>Integrated management and biocontrol of vegetable and grain crops nematodes</w:t>
      </w:r>
      <w:r w:rsidRPr="00644EE1">
        <w:rPr>
          <w:shd w:val="clear" w:color="auto" w:fill="FFFFFF"/>
        </w:rPr>
        <w:t> (pp. 3-28). Springer, Dordrecht.</w:t>
      </w:r>
    </w:p>
    <w:p w14:paraId="31DE1B58" w14:textId="77777777" w:rsidR="00D20476" w:rsidRPr="00644EE1" w:rsidRDefault="00D20476" w:rsidP="004E11C2">
      <w:pPr>
        <w:pStyle w:val="NormalWeb"/>
        <w:spacing w:before="0" w:beforeAutospacing="0" w:after="0" w:afterAutospacing="0" w:line="360" w:lineRule="auto"/>
        <w:ind w:left="720" w:hanging="630"/>
      </w:pPr>
      <w:r w:rsidRPr="00644EE1">
        <w:t xml:space="preserve">Bressano, M., Lorena Giachero, M., Luna, C. M., &amp; Ducasse, D. A. (2010). An in vitro method for examining infection of soybean roots by </w:t>
      </w:r>
      <w:r w:rsidRPr="00644EE1">
        <w:rPr>
          <w:i/>
        </w:rPr>
        <w:t>Macrophomina phaseolina</w:t>
      </w:r>
      <w:r w:rsidRPr="00644EE1">
        <w:t xml:space="preserve">. </w:t>
      </w:r>
      <w:r w:rsidRPr="00644EE1">
        <w:rPr>
          <w:i/>
          <w:iCs/>
        </w:rPr>
        <w:t>Physiological and Molecular Plant Pathology</w:t>
      </w:r>
      <w:r w:rsidRPr="00644EE1">
        <w:t xml:space="preserve">, </w:t>
      </w:r>
      <w:r w:rsidRPr="00644EE1">
        <w:rPr>
          <w:i/>
          <w:iCs/>
        </w:rPr>
        <w:t>74</w:t>
      </w:r>
      <w:r w:rsidRPr="00644EE1">
        <w:t xml:space="preserve">(3–4), 201–204. </w:t>
      </w:r>
      <w:hyperlink r:id="rId28" w:history="1">
        <w:r w:rsidRPr="00644EE1">
          <w:rPr>
            <w:rStyle w:val="Hyperlink"/>
            <w:color w:val="auto"/>
            <w:u w:val="none"/>
          </w:rPr>
          <w:t>https://doi.org/10.1016/j.pmpp.2009.12.003</w:t>
        </w:r>
      </w:hyperlink>
    </w:p>
    <w:p w14:paraId="30CBC960" w14:textId="77777777" w:rsidR="00D20476" w:rsidRPr="00644EE1" w:rsidRDefault="00D20476" w:rsidP="004E11C2">
      <w:pPr>
        <w:pStyle w:val="NormalWeb"/>
        <w:spacing w:before="0" w:beforeAutospacing="0" w:after="0" w:afterAutospacing="0" w:line="360" w:lineRule="auto"/>
        <w:ind w:left="720" w:hanging="630"/>
      </w:pPr>
      <w:r w:rsidRPr="00644EE1">
        <w:t xml:space="preserve">Britt, K., Fike, J., Flessner, M., Johnson, C., Kuhar, T., McCoy, T., and Reed., D. (2020). Integrated Pest Management of Hemp in Virginia. Retrieved from </w:t>
      </w:r>
      <w:hyperlink r:id="rId29" w:history="1">
        <w:r w:rsidRPr="00644EE1">
          <w:rPr>
            <w:rStyle w:val="Hyperlink"/>
            <w:color w:val="auto"/>
            <w:u w:val="none"/>
          </w:rPr>
          <w:t>https://www.pubs.ext.vt.edu/content/dam/pubs_ext_vt_edu/ENTO/ento-349/ENTO-349.pdf</w:t>
        </w:r>
      </w:hyperlink>
    </w:p>
    <w:p w14:paraId="14F92984"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Brown, S. M., &amp; Smart Jr, G. C. (1985). Root penetration by </w:t>
      </w:r>
      <w:r w:rsidRPr="00644EE1">
        <w:rPr>
          <w:i/>
          <w:shd w:val="clear" w:color="auto" w:fill="FFFFFF"/>
        </w:rPr>
        <w:t>Meloidogyne incognita</w:t>
      </w:r>
      <w:r w:rsidRPr="00644EE1">
        <w:rPr>
          <w:shd w:val="clear" w:color="auto" w:fill="FFFFFF"/>
        </w:rPr>
        <w:t xml:space="preserve"> juveniles infected with Bacillus penetrans. </w:t>
      </w:r>
      <w:r w:rsidRPr="00644EE1">
        <w:rPr>
          <w:i/>
          <w:iCs/>
          <w:shd w:val="clear" w:color="auto" w:fill="FFFFFF"/>
        </w:rPr>
        <w:t>Journal of Nematology</w:t>
      </w:r>
      <w:r w:rsidRPr="00644EE1">
        <w:rPr>
          <w:shd w:val="clear" w:color="auto" w:fill="FFFFFF"/>
        </w:rPr>
        <w:t>, </w:t>
      </w:r>
      <w:r w:rsidRPr="00644EE1">
        <w:rPr>
          <w:i/>
          <w:iCs/>
          <w:shd w:val="clear" w:color="auto" w:fill="FFFFFF"/>
        </w:rPr>
        <w:t>17</w:t>
      </w:r>
      <w:r w:rsidRPr="00644EE1">
        <w:rPr>
          <w:shd w:val="clear" w:color="auto" w:fill="FFFFFF"/>
        </w:rPr>
        <w:t>(2), 123.</w:t>
      </w:r>
    </w:p>
    <w:p w14:paraId="35BA64ED" w14:textId="77777777" w:rsidR="00D20476" w:rsidRPr="00644EE1" w:rsidRDefault="00D20476" w:rsidP="004E11C2">
      <w:pPr>
        <w:pStyle w:val="NormalWeb"/>
        <w:spacing w:before="0" w:beforeAutospacing="0" w:after="0" w:afterAutospacing="0" w:line="360" w:lineRule="auto"/>
        <w:ind w:left="720" w:hanging="630"/>
      </w:pPr>
      <w:r w:rsidRPr="00644EE1">
        <w:t xml:space="preserve">Cala, A., Portilla, N., Weldon, B., Gura, W., King, N., Stack, G., Toth, J., Carlson, C., Gadoury, D., Sapkota, S., Smart, L., &amp; Smart, C. (2019). Evaluating disease resistance in CBD hemp cultivars. Cornell Hemp Field Day 2019. </w:t>
      </w:r>
      <w:r w:rsidRPr="00644EE1">
        <w:rPr>
          <w:i/>
          <w:iCs/>
        </w:rPr>
        <w:t>Handout.</w:t>
      </w:r>
    </w:p>
    <w:p w14:paraId="4ABEA5DF" w14:textId="77777777" w:rsidR="00D20476" w:rsidRPr="00644EE1" w:rsidRDefault="00D20476" w:rsidP="004E11C2">
      <w:pPr>
        <w:pStyle w:val="NormalWeb"/>
        <w:spacing w:before="0" w:beforeAutospacing="0" w:after="0" w:afterAutospacing="0" w:line="360" w:lineRule="auto"/>
        <w:ind w:left="720" w:hanging="630"/>
      </w:pPr>
      <w:r w:rsidRPr="00644EE1">
        <w:t xml:space="preserve">Chen, J., Abawi, G. S., &amp; Zuckerman, B. M. (2000). Efficacy of </w:t>
      </w:r>
      <w:r w:rsidRPr="00644EE1">
        <w:rPr>
          <w:i/>
        </w:rPr>
        <w:t>Bacillus thuringiensis</w:t>
      </w:r>
      <w:r w:rsidRPr="00644EE1">
        <w:t xml:space="preserve">, </w:t>
      </w:r>
      <w:r w:rsidRPr="00644EE1">
        <w:rPr>
          <w:i/>
        </w:rPr>
        <w:t>Paecilomyces marquandii</w:t>
      </w:r>
      <w:r w:rsidRPr="00644EE1">
        <w:t xml:space="preserve">, and </w:t>
      </w:r>
      <w:r w:rsidRPr="00644EE1">
        <w:rPr>
          <w:i/>
        </w:rPr>
        <w:t>Streptomyces costaricanus</w:t>
      </w:r>
      <w:r w:rsidRPr="00644EE1">
        <w:t xml:space="preserve"> with and without organic amendments against </w:t>
      </w:r>
      <w:r w:rsidRPr="00644EE1">
        <w:rPr>
          <w:i/>
        </w:rPr>
        <w:t>Meloidogyne hapla</w:t>
      </w:r>
      <w:r w:rsidRPr="00644EE1">
        <w:t xml:space="preserve"> infecting lettuce. </w:t>
      </w:r>
      <w:r w:rsidRPr="00644EE1">
        <w:rPr>
          <w:i/>
          <w:iCs/>
        </w:rPr>
        <w:t>Journal of Nematology</w:t>
      </w:r>
      <w:r w:rsidRPr="00644EE1">
        <w:t xml:space="preserve">, </w:t>
      </w:r>
      <w:r w:rsidRPr="00644EE1">
        <w:rPr>
          <w:i/>
          <w:iCs/>
        </w:rPr>
        <w:t>32</w:t>
      </w:r>
      <w:r w:rsidRPr="00644EE1">
        <w:t>(1), 70–77.</w:t>
      </w:r>
    </w:p>
    <w:p w14:paraId="0EEE4AAF"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Chen, Z. X., &amp; Dickson, D. (1998). Review of Pasteuria penetrans: Biology, ecology, and biological control potential. </w:t>
      </w:r>
      <w:r w:rsidRPr="00644EE1">
        <w:rPr>
          <w:i/>
          <w:iCs/>
          <w:shd w:val="clear" w:color="auto" w:fill="FFFFFF"/>
        </w:rPr>
        <w:t>Journal of nematology</w:t>
      </w:r>
      <w:r w:rsidRPr="00644EE1">
        <w:rPr>
          <w:shd w:val="clear" w:color="auto" w:fill="FFFFFF"/>
        </w:rPr>
        <w:t>, </w:t>
      </w:r>
      <w:r w:rsidRPr="00644EE1">
        <w:rPr>
          <w:i/>
          <w:iCs/>
          <w:shd w:val="clear" w:color="auto" w:fill="FFFFFF"/>
        </w:rPr>
        <w:t>30</w:t>
      </w:r>
      <w:r w:rsidRPr="00644EE1">
        <w:rPr>
          <w:shd w:val="clear" w:color="auto" w:fill="FFFFFF"/>
        </w:rPr>
        <w:t>(3), 313.</w:t>
      </w:r>
    </w:p>
    <w:p w14:paraId="66B3D9EA"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Cherney, J., &amp; Small, E. (2016). Industrial hemp in North America: production, politics and potential. </w:t>
      </w:r>
      <w:r w:rsidRPr="00644EE1">
        <w:rPr>
          <w:i/>
          <w:iCs/>
          <w:shd w:val="clear" w:color="auto" w:fill="FFFFFF"/>
        </w:rPr>
        <w:t>Agronomy</w:t>
      </w:r>
      <w:r w:rsidRPr="00644EE1">
        <w:rPr>
          <w:shd w:val="clear" w:color="auto" w:fill="FFFFFF"/>
        </w:rPr>
        <w:t>, </w:t>
      </w:r>
      <w:r w:rsidRPr="00644EE1">
        <w:rPr>
          <w:i/>
          <w:iCs/>
          <w:shd w:val="clear" w:color="auto" w:fill="FFFFFF"/>
        </w:rPr>
        <w:t>6</w:t>
      </w:r>
      <w:r w:rsidRPr="00644EE1">
        <w:rPr>
          <w:shd w:val="clear" w:color="auto" w:fill="FFFFFF"/>
        </w:rPr>
        <w:t>(4), 58.</w:t>
      </w:r>
    </w:p>
    <w:p w14:paraId="1CBBC4A5" w14:textId="77777777" w:rsidR="00D20476" w:rsidRPr="00644EE1" w:rsidRDefault="00D20476" w:rsidP="004E11C2">
      <w:pPr>
        <w:pStyle w:val="NormalWeb"/>
        <w:spacing w:before="0" w:beforeAutospacing="0" w:after="0" w:afterAutospacing="0" w:line="360" w:lineRule="auto"/>
        <w:ind w:left="720" w:hanging="630"/>
      </w:pPr>
      <w:r w:rsidRPr="00644EE1">
        <w:t xml:space="preserve">Chowdhury, I., Yan, G., Kandel, H., &amp; Plaisance, A. (2022). Population Development of the Root-lesion Nematode. </w:t>
      </w:r>
      <w:r w:rsidRPr="00644EE1">
        <w:rPr>
          <w:i/>
          <w:iCs/>
        </w:rPr>
        <w:t>Plant Disease</w:t>
      </w:r>
      <w:r w:rsidRPr="00644EE1">
        <w:t>, 1–24.</w:t>
      </w:r>
    </w:p>
    <w:p w14:paraId="6A73B13A" w14:textId="77777777" w:rsidR="00D20476" w:rsidRPr="00644EE1" w:rsidRDefault="00D20476" w:rsidP="004E11C2">
      <w:pPr>
        <w:pStyle w:val="NormalWeb"/>
        <w:spacing w:before="0" w:beforeAutospacing="0" w:after="0" w:afterAutospacing="0" w:line="360" w:lineRule="auto"/>
        <w:ind w:left="720" w:hanging="630"/>
      </w:pPr>
      <w:r w:rsidRPr="00644EE1">
        <w:t xml:space="preserve">Creswell, T. and Harris, M. (2014,). </w:t>
      </w:r>
      <w:r w:rsidRPr="00644EE1">
        <w:rPr>
          <w:i/>
          <w:iCs/>
        </w:rPr>
        <w:t>Bipolaris sorokiniana (Common Root Rot and Spot   Blotch of Barley and Wheat)</w:t>
      </w:r>
      <w:r w:rsidRPr="00644EE1">
        <w:t xml:space="preserve">. Retrieved from </w:t>
      </w:r>
      <w:hyperlink r:id="rId30" w:history="1">
        <w:r w:rsidRPr="00644EE1">
          <w:rPr>
            <w:rStyle w:val="Hyperlink"/>
            <w:color w:val="auto"/>
            <w:u w:val="none"/>
          </w:rPr>
          <w:t>https://wiki.bugwood.org</w:t>
        </w:r>
      </w:hyperlink>
    </w:p>
    <w:p w14:paraId="7362DC41" w14:textId="77777777" w:rsidR="00D20476" w:rsidRPr="00644EE1" w:rsidRDefault="00D20476" w:rsidP="004E11C2">
      <w:pPr>
        <w:pStyle w:val="NormalWeb"/>
        <w:spacing w:before="0" w:beforeAutospacing="0" w:after="0" w:afterAutospacing="0" w:line="360" w:lineRule="auto"/>
        <w:ind w:left="720" w:hanging="630"/>
      </w:pPr>
      <w:r w:rsidRPr="00644EE1">
        <w:t xml:space="preserve">Davis, E. L., &amp; MacGuidwin, A. E. (2000). Lesion nematode disease. </w:t>
      </w:r>
      <w:r w:rsidRPr="00644EE1">
        <w:rPr>
          <w:i/>
          <w:iCs/>
        </w:rPr>
        <w:t>The Plant Health Instructor</w:t>
      </w:r>
      <w:r w:rsidRPr="00644EE1">
        <w:t xml:space="preserve">, </w:t>
      </w:r>
      <w:r w:rsidRPr="00644EE1">
        <w:rPr>
          <w:i/>
          <w:iCs/>
        </w:rPr>
        <w:t>Figure 1</w:t>
      </w:r>
      <w:r w:rsidRPr="00644EE1">
        <w:t xml:space="preserve">, 1–12. </w:t>
      </w:r>
      <w:hyperlink r:id="rId31" w:history="1">
        <w:r w:rsidRPr="00644EE1">
          <w:rPr>
            <w:rStyle w:val="Hyperlink"/>
            <w:color w:val="auto"/>
            <w:u w:val="none"/>
          </w:rPr>
          <w:t>https://doi.org/10.1094/phi-i-2000-1030-02</w:t>
        </w:r>
      </w:hyperlink>
    </w:p>
    <w:p w14:paraId="32A88FD1" w14:textId="77777777" w:rsidR="00D20476" w:rsidRPr="00644EE1" w:rsidRDefault="00D20476" w:rsidP="004E11C2">
      <w:pPr>
        <w:pStyle w:val="NormalWeb"/>
        <w:spacing w:before="0" w:beforeAutospacing="0" w:after="0" w:afterAutospacing="0" w:line="360" w:lineRule="auto"/>
        <w:ind w:left="720" w:hanging="630"/>
      </w:pPr>
      <w:r w:rsidRPr="00644EE1">
        <w:t xml:space="preserve">Dickerson, O. J., Blake, J. H., Lewis, S., &amp; Clemson Extension. (2000). </w:t>
      </w:r>
      <w:r w:rsidRPr="00644EE1">
        <w:rPr>
          <w:i/>
          <w:iCs/>
        </w:rPr>
        <w:t>Nematode Guidelines for South Carolina</w:t>
      </w:r>
      <w:r w:rsidRPr="00644EE1">
        <w:t>.</w:t>
      </w:r>
    </w:p>
    <w:p w14:paraId="07A2157A"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Eisenback, J. D. (2018). Plant Parasitic Nematodes of Virginia and West Virginia. In </w:t>
      </w:r>
      <w:r w:rsidRPr="00644EE1">
        <w:rPr>
          <w:i/>
          <w:iCs/>
          <w:shd w:val="clear" w:color="auto" w:fill="FFFFFF"/>
        </w:rPr>
        <w:t>Plant Parasitic Nematodes in Sustainable Agriculture of North America</w:t>
      </w:r>
      <w:r w:rsidRPr="00644EE1">
        <w:rPr>
          <w:shd w:val="clear" w:color="auto" w:fill="FFFFFF"/>
        </w:rPr>
        <w:t> (pp. 277-304). Springer, Cham</w:t>
      </w:r>
    </w:p>
    <w:p w14:paraId="701EA6E9" w14:textId="77777777" w:rsidR="00D20476" w:rsidRPr="00644EE1" w:rsidRDefault="00D20476" w:rsidP="004E11C2">
      <w:pPr>
        <w:pStyle w:val="NormalWeb"/>
        <w:spacing w:before="0" w:beforeAutospacing="0" w:after="0" w:afterAutospacing="0" w:line="360" w:lineRule="auto"/>
        <w:ind w:left="720" w:hanging="630"/>
      </w:pPr>
      <w:r w:rsidRPr="00644EE1">
        <w:t xml:space="preserve">Elhady, A., Hallmann, J., &amp; Heuer, H. (2020). Symbiosis of soybean with nitrogen fixing bacteria affected by root-lesion nematodes in a density-dependent manner. </w:t>
      </w:r>
      <w:r w:rsidRPr="00644EE1">
        <w:rPr>
          <w:i/>
          <w:iCs/>
        </w:rPr>
        <w:t>Scientific Reports</w:t>
      </w:r>
      <w:r w:rsidRPr="00644EE1">
        <w:t xml:space="preserve">, </w:t>
      </w:r>
      <w:r w:rsidRPr="00644EE1">
        <w:rPr>
          <w:i/>
          <w:iCs/>
        </w:rPr>
        <w:t>10</w:t>
      </w:r>
      <w:r w:rsidRPr="00644EE1">
        <w:t xml:space="preserve">(1), 1–12. </w:t>
      </w:r>
      <w:hyperlink r:id="rId32" w:history="1">
        <w:r w:rsidRPr="00644EE1">
          <w:rPr>
            <w:rStyle w:val="Hyperlink"/>
            <w:color w:val="auto"/>
            <w:u w:val="none"/>
          </w:rPr>
          <w:t>https://doi.org/10.1038/s41598-020-58546-x</w:t>
        </w:r>
      </w:hyperlink>
    </w:p>
    <w:p w14:paraId="62F61E52"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Francl, L. J., Wyllie, T. D., &amp; Rosenbrock, S. M. (1988). </w:t>
      </w:r>
      <w:r w:rsidRPr="00644EE1">
        <w:rPr>
          <w:i/>
          <w:iCs/>
          <w:shd w:val="clear" w:color="auto" w:fill="FFFFFF"/>
        </w:rPr>
        <w:t>Influence of crop rotation on population density of Macrophomina phaseolina in soil infested with Heterodera glycines</w:t>
      </w:r>
      <w:r w:rsidRPr="00644EE1">
        <w:rPr>
          <w:shd w:val="clear" w:color="auto" w:fill="FFFFFF"/>
        </w:rPr>
        <w:t> (No. RESEARCH).</w:t>
      </w:r>
    </w:p>
    <w:p w14:paraId="16F61C5D" w14:textId="77777777" w:rsidR="00D20476" w:rsidRPr="00644EE1" w:rsidRDefault="00D20476" w:rsidP="004E11C2">
      <w:pPr>
        <w:pStyle w:val="NormalWeb"/>
        <w:spacing w:before="0" w:beforeAutospacing="0" w:after="0" w:afterAutospacing="0" w:line="360" w:lineRule="auto"/>
        <w:ind w:left="720" w:hanging="630"/>
      </w:pPr>
      <w:r w:rsidRPr="00644EE1">
        <w:t xml:space="preserve">Gardner, M., Heinz, R., Wang, J., &amp; Mitchum, M. G. (2017). Genetics and adaptation of soybean cyst nematode to broad-spectrum soybean resistance. </w:t>
      </w:r>
      <w:r w:rsidRPr="00644EE1">
        <w:rPr>
          <w:i/>
          <w:iCs/>
        </w:rPr>
        <w:t>G3: Genes, Genomes, Genetics</w:t>
      </w:r>
      <w:r w:rsidRPr="00644EE1">
        <w:t xml:space="preserve">, </w:t>
      </w:r>
      <w:r w:rsidRPr="00644EE1">
        <w:rPr>
          <w:i/>
          <w:iCs/>
        </w:rPr>
        <w:t>7</w:t>
      </w:r>
      <w:r w:rsidRPr="00644EE1">
        <w:t xml:space="preserve">(3), 835–841. </w:t>
      </w:r>
      <w:hyperlink r:id="rId33" w:history="1">
        <w:r w:rsidRPr="00644EE1">
          <w:rPr>
            <w:rStyle w:val="Hyperlink"/>
            <w:color w:val="auto"/>
            <w:u w:val="none"/>
          </w:rPr>
          <w:t>https://doi.org/10.1534/g3.116.035964</w:t>
        </w:r>
      </w:hyperlink>
    </w:p>
    <w:p w14:paraId="7AAAD6D3" w14:textId="77777777" w:rsidR="00D20476" w:rsidRPr="00644EE1" w:rsidRDefault="00D20476" w:rsidP="004E11C2">
      <w:pPr>
        <w:pStyle w:val="NormalWeb"/>
        <w:spacing w:before="0" w:beforeAutospacing="0" w:after="0" w:afterAutospacing="0" w:line="360" w:lineRule="auto"/>
        <w:ind w:left="720" w:hanging="630"/>
      </w:pPr>
      <w:r w:rsidRPr="00644EE1">
        <w:t xml:space="preserve">Gauthier N., (2020). Management of Powdery Mildew Begins with Understanding the Causal Fungus. Retrieved from </w:t>
      </w:r>
      <w:hyperlink r:id="rId34" w:history="1">
        <w:r w:rsidRPr="00644EE1">
          <w:rPr>
            <w:rStyle w:val="Hyperlink"/>
            <w:color w:val="auto"/>
            <w:u w:val="none"/>
          </w:rPr>
          <w:t>http://www.kyhempdisease.com/powdery-mildew-of-hemp.html</w:t>
        </w:r>
      </w:hyperlink>
    </w:p>
    <w:p w14:paraId="070061F4" w14:textId="77777777" w:rsidR="00D20476" w:rsidRPr="00644EE1" w:rsidRDefault="00D20476" w:rsidP="004E11C2">
      <w:pPr>
        <w:pStyle w:val="NormalWeb"/>
        <w:spacing w:before="0" w:beforeAutospacing="0" w:after="0" w:afterAutospacing="0" w:line="360" w:lineRule="auto"/>
        <w:ind w:left="720" w:hanging="630"/>
      </w:pPr>
      <w:r w:rsidRPr="00644EE1">
        <w:t xml:space="preserve">Ghahremani, Z., Escudero, N., Saus, E., Gabaldón, T., &amp; Sorribas, F. J. (2019). Pochonia chlamydosporia Induces Plant-Dependent Systemic Resistance to </w:t>
      </w:r>
      <w:r w:rsidRPr="00644EE1">
        <w:rPr>
          <w:i/>
        </w:rPr>
        <w:t>Meloidogyne incognita</w:t>
      </w:r>
      <w:r w:rsidRPr="00644EE1">
        <w:t xml:space="preserve">. </w:t>
      </w:r>
      <w:r w:rsidRPr="00644EE1">
        <w:rPr>
          <w:i/>
          <w:iCs/>
        </w:rPr>
        <w:t>Frontiers in Plant Science</w:t>
      </w:r>
      <w:r w:rsidRPr="00644EE1">
        <w:t xml:space="preserve">, </w:t>
      </w:r>
      <w:r w:rsidRPr="00644EE1">
        <w:rPr>
          <w:i/>
          <w:iCs/>
        </w:rPr>
        <w:t>10</w:t>
      </w:r>
      <w:r w:rsidRPr="00644EE1">
        <w:t xml:space="preserve">(August). </w:t>
      </w:r>
      <w:hyperlink r:id="rId35" w:history="1">
        <w:r w:rsidRPr="00644EE1">
          <w:rPr>
            <w:rStyle w:val="Hyperlink"/>
            <w:color w:val="auto"/>
            <w:u w:val="none"/>
          </w:rPr>
          <w:t>https://doi.org/10.3389/fpls.2019.00945</w:t>
        </w:r>
      </w:hyperlink>
    </w:p>
    <w:p w14:paraId="34BA8683"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Giannakou, I. O., Karpouzas, D. G., &amp; Prophetou-Athanasiadou, D. (2004). A novel non-chemical nematicide for the control of root-knot nematodes. </w:t>
      </w:r>
      <w:r w:rsidRPr="00644EE1">
        <w:rPr>
          <w:i/>
          <w:iCs/>
          <w:shd w:val="clear" w:color="auto" w:fill="FFFFFF"/>
        </w:rPr>
        <w:t>Applied Soil Ecology</w:t>
      </w:r>
      <w:r w:rsidRPr="00644EE1">
        <w:rPr>
          <w:shd w:val="clear" w:color="auto" w:fill="FFFFFF"/>
        </w:rPr>
        <w:t>, </w:t>
      </w:r>
      <w:r w:rsidRPr="00644EE1">
        <w:rPr>
          <w:i/>
          <w:iCs/>
          <w:shd w:val="clear" w:color="auto" w:fill="FFFFFF"/>
        </w:rPr>
        <w:t>26</w:t>
      </w:r>
      <w:r w:rsidRPr="00644EE1">
        <w:rPr>
          <w:shd w:val="clear" w:color="auto" w:fill="FFFFFF"/>
        </w:rPr>
        <w:t>(1), 69-79.</w:t>
      </w:r>
    </w:p>
    <w:p w14:paraId="72C72442" w14:textId="77777777" w:rsidR="00D20476" w:rsidRPr="00644EE1" w:rsidRDefault="00D20476" w:rsidP="004E11C2">
      <w:pPr>
        <w:pStyle w:val="NormalWeb"/>
        <w:spacing w:before="0" w:beforeAutospacing="0" w:after="0" w:afterAutospacing="0" w:line="360" w:lineRule="auto"/>
        <w:ind w:left="720" w:hanging="630"/>
      </w:pPr>
      <w:r w:rsidRPr="00644EE1">
        <w:t xml:space="preserve">Goswami, J., Pandey, R. K., Tewari, J. P., &amp; Goswami, B. K. (2008). Management of root-knot nematode on tomato through application of fungal antagonists, Acremonium strictum and </w:t>
      </w:r>
      <w:r w:rsidRPr="00644EE1">
        <w:rPr>
          <w:i/>
          <w:iCs/>
        </w:rPr>
        <w:t>Trichoderma harzianum</w:t>
      </w:r>
      <w:r w:rsidRPr="00644EE1">
        <w:t xml:space="preserve">. </w:t>
      </w:r>
      <w:r w:rsidRPr="00644EE1">
        <w:rPr>
          <w:i/>
          <w:iCs/>
        </w:rPr>
        <w:t>Journal of Environmental Science and Health - Part B Pesticides, Food Contaminants, and Agricultural Wastes</w:t>
      </w:r>
      <w:r w:rsidRPr="00644EE1">
        <w:t xml:space="preserve">, </w:t>
      </w:r>
      <w:r w:rsidRPr="00644EE1">
        <w:rPr>
          <w:i/>
          <w:iCs/>
        </w:rPr>
        <w:t>43</w:t>
      </w:r>
      <w:r w:rsidRPr="00644EE1">
        <w:t xml:space="preserve">(3), 237–240. </w:t>
      </w:r>
      <w:hyperlink r:id="rId36" w:history="1">
        <w:r w:rsidRPr="00644EE1">
          <w:rPr>
            <w:rStyle w:val="Hyperlink"/>
            <w:color w:val="auto"/>
            <w:u w:val="none"/>
          </w:rPr>
          <w:t>https://doi.org/10.1080/03601230701771164</w:t>
        </w:r>
      </w:hyperlink>
    </w:p>
    <w:p w14:paraId="5CC6DB8E" w14:textId="77777777" w:rsidR="00D20476" w:rsidRPr="00644EE1" w:rsidRDefault="00D20476" w:rsidP="004E11C2">
      <w:pPr>
        <w:pStyle w:val="NormalWeb"/>
        <w:spacing w:before="0" w:beforeAutospacing="0" w:after="0" w:afterAutospacing="0" w:line="360" w:lineRule="auto"/>
        <w:ind w:left="720" w:hanging="630"/>
      </w:pPr>
      <w:r w:rsidRPr="00644EE1">
        <w:t xml:space="preserve">Grabau, Z. (2022). </w:t>
      </w:r>
      <w:r w:rsidRPr="00644EE1">
        <w:rPr>
          <w:iCs/>
        </w:rPr>
        <w:t>Performance of New Cotton Cultivars Resistant to Reniform and Root-knot Nematode in 2021 Trials</w:t>
      </w:r>
      <w:r w:rsidRPr="00644EE1">
        <w:t xml:space="preserve">. </w:t>
      </w:r>
      <w:r w:rsidRPr="00644EE1">
        <w:rPr>
          <w:iCs/>
        </w:rPr>
        <w:t>1646</w:t>
      </w:r>
      <w:r w:rsidRPr="00644EE1">
        <w:t>.</w:t>
      </w:r>
    </w:p>
    <w:p w14:paraId="53E1BFDC" w14:textId="77777777" w:rsidR="00D20476" w:rsidRPr="00644EE1" w:rsidRDefault="00D20476" w:rsidP="004E11C2">
      <w:pPr>
        <w:pStyle w:val="NormalWeb"/>
        <w:spacing w:before="0" w:beforeAutospacing="0" w:after="0" w:afterAutospacing="0" w:line="360" w:lineRule="auto"/>
        <w:ind w:left="720" w:hanging="630"/>
      </w:pPr>
      <w:r w:rsidRPr="00644EE1">
        <w:rPr>
          <w:noProof/>
        </w:rPr>
        <w:t xml:space="preserve">Gradish, A. E., Scott-Dupree, C. D., Shipp, L., Harris, C. R., &amp; Ferguson, G. (2010). Effect of reduced risk pesticides for use in greenhouse vegetable production on </w:t>
      </w:r>
      <w:r w:rsidRPr="00644EE1">
        <w:rPr>
          <w:i/>
          <w:noProof/>
        </w:rPr>
        <w:t>Bombus impatiens</w:t>
      </w:r>
      <w:r w:rsidRPr="00644EE1">
        <w:rPr>
          <w:noProof/>
        </w:rPr>
        <w:t xml:space="preserve"> (Hymenoptera: Apidae). </w:t>
      </w:r>
      <w:r w:rsidRPr="00644EE1">
        <w:rPr>
          <w:i/>
          <w:iCs/>
          <w:noProof/>
        </w:rPr>
        <w:t>Pest Management Science</w:t>
      </w:r>
      <w:r w:rsidRPr="00644EE1">
        <w:rPr>
          <w:noProof/>
        </w:rPr>
        <w:t xml:space="preserve">, </w:t>
      </w:r>
      <w:r w:rsidRPr="00644EE1">
        <w:rPr>
          <w:i/>
          <w:iCs/>
          <w:noProof/>
        </w:rPr>
        <w:t>66</w:t>
      </w:r>
      <w:r w:rsidRPr="00644EE1">
        <w:rPr>
          <w:noProof/>
        </w:rPr>
        <w:t>(2), 142–146. https://doi.org/10.1002/ps.1846</w:t>
      </w:r>
    </w:p>
    <w:p w14:paraId="168A3CA2"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Gray, F. A., Mihail, J. D., Lavigne, R. J., &amp; Porter, P. M. (1991). Incidence of charcoal rot of sorghum and soil populations of </w:t>
      </w:r>
      <w:r w:rsidRPr="00644EE1">
        <w:rPr>
          <w:i/>
          <w:shd w:val="clear" w:color="auto" w:fill="FFFFFF"/>
        </w:rPr>
        <w:t>Macrophomina phaseolina</w:t>
      </w:r>
      <w:r w:rsidRPr="00644EE1">
        <w:rPr>
          <w:shd w:val="clear" w:color="auto" w:fill="FFFFFF"/>
        </w:rPr>
        <w:t xml:space="preserve"> associated with sorghum and native vegetation in Somalia. </w:t>
      </w:r>
      <w:r w:rsidRPr="00644EE1">
        <w:rPr>
          <w:i/>
          <w:iCs/>
          <w:shd w:val="clear" w:color="auto" w:fill="FFFFFF"/>
        </w:rPr>
        <w:t>Mycopathologia</w:t>
      </w:r>
      <w:r w:rsidRPr="00644EE1">
        <w:rPr>
          <w:shd w:val="clear" w:color="auto" w:fill="FFFFFF"/>
        </w:rPr>
        <w:t>, </w:t>
      </w:r>
      <w:r w:rsidRPr="00644EE1">
        <w:rPr>
          <w:i/>
          <w:iCs/>
          <w:shd w:val="clear" w:color="auto" w:fill="FFFFFF"/>
        </w:rPr>
        <w:t>114</w:t>
      </w:r>
      <w:r w:rsidRPr="00644EE1">
        <w:rPr>
          <w:shd w:val="clear" w:color="auto" w:fill="FFFFFF"/>
        </w:rPr>
        <w:t>(3), 145-151.</w:t>
      </w:r>
    </w:p>
    <w:p w14:paraId="5044C0EF"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Grewal, P. S., Martin, W. R., Miller, R. W., &amp; Lewis, E. E. (1997). Suppression of plant-parasitic nematode populations in turfgrass by application of entomopathogenic nematodes. </w:t>
      </w:r>
      <w:r w:rsidRPr="00644EE1">
        <w:rPr>
          <w:i/>
          <w:iCs/>
          <w:shd w:val="clear" w:color="auto" w:fill="FFFFFF"/>
        </w:rPr>
        <w:t>Biocontrol Science and Technology</w:t>
      </w:r>
      <w:r w:rsidRPr="00644EE1">
        <w:rPr>
          <w:shd w:val="clear" w:color="auto" w:fill="FFFFFF"/>
        </w:rPr>
        <w:t>, </w:t>
      </w:r>
      <w:r w:rsidRPr="00644EE1">
        <w:rPr>
          <w:i/>
          <w:iCs/>
          <w:shd w:val="clear" w:color="auto" w:fill="FFFFFF"/>
        </w:rPr>
        <w:t>7</w:t>
      </w:r>
      <w:r w:rsidRPr="00644EE1">
        <w:rPr>
          <w:shd w:val="clear" w:color="auto" w:fill="FFFFFF"/>
        </w:rPr>
        <w:t>(3), 393-400.</w:t>
      </w:r>
    </w:p>
    <w:p w14:paraId="78AA5F7F" w14:textId="77777777" w:rsidR="00D20476" w:rsidRPr="00644EE1" w:rsidRDefault="00D20476" w:rsidP="004E11C2">
      <w:pPr>
        <w:pStyle w:val="NormalWeb"/>
        <w:spacing w:before="0" w:beforeAutospacing="0" w:after="0" w:afterAutospacing="0" w:line="360" w:lineRule="auto"/>
        <w:ind w:left="720" w:hanging="630"/>
      </w:pPr>
      <w:r w:rsidRPr="00644EE1">
        <w:t xml:space="preserve">Gupta, G. K., Sharma, S. K., &amp; Ramteke, R. (2012). Biology, Epidemiology and Management of the Pathogenic Fungus </w:t>
      </w:r>
      <w:r w:rsidRPr="00644EE1">
        <w:rPr>
          <w:i/>
        </w:rPr>
        <w:t>Macrophomina phaseolina</w:t>
      </w:r>
      <w:r w:rsidRPr="00644EE1">
        <w:t xml:space="preserve"> (Tassi) Goid with Special Reference to Charcoal Rot of Soybean (</w:t>
      </w:r>
      <w:r w:rsidRPr="00644EE1">
        <w:rPr>
          <w:i/>
        </w:rPr>
        <w:t>Glycine max</w:t>
      </w:r>
      <w:r w:rsidRPr="00644EE1">
        <w:t xml:space="preserve"> (L.) Merrill). In </w:t>
      </w:r>
      <w:r w:rsidRPr="00644EE1">
        <w:rPr>
          <w:i/>
          <w:iCs/>
        </w:rPr>
        <w:t>Journal of Phytopathology</w:t>
      </w:r>
      <w:r w:rsidRPr="00644EE1">
        <w:t xml:space="preserve"> (Vol. 160, Issue 4, pp. 167–180). </w:t>
      </w:r>
      <w:hyperlink r:id="rId37" w:history="1">
        <w:r w:rsidRPr="00644EE1">
          <w:rPr>
            <w:rStyle w:val="Hyperlink"/>
            <w:color w:val="auto"/>
            <w:u w:val="none"/>
          </w:rPr>
          <w:t>https://doi.org/10.1111/j.1439-0434.2012.01884.x</w:t>
        </w:r>
      </w:hyperlink>
    </w:p>
    <w:p w14:paraId="3B1E80B3" w14:textId="77777777" w:rsidR="00D20476" w:rsidRPr="00644EE1" w:rsidRDefault="00D20476" w:rsidP="004E11C2">
      <w:pPr>
        <w:pStyle w:val="NormalWeb"/>
        <w:spacing w:before="0" w:beforeAutospacing="0" w:after="0" w:afterAutospacing="0" w:line="360" w:lineRule="auto"/>
        <w:ind w:left="720" w:hanging="630"/>
      </w:pPr>
      <w:r w:rsidRPr="00644EE1">
        <w:t xml:space="preserve">Gwinn, K. D., Hansen, Z., Kelly, H., &amp; Ownley, B. H. (2022). Diseases of </w:t>
      </w:r>
      <w:r w:rsidRPr="00644EE1">
        <w:rPr>
          <w:i/>
        </w:rPr>
        <w:t>Cannabis sativa</w:t>
      </w:r>
      <w:r w:rsidRPr="00644EE1">
        <w:t xml:space="preserve"> Caused by Diverse </w:t>
      </w:r>
      <w:r w:rsidRPr="00644EE1">
        <w:rPr>
          <w:i/>
        </w:rPr>
        <w:t>Fusarium</w:t>
      </w:r>
      <w:r w:rsidRPr="00644EE1">
        <w:t xml:space="preserve"> Species. </w:t>
      </w:r>
      <w:r w:rsidRPr="00644EE1">
        <w:rPr>
          <w:i/>
          <w:iCs/>
        </w:rPr>
        <w:t>Frontiers in Agronomy</w:t>
      </w:r>
      <w:r w:rsidRPr="00644EE1">
        <w:t xml:space="preserve">, </w:t>
      </w:r>
      <w:r w:rsidRPr="00644EE1">
        <w:rPr>
          <w:i/>
          <w:iCs/>
        </w:rPr>
        <w:t>3</w:t>
      </w:r>
      <w:r w:rsidRPr="00644EE1">
        <w:t xml:space="preserve">(January), 1–17. </w:t>
      </w:r>
      <w:hyperlink r:id="rId38" w:history="1">
        <w:r w:rsidRPr="00644EE1">
          <w:rPr>
            <w:rStyle w:val="Hyperlink"/>
            <w:color w:val="auto"/>
            <w:u w:val="none"/>
          </w:rPr>
          <w:t>https://doi.org/10.3389/fagro.2021.796062</w:t>
        </w:r>
      </w:hyperlink>
    </w:p>
    <w:p w14:paraId="1C3C2CB8" w14:textId="77777777" w:rsidR="00D20476" w:rsidRPr="00644EE1" w:rsidRDefault="00D20476" w:rsidP="004E11C2">
      <w:pPr>
        <w:pStyle w:val="NormalWeb"/>
        <w:spacing w:before="0" w:beforeAutospacing="0" w:after="0" w:afterAutospacing="0" w:line="360" w:lineRule="auto"/>
        <w:ind w:left="720" w:hanging="630"/>
      </w:pPr>
      <w:r w:rsidRPr="00644EE1">
        <w:t xml:space="preserve">Hackenberg, C., Muehlchen, A., Forge, T., &amp; Vrain, T. (2000). </w:t>
      </w:r>
      <w:r w:rsidRPr="00644EE1">
        <w:rPr>
          <w:i/>
        </w:rPr>
        <w:t>Pseudomonas chlororaphis</w:t>
      </w:r>
      <w:r w:rsidRPr="00644EE1">
        <w:t xml:space="preserve"> Strain Sm3, bacterial antagonist of </w:t>
      </w:r>
      <w:r w:rsidRPr="00644EE1">
        <w:rPr>
          <w:i/>
        </w:rPr>
        <w:t>Pratylenchus penetrans</w:t>
      </w:r>
      <w:r w:rsidRPr="00644EE1">
        <w:t xml:space="preserve">. </w:t>
      </w:r>
      <w:r w:rsidRPr="00644EE1">
        <w:rPr>
          <w:i/>
          <w:iCs/>
        </w:rPr>
        <w:t>Journal of Nematology</w:t>
      </w:r>
      <w:r w:rsidRPr="00644EE1">
        <w:t xml:space="preserve">, </w:t>
      </w:r>
      <w:r w:rsidRPr="00644EE1">
        <w:rPr>
          <w:i/>
          <w:iCs/>
        </w:rPr>
        <w:t>32</w:t>
      </w:r>
      <w:r w:rsidRPr="00644EE1">
        <w:t>(2), 183–189.</w:t>
      </w:r>
    </w:p>
    <w:p w14:paraId="4B8C5294" w14:textId="77777777" w:rsidR="00D20476" w:rsidRPr="00644EE1" w:rsidRDefault="00D20476" w:rsidP="004E11C2">
      <w:pPr>
        <w:pStyle w:val="NormalWeb"/>
        <w:spacing w:before="0" w:beforeAutospacing="0" w:after="0" w:afterAutospacing="0" w:line="360" w:lineRule="auto"/>
        <w:ind w:left="720" w:hanging="630"/>
      </w:pPr>
      <w:r w:rsidRPr="00644EE1">
        <w:t xml:space="preserve">Hansen, Z., Akinrinlola, R., Kelly, H., Virginia, S., Rachel, G., Cartwright, M., Grant, J., &amp; Cosner, J. (2020b). Hemp variety trials in Tennessee 2020 (W 1016). </w:t>
      </w:r>
      <w:r w:rsidRPr="00644EE1">
        <w:rPr>
          <w:i/>
          <w:iCs/>
        </w:rPr>
        <w:t>UT Extension Publication</w:t>
      </w:r>
      <w:r w:rsidRPr="00644EE1">
        <w:t>, 1–10.</w:t>
      </w:r>
    </w:p>
    <w:p w14:paraId="6148D965"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Hansen, Z., Bernard, E., Grant, J., Gwinn, K., Hale, F., Kelly, H., &amp; Stewart, S. (2020a). Hemp disease and pest management. </w:t>
      </w:r>
      <w:r w:rsidRPr="00644EE1">
        <w:rPr>
          <w:i/>
          <w:iCs/>
          <w:shd w:val="clear" w:color="auto" w:fill="FFFFFF"/>
        </w:rPr>
        <w:t>University of Tennessee Extension, Knoxville, TN</w:t>
      </w:r>
      <w:r w:rsidRPr="00644EE1">
        <w:rPr>
          <w:shd w:val="clear" w:color="auto" w:fill="FFFFFF"/>
        </w:rPr>
        <w:t>, 1-15.</w:t>
      </w:r>
    </w:p>
    <w:p w14:paraId="42C8EB88"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Inserra, R. N., Dunn, R. A., McSorley, R., Langdon, K. R., &amp; Richmer, A. Y. (1989). Weed hosts of </w:t>
      </w:r>
      <w:r w:rsidRPr="00644EE1">
        <w:rPr>
          <w:i/>
          <w:shd w:val="clear" w:color="auto" w:fill="FFFFFF"/>
        </w:rPr>
        <w:t>Rotylenchulus reniformis</w:t>
      </w:r>
      <w:r w:rsidRPr="00644EE1">
        <w:rPr>
          <w:shd w:val="clear" w:color="auto" w:fill="FFFFFF"/>
        </w:rPr>
        <w:t xml:space="preserve"> in ornamental nurseries of southern Florida. </w:t>
      </w:r>
      <w:r w:rsidRPr="00644EE1">
        <w:rPr>
          <w:i/>
          <w:iCs/>
          <w:shd w:val="clear" w:color="auto" w:fill="FFFFFF"/>
        </w:rPr>
        <w:t>Nematology Circular (Gainesville)</w:t>
      </w:r>
      <w:r w:rsidRPr="00644EE1">
        <w:rPr>
          <w:shd w:val="clear" w:color="auto" w:fill="FFFFFF"/>
        </w:rPr>
        <w:t>, (171).</w:t>
      </w:r>
    </w:p>
    <w:p w14:paraId="31009334" w14:textId="77777777" w:rsidR="00D20476" w:rsidRPr="00644EE1" w:rsidRDefault="00D20476" w:rsidP="004E11C2">
      <w:pPr>
        <w:pStyle w:val="NormalWeb"/>
        <w:spacing w:before="0" w:beforeAutospacing="0" w:after="0" w:afterAutospacing="0" w:line="360" w:lineRule="auto"/>
        <w:ind w:left="720" w:hanging="630"/>
      </w:pPr>
      <w:r w:rsidRPr="00644EE1">
        <w:t xml:space="preserve">Jagdale, G. B., &amp; Grewal, P. S. (2002). Identification of alternatives for the management of foliar nematodes in floriculture. </w:t>
      </w:r>
      <w:r w:rsidRPr="00644EE1">
        <w:rPr>
          <w:i/>
          <w:iCs/>
        </w:rPr>
        <w:t>Pest Management Science</w:t>
      </w:r>
      <w:r w:rsidRPr="00644EE1">
        <w:t xml:space="preserve">, </w:t>
      </w:r>
      <w:r w:rsidRPr="00644EE1">
        <w:rPr>
          <w:i/>
          <w:iCs/>
        </w:rPr>
        <w:t>58</w:t>
      </w:r>
      <w:r w:rsidRPr="00644EE1">
        <w:t xml:space="preserve">(5), 451–458. </w:t>
      </w:r>
      <w:hyperlink r:id="rId39" w:history="1">
        <w:r w:rsidRPr="00644EE1">
          <w:rPr>
            <w:rStyle w:val="Hyperlink"/>
            <w:color w:val="auto"/>
            <w:u w:val="none"/>
          </w:rPr>
          <w:t>https://doi.org/10.1002/ps.472</w:t>
        </w:r>
      </w:hyperlink>
    </w:p>
    <w:p w14:paraId="7E1C00B6" w14:textId="77777777" w:rsidR="00D20476" w:rsidRPr="00644EE1" w:rsidRDefault="00D20476" w:rsidP="004E11C2">
      <w:pPr>
        <w:pStyle w:val="NormalWeb"/>
        <w:spacing w:before="0" w:beforeAutospacing="0" w:after="0" w:afterAutospacing="0" w:line="360" w:lineRule="auto"/>
        <w:ind w:left="720" w:hanging="630"/>
      </w:pPr>
      <w:r w:rsidRPr="00644EE1">
        <w:t xml:space="preserve">Jones, J. T., Haegeman, A., Danchin, E. G. J., Gaur, H. S., Helder, J., Jones, M. G. K., Kikuchi, T., Manzanilla-López, R., Palomares-Rius, J. E., Wesemael, W. M. L., &amp; Perry, R. N. (2013). Top 10 plant-parasitic nematodes in molecular plant pathology. </w:t>
      </w:r>
      <w:r w:rsidRPr="00644EE1">
        <w:rPr>
          <w:i/>
          <w:iCs/>
        </w:rPr>
        <w:t>Molecular Plant Pathology</w:t>
      </w:r>
      <w:r w:rsidRPr="00644EE1">
        <w:t xml:space="preserve">, </w:t>
      </w:r>
      <w:r w:rsidRPr="00644EE1">
        <w:rPr>
          <w:i/>
          <w:iCs/>
        </w:rPr>
        <w:t>14</w:t>
      </w:r>
      <w:r w:rsidRPr="00644EE1">
        <w:t xml:space="preserve">(9), 946–961. </w:t>
      </w:r>
      <w:hyperlink r:id="rId40" w:history="1">
        <w:r w:rsidRPr="00644EE1">
          <w:rPr>
            <w:rStyle w:val="Hyperlink"/>
            <w:color w:val="auto"/>
            <w:u w:val="none"/>
          </w:rPr>
          <w:t>https://doi.org/10.1111/mpp.12057</w:t>
        </w:r>
      </w:hyperlink>
    </w:p>
    <w:p w14:paraId="1354499F" w14:textId="77777777" w:rsidR="00D20476" w:rsidRPr="00644EE1" w:rsidRDefault="00D20476" w:rsidP="004E11C2">
      <w:pPr>
        <w:pStyle w:val="NormalWeb"/>
        <w:spacing w:before="0" w:beforeAutospacing="0" w:after="0" w:afterAutospacing="0" w:line="360" w:lineRule="auto"/>
        <w:ind w:left="720" w:hanging="630"/>
      </w:pPr>
      <w:r w:rsidRPr="00644EE1">
        <w:t xml:space="preserve">Kandel, S. L., Smiley, R. W., Garland-Campbell, K., Elling, A. A., Abatzoglou, J., Huggins, D., Rupp, R., &amp; Paulitz, T. C. (2013). Relationship between climatic factors and distribution of </w:t>
      </w:r>
      <w:r w:rsidRPr="00644EE1">
        <w:rPr>
          <w:i/>
        </w:rPr>
        <w:t>Pratylenchus</w:t>
      </w:r>
      <w:r w:rsidRPr="00644EE1">
        <w:t xml:space="preserve"> spp. in the dryland wheat-production areas of Eastern Washington. </w:t>
      </w:r>
      <w:r w:rsidRPr="00644EE1">
        <w:rPr>
          <w:i/>
          <w:iCs/>
        </w:rPr>
        <w:t>Plant Disease</w:t>
      </w:r>
      <w:r w:rsidRPr="00644EE1">
        <w:t xml:space="preserve">, </w:t>
      </w:r>
      <w:r w:rsidRPr="00644EE1">
        <w:rPr>
          <w:i/>
          <w:iCs/>
        </w:rPr>
        <w:t>97</w:t>
      </w:r>
      <w:r w:rsidRPr="00644EE1">
        <w:t xml:space="preserve">(11), 1448–1456. </w:t>
      </w:r>
      <w:hyperlink r:id="rId41" w:history="1">
        <w:r w:rsidRPr="00644EE1">
          <w:rPr>
            <w:rStyle w:val="Hyperlink"/>
            <w:color w:val="auto"/>
            <w:u w:val="none"/>
          </w:rPr>
          <w:t>https://doi.org/10.1094/PDIS-11-12-1060-RE</w:t>
        </w:r>
      </w:hyperlink>
    </w:p>
    <w:p w14:paraId="239903D9" w14:textId="77777777" w:rsidR="00D20476" w:rsidRPr="00644EE1" w:rsidRDefault="00D20476" w:rsidP="004E11C2">
      <w:pPr>
        <w:pStyle w:val="NormalWeb"/>
        <w:spacing w:before="0" w:beforeAutospacing="0" w:after="0" w:afterAutospacing="0" w:line="360" w:lineRule="auto"/>
        <w:ind w:left="720" w:hanging="630"/>
      </w:pPr>
      <w:r w:rsidRPr="00644EE1">
        <w:t xml:space="preserve">Kaşkavalci, G., Tüzel, Y., Dura, O., &amp; Öztekin, G. B. (2009). Effects of alternative control methods against </w:t>
      </w:r>
      <w:r w:rsidRPr="00644EE1">
        <w:rPr>
          <w:i/>
        </w:rPr>
        <w:t>Meloidogyne incognita</w:t>
      </w:r>
      <w:r w:rsidRPr="00644EE1">
        <w:t xml:space="preserve"> in organic tomato production. </w:t>
      </w:r>
      <w:r w:rsidRPr="00644EE1">
        <w:rPr>
          <w:i/>
          <w:iCs/>
        </w:rPr>
        <w:t>Ekoloji</w:t>
      </w:r>
      <w:r w:rsidRPr="00644EE1">
        <w:t xml:space="preserve">, </w:t>
      </w:r>
      <w:r w:rsidRPr="00644EE1">
        <w:rPr>
          <w:i/>
          <w:iCs/>
        </w:rPr>
        <w:t>19</w:t>
      </w:r>
      <w:r w:rsidRPr="00644EE1">
        <w:t xml:space="preserve">(72), 23–31. </w:t>
      </w:r>
      <w:hyperlink r:id="rId42" w:history="1">
        <w:r w:rsidRPr="00644EE1">
          <w:rPr>
            <w:rStyle w:val="Hyperlink"/>
            <w:color w:val="auto"/>
            <w:u w:val="none"/>
          </w:rPr>
          <w:t>https://doi.org/10.5053/ekoloji.2009.724</w:t>
        </w:r>
      </w:hyperlink>
    </w:p>
    <w:p w14:paraId="40356051" w14:textId="77777777" w:rsidR="00D20476" w:rsidRPr="00644EE1" w:rsidRDefault="00D20476" w:rsidP="004E11C2">
      <w:pPr>
        <w:pStyle w:val="NormalWeb"/>
        <w:spacing w:before="0" w:beforeAutospacing="0" w:after="0" w:afterAutospacing="0" w:line="360" w:lineRule="auto"/>
        <w:ind w:left="720" w:hanging="630"/>
      </w:pPr>
      <w:r w:rsidRPr="00644EE1">
        <w:t xml:space="preserve">Kelly, H. M. (2016). Cotton disease and nematode control 2016. </w:t>
      </w:r>
      <w:r w:rsidRPr="00644EE1">
        <w:rPr>
          <w:i/>
          <w:iCs/>
        </w:rPr>
        <w:t>Control</w:t>
      </w:r>
      <w:r w:rsidRPr="00644EE1">
        <w:t xml:space="preserve">, 14. Disease and nematode control revised.pdf. </w:t>
      </w:r>
      <w:hyperlink r:id="rId43" w:history="1">
        <w:r w:rsidRPr="00644EE1">
          <w:rPr>
            <w:rStyle w:val="Hyperlink"/>
            <w:color w:val="auto"/>
            <w:u w:val="none"/>
          </w:rPr>
          <w:t>https://ag.tennessee.edu/epp/redbook/11-cotton</w:t>
        </w:r>
      </w:hyperlink>
    </w:p>
    <w:p w14:paraId="5ABCDE03"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Kelman B., (2019). A new gold rush: Tennessee hemp farming rises 1,100% in one year. Is it growing too fast? </w:t>
      </w:r>
      <w:hyperlink r:id="rId44" w:history="1">
        <w:r w:rsidRPr="00644EE1">
          <w:rPr>
            <w:rStyle w:val="Hyperlink"/>
            <w:color w:val="auto"/>
            <w:u w:val="none"/>
          </w:rPr>
          <w:t>https://www.tennessean.com/story/news/health/2019/04/11/tennessee-hemp-cbd-farming-increases/3399678002/</w:t>
        </w:r>
      </w:hyperlink>
    </w:p>
    <w:p w14:paraId="1A9E0A16"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Kirkpatrick, T., Faske, T., &amp; Robbins, B. (2014). Nematode management. </w:t>
      </w:r>
      <w:r w:rsidRPr="00644EE1">
        <w:rPr>
          <w:iCs/>
          <w:shd w:val="clear" w:color="auto" w:fill="FFFFFF"/>
        </w:rPr>
        <w:t>University of Arkansas–Division of Agriculture, ed. Arkansas Soybean Production Handbook, MP197. The University of Arkansas, Division of Agriculture, Cooperative Extension Service, Little Rock</w:t>
      </w:r>
      <w:r w:rsidRPr="00644EE1">
        <w:rPr>
          <w:shd w:val="clear" w:color="auto" w:fill="FFFFFF"/>
        </w:rPr>
        <w:t>, 1-6.</w:t>
      </w:r>
    </w:p>
    <w:p w14:paraId="3BF59E2C" w14:textId="77777777" w:rsidR="00D20476" w:rsidRPr="00644EE1" w:rsidRDefault="00D20476" w:rsidP="004E11C2">
      <w:pPr>
        <w:pStyle w:val="NormalWeb"/>
        <w:spacing w:before="0" w:beforeAutospacing="0" w:after="0" w:afterAutospacing="0" w:line="360" w:lineRule="auto"/>
        <w:ind w:left="720" w:hanging="630"/>
      </w:pPr>
      <w:r w:rsidRPr="00644EE1">
        <w:t xml:space="preserve">Ko, M. P., Barker, K. R., &amp; Huang, J. S. (1984). Nodulation of Soybeans as Affected by Half-root Infection with </w:t>
      </w:r>
      <w:r w:rsidRPr="00644EE1">
        <w:rPr>
          <w:i/>
        </w:rPr>
        <w:t>Heterodera glycines</w:t>
      </w:r>
      <w:r w:rsidRPr="00644EE1">
        <w:t xml:space="preserve">. </w:t>
      </w:r>
      <w:r w:rsidRPr="00644EE1">
        <w:rPr>
          <w:i/>
          <w:iCs/>
        </w:rPr>
        <w:t>Journal of Nematology</w:t>
      </w:r>
      <w:r w:rsidRPr="00644EE1">
        <w:t xml:space="preserve">, </w:t>
      </w:r>
      <w:r w:rsidRPr="00644EE1">
        <w:rPr>
          <w:i/>
          <w:iCs/>
        </w:rPr>
        <w:t>16</w:t>
      </w:r>
      <w:r w:rsidRPr="00644EE1">
        <w:t>(1), 97–105.</w:t>
      </w:r>
    </w:p>
    <w:p w14:paraId="58C1CFF4"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Kokalis-Burelle, N., &amp; Dickson, D. W. (2003, November). Effects of Soil Fumigants and Bioyield on Root Knot Nematode Incidence and Yield of Tomato. In </w:t>
      </w:r>
      <w:r w:rsidRPr="00644EE1">
        <w:rPr>
          <w:i/>
          <w:iCs/>
          <w:shd w:val="clear" w:color="auto" w:fill="FFFFFF"/>
        </w:rPr>
        <w:t>Annual International Conference on Methyl Bromide Alternatives and Emissions Reductions</w:t>
      </w:r>
      <w:r w:rsidRPr="00644EE1">
        <w:rPr>
          <w:shd w:val="clear" w:color="auto" w:fill="FFFFFF"/>
        </w:rPr>
        <w:t> (pp. 3-6).</w:t>
      </w:r>
    </w:p>
    <w:p w14:paraId="1E53B8E8"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Kokalis–Burelle, N., Vavrina, C. S., Rosskopf, E. N., &amp; Shelby, R. A. (2002). Field evaluation of plant growth-promoting rhizobacteria amended transplant mixes and soil solarization for tomato and pepper production in Florida. </w:t>
      </w:r>
      <w:r w:rsidRPr="00644EE1">
        <w:rPr>
          <w:i/>
          <w:iCs/>
          <w:shd w:val="clear" w:color="auto" w:fill="FFFFFF"/>
        </w:rPr>
        <w:t>Plant and Soil</w:t>
      </w:r>
      <w:r w:rsidRPr="00644EE1">
        <w:rPr>
          <w:shd w:val="clear" w:color="auto" w:fill="FFFFFF"/>
        </w:rPr>
        <w:t>, </w:t>
      </w:r>
      <w:r w:rsidRPr="00644EE1">
        <w:rPr>
          <w:i/>
          <w:iCs/>
          <w:shd w:val="clear" w:color="auto" w:fill="FFFFFF"/>
        </w:rPr>
        <w:t>238</w:t>
      </w:r>
      <w:r w:rsidRPr="00644EE1">
        <w:rPr>
          <w:shd w:val="clear" w:color="auto" w:fill="FFFFFF"/>
        </w:rPr>
        <w:t>(2), 257-266.</w:t>
      </w:r>
    </w:p>
    <w:p w14:paraId="0CE95A07" w14:textId="77777777" w:rsidR="00D20476" w:rsidRPr="00644EE1" w:rsidRDefault="00D20476" w:rsidP="004E11C2">
      <w:pPr>
        <w:pStyle w:val="NormalWeb"/>
        <w:spacing w:before="0" w:beforeAutospacing="0" w:after="0" w:afterAutospacing="0" w:line="360" w:lineRule="auto"/>
        <w:ind w:left="720" w:hanging="630"/>
      </w:pPr>
      <w:r w:rsidRPr="00644EE1">
        <w:t xml:space="preserve">Kruger, G. R., Xing, L., LeRoy, A. R., &amp; Westphal, A. (2008). </w:t>
      </w:r>
      <w:r w:rsidRPr="00644EE1">
        <w:rPr>
          <w:i/>
        </w:rPr>
        <w:t>Meloidogyne incognita</w:t>
      </w:r>
      <w:r w:rsidRPr="00644EE1">
        <w:t xml:space="preserve"> resistance in soybean under Midwest conditions. Crop Science, 48(2), 716-726. </w:t>
      </w:r>
      <w:r w:rsidRPr="00644EE1">
        <w:rPr>
          <w:i/>
          <w:iCs/>
        </w:rPr>
        <w:t>Crop Science</w:t>
      </w:r>
      <w:r w:rsidRPr="00644EE1">
        <w:t xml:space="preserve">, </w:t>
      </w:r>
      <w:r w:rsidRPr="00644EE1">
        <w:rPr>
          <w:i/>
          <w:iCs/>
        </w:rPr>
        <w:t>48</w:t>
      </w:r>
      <w:r w:rsidRPr="00644EE1">
        <w:t xml:space="preserve">(2), 10. </w:t>
      </w:r>
      <w:hyperlink r:id="rId45" w:history="1">
        <w:r w:rsidRPr="00644EE1">
          <w:rPr>
            <w:rStyle w:val="Hyperlink"/>
            <w:color w:val="auto"/>
            <w:u w:val="none"/>
          </w:rPr>
          <w:t>http://dx.doi.org/10.1016/j.jaci.2012.05.050</w:t>
        </w:r>
      </w:hyperlink>
    </w:p>
    <w:p w14:paraId="6F2F656E"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Kumar, T., Wahla, V., Pandey, P., Dubey, R. C., &amp; Maheshwari, D. K. (2009). Rhizosphere competent </w:t>
      </w:r>
      <w:r w:rsidRPr="00644EE1">
        <w:rPr>
          <w:i/>
          <w:shd w:val="clear" w:color="auto" w:fill="FFFFFF"/>
        </w:rPr>
        <w:t>Pseudomonas aeruginosa</w:t>
      </w:r>
      <w:r w:rsidRPr="00644EE1">
        <w:rPr>
          <w:shd w:val="clear" w:color="auto" w:fill="FFFFFF"/>
        </w:rPr>
        <w:t xml:space="preserve"> in the management of </w:t>
      </w:r>
      <w:r w:rsidRPr="00644EE1">
        <w:rPr>
          <w:i/>
          <w:shd w:val="clear" w:color="auto" w:fill="FFFFFF"/>
        </w:rPr>
        <w:t>Heterodera cajani</w:t>
      </w:r>
      <w:r w:rsidRPr="00644EE1">
        <w:rPr>
          <w:shd w:val="clear" w:color="auto" w:fill="FFFFFF"/>
        </w:rPr>
        <w:t xml:space="preserve"> on sesame. </w:t>
      </w:r>
      <w:r w:rsidRPr="00644EE1">
        <w:rPr>
          <w:i/>
          <w:iCs/>
          <w:shd w:val="clear" w:color="auto" w:fill="FFFFFF"/>
        </w:rPr>
        <w:t>World Journal of Microbiology and Biotechnology</w:t>
      </w:r>
      <w:r w:rsidRPr="00644EE1">
        <w:rPr>
          <w:shd w:val="clear" w:color="auto" w:fill="FFFFFF"/>
        </w:rPr>
        <w:t>, </w:t>
      </w:r>
      <w:r w:rsidRPr="00644EE1">
        <w:rPr>
          <w:i/>
          <w:iCs/>
          <w:shd w:val="clear" w:color="auto" w:fill="FFFFFF"/>
        </w:rPr>
        <w:t>25</w:t>
      </w:r>
      <w:r w:rsidRPr="00644EE1">
        <w:rPr>
          <w:shd w:val="clear" w:color="auto" w:fill="FFFFFF"/>
        </w:rPr>
        <w:t>(2), 277-285.</w:t>
      </w:r>
    </w:p>
    <w:p w14:paraId="08531138" w14:textId="77777777" w:rsidR="00D20476" w:rsidRPr="00644EE1" w:rsidRDefault="00D20476" w:rsidP="004E11C2">
      <w:pPr>
        <w:pStyle w:val="NormalWeb"/>
        <w:spacing w:before="0" w:beforeAutospacing="0" w:after="0" w:afterAutospacing="0" w:line="360" w:lineRule="auto"/>
        <w:ind w:left="720" w:hanging="630"/>
      </w:pPr>
      <w:r w:rsidRPr="00644EE1">
        <w:t xml:space="preserve">Kyndt, T., Vieira, P., Gheysen, G., &amp; de Almeida-Engler, J. (2013). Nematode feeding sites: Unique organs in plant roots. In </w:t>
      </w:r>
      <w:r w:rsidRPr="00644EE1">
        <w:rPr>
          <w:i/>
          <w:iCs/>
        </w:rPr>
        <w:t>Planta</w:t>
      </w:r>
      <w:r w:rsidRPr="00644EE1">
        <w:t xml:space="preserve">. </w:t>
      </w:r>
      <w:hyperlink r:id="rId46" w:history="1">
        <w:r w:rsidRPr="00644EE1">
          <w:rPr>
            <w:rStyle w:val="Hyperlink"/>
            <w:color w:val="auto"/>
            <w:u w:val="none"/>
          </w:rPr>
          <w:t>https://doi.org/10.1007/s00425-013-1923-z</w:t>
        </w:r>
      </w:hyperlink>
    </w:p>
    <w:p w14:paraId="75C84651" w14:textId="77777777" w:rsidR="00D20476" w:rsidRPr="00644EE1" w:rsidRDefault="00D20476" w:rsidP="004E11C2">
      <w:pPr>
        <w:pStyle w:val="NormalWeb"/>
        <w:spacing w:before="0" w:beforeAutospacing="0" w:after="0" w:afterAutospacing="0" w:line="360" w:lineRule="auto"/>
        <w:ind w:left="720" w:hanging="630"/>
      </w:pPr>
      <w:r w:rsidRPr="00644EE1">
        <w:t xml:space="preserve">Lambert, K., &amp; Bekal, S. (2002). Introduction to Plant-Parasitic Nematodes. </w:t>
      </w:r>
      <w:r w:rsidRPr="00644EE1">
        <w:rPr>
          <w:i/>
          <w:iCs/>
        </w:rPr>
        <w:t>The Plant Health Instructor</w:t>
      </w:r>
      <w:r w:rsidRPr="00644EE1">
        <w:t xml:space="preserve">, </w:t>
      </w:r>
      <w:r w:rsidRPr="00644EE1">
        <w:rPr>
          <w:i/>
          <w:iCs/>
        </w:rPr>
        <w:t>Poinar 1983</w:t>
      </w:r>
      <w:r w:rsidRPr="00644EE1">
        <w:t xml:space="preserve">, 1–23. </w:t>
      </w:r>
      <w:hyperlink r:id="rId47" w:history="1">
        <w:r w:rsidRPr="00644EE1">
          <w:rPr>
            <w:rStyle w:val="Hyperlink"/>
            <w:color w:val="auto"/>
            <w:u w:val="none"/>
          </w:rPr>
          <w:t>https://doi.org/10.1094/phi-i-2002-1218-01</w:t>
        </w:r>
      </w:hyperlink>
    </w:p>
    <w:p w14:paraId="1F3E7B60"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Manamgoda, D. S., Rossman, A. Y., Castlebury, L. A., Crous, P. W., Madrid, H., Chukeatirote, E., &amp; Hyde, K. D. (2014). The genus </w:t>
      </w:r>
      <w:r w:rsidRPr="00644EE1">
        <w:rPr>
          <w:i/>
          <w:shd w:val="clear" w:color="auto" w:fill="FFFFFF"/>
        </w:rPr>
        <w:t>Bipolaris</w:t>
      </w:r>
      <w:r w:rsidRPr="00644EE1">
        <w:rPr>
          <w:shd w:val="clear" w:color="auto" w:fill="FFFFFF"/>
        </w:rPr>
        <w:t>. </w:t>
      </w:r>
      <w:r w:rsidRPr="00644EE1">
        <w:rPr>
          <w:i/>
          <w:iCs/>
          <w:shd w:val="clear" w:color="auto" w:fill="FFFFFF"/>
        </w:rPr>
        <w:t>Studies in mycology</w:t>
      </w:r>
      <w:r w:rsidRPr="00644EE1">
        <w:rPr>
          <w:shd w:val="clear" w:color="auto" w:fill="FFFFFF"/>
        </w:rPr>
        <w:t>, </w:t>
      </w:r>
      <w:r w:rsidRPr="00644EE1">
        <w:rPr>
          <w:i/>
          <w:iCs/>
          <w:shd w:val="clear" w:color="auto" w:fill="FFFFFF"/>
        </w:rPr>
        <w:t>79</w:t>
      </w:r>
      <w:r w:rsidRPr="00644EE1">
        <w:rPr>
          <w:shd w:val="clear" w:color="auto" w:fill="FFFFFF"/>
        </w:rPr>
        <w:t>, 221-288.</w:t>
      </w:r>
    </w:p>
    <w:p w14:paraId="3B0FE5B8" w14:textId="77777777" w:rsidR="00D20476" w:rsidRPr="00644EE1" w:rsidRDefault="00D20476" w:rsidP="004E11C2">
      <w:pPr>
        <w:pStyle w:val="NormalWeb"/>
        <w:spacing w:before="0" w:beforeAutospacing="0" w:after="0" w:afterAutospacing="0" w:line="360" w:lineRule="auto"/>
        <w:ind w:left="720" w:hanging="630"/>
      </w:pPr>
      <w:r w:rsidRPr="00644EE1">
        <w:t xml:space="preserve">Manici, L. M., Caputo, F., &amp; Cerato, C. (1995). Temperature responses of isolates of </w:t>
      </w:r>
      <w:r w:rsidRPr="00644EE1">
        <w:rPr>
          <w:i/>
        </w:rPr>
        <w:t>Macrophomina phaseolina</w:t>
      </w:r>
      <w:r w:rsidRPr="00644EE1">
        <w:t xml:space="preserve"> from different climatic regions of sunflower production in Italy. </w:t>
      </w:r>
      <w:r w:rsidRPr="00644EE1">
        <w:rPr>
          <w:i/>
          <w:iCs/>
        </w:rPr>
        <w:t>Plant Disease</w:t>
      </w:r>
      <w:r w:rsidRPr="00644EE1">
        <w:t>.</w:t>
      </w:r>
    </w:p>
    <w:p w14:paraId="6BECA77F"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Mankau, R. (1975). </w:t>
      </w:r>
      <w:r w:rsidRPr="00644EE1">
        <w:rPr>
          <w:i/>
          <w:shd w:val="clear" w:color="auto" w:fill="FFFFFF"/>
        </w:rPr>
        <w:t>Bacillus penetrans</w:t>
      </w:r>
      <w:r w:rsidRPr="00644EE1">
        <w:rPr>
          <w:shd w:val="clear" w:color="auto" w:fill="FFFFFF"/>
        </w:rPr>
        <w:t xml:space="preserve"> n. comb. causing a virulent disease of plant-parasitic nematodes. </w:t>
      </w:r>
      <w:r w:rsidRPr="00644EE1">
        <w:rPr>
          <w:i/>
          <w:iCs/>
          <w:shd w:val="clear" w:color="auto" w:fill="FFFFFF"/>
        </w:rPr>
        <w:t>Journal of invertebrate Pathology</w:t>
      </w:r>
      <w:r w:rsidRPr="00644EE1">
        <w:rPr>
          <w:shd w:val="clear" w:color="auto" w:fill="FFFFFF"/>
        </w:rPr>
        <w:t>, </w:t>
      </w:r>
      <w:r w:rsidRPr="00644EE1">
        <w:rPr>
          <w:i/>
          <w:iCs/>
          <w:shd w:val="clear" w:color="auto" w:fill="FFFFFF"/>
        </w:rPr>
        <w:t>26</w:t>
      </w:r>
      <w:r w:rsidRPr="00644EE1">
        <w:rPr>
          <w:shd w:val="clear" w:color="auto" w:fill="FFFFFF"/>
        </w:rPr>
        <w:t>(3), 333-339.</w:t>
      </w:r>
    </w:p>
    <w:p w14:paraId="70E2A34D"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Manzanilla-Lopez, R. H., Evans, K., &amp; Bridge, J. (2004). Plant diseases caused by nematodes. </w:t>
      </w:r>
      <w:r w:rsidRPr="00644EE1">
        <w:rPr>
          <w:i/>
          <w:iCs/>
          <w:shd w:val="clear" w:color="auto" w:fill="FFFFFF"/>
        </w:rPr>
        <w:t>Nematology advances and perspectives</w:t>
      </w:r>
      <w:r w:rsidRPr="00644EE1">
        <w:rPr>
          <w:shd w:val="clear" w:color="auto" w:fill="FFFFFF"/>
        </w:rPr>
        <w:t>, </w:t>
      </w:r>
      <w:r w:rsidRPr="00644EE1">
        <w:rPr>
          <w:i/>
          <w:iCs/>
          <w:shd w:val="clear" w:color="auto" w:fill="FFFFFF"/>
        </w:rPr>
        <w:t>2</w:t>
      </w:r>
      <w:r w:rsidRPr="00644EE1">
        <w:rPr>
          <w:shd w:val="clear" w:color="auto" w:fill="FFFFFF"/>
        </w:rPr>
        <w:t>, 637-716.</w:t>
      </w:r>
    </w:p>
    <w:p w14:paraId="419FBE07" w14:textId="77777777" w:rsidR="00D20476" w:rsidRPr="00644EE1" w:rsidRDefault="00D20476" w:rsidP="004E11C2">
      <w:pPr>
        <w:pStyle w:val="NormalWeb"/>
        <w:spacing w:before="0" w:beforeAutospacing="0" w:after="0" w:afterAutospacing="0" w:line="360" w:lineRule="auto"/>
        <w:ind w:left="720" w:hanging="630"/>
      </w:pPr>
      <w:r w:rsidRPr="00644EE1">
        <w:t xml:space="preserve">Marin, M. V., Coburn, J., Desaeger, J., &amp; Peres, N. A. (2020a). First report of cercospora leaf spot caused by </w:t>
      </w:r>
      <w:r w:rsidRPr="00644EE1">
        <w:rPr>
          <w:i/>
        </w:rPr>
        <w:t xml:space="preserve">Cercospora </w:t>
      </w:r>
      <w:r w:rsidRPr="00644EE1">
        <w:t>cf.</w:t>
      </w:r>
      <w:r w:rsidRPr="00644EE1">
        <w:rPr>
          <w:i/>
        </w:rPr>
        <w:t xml:space="preserve"> flagellaris</w:t>
      </w:r>
      <w:r w:rsidRPr="00644EE1">
        <w:t xml:space="preserve"> on industrial hemp in Florida. </w:t>
      </w:r>
      <w:r w:rsidRPr="00644EE1">
        <w:rPr>
          <w:i/>
          <w:iCs/>
        </w:rPr>
        <w:t>Plant Disease</w:t>
      </w:r>
      <w:r w:rsidRPr="00644EE1">
        <w:t xml:space="preserve">, </w:t>
      </w:r>
      <w:r w:rsidRPr="00644EE1">
        <w:rPr>
          <w:i/>
          <w:iCs/>
        </w:rPr>
        <w:t>104</w:t>
      </w:r>
      <w:r w:rsidRPr="00644EE1">
        <w:t xml:space="preserve">(5). </w:t>
      </w:r>
      <w:hyperlink r:id="rId48" w:history="1">
        <w:r w:rsidRPr="00644EE1">
          <w:rPr>
            <w:rStyle w:val="Hyperlink"/>
            <w:color w:val="auto"/>
            <w:u w:val="none"/>
          </w:rPr>
          <w:t>https://doi.org/10.1094/PDIS-11-19-2287-PDN</w:t>
        </w:r>
      </w:hyperlink>
    </w:p>
    <w:p w14:paraId="2849F287" w14:textId="77777777" w:rsidR="00D20476" w:rsidRPr="00644EE1" w:rsidRDefault="00D20476" w:rsidP="004E11C2">
      <w:pPr>
        <w:pStyle w:val="NormalWeb"/>
        <w:spacing w:before="0" w:beforeAutospacing="0" w:after="0" w:afterAutospacing="0" w:line="360" w:lineRule="auto"/>
        <w:ind w:left="720" w:hanging="630"/>
      </w:pPr>
      <w:r w:rsidRPr="00644EE1">
        <w:t xml:space="preserve">Marin, M. V., Wang, N. Y., Coburn, J., Desaeger, J., &amp; Peres, N. A. (2020b). First report of </w:t>
      </w:r>
      <w:r w:rsidRPr="00644EE1">
        <w:rPr>
          <w:i/>
        </w:rPr>
        <w:t>Curvularia pseudobrachyspora</w:t>
      </w:r>
      <w:r w:rsidRPr="00644EE1">
        <w:t xml:space="preserve"> causing leaf spot on hemp (cannabis sativa) in Florida. </w:t>
      </w:r>
      <w:r w:rsidRPr="00644EE1">
        <w:rPr>
          <w:i/>
          <w:iCs/>
        </w:rPr>
        <w:t>Plant Disease</w:t>
      </w:r>
      <w:r w:rsidRPr="00644EE1">
        <w:t xml:space="preserve">, </w:t>
      </w:r>
      <w:r w:rsidRPr="00644EE1">
        <w:rPr>
          <w:i/>
          <w:iCs/>
        </w:rPr>
        <w:t>104</w:t>
      </w:r>
      <w:r w:rsidRPr="00644EE1">
        <w:t xml:space="preserve">(12), 3262. </w:t>
      </w:r>
      <w:hyperlink r:id="rId49" w:history="1">
        <w:r w:rsidRPr="00644EE1">
          <w:rPr>
            <w:rStyle w:val="Hyperlink"/>
            <w:color w:val="auto"/>
            <w:u w:val="none"/>
          </w:rPr>
          <w:t>https://doi.org/10.1094/PDIS-03-20-0546-PDN</w:t>
        </w:r>
      </w:hyperlink>
    </w:p>
    <w:p w14:paraId="37E9F2AB" w14:textId="77777777" w:rsidR="00D20476" w:rsidRPr="00644EE1" w:rsidRDefault="00D20476" w:rsidP="004E11C2">
      <w:pPr>
        <w:pStyle w:val="NormalWeb"/>
        <w:spacing w:before="0" w:beforeAutospacing="0" w:after="0" w:afterAutospacing="0" w:line="360" w:lineRule="auto"/>
        <w:ind w:left="720" w:hanging="630"/>
      </w:pPr>
      <w:r w:rsidRPr="00644EE1">
        <w:t xml:space="preserve">Martéz, J. L., Acosta, N., Betancourt, C., Vicente, N., &amp; Rodríguez, R. (1996). Control biologico de </w:t>
      </w:r>
      <w:r w:rsidRPr="00644EE1">
        <w:rPr>
          <w:i/>
        </w:rPr>
        <w:t>Meloidogyne incognita</w:t>
      </w:r>
      <w:r w:rsidRPr="00644EE1">
        <w:t xml:space="preserve"> en tomate en Puerto Rico. In </w:t>
      </w:r>
      <w:r w:rsidRPr="00644EE1">
        <w:rPr>
          <w:i/>
          <w:iCs/>
        </w:rPr>
        <w:t>Nematropica</w:t>
      </w:r>
      <w:r w:rsidRPr="00644EE1">
        <w:t xml:space="preserve"> (Vol. 26, Issue 2, pp. 143–152).</w:t>
      </w:r>
    </w:p>
    <w:p w14:paraId="250F6ADB" w14:textId="77777777" w:rsidR="00D20476" w:rsidRPr="00644EE1" w:rsidRDefault="00D20476" w:rsidP="004E11C2">
      <w:pPr>
        <w:pStyle w:val="NormalWeb"/>
        <w:spacing w:before="0" w:beforeAutospacing="0" w:after="0" w:afterAutospacing="0" w:line="360" w:lineRule="auto"/>
        <w:ind w:left="720" w:hanging="630"/>
      </w:pPr>
      <w:r w:rsidRPr="00644EE1">
        <w:t xml:space="preserve">McCarville, M. T., C.Marett, C., P.Mullaney, M., Gebhart, G. D., &amp; Tylka, G. L. (2017). Increase in soybean cyst nematode virulence and reproduction on resistant soybean varieties in Iowa from 2001 to 2015 and the effects on soybean yields. </w:t>
      </w:r>
      <w:r w:rsidRPr="00644EE1">
        <w:rPr>
          <w:i/>
          <w:iCs/>
        </w:rPr>
        <w:t>Plant Health Progress</w:t>
      </w:r>
      <w:r w:rsidRPr="00644EE1">
        <w:t xml:space="preserve">, </w:t>
      </w:r>
      <w:r w:rsidRPr="00644EE1">
        <w:rPr>
          <w:i/>
          <w:iCs/>
        </w:rPr>
        <w:t>18</w:t>
      </w:r>
      <w:r w:rsidRPr="00644EE1">
        <w:t xml:space="preserve">(3), 146–155. </w:t>
      </w:r>
      <w:hyperlink r:id="rId50" w:history="1">
        <w:r w:rsidRPr="00644EE1">
          <w:rPr>
            <w:rStyle w:val="Hyperlink"/>
            <w:color w:val="auto"/>
            <w:u w:val="none"/>
          </w:rPr>
          <w:t>https://doi.org/10.1094/PHP-RS-16-0062</w:t>
        </w:r>
      </w:hyperlink>
    </w:p>
    <w:p w14:paraId="5B831A24"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McPartland, J. M. (1996). A review of Cannabis diseases. </w:t>
      </w:r>
      <w:r w:rsidRPr="00644EE1">
        <w:rPr>
          <w:i/>
          <w:iCs/>
          <w:shd w:val="clear" w:color="auto" w:fill="FFFFFF"/>
        </w:rPr>
        <w:t>Journal of the International Hemp Association</w:t>
      </w:r>
      <w:r w:rsidRPr="00644EE1">
        <w:rPr>
          <w:shd w:val="clear" w:color="auto" w:fill="FFFFFF"/>
        </w:rPr>
        <w:t>, </w:t>
      </w:r>
      <w:r w:rsidRPr="00644EE1">
        <w:rPr>
          <w:i/>
          <w:iCs/>
          <w:shd w:val="clear" w:color="auto" w:fill="FFFFFF"/>
        </w:rPr>
        <w:t>3</w:t>
      </w:r>
      <w:r w:rsidRPr="00644EE1">
        <w:rPr>
          <w:shd w:val="clear" w:color="auto" w:fill="FFFFFF"/>
        </w:rPr>
        <w:t>(1), 19-23.</w:t>
      </w:r>
    </w:p>
    <w:p w14:paraId="4F8EB4F6" w14:textId="77777777" w:rsidR="00D20476" w:rsidRPr="00644EE1" w:rsidRDefault="00D20476" w:rsidP="004E11C2">
      <w:pPr>
        <w:pStyle w:val="NormalWeb"/>
        <w:spacing w:before="0" w:beforeAutospacing="0" w:after="0" w:afterAutospacing="0" w:line="360" w:lineRule="auto"/>
        <w:ind w:left="720" w:hanging="630"/>
      </w:pPr>
      <w:r w:rsidRPr="00644EE1">
        <w:t xml:space="preserve">McPartland, J. M., &amp; Hillig, K. W. (2004). Cannabis clinic fusarium wilt. </w:t>
      </w:r>
      <w:r w:rsidRPr="00644EE1">
        <w:rPr>
          <w:i/>
          <w:iCs/>
        </w:rPr>
        <w:t>Journal of Industrial Hemp</w:t>
      </w:r>
      <w:r w:rsidRPr="00644EE1">
        <w:t xml:space="preserve">, </w:t>
      </w:r>
      <w:r w:rsidRPr="00644EE1">
        <w:rPr>
          <w:i/>
          <w:iCs/>
        </w:rPr>
        <w:t>9</w:t>
      </w:r>
      <w:r w:rsidRPr="00644EE1">
        <w:t xml:space="preserve">(2), 67–77. </w:t>
      </w:r>
      <w:hyperlink r:id="rId51" w:history="1">
        <w:r w:rsidRPr="00644EE1">
          <w:rPr>
            <w:rStyle w:val="Hyperlink"/>
            <w:color w:val="auto"/>
            <w:u w:val="none"/>
          </w:rPr>
          <w:t>https://doi.org/10.1300/j237v09n02_07</w:t>
        </w:r>
      </w:hyperlink>
    </w:p>
    <w:p w14:paraId="30C13210"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McPartland, J. M., Clarke, R. C., &amp; Watson, D. P. (2000). </w:t>
      </w:r>
      <w:r w:rsidRPr="00644EE1">
        <w:rPr>
          <w:i/>
          <w:iCs/>
          <w:shd w:val="clear" w:color="auto" w:fill="FFFFFF"/>
        </w:rPr>
        <w:t>Hemp diseases and pests: management and biological control: an advanced treatise</w:t>
      </w:r>
      <w:r w:rsidRPr="00644EE1">
        <w:rPr>
          <w:shd w:val="clear" w:color="auto" w:fill="FFFFFF"/>
        </w:rPr>
        <w:t>. CABI.</w:t>
      </w:r>
    </w:p>
    <w:p w14:paraId="7EAA4A7A" w14:textId="77777777" w:rsidR="00D20476" w:rsidRPr="00644EE1" w:rsidRDefault="00D20476" w:rsidP="004E11C2">
      <w:pPr>
        <w:pStyle w:val="NormalWeb"/>
        <w:spacing w:before="0" w:beforeAutospacing="0" w:after="0" w:afterAutospacing="0" w:line="360" w:lineRule="auto"/>
        <w:ind w:left="720" w:hanging="630"/>
      </w:pPr>
      <w:r w:rsidRPr="00644EE1">
        <w:t xml:space="preserve">Meadows, I., Scherer, A., and Henson, M. (January 17, 2019). Southern Blight of Tomato and Pepper [Vegetable Pathology Factsheets]. </w:t>
      </w:r>
      <w:hyperlink r:id="rId52" w:history="1">
        <w:r w:rsidRPr="00644EE1">
          <w:rPr>
            <w:rStyle w:val="Hyperlink"/>
            <w:color w:val="auto"/>
            <w:u w:val="none"/>
          </w:rPr>
          <w:t>https://content.ces.ncsu.edu/southern-blight-of-vegetable-crops</w:t>
        </w:r>
      </w:hyperlink>
    </w:p>
    <w:p w14:paraId="65F83323" w14:textId="77777777" w:rsidR="00D20476" w:rsidRPr="00644EE1" w:rsidRDefault="00D20476" w:rsidP="004E11C2">
      <w:pPr>
        <w:pStyle w:val="NormalWeb"/>
        <w:spacing w:before="0" w:beforeAutospacing="0" w:after="0" w:afterAutospacing="0" w:line="360" w:lineRule="auto"/>
        <w:ind w:left="720" w:hanging="630"/>
      </w:pPr>
      <w:r w:rsidRPr="00644EE1">
        <w:t xml:space="preserve">Mehl, H. L. (2018). </w:t>
      </w:r>
      <w:r w:rsidRPr="00644EE1">
        <w:rPr>
          <w:i/>
          <w:iCs/>
        </w:rPr>
        <w:t>Nematode Management in Field Crops</w:t>
      </w:r>
      <w:r w:rsidRPr="00644EE1">
        <w:t>. Virginia Cooperative and Extension. Virginia Tech. Virginia State University. https://vtechworks.lib.vt.edu/bitstream/handle/10919/84289/SPES-15.pdf?sequence=1</w:t>
      </w:r>
    </w:p>
    <w:p w14:paraId="7DCEB9A0"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Mendoza, A. R., Kiewnick, S., &amp; Sikora, R. A. (2008). In vitro activity of </w:t>
      </w:r>
      <w:r w:rsidRPr="00644EE1">
        <w:rPr>
          <w:i/>
        </w:rPr>
        <w:t>Bacillus firmus</w:t>
      </w:r>
      <w:r w:rsidRPr="00644EE1">
        <w:t xml:space="preserve"> against the burrowing nematode </w:t>
      </w:r>
      <w:r w:rsidRPr="00644EE1">
        <w:rPr>
          <w:i/>
        </w:rPr>
        <w:t>Radopholus similis</w:t>
      </w:r>
      <w:r w:rsidRPr="00644EE1">
        <w:t xml:space="preserve">, the root-knot nematode </w:t>
      </w:r>
      <w:r w:rsidRPr="00644EE1">
        <w:rPr>
          <w:i/>
        </w:rPr>
        <w:t>Meloidogyne incognita</w:t>
      </w:r>
      <w:r w:rsidRPr="00644EE1">
        <w:t xml:space="preserve"> and the stem nematode </w:t>
      </w:r>
      <w:r w:rsidRPr="00644EE1">
        <w:rPr>
          <w:i/>
        </w:rPr>
        <w:t>Ditylenchus dipsaci</w:t>
      </w:r>
      <w:r w:rsidRPr="00644EE1">
        <w:t xml:space="preserve">. </w:t>
      </w:r>
      <w:r w:rsidRPr="00644EE1">
        <w:rPr>
          <w:i/>
          <w:iCs/>
        </w:rPr>
        <w:t>Biocontrol Science and Technology</w:t>
      </w:r>
      <w:r w:rsidRPr="00644EE1">
        <w:t xml:space="preserve">, </w:t>
      </w:r>
      <w:r w:rsidRPr="00644EE1">
        <w:rPr>
          <w:i/>
          <w:iCs/>
        </w:rPr>
        <w:t>18</w:t>
      </w:r>
      <w:r w:rsidRPr="00644EE1">
        <w:t xml:space="preserve">(4), 377–389. </w:t>
      </w:r>
      <w:hyperlink r:id="rId53" w:history="1">
        <w:r w:rsidRPr="00644EE1">
          <w:rPr>
            <w:rStyle w:val="Hyperlink"/>
            <w:color w:val="auto"/>
            <w:u w:val="none"/>
          </w:rPr>
          <w:t>https://doi.org/10.1080/09583150801952143</w:t>
        </w:r>
      </w:hyperlink>
    </w:p>
    <w:p w14:paraId="7EB42F40"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Mengistu, A., Ray, J. D., Smith, J. R., &amp; Paris, R. L. (2007). Charcoal rot disease assessment of soybean genotypes using a colony‐forming unit index. </w:t>
      </w:r>
      <w:r w:rsidRPr="00644EE1">
        <w:rPr>
          <w:i/>
          <w:iCs/>
          <w:shd w:val="clear" w:color="auto" w:fill="FFFFFF"/>
        </w:rPr>
        <w:t>Crop Science</w:t>
      </w:r>
      <w:r w:rsidRPr="00644EE1">
        <w:rPr>
          <w:shd w:val="clear" w:color="auto" w:fill="FFFFFF"/>
        </w:rPr>
        <w:t>, </w:t>
      </w:r>
      <w:r w:rsidRPr="00644EE1">
        <w:rPr>
          <w:i/>
          <w:iCs/>
          <w:shd w:val="clear" w:color="auto" w:fill="FFFFFF"/>
        </w:rPr>
        <w:t>47</w:t>
      </w:r>
      <w:r w:rsidRPr="00644EE1">
        <w:rPr>
          <w:shd w:val="clear" w:color="auto" w:fill="FFFFFF"/>
        </w:rPr>
        <w:t>(6), 2453-2461.</w:t>
      </w:r>
    </w:p>
    <w:p w14:paraId="61859B77"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Mengistu, A., Reddy, K. N., Zablotowicz, R. M., &amp; Wrather, A. J. (2009).  Propagule densities of </w:t>
      </w:r>
      <w:r w:rsidRPr="00644EE1">
        <w:rPr>
          <w:i/>
        </w:rPr>
        <w:t>Macrophomina phaseolina</w:t>
      </w:r>
      <w:r w:rsidRPr="00644EE1">
        <w:t xml:space="preserve"> in soybean tissue and soil as affected by tillage, cover crop, and herbicide. </w:t>
      </w:r>
      <w:r w:rsidRPr="00644EE1">
        <w:rPr>
          <w:i/>
          <w:iCs/>
        </w:rPr>
        <w:t>Plant Health Progress</w:t>
      </w:r>
      <w:r w:rsidRPr="00644EE1">
        <w:t xml:space="preserve">, </w:t>
      </w:r>
      <w:r w:rsidRPr="00644EE1">
        <w:rPr>
          <w:i/>
          <w:iCs/>
        </w:rPr>
        <w:t>10</w:t>
      </w:r>
      <w:r w:rsidRPr="00644EE1">
        <w:t xml:space="preserve">(1). </w:t>
      </w:r>
      <w:hyperlink r:id="rId54" w:history="1">
        <w:r w:rsidRPr="00644EE1">
          <w:rPr>
            <w:rStyle w:val="Hyperlink"/>
            <w:color w:val="auto"/>
            <w:u w:val="none"/>
          </w:rPr>
          <w:t>https://doi.org/10.1094/php-2009-0130-01-rs</w:t>
        </w:r>
      </w:hyperlink>
    </w:p>
    <w:p w14:paraId="5DAA0FC0"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Mengistu, A., Smith, J. R., Ray, J. D., &amp; Bellaloui, N. (2011). Seasonal progress of charcoal rot and its impact on soybean productivity. </w:t>
      </w:r>
      <w:r w:rsidRPr="00644EE1">
        <w:rPr>
          <w:i/>
          <w:iCs/>
          <w:shd w:val="clear" w:color="auto" w:fill="FFFFFF"/>
        </w:rPr>
        <w:t>Plant disease</w:t>
      </w:r>
      <w:r w:rsidRPr="00644EE1">
        <w:rPr>
          <w:shd w:val="clear" w:color="auto" w:fill="FFFFFF"/>
        </w:rPr>
        <w:t>, </w:t>
      </w:r>
      <w:r w:rsidRPr="00644EE1">
        <w:rPr>
          <w:i/>
          <w:iCs/>
          <w:shd w:val="clear" w:color="auto" w:fill="FFFFFF"/>
        </w:rPr>
        <w:t>95</w:t>
      </w:r>
      <w:r w:rsidRPr="00644EE1">
        <w:rPr>
          <w:shd w:val="clear" w:color="auto" w:fill="FFFFFF"/>
        </w:rPr>
        <w:t>(9), 1159-1166.</w:t>
      </w:r>
    </w:p>
    <w:p w14:paraId="602B2BB0" w14:textId="77777777" w:rsidR="00D20476" w:rsidRPr="00644EE1" w:rsidRDefault="00D20476" w:rsidP="004E11C2">
      <w:pPr>
        <w:pStyle w:val="NormalWeb"/>
        <w:spacing w:before="0" w:beforeAutospacing="0" w:after="0" w:afterAutospacing="0" w:line="360" w:lineRule="auto"/>
        <w:ind w:left="720" w:hanging="630"/>
      </w:pPr>
      <w:r w:rsidRPr="00644EE1">
        <w:t xml:space="preserve">Meyer, S. L. F., Roberts, D. P., Chitwood, D. J., Carta, L. K., Lumsden, R. D., &amp; Mao, W. (2001). Application of </w:t>
      </w:r>
      <w:r w:rsidRPr="00644EE1">
        <w:rPr>
          <w:i/>
        </w:rPr>
        <w:t>Burkholderia</w:t>
      </w:r>
      <w:r w:rsidRPr="00644EE1">
        <w:t xml:space="preserve"> </w:t>
      </w:r>
      <w:r w:rsidRPr="00644EE1">
        <w:rPr>
          <w:i/>
        </w:rPr>
        <w:t>cepacia</w:t>
      </w:r>
      <w:r w:rsidRPr="00644EE1">
        <w:t xml:space="preserve"> and </w:t>
      </w:r>
      <w:r w:rsidRPr="00644EE1">
        <w:rPr>
          <w:i/>
        </w:rPr>
        <w:t>Trichoderma</w:t>
      </w:r>
      <w:r w:rsidRPr="00644EE1">
        <w:t xml:space="preserve"> </w:t>
      </w:r>
      <w:r w:rsidRPr="00644EE1">
        <w:rPr>
          <w:i/>
        </w:rPr>
        <w:t>virens</w:t>
      </w:r>
      <w:r w:rsidRPr="00644EE1">
        <w:t xml:space="preserve">, alone and in combinations, against </w:t>
      </w:r>
      <w:r w:rsidRPr="00644EE1">
        <w:rPr>
          <w:i/>
        </w:rPr>
        <w:t>Meloidogyne incognita</w:t>
      </w:r>
      <w:r w:rsidRPr="00644EE1">
        <w:t xml:space="preserve"> on bell pepper. </w:t>
      </w:r>
      <w:r w:rsidRPr="00644EE1">
        <w:rPr>
          <w:i/>
          <w:iCs/>
        </w:rPr>
        <w:t>Nematropica</w:t>
      </w:r>
      <w:r w:rsidRPr="00644EE1">
        <w:t xml:space="preserve">, </w:t>
      </w:r>
      <w:r w:rsidRPr="00644EE1">
        <w:rPr>
          <w:i/>
          <w:iCs/>
        </w:rPr>
        <w:t>31</w:t>
      </w:r>
      <w:r w:rsidRPr="00644EE1">
        <w:t>(1), 75–86.</w:t>
      </w:r>
    </w:p>
    <w:p w14:paraId="7337F133" w14:textId="77777777" w:rsidR="00D20476" w:rsidRPr="00644EE1" w:rsidRDefault="00D20476" w:rsidP="004E11C2">
      <w:pPr>
        <w:pStyle w:val="NormalWeb"/>
        <w:spacing w:before="0" w:beforeAutospacing="0" w:after="0" w:afterAutospacing="0" w:line="360" w:lineRule="auto"/>
        <w:ind w:left="720" w:hanging="630"/>
      </w:pPr>
      <w:r w:rsidRPr="00644EE1">
        <w:t xml:space="preserve">Meyer, W. A. (1974). Factors Affecting Charcoal Rot of Soybean Seedlings. In </w:t>
      </w:r>
      <w:r w:rsidRPr="00644EE1">
        <w:rPr>
          <w:i/>
          <w:iCs/>
        </w:rPr>
        <w:t>Phytopathology</w:t>
      </w:r>
      <w:r w:rsidRPr="00644EE1">
        <w:t xml:space="preserve"> (Vol. 64, Issue 6, p. 845). </w:t>
      </w:r>
      <w:hyperlink r:id="rId55" w:history="1">
        <w:r w:rsidRPr="00644EE1">
          <w:rPr>
            <w:rStyle w:val="Hyperlink"/>
            <w:color w:val="auto"/>
            <w:u w:val="none"/>
          </w:rPr>
          <w:t>https://doi.org/10.1094/phyto-64-845</w:t>
        </w:r>
      </w:hyperlink>
    </w:p>
    <w:p w14:paraId="442D31CE" w14:textId="77777777" w:rsidR="00D20476" w:rsidRPr="00644EE1" w:rsidRDefault="00D20476" w:rsidP="004E11C2">
      <w:pPr>
        <w:pStyle w:val="NormalWeb"/>
        <w:spacing w:before="0" w:beforeAutospacing="0" w:after="0" w:afterAutospacing="0" w:line="360" w:lineRule="auto"/>
        <w:ind w:left="720" w:hanging="630"/>
      </w:pPr>
      <w:r w:rsidRPr="00644EE1">
        <w:t xml:space="preserve">Mishra, P. K., &amp; Dantre, R. K. (2017). Evaluation of different biological agents used as seed treatment to manage charcoal rot of soybean. </w:t>
      </w:r>
      <w:r w:rsidRPr="00644EE1">
        <w:rPr>
          <w:i/>
          <w:iCs/>
        </w:rPr>
        <w:t>Trends in Biosciences</w:t>
      </w:r>
      <w:r w:rsidRPr="00644EE1">
        <w:t xml:space="preserve">, </w:t>
      </w:r>
      <w:r w:rsidRPr="00644EE1">
        <w:rPr>
          <w:i/>
          <w:iCs/>
        </w:rPr>
        <w:t>10</w:t>
      </w:r>
      <w:r w:rsidRPr="00644EE1">
        <w:t>(15), 2784–2788.</w:t>
      </w:r>
    </w:p>
    <w:p w14:paraId="14DC847B" w14:textId="77777777" w:rsidR="00D20476" w:rsidRPr="00644EE1" w:rsidRDefault="00D20476" w:rsidP="004E11C2">
      <w:pPr>
        <w:pStyle w:val="NormalWeb"/>
        <w:spacing w:before="0" w:beforeAutospacing="0" w:after="0" w:afterAutospacing="0" w:line="360" w:lineRule="auto"/>
        <w:ind w:left="720" w:hanging="630"/>
      </w:pPr>
      <w:r w:rsidRPr="00644EE1">
        <w:t xml:space="preserve">Mitchum, M. G., Wrather, J. A., Heinz, R. D., Shannon, J. G., &amp; Danekas, G. (2007). Variability in distribution and virulence phenotypes of </w:t>
      </w:r>
      <w:r w:rsidRPr="00644EE1">
        <w:rPr>
          <w:i/>
        </w:rPr>
        <w:t>Heterodera glycines</w:t>
      </w:r>
      <w:r w:rsidRPr="00644EE1">
        <w:t xml:space="preserve"> in Missouri during 2005. </w:t>
      </w:r>
      <w:r w:rsidRPr="00644EE1">
        <w:rPr>
          <w:i/>
          <w:iCs/>
        </w:rPr>
        <w:t>Plant Disease</w:t>
      </w:r>
      <w:r w:rsidRPr="00644EE1">
        <w:t xml:space="preserve">, </w:t>
      </w:r>
      <w:r w:rsidRPr="00644EE1">
        <w:rPr>
          <w:i/>
          <w:iCs/>
        </w:rPr>
        <w:t>91</w:t>
      </w:r>
      <w:r w:rsidRPr="00644EE1">
        <w:t xml:space="preserve">(11), 1473–1476. </w:t>
      </w:r>
      <w:hyperlink r:id="rId56" w:history="1">
        <w:r w:rsidRPr="00644EE1">
          <w:rPr>
            <w:rStyle w:val="Hyperlink"/>
            <w:color w:val="auto"/>
            <w:u w:val="none"/>
          </w:rPr>
          <w:t>https://doi.org/10.1094/PDIS-91-11-1473</w:t>
        </w:r>
      </w:hyperlink>
    </w:p>
    <w:p w14:paraId="6AD31196"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Mitkowski, N. A., &amp; Abawi, G. S. (2003). </w:t>
      </w:r>
      <w:r w:rsidRPr="00644EE1">
        <w:rPr>
          <w:iCs/>
          <w:shd w:val="clear" w:color="auto" w:fill="FFFFFF"/>
        </w:rPr>
        <w:t>Root-knot nematodes</w:t>
      </w:r>
      <w:r w:rsidRPr="00644EE1">
        <w:rPr>
          <w:i/>
          <w:iCs/>
          <w:shd w:val="clear" w:color="auto" w:fill="FFFFFF"/>
        </w:rPr>
        <w:t>. The Plant Health Instructor. DOI: 10.1094</w:t>
      </w:r>
      <w:r w:rsidRPr="00644EE1">
        <w:rPr>
          <w:shd w:val="clear" w:color="auto" w:fill="FFFFFF"/>
        </w:rPr>
        <w:t>. PHI-I-2003-0917-01.</w:t>
      </w:r>
      <w:r w:rsidRPr="00644EE1">
        <w:t xml:space="preserve"> </w:t>
      </w:r>
      <w:hyperlink r:id="rId57" w:history="1">
        <w:r w:rsidRPr="00644EE1">
          <w:rPr>
            <w:rStyle w:val="Hyperlink"/>
            <w:color w:val="auto"/>
            <w:u w:val="none"/>
          </w:rPr>
          <w:t>https://doi.org/10.1094/PHI-I-2003-0917-01</w:t>
        </w:r>
      </w:hyperlink>
    </w:p>
    <w:p w14:paraId="3E569C75" w14:textId="77777777" w:rsidR="00D20476" w:rsidRPr="00644EE1" w:rsidRDefault="00D20476" w:rsidP="004E11C2">
      <w:pPr>
        <w:pStyle w:val="NormalWeb"/>
        <w:spacing w:before="0" w:beforeAutospacing="0" w:after="0" w:afterAutospacing="0" w:line="360" w:lineRule="auto"/>
        <w:ind w:left="720" w:hanging="630"/>
      </w:pPr>
      <w:r w:rsidRPr="00644EE1">
        <w:t xml:space="preserve">Moens, M., Perry, R. N., &amp; Starr, J. L. (2009). </w:t>
      </w:r>
      <w:r w:rsidRPr="00644EE1">
        <w:rPr>
          <w:i/>
        </w:rPr>
        <w:t>Meloidogyne</w:t>
      </w:r>
      <w:r w:rsidRPr="00644EE1">
        <w:t xml:space="preserve"> species - a diverse group of novel and important plant parasites. </w:t>
      </w:r>
      <w:r w:rsidRPr="00644EE1">
        <w:rPr>
          <w:i/>
          <w:iCs/>
        </w:rPr>
        <w:t>Root-Knot Nematodes</w:t>
      </w:r>
      <w:r w:rsidRPr="00644EE1">
        <w:t xml:space="preserve">, 1–17. </w:t>
      </w:r>
      <w:hyperlink r:id="rId58" w:history="1">
        <w:r w:rsidRPr="00644EE1">
          <w:rPr>
            <w:rStyle w:val="Hyperlink"/>
            <w:color w:val="auto"/>
            <w:u w:val="none"/>
          </w:rPr>
          <w:t>https://doi.org/10.1079/9781845934927.0001</w:t>
        </w:r>
      </w:hyperlink>
    </w:p>
    <w:p w14:paraId="1BBCFCD0" w14:textId="77777777" w:rsidR="00D20476" w:rsidRPr="00644EE1" w:rsidRDefault="00D20476" w:rsidP="004E11C2">
      <w:pPr>
        <w:pStyle w:val="NormalWeb"/>
        <w:spacing w:before="0" w:beforeAutospacing="0" w:after="0" w:afterAutospacing="0" w:line="360" w:lineRule="auto"/>
        <w:ind w:left="720" w:hanging="630"/>
      </w:pPr>
      <w:r w:rsidRPr="00644EE1">
        <w:t xml:space="preserve">Mueller, J. (2012). </w:t>
      </w:r>
      <w:r w:rsidRPr="00644EE1">
        <w:rPr>
          <w:iCs/>
        </w:rPr>
        <w:t>Managing nematodes in cotton-based cropping systems</w:t>
      </w:r>
      <w:r w:rsidRPr="00644EE1">
        <w:t xml:space="preserve">. </w:t>
      </w:r>
      <w:hyperlink r:id="rId59" w:history="1">
        <w:r w:rsidRPr="00644EE1">
          <w:rPr>
            <w:rStyle w:val="Hyperlink"/>
            <w:color w:val="auto"/>
            <w:u w:val="none"/>
          </w:rPr>
          <w:t>https://cottoncultivated.cottoninc.com/wp-content/uploads/2015/03/Managing-Nematodes.pdf</w:t>
        </w:r>
      </w:hyperlink>
    </w:p>
    <w:p w14:paraId="3C3B75E7"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Mullen, J. (2001). Southern blight, southern stem blight, white mold. </w:t>
      </w:r>
      <w:r w:rsidRPr="00644EE1">
        <w:rPr>
          <w:i/>
          <w:iCs/>
          <w:shd w:val="clear" w:color="auto" w:fill="FFFFFF"/>
        </w:rPr>
        <w:t>The Plant Health Instructor. DOI: 10.1094</w:t>
      </w:r>
      <w:r w:rsidRPr="00644EE1">
        <w:rPr>
          <w:shd w:val="clear" w:color="auto" w:fill="FFFFFF"/>
        </w:rPr>
        <w:t>. PHI-I-2001-0104-01.</w:t>
      </w:r>
    </w:p>
    <w:p w14:paraId="5026FD8D"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Nagachandrabose, S. (2020). Management of potato pyst nematodes using uiquid uioformulations of </w:t>
      </w:r>
      <w:r w:rsidRPr="00644EE1">
        <w:rPr>
          <w:i/>
        </w:rPr>
        <w:t>Pseudomonas fluorescens</w:t>
      </w:r>
      <w:r w:rsidRPr="00644EE1">
        <w:t xml:space="preserve">, </w:t>
      </w:r>
      <w:r w:rsidRPr="00644EE1">
        <w:rPr>
          <w:i/>
        </w:rPr>
        <w:t>Purpureocillium lilacinum</w:t>
      </w:r>
      <w:r w:rsidRPr="00644EE1">
        <w:t xml:space="preserve"> and </w:t>
      </w:r>
      <w:r w:rsidRPr="00644EE1">
        <w:rPr>
          <w:i/>
        </w:rPr>
        <w:t>Trichoderma viride</w:t>
      </w:r>
      <w:r w:rsidRPr="00644EE1">
        <w:t xml:space="preserve">. </w:t>
      </w:r>
      <w:r w:rsidRPr="00644EE1">
        <w:rPr>
          <w:i/>
          <w:iCs/>
        </w:rPr>
        <w:t>Potato Research</w:t>
      </w:r>
      <w:r w:rsidRPr="00644EE1">
        <w:t xml:space="preserve">, </w:t>
      </w:r>
      <w:r w:rsidRPr="00644EE1">
        <w:rPr>
          <w:i/>
          <w:iCs/>
        </w:rPr>
        <w:t>63</w:t>
      </w:r>
      <w:r w:rsidRPr="00644EE1">
        <w:t xml:space="preserve">(4), 479–496. </w:t>
      </w:r>
      <w:hyperlink r:id="rId60" w:history="1">
        <w:r w:rsidRPr="00644EE1">
          <w:rPr>
            <w:rStyle w:val="Hyperlink"/>
            <w:color w:val="auto"/>
            <w:u w:val="none"/>
          </w:rPr>
          <w:t>https://doi.org/10.1007/s11540-020-09452-2</w:t>
        </w:r>
      </w:hyperlink>
    </w:p>
    <w:p w14:paraId="02D9F3E0" w14:textId="77777777" w:rsidR="00D20476" w:rsidRPr="00644EE1" w:rsidRDefault="00D20476" w:rsidP="004E11C2">
      <w:pPr>
        <w:pStyle w:val="NormalWeb"/>
        <w:spacing w:before="0" w:beforeAutospacing="0" w:after="0" w:afterAutospacing="0" w:line="360" w:lineRule="auto"/>
        <w:ind w:left="720" w:hanging="630"/>
      </w:pPr>
      <w:r w:rsidRPr="00644EE1">
        <w:t>Ndiaye, M. (2007). Ecology and Management of Charcoal Rot (</w:t>
      </w:r>
      <w:r w:rsidRPr="00644EE1">
        <w:rPr>
          <w:i/>
        </w:rPr>
        <w:t>Macrophomina phaseolina</w:t>
      </w:r>
      <w:r w:rsidRPr="00644EE1">
        <w:t xml:space="preserve">) on Cowpea in the Sahel. In </w:t>
      </w:r>
      <w:r w:rsidRPr="00644EE1">
        <w:rPr>
          <w:i/>
          <w:iCs/>
        </w:rPr>
        <w:t>Wageningen University</w:t>
      </w:r>
      <w:r w:rsidRPr="00644EE1">
        <w:t xml:space="preserve">. </w:t>
      </w:r>
      <w:hyperlink r:id="rId61" w:history="1">
        <w:r w:rsidRPr="00644EE1">
          <w:rPr>
            <w:rStyle w:val="Hyperlink"/>
            <w:color w:val="auto"/>
            <w:u w:val="none"/>
          </w:rPr>
          <w:t>http://library.wur.nl/WebQuery/wdab/1844369</w:t>
        </w:r>
      </w:hyperlink>
    </w:p>
    <w:p w14:paraId="7E6D9031" w14:textId="77777777" w:rsidR="00D20476" w:rsidRPr="00644EE1" w:rsidRDefault="00D20476" w:rsidP="004E11C2">
      <w:pPr>
        <w:pStyle w:val="NormalWeb"/>
        <w:spacing w:before="0" w:beforeAutospacing="0" w:after="0" w:afterAutospacing="0" w:line="360" w:lineRule="auto"/>
        <w:ind w:left="720" w:hanging="630"/>
      </w:pPr>
      <w:r w:rsidRPr="00644EE1">
        <w:rPr>
          <w:rFonts w:eastAsiaTheme="minorHAnsi"/>
        </w:rPr>
        <w:t xml:space="preserve">Newman, M. A. (1998). </w:t>
      </w:r>
      <w:r w:rsidRPr="00644EE1">
        <w:rPr>
          <w:rFonts w:eastAsiaTheme="minorHAnsi"/>
          <w:i/>
          <w:iCs/>
        </w:rPr>
        <w:t>Summary of nematode survey activity in Tennessee</w:t>
      </w:r>
      <w:r w:rsidRPr="00644EE1">
        <w:rPr>
          <w:rFonts w:eastAsiaTheme="minorHAnsi"/>
        </w:rPr>
        <w:t xml:space="preserve">. National Cotton Council of America. </w:t>
      </w:r>
      <w:hyperlink r:id="rId62" w:history="1">
        <w:r w:rsidRPr="00644EE1">
          <w:rPr>
            <w:rStyle w:val="Hyperlink"/>
            <w:rFonts w:eastAsiaTheme="minorHAnsi"/>
            <w:color w:val="auto"/>
            <w:u w:val="none"/>
          </w:rPr>
          <w:t>http://www.cotton.org/tech/pest/nematode/survey/tennessee.cfm</w:t>
        </w:r>
      </w:hyperlink>
      <w:r w:rsidRPr="00644EE1">
        <w:rPr>
          <w:rFonts w:eastAsiaTheme="minorHAnsi"/>
        </w:rPr>
        <w:t>. Accessed March 2022.</w:t>
      </w:r>
    </w:p>
    <w:p w14:paraId="4C41B45E" w14:textId="77777777" w:rsidR="00D20476" w:rsidRPr="00644EE1" w:rsidRDefault="00D20476" w:rsidP="004E11C2">
      <w:pPr>
        <w:pStyle w:val="NormalWeb"/>
        <w:spacing w:before="0" w:beforeAutospacing="0" w:after="0" w:afterAutospacing="0" w:line="360" w:lineRule="auto"/>
        <w:ind w:left="720" w:hanging="630"/>
      </w:pPr>
      <w:r w:rsidRPr="00644EE1">
        <w:t xml:space="preserve">Niblack, T. L., Arelli, P. R., Noel, G. R., Opperman, C. H., Orf, J. H., Schmitt, D. P., Shannon, J. G., &amp; Tylka, G. L. (2002). A revised classification scheme for genetically diverse populations of </w:t>
      </w:r>
      <w:r w:rsidRPr="00644EE1">
        <w:rPr>
          <w:i/>
        </w:rPr>
        <w:t>Heterodera glycines</w:t>
      </w:r>
      <w:r w:rsidRPr="00644EE1">
        <w:t xml:space="preserve">. </w:t>
      </w:r>
      <w:r w:rsidRPr="00644EE1">
        <w:rPr>
          <w:i/>
          <w:iCs/>
        </w:rPr>
        <w:t>Journal of Nematology</w:t>
      </w:r>
      <w:r w:rsidRPr="00644EE1">
        <w:t xml:space="preserve">, </w:t>
      </w:r>
      <w:r w:rsidRPr="00644EE1">
        <w:rPr>
          <w:i/>
          <w:iCs/>
        </w:rPr>
        <w:t>34</w:t>
      </w:r>
      <w:r w:rsidRPr="00644EE1">
        <w:t>(4), 279–288.</w:t>
      </w:r>
    </w:p>
    <w:p w14:paraId="0FB161C7" w14:textId="77777777" w:rsidR="00D20476" w:rsidRPr="00644EE1" w:rsidRDefault="00D20476" w:rsidP="004E11C2">
      <w:pPr>
        <w:pStyle w:val="NormalWeb"/>
        <w:spacing w:before="0" w:beforeAutospacing="0" w:after="0" w:afterAutospacing="0" w:line="360" w:lineRule="auto"/>
        <w:ind w:left="720" w:hanging="630"/>
      </w:pPr>
      <w:r w:rsidRPr="00644EE1">
        <w:t xml:space="preserve">Noel, G. R. (1990). Inability of a seed treatment with </w:t>
      </w:r>
      <w:r w:rsidRPr="00644EE1">
        <w:rPr>
          <w:i/>
        </w:rPr>
        <w:t>Pseudomonas cepacia</w:t>
      </w:r>
      <w:r w:rsidRPr="00644EE1">
        <w:t xml:space="preserve"> to control </w:t>
      </w:r>
      <w:r w:rsidRPr="00644EE1">
        <w:rPr>
          <w:i/>
        </w:rPr>
        <w:t>Heterodera glycines</w:t>
      </w:r>
      <w:r w:rsidRPr="00644EE1">
        <w:t xml:space="preserve"> on soybean. </w:t>
      </w:r>
      <w:r w:rsidRPr="00644EE1">
        <w:rPr>
          <w:i/>
          <w:iCs/>
        </w:rPr>
        <w:t>Journal of Nematology</w:t>
      </w:r>
      <w:r w:rsidRPr="00644EE1">
        <w:t xml:space="preserve">, </w:t>
      </w:r>
      <w:r w:rsidRPr="00644EE1">
        <w:rPr>
          <w:i/>
          <w:iCs/>
        </w:rPr>
        <w:t>22</w:t>
      </w:r>
      <w:r w:rsidRPr="00644EE1">
        <w:t>(4S), 792–794.</w:t>
      </w:r>
    </w:p>
    <w:p w14:paraId="2300CACA" w14:textId="77777777" w:rsidR="00D20476" w:rsidRPr="00644EE1" w:rsidRDefault="00D20476" w:rsidP="004E11C2">
      <w:pPr>
        <w:pStyle w:val="NormalWeb"/>
        <w:spacing w:before="0" w:beforeAutospacing="0" w:after="0" w:afterAutospacing="0" w:line="360" w:lineRule="auto"/>
        <w:ind w:left="720" w:hanging="630"/>
      </w:pPr>
      <w:r w:rsidRPr="00644EE1">
        <w:t xml:space="preserve">Oyekanmi, E. O., Coyne, D. L., Fagade, O. E., &amp; Osonubi, O. (2007). Improving root-knot nematode management on two soybean genotypes through the application of </w:t>
      </w:r>
      <w:r w:rsidRPr="00644EE1">
        <w:rPr>
          <w:i/>
          <w:iCs/>
        </w:rPr>
        <w:t>Bradyrhizobium japonicum</w:t>
      </w:r>
      <w:r w:rsidRPr="00644EE1">
        <w:t xml:space="preserve">, </w:t>
      </w:r>
      <w:r w:rsidRPr="00644EE1">
        <w:rPr>
          <w:i/>
        </w:rPr>
        <w:t>Trichoderma pseudokoningii</w:t>
      </w:r>
      <w:r w:rsidRPr="00644EE1">
        <w:t xml:space="preserve"> and </w:t>
      </w:r>
      <w:r w:rsidRPr="00644EE1">
        <w:rPr>
          <w:i/>
        </w:rPr>
        <w:t>Glomus mosseae</w:t>
      </w:r>
      <w:r w:rsidRPr="00644EE1">
        <w:t xml:space="preserve"> in full factorial combinations. </w:t>
      </w:r>
      <w:r w:rsidRPr="00644EE1">
        <w:rPr>
          <w:i/>
          <w:iCs/>
        </w:rPr>
        <w:t>Crop Protection</w:t>
      </w:r>
      <w:r w:rsidRPr="00644EE1">
        <w:t xml:space="preserve">, </w:t>
      </w:r>
      <w:r w:rsidRPr="00644EE1">
        <w:rPr>
          <w:i/>
          <w:iCs/>
        </w:rPr>
        <w:t>26</w:t>
      </w:r>
      <w:r w:rsidRPr="00644EE1">
        <w:t xml:space="preserve">(7), 1006–1012. </w:t>
      </w:r>
      <w:hyperlink r:id="rId63" w:history="1">
        <w:r w:rsidRPr="00644EE1">
          <w:rPr>
            <w:rStyle w:val="Hyperlink"/>
            <w:color w:val="auto"/>
            <w:u w:val="none"/>
          </w:rPr>
          <w:t>https://doi.org/10.1016/j.cropro.2006.09.009</w:t>
        </w:r>
      </w:hyperlink>
    </w:p>
    <w:p w14:paraId="70706366"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 xml:space="preserve">Pane, A., Cosentino, S. L., Copani, V., &amp; Cacciola, S. O. (2007). First report of southern blight caused by </w:t>
      </w:r>
      <w:r w:rsidRPr="00644EE1">
        <w:rPr>
          <w:i/>
          <w:iCs/>
          <w:shd w:val="clear" w:color="auto" w:fill="FFFFFF"/>
        </w:rPr>
        <w:t>Sclerotium rolfsii</w:t>
      </w:r>
      <w:r w:rsidRPr="00644EE1">
        <w:rPr>
          <w:shd w:val="clear" w:color="auto" w:fill="FFFFFF"/>
        </w:rPr>
        <w:t xml:space="preserve"> on hemp (</w:t>
      </w:r>
      <w:r w:rsidRPr="00644EE1">
        <w:rPr>
          <w:i/>
          <w:iCs/>
          <w:shd w:val="clear" w:color="auto" w:fill="FFFFFF"/>
        </w:rPr>
        <w:t>Cannabis sativa</w:t>
      </w:r>
      <w:r w:rsidRPr="00644EE1">
        <w:rPr>
          <w:shd w:val="clear" w:color="auto" w:fill="FFFFFF"/>
        </w:rPr>
        <w:t>) in Sicily and Southern Italy. </w:t>
      </w:r>
      <w:r w:rsidRPr="00644EE1">
        <w:rPr>
          <w:i/>
          <w:iCs/>
          <w:shd w:val="clear" w:color="auto" w:fill="FFFFFF"/>
        </w:rPr>
        <w:t>Plant disease</w:t>
      </w:r>
      <w:r w:rsidRPr="00644EE1">
        <w:rPr>
          <w:shd w:val="clear" w:color="auto" w:fill="FFFFFF"/>
        </w:rPr>
        <w:t>, </w:t>
      </w:r>
      <w:r w:rsidRPr="00644EE1">
        <w:rPr>
          <w:i/>
          <w:iCs/>
          <w:shd w:val="clear" w:color="auto" w:fill="FFFFFF"/>
        </w:rPr>
        <w:t>91</w:t>
      </w:r>
      <w:r w:rsidRPr="00644EE1">
        <w:rPr>
          <w:shd w:val="clear" w:color="auto" w:fill="FFFFFF"/>
        </w:rPr>
        <w:t>(5), 636-636.</w:t>
      </w:r>
    </w:p>
    <w:p w14:paraId="22A22CDA"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 xml:space="preserve">Papavizas, G. C. (1977). Some factors affecting survival of sclerotia of </w:t>
      </w:r>
      <w:r w:rsidRPr="00644EE1">
        <w:rPr>
          <w:i/>
          <w:shd w:val="clear" w:color="auto" w:fill="FFFFFF"/>
        </w:rPr>
        <w:t>Macrophomina phaseolina</w:t>
      </w:r>
      <w:r w:rsidRPr="00644EE1">
        <w:rPr>
          <w:shd w:val="clear" w:color="auto" w:fill="FFFFFF"/>
        </w:rPr>
        <w:t xml:space="preserve"> in soil. </w:t>
      </w:r>
      <w:r w:rsidRPr="00644EE1">
        <w:rPr>
          <w:i/>
          <w:iCs/>
          <w:shd w:val="clear" w:color="auto" w:fill="FFFFFF"/>
        </w:rPr>
        <w:t>Soil Biology and Biochemistry</w:t>
      </w:r>
      <w:r w:rsidRPr="00644EE1">
        <w:rPr>
          <w:shd w:val="clear" w:color="auto" w:fill="FFFFFF"/>
        </w:rPr>
        <w:t>, </w:t>
      </w:r>
      <w:r w:rsidRPr="00644EE1">
        <w:rPr>
          <w:i/>
          <w:iCs/>
          <w:shd w:val="clear" w:color="auto" w:fill="FFFFFF"/>
        </w:rPr>
        <w:t>9</w:t>
      </w:r>
      <w:r w:rsidRPr="00644EE1">
        <w:rPr>
          <w:shd w:val="clear" w:color="auto" w:fill="FFFFFF"/>
        </w:rPr>
        <w:t>(5), 337-341.</w:t>
      </w:r>
    </w:p>
    <w:p w14:paraId="429F7725"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 xml:space="preserve">Pépin, N., Punja, Z. K., &amp; Joly, D. L. (2018). Occurrence of powdery mildew caused by </w:t>
      </w:r>
      <w:r w:rsidRPr="00644EE1">
        <w:rPr>
          <w:i/>
          <w:shd w:val="clear" w:color="auto" w:fill="FFFFFF"/>
        </w:rPr>
        <w:t>Golovinomyces cichoracearum</w:t>
      </w:r>
      <w:r w:rsidRPr="00644EE1">
        <w:rPr>
          <w:shd w:val="clear" w:color="auto" w:fill="FFFFFF"/>
        </w:rPr>
        <w:t xml:space="preserve"> sensu lato on </w:t>
      </w:r>
      <w:r w:rsidRPr="00644EE1">
        <w:rPr>
          <w:i/>
          <w:shd w:val="clear" w:color="auto" w:fill="FFFFFF"/>
        </w:rPr>
        <w:t>Cannabis sativa</w:t>
      </w:r>
      <w:r w:rsidRPr="00644EE1">
        <w:rPr>
          <w:shd w:val="clear" w:color="auto" w:fill="FFFFFF"/>
        </w:rPr>
        <w:t xml:space="preserve"> in Canada. </w:t>
      </w:r>
      <w:r w:rsidRPr="00644EE1">
        <w:rPr>
          <w:i/>
          <w:iCs/>
          <w:shd w:val="clear" w:color="auto" w:fill="FFFFFF"/>
        </w:rPr>
        <w:t>Plant Disease</w:t>
      </w:r>
      <w:r w:rsidRPr="00644EE1">
        <w:rPr>
          <w:shd w:val="clear" w:color="auto" w:fill="FFFFFF"/>
        </w:rPr>
        <w:t>, </w:t>
      </w:r>
      <w:r w:rsidRPr="00644EE1">
        <w:rPr>
          <w:i/>
          <w:iCs/>
          <w:shd w:val="clear" w:color="auto" w:fill="FFFFFF"/>
        </w:rPr>
        <w:t>102</w:t>
      </w:r>
      <w:r w:rsidRPr="00644EE1">
        <w:rPr>
          <w:shd w:val="clear" w:color="auto" w:fill="FFFFFF"/>
        </w:rPr>
        <w:t>(12), 2644-2644.</w:t>
      </w:r>
    </w:p>
    <w:p w14:paraId="7AAA9902"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Pfeufer, E., Gauthier, N. W., &amp; Bradley, C. A. (2017). Powdery Mildew. </w:t>
      </w:r>
      <w:r w:rsidRPr="00644EE1">
        <w:rPr>
          <w:i/>
          <w:iCs/>
          <w:shd w:val="clear" w:color="auto" w:fill="FFFFFF"/>
        </w:rPr>
        <w:t>University of Kentucky</w:t>
      </w:r>
      <w:r w:rsidRPr="00644EE1">
        <w:rPr>
          <w:shd w:val="clear" w:color="auto" w:fill="FFFFFF"/>
        </w:rPr>
        <w:t>. http://plantpathology.ca.uky.edu/files/ppfs-gen-02.pdf</w:t>
      </w:r>
    </w:p>
    <w:p w14:paraId="7DBCE85F" w14:textId="77777777" w:rsidR="00D20476" w:rsidRPr="00644EE1" w:rsidRDefault="00D20476" w:rsidP="004E11C2">
      <w:pPr>
        <w:pStyle w:val="NormalWeb"/>
        <w:spacing w:before="0" w:beforeAutospacing="0" w:after="0" w:afterAutospacing="0" w:line="360" w:lineRule="auto"/>
        <w:ind w:left="720" w:hanging="630"/>
      </w:pPr>
      <w:r w:rsidRPr="00644EE1">
        <w:t xml:space="preserve">Poveda, J., Abril-Urias, P., &amp; Escobar, C. (2020). Biological Control of Plant-Parasitic Nematodes by Filamentous Fungi Inducers of Resistance: </w:t>
      </w:r>
      <w:r w:rsidRPr="00644EE1">
        <w:rPr>
          <w:i/>
        </w:rPr>
        <w:t>Trichoderma, Mycorrhizal</w:t>
      </w:r>
      <w:r w:rsidRPr="00644EE1">
        <w:t xml:space="preserve"> and Endophytic Fungi. </w:t>
      </w:r>
      <w:r w:rsidRPr="00644EE1">
        <w:rPr>
          <w:i/>
          <w:iCs/>
        </w:rPr>
        <w:t>Frontiers in Microbiology</w:t>
      </w:r>
      <w:r w:rsidRPr="00644EE1">
        <w:t xml:space="preserve">, </w:t>
      </w:r>
      <w:r w:rsidRPr="00644EE1">
        <w:rPr>
          <w:i/>
          <w:iCs/>
        </w:rPr>
        <w:t>11</w:t>
      </w:r>
      <w:r w:rsidRPr="00644EE1">
        <w:t xml:space="preserve">(May), 1–14. </w:t>
      </w:r>
      <w:hyperlink r:id="rId64" w:history="1">
        <w:r w:rsidRPr="00644EE1">
          <w:rPr>
            <w:rStyle w:val="Hyperlink"/>
            <w:color w:val="auto"/>
            <w:u w:val="none"/>
          </w:rPr>
          <w:t>https://doi.org/10.3389/fmicb.2020.00992</w:t>
        </w:r>
      </w:hyperlink>
    </w:p>
    <w:p w14:paraId="532B6E16" w14:textId="77777777" w:rsidR="00D20476" w:rsidRPr="00644EE1" w:rsidRDefault="00D20476" w:rsidP="004E11C2">
      <w:pPr>
        <w:pStyle w:val="NormalWeb"/>
        <w:spacing w:before="0" w:beforeAutospacing="0" w:after="0" w:afterAutospacing="0" w:line="360" w:lineRule="auto"/>
        <w:ind w:left="720" w:hanging="630"/>
      </w:pPr>
      <w:r w:rsidRPr="00644EE1">
        <w:t xml:space="preserve">Punja, Z. K., Collyer, D., Scott, C., Lung, S., Holmes, J., &amp; Sutton, D. (2019). Pathogens and molds affecting production and quality of </w:t>
      </w:r>
      <w:r w:rsidRPr="00644EE1">
        <w:rPr>
          <w:i/>
        </w:rPr>
        <w:t>Cannabis sativa</w:t>
      </w:r>
      <w:r w:rsidRPr="00644EE1">
        <w:t xml:space="preserve"> L. </w:t>
      </w:r>
      <w:r w:rsidRPr="00644EE1">
        <w:rPr>
          <w:i/>
          <w:iCs/>
        </w:rPr>
        <w:t>Frontiers in Plant Science</w:t>
      </w:r>
      <w:r w:rsidRPr="00644EE1">
        <w:t xml:space="preserve">, </w:t>
      </w:r>
      <w:r w:rsidRPr="00644EE1">
        <w:rPr>
          <w:i/>
          <w:iCs/>
        </w:rPr>
        <w:t>10</w:t>
      </w:r>
      <w:r w:rsidRPr="00644EE1">
        <w:t xml:space="preserve">(October), 1–23. </w:t>
      </w:r>
      <w:hyperlink r:id="rId65" w:history="1">
        <w:r w:rsidRPr="00644EE1">
          <w:rPr>
            <w:rStyle w:val="Hyperlink"/>
            <w:color w:val="auto"/>
            <w:u w:val="none"/>
          </w:rPr>
          <w:t>https://doi.org/10.3389/fpls.2019.01120</w:t>
        </w:r>
      </w:hyperlink>
    </w:p>
    <w:p w14:paraId="442B1949"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Rahnama, M., Szarka, D., Li, H., Dixon, E., Castlebury, L., &amp; Ward Gauthier, N. A. (2021). Reemergence of Septoria leaf spot caused by </w:t>
      </w:r>
      <w:r w:rsidRPr="00644EE1">
        <w:rPr>
          <w:i/>
        </w:rPr>
        <w:t>Septoria cannabis</w:t>
      </w:r>
      <w:r w:rsidRPr="00644EE1">
        <w:t xml:space="preserve"> on hemp in Kentucky. </w:t>
      </w:r>
      <w:r w:rsidRPr="00644EE1">
        <w:rPr>
          <w:i/>
          <w:iCs/>
        </w:rPr>
        <w:t>Plant Disease</w:t>
      </w:r>
      <w:r w:rsidRPr="00644EE1">
        <w:t xml:space="preserve">, </w:t>
      </w:r>
      <w:r w:rsidRPr="00644EE1">
        <w:rPr>
          <w:i/>
          <w:iCs/>
        </w:rPr>
        <w:t>105</w:t>
      </w:r>
      <w:r w:rsidRPr="00644EE1">
        <w:t xml:space="preserve">(9), 2286–2289. </w:t>
      </w:r>
      <w:hyperlink r:id="rId66" w:history="1">
        <w:r w:rsidRPr="00644EE1">
          <w:rPr>
            <w:rStyle w:val="Hyperlink"/>
            <w:color w:val="auto"/>
            <w:u w:val="none"/>
          </w:rPr>
          <w:t>https://doi.org/10.1094/PDIS-12-20-2620-SC</w:t>
        </w:r>
      </w:hyperlink>
    </w:p>
    <w:p w14:paraId="4475D073"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Rao, M. S., Reddy, P. P., &amp; Nagesh, M. (1998). Evaluation of plant based formulations of </w:t>
      </w:r>
      <w:r w:rsidRPr="00644EE1">
        <w:rPr>
          <w:i/>
          <w:shd w:val="clear" w:color="auto" w:fill="FFFFFF"/>
        </w:rPr>
        <w:t xml:space="preserve">Trichoderma harzianum </w:t>
      </w:r>
      <w:r w:rsidRPr="00644EE1">
        <w:rPr>
          <w:shd w:val="clear" w:color="auto" w:fill="FFFFFF"/>
        </w:rPr>
        <w:t xml:space="preserve">for the management of </w:t>
      </w:r>
      <w:r w:rsidRPr="00644EE1">
        <w:rPr>
          <w:i/>
          <w:shd w:val="clear" w:color="auto" w:fill="FFFFFF"/>
        </w:rPr>
        <w:t>Meloidogyne incognita</w:t>
      </w:r>
      <w:r w:rsidRPr="00644EE1">
        <w:rPr>
          <w:shd w:val="clear" w:color="auto" w:fill="FFFFFF"/>
        </w:rPr>
        <w:t xml:space="preserve"> on egg plant. </w:t>
      </w:r>
      <w:r w:rsidRPr="00644EE1">
        <w:rPr>
          <w:i/>
          <w:iCs/>
          <w:shd w:val="clear" w:color="auto" w:fill="FFFFFF"/>
        </w:rPr>
        <w:t>Nematologia mediterranea</w:t>
      </w:r>
      <w:r w:rsidRPr="00644EE1">
        <w:rPr>
          <w:shd w:val="clear" w:color="auto" w:fill="FFFFFF"/>
        </w:rPr>
        <w:t>, </w:t>
      </w:r>
      <w:r w:rsidRPr="00644EE1">
        <w:rPr>
          <w:i/>
          <w:iCs/>
          <w:shd w:val="clear" w:color="auto" w:fill="FFFFFF"/>
        </w:rPr>
        <w:t>26</w:t>
      </w:r>
      <w:r w:rsidRPr="00644EE1">
        <w:rPr>
          <w:shd w:val="clear" w:color="auto" w:fill="FFFFFF"/>
        </w:rPr>
        <w:t>(1), 59-62.</w:t>
      </w:r>
    </w:p>
    <w:p w14:paraId="76CA97D4" w14:textId="77777777" w:rsidR="00D20476" w:rsidRPr="00644EE1" w:rsidRDefault="00D20476" w:rsidP="004E11C2">
      <w:pPr>
        <w:pStyle w:val="NormalWeb"/>
        <w:spacing w:before="0" w:beforeAutospacing="0" w:after="0" w:afterAutospacing="0" w:line="360" w:lineRule="auto"/>
        <w:ind w:left="720" w:hanging="630"/>
      </w:pPr>
      <w:r w:rsidRPr="00644EE1">
        <w:t xml:space="preserve">Riedel, R. M., &amp; Rowe, R. C. (1985). Lesion nematode involvement in potato early dying disease. </w:t>
      </w:r>
      <w:r w:rsidRPr="00644EE1">
        <w:rPr>
          <w:i/>
          <w:iCs/>
        </w:rPr>
        <w:t>American Potato Journal</w:t>
      </w:r>
      <w:r w:rsidRPr="00644EE1">
        <w:t xml:space="preserve">, </w:t>
      </w:r>
      <w:r w:rsidRPr="00644EE1">
        <w:rPr>
          <w:i/>
          <w:iCs/>
        </w:rPr>
        <w:t>62</w:t>
      </w:r>
      <w:r w:rsidRPr="00644EE1">
        <w:t xml:space="preserve">(4), 163–171. </w:t>
      </w:r>
      <w:hyperlink r:id="rId67" w:history="1">
        <w:r w:rsidRPr="00644EE1">
          <w:rPr>
            <w:rStyle w:val="Hyperlink"/>
            <w:color w:val="auto"/>
            <w:u w:val="none"/>
          </w:rPr>
          <w:t>https://doi.org/10.1007/BF02852973</w:t>
        </w:r>
      </w:hyperlink>
    </w:p>
    <w:p w14:paraId="552F87DE" w14:textId="77777777" w:rsidR="00D20476" w:rsidRPr="00644EE1" w:rsidRDefault="00D20476" w:rsidP="004E11C2">
      <w:pPr>
        <w:pStyle w:val="NormalWeb"/>
        <w:spacing w:before="0" w:beforeAutospacing="0" w:after="0" w:afterAutospacing="0" w:line="360" w:lineRule="auto"/>
        <w:ind w:left="720" w:hanging="630"/>
      </w:pPr>
      <w:r w:rsidRPr="00644EE1">
        <w:t xml:space="preserve">Robbins, R. T., Rakes, L., Jackson, L. E., &amp; Dombek, D. G. (1999). </w:t>
      </w:r>
      <w:r w:rsidRPr="00644EE1">
        <w:rPr>
          <w:i/>
        </w:rPr>
        <w:t>Reniform nematode</w:t>
      </w:r>
      <w:r w:rsidRPr="00644EE1">
        <w:t xml:space="preserve"> resistance in selected soybean cultivars. </w:t>
      </w:r>
      <w:r w:rsidRPr="00644EE1">
        <w:rPr>
          <w:i/>
          <w:iCs/>
        </w:rPr>
        <w:t>Journal of Nematology</w:t>
      </w:r>
      <w:r w:rsidRPr="00644EE1">
        <w:t xml:space="preserve">, </w:t>
      </w:r>
      <w:r w:rsidRPr="00644EE1">
        <w:rPr>
          <w:i/>
          <w:iCs/>
        </w:rPr>
        <w:t>31</w:t>
      </w:r>
      <w:r w:rsidRPr="00644EE1">
        <w:t>(SUPPL. 4), 667–677.</w:t>
      </w:r>
    </w:p>
    <w:p w14:paraId="1B7C2033" w14:textId="77777777" w:rsidR="00D20476" w:rsidRPr="00644EE1" w:rsidRDefault="00D20476" w:rsidP="004E11C2">
      <w:pPr>
        <w:pStyle w:val="NormalWeb"/>
        <w:spacing w:before="0" w:beforeAutospacing="0" w:after="0" w:afterAutospacing="0" w:line="360" w:lineRule="auto"/>
        <w:ind w:left="720" w:hanging="630"/>
      </w:pPr>
      <w:r w:rsidRPr="00644EE1">
        <w:t xml:space="preserve">Robinson, A. F., Inserra, R. N., Caswell-Chen, E. P., Vovlas, N., &amp; Troccoli, A. (1997). </w:t>
      </w:r>
      <w:r w:rsidRPr="00644EE1">
        <w:rPr>
          <w:i/>
        </w:rPr>
        <w:t>Rotylenchulus species</w:t>
      </w:r>
      <w:r w:rsidRPr="00644EE1">
        <w:t xml:space="preserve">: Identification, distribution, host ranges, and crop plant resistance. In </w:t>
      </w:r>
      <w:r w:rsidRPr="00644EE1">
        <w:rPr>
          <w:i/>
          <w:iCs/>
        </w:rPr>
        <w:t>Nematropica</w:t>
      </w:r>
      <w:r w:rsidRPr="00644EE1">
        <w:t xml:space="preserve"> (Vol. 27, Issue 2, pp. 127–180).</w:t>
      </w:r>
    </w:p>
    <w:p w14:paraId="03EC021F"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 xml:space="preserve">Sayre, R. (1980). Biocontrol: </w:t>
      </w:r>
      <w:r w:rsidRPr="00644EE1">
        <w:rPr>
          <w:i/>
          <w:shd w:val="clear" w:color="auto" w:fill="FFFFFF"/>
        </w:rPr>
        <w:t>Bacillus penetrans</w:t>
      </w:r>
      <w:r w:rsidRPr="00644EE1">
        <w:rPr>
          <w:shd w:val="clear" w:color="auto" w:fill="FFFFFF"/>
        </w:rPr>
        <w:t xml:space="preserve"> and related parasites of nematodes. </w:t>
      </w:r>
      <w:r w:rsidRPr="00644EE1">
        <w:rPr>
          <w:i/>
          <w:iCs/>
          <w:shd w:val="clear" w:color="auto" w:fill="FFFFFF"/>
        </w:rPr>
        <w:t>Journal of Nematology</w:t>
      </w:r>
      <w:r w:rsidRPr="00644EE1">
        <w:rPr>
          <w:shd w:val="clear" w:color="auto" w:fill="FFFFFF"/>
        </w:rPr>
        <w:t>, </w:t>
      </w:r>
      <w:r w:rsidRPr="00644EE1">
        <w:rPr>
          <w:i/>
          <w:iCs/>
          <w:shd w:val="clear" w:color="auto" w:fill="FFFFFF"/>
        </w:rPr>
        <w:t>12</w:t>
      </w:r>
      <w:r w:rsidRPr="00644EE1">
        <w:rPr>
          <w:shd w:val="clear" w:color="auto" w:fill="FFFFFF"/>
        </w:rPr>
        <w:t>(4), 260.</w:t>
      </w:r>
    </w:p>
    <w:p w14:paraId="101A1E94"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shd w:val="clear" w:color="auto" w:fill="FFFFFF"/>
        </w:rPr>
      </w:pPr>
      <w:r w:rsidRPr="00644EE1">
        <w:t xml:space="preserve">Self, A. Woods, D., Studer, M., Powell, S., and Kilbourne, K. (2021). Five years of hemp in Tennessee. </w:t>
      </w:r>
      <w:r w:rsidRPr="00644EE1">
        <w:rPr>
          <w:i/>
          <w:iCs/>
        </w:rPr>
        <w:t>State of the State.</w:t>
      </w:r>
      <w:r w:rsidRPr="00644EE1">
        <w:t xml:space="preserve"> </w:t>
      </w:r>
      <w:hyperlink r:id="rId68" w:history="1">
        <w:r w:rsidRPr="00644EE1">
          <w:rPr>
            <w:rStyle w:val="Hyperlink"/>
            <w:color w:val="auto"/>
            <w:u w:val="none"/>
          </w:rPr>
          <w:t>PowerPoint Presentation (tennessee.edu)</w:t>
        </w:r>
      </w:hyperlink>
      <w:r w:rsidRPr="00644EE1">
        <w:t xml:space="preserve">. </w:t>
      </w:r>
      <w:hyperlink r:id="rId69" w:history="1">
        <w:r w:rsidRPr="00644EE1">
          <w:rPr>
            <w:rStyle w:val="Hyperlink"/>
            <w:color w:val="auto"/>
            <w:u w:val="none"/>
          </w:rPr>
          <w:t>https://arec.tennessee.edu/wp-content/uploads/sites/17/2021/05/2021-Hemp-Outlook_Policy-TDA.pdf</w:t>
        </w:r>
      </w:hyperlink>
    </w:p>
    <w:p w14:paraId="5513D9E6" w14:textId="77777777" w:rsidR="00D20476" w:rsidRPr="00644EE1" w:rsidRDefault="00D20476" w:rsidP="004E11C2">
      <w:pPr>
        <w:pStyle w:val="NormalWeb"/>
        <w:spacing w:before="0" w:beforeAutospacing="0" w:after="0" w:afterAutospacing="0" w:line="360" w:lineRule="auto"/>
        <w:ind w:left="720" w:hanging="630"/>
      </w:pPr>
      <w:r w:rsidRPr="00644EE1">
        <w:t xml:space="preserve">Short, G. E. (1978). Quantitative Enumeration of </w:t>
      </w:r>
      <w:r w:rsidRPr="00644EE1">
        <w:rPr>
          <w:i/>
        </w:rPr>
        <w:t>Macrophomina phaseolina</w:t>
      </w:r>
      <w:r w:rsidRPr="00644EE1">
        <w:t xml:space="preserve"> in Soybean Tissues. In </w:t>
      </w:r>
      <w:r w:rsidRPr="00644EE1">
        <w:rPr>
          <w:i/>
          <w:iCs/>
        </w:rPr>
        <w:t>Phytopathology</w:t>
      </w:r>
      <w:r w:rsidRPr="00644EE1">
        <w:t xml:space="preserve"> (Vol. 68, Issue 5, p. 736). </w:t>
      </w:r>
      <w:hyperlink r:id="rId70" w:history="1">
        <w:r w:rsidRPr="00644EE1">
          <w:rPr>
            <w:rStyle w:val="Hyperlink"/>
            <w:color w:val="auto"/>
            <w:u w:val="none"/>
          </w:rPr>
          <w:t>https://doi.org/10.1094/phyto-68-736</w:t>
        </w:r>
      </w:hyperlink>
    </w:p>
    <w:p w14:paraId="759B26FD" w14:textId="77777777" w:rsidR="00D20476" w:rsidRPr="00644EE1" w:rsidRDefault="00D20476" w:rsidP="004E11C2">
      <w:pPr>
        <w:pStyle w:val="NormalWeb"/>
        <w:spacing w:before="0" w:beforeAutospacing="0" w:after="0" w:afterAutospacing="0" w:line="360" w:lineRule="auto"/>
        <w:ind w:left="720" w:hanging="630"/>
      </w:pPr>
      <w:r w:rsidRPr="00644EE1">
        <w:t xml:space="preserve">Short, G. E., Wyllie, T. D., &amp; Bristow, P. R. (1980). Survival of </w:t>
      </w:r>
      <w:r w:rsidRPr="00644EE1">
        <w:rPr>
          <w:i/>
        </w:rPr>
        <w:t>Macrophomina phaseolina</w:t>
      </w:r>
      <w:r w:rsidRPr="00644EE1">
        <w:t xml:space="preserve"> in soil and in residue of soybean. </w:t>
      </w:r>
      <w:r w:rsidRPr="00644EE1">
        <w:rPr>
          <w:i/>
          <w:iCs/>
        </w:rPr>
        <w:t>Phytopathology</w:t>
      </w:r>
      <w:r w:rsidRPr="00644EE1">
        <w:t xml:space="preserve">, </w:t>
      </w:r>
      <w:r w:rsidRPr="00644EE1">
        <w:rPr>
          <w:i/>
          <w:iCs/>
        </w:rPr>
        <w:t>70</w:t>
      </w:r>
      <w:r w:rsidRPr="00644EE1">
        <w:t>(1), 17.</w:t>
      </w:r>
    </w:p>
    <w:p w14:paraId="5C33C154"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 xml:space="preserve">Siddiqui, I. A., &amp; Shaukat, S. S. (2003). Suppression of root-knot disease by </w:t>
      </w:r>
      <w:r w:rsidRPr="00644EE1">
        <w:rPr>
          <w:i/>
          <w:shd w:val="clear" w:color="auto" w:fill="FFFFFF"/>
        </w:rPr>
        <w:t>Pseudomonas fluorescens</w:t>
      </w:r>
      <w:r w:rsidRPr="00644EE1">
        <w:rPr>
          <w:shd w:val="clear" w:color="auto" w:fill="FFFFFF"/>
        </w:rPr>
        <w:t xml:space="preserve"> CHA0 in tomato: importance of bacterial secondary metabolite, 2, 4-diacetylpholoroglucinol. </w:t>
      </w:r>
      <w:r w:rsidRPr="00644EE1">
        <w:rPr>
          <w:i/>
          <w:iCs/>
          <w:shd w:val="clear" w:color="auto" w:fill="FFFFFF"/>
        </w:rPr>
        <w:t>Soil Biology and Biochemistry</w:t>
      </w:r>
      <w:r w:rsidRPr="00644EE1">
        <w:rPr>
          <w:shd w:val="clear" w:color="auto" w:fill="FFFFFF"/>
        </w:rPr>
        <w:t>, </w:t>
      </w:r>
      <w:r w:rsidRPr="00644EE1">
        <w:rPr>
          <w:i/>
          <w:iCs/>
          <w:shd w:val="clear" w:color="auto" w:fill="FFFFFF"/>
        </w:rPr>
        <w:t>35</w:t>
      </w:r>
      <w:r w:rsidRPr="00644EE1">
        <w:rPr>
          <w:shd w:val="clear" w:color="auto" w:fill="FFFFFF"/>
        </w:rPr>
        <w:t>(12), 1615-1623.</w:t>
      </w:r>
    </w:p>
    <w:p w14:paraId="488C9273"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Sikora, R. A., Desaeger, J., &amp; Molendijk, L. (2021). </w:t>
      </w:r>
      <w:r w:rsidRPr="00644EE1">
        <w:rPr>
          <w:i/>
          <w:iCs/>
          <w:shd w:val="clear" w:color="auto" w:fill="FFFFFF"/>
        </w:rPr>
        <w:t>Integrated nematode management: Sstate-of-the-art and visions for the future</w:t>
      </w:r>
      <w:r w:rsidRPr="00644EE1">
        <w:rPr>
          <w:shd w:val="clear" w:color="auto" w:fill="FFFFFF"/>
        </w:rPr>
        <w:t>. CABI.</w:t>
      </w:r>
    </w:p>
    <w:p w14:paraId="53DB24EF" w14:textId="77777777" w:rsidR="00D20476" w:rsidRPr="00644EE1" w:rsidRDefault="00D20476" w:rsidP="004E11C2">
      <w:pPr>
        <w:pStyle w:val="NormalWeb"/>
        <w:spacing w:before="0" w:beforeAutospacing="0" w:after="0" w:afterAutospacing="0" w:line="360" w:lineRule="auto"/>
        <w:ind w:left="720" w:hanging="630"/>
      </w:pPr>
      <w:r w:rsidRPr="00644EE1">
        <w:t xml:space="preserve">Smith, G. S., &amp; Carvil, O. N. (1997). Field screening of commercial and experimental soybean cultivars for their reaction to </w:t>
      </w:r>
      <w:r w:rsidRPr="00644EE1">
        <w:rPr>
          <w:i/>
        </w:rPr>
        <w:t>Macrophomina phaseolina</w:t>
      </w:r>
      <w:r w:rsidRPr="00644EE1">
        <w:t xml:space="preserve">. </w:t>
      </w:r>
      <w:r w:rsidRPr="00644EE1">
        <w:rPr>
          <w:i/>
          <w:iCs/>
        </w:rPr>
        <w:t>Plant Disease</w:t>
      </w:r>
      <w:r w:rsidRPr="00644EE1">
        <w:t xml:space="preserve">, </w:t>
      </w:r>
      <w:r w:rsidRPr="00644EE1">
        <w:rPr>
          <w:i/>
          <w:iCs/>
        </w:rPr>
        <w:t>81</w:t>
      </w:r>
      <w:r w:rsidRPr="00644EE1">
        <w:t xml:space="preserve">(4), 363–368. </w:t>
      </w:r>
      <w:hyperlink r:id="rId71" w:history="1">
        <w:r w:rsidRPr="00644EE1">
          <w:rPr>
            <w:rStyle w:val="Hyperlink"/>
            <w:color w:val="auto"/>
            <w:u w:val="none"/>
          </w:rPr>
          <w:t>https://doi.org/10.1094/PDIS.1997.81.4.363</w:t>
        </w:r>
      </w:hyperlink>
    </w:p>
    <w:p w14:paraId="1924D8E4"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Smitley, D. R., Warner, F. W., &amp; Bird, G. W. (1992). Influence of irrigation and </w:t>
      </w:r>
      <w:r w:rsidRPr="00644EE1">
        <w:rPr>
          <w:i/>
          <w:shd w:val="clear" w:color="auto" w:fill="FFFFFF"/>
        </w:rPr>
        <w:t>Heterorhabditis bacteriophora</w:t>
      </w:r>
      <w:r w:rsidRPr="00644EE1">
        <w:rPr>
          <w:shd w:val="clear" w:color="auto" w:fill="FFFFFF"/>
        </w:rPr>
        <w:t xml:space="preserve"> on plant-parasitic nematodes in turf. </w:t>
      </w:r>
      <w:r w:rsidRPr="00644EE1">
        <w:rPr>
          <w:i/>
          <w:iCs/>
          <w:shd w:val="clear" w:color="auto" w:fill="FFFFFF"/>
        </w:rPr>
        <w:t>Journal of Nematology</w:t>
      </w:r>
      <w:r w:rsidRPr="00644EE1">
        <w:rPr>
          <w:shd w:val="clear" w:color="auto" w:fill="FFFFFF"/>
        </w:rPr>
        <w:t>, </w:t>
      </w:r>
      <w:r w:rsidRPr="00644EE1">
        <w:rPr>
          <w:i/>
          <w:iCs/>
          <w:shd w:val="clear" w:color="auto" w:fill="FFFFFF"/>
        </w:rPr>
        <w:t>24</w:t>
      </w:r>
      <w:r w:rsidRPr="00644EE1">
        <w:rPr>
          <w:shd w:val="clear" w:color="auto" w:fill="FFFFFF"/>
        </w:rPr>
        <w:t>(4S), 637.</w:t>
      </w:r>
    </w:p>
    <w:p w14:paraId="35A1642B"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Soares, M. R., Carneiro, R. M., &amp; Dias-Arieira, C. R. (2022). Response of different crops and weeds to three biotypes of </w:t>
      </w:r>
      <w:r w:rsidRPr="00644EE1">
        <w:rPr>
          <w:i/>
          <w:shd w:val="clear" w:color="auto" w:fill="FFFFFF"/>
        </w:rPr>
        <w:t>Meloidogyne graminicola</w:t>
      </w:r>
      <w:r w:rsidRPr="00644EE1">
        <w:rPr>
          <w:shd w:val="clear" w:color="auto" w:fill="FFFFFF"/>
        </w:rPr>
        <w:t>: crop rotation and succession strategies for irrigated rice fields. </w:t>
      </w:r>
      <w:r w:rsidRPr="00644EE1">
        <w:rPr>
          <w:i/>
          <w:iCs/>
          <w:shd w:val="clear" w:color="auto" w:fill="FFFFFF"/>
        </w:rPr>
        <w:t>Nematology</w:t>
      </w:r>
      <w:r w:rsidRPr="00644EE1">
        <w:rPr>
          <w:shd w:val="clear" w:color="auto" w:fill="FFFFFF"/>
        </w:rPr>
        <w:t>, </w:t>
      </w:r>
      <w:r w:rsidRPr="00644EE1">
        <w:rPr>
          <w:i/>
          <w:iCs/>
          <w:shd w:val="clear" w:color="auto" w:fill="FFFFFF"/>
        </w:rPr>
        <w:t>1</w:t>
      </w:r>
      <w:r w:rsidRPr="00644EE1">
        <w:rPr>
          <w:shd w:val="clear" w:color="auto" w:fill="FFFFFF"/>
        </w:rPr>
        <w:t>(aop), 1-9</w:t>
      </w:r>
    </w:p>
    <w:p w14:paraId="0B8C8816"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Sorribas, F. J., Ornat, C., Galeano, M., &amp; Verdejo-Lucas, S. (2003). Evaluation of a Native and Introduced Isolate of </w:t>
      </w:r>
      <w:r w:rsidRPr="00644EE1">
        <w:rPr>
          <w:i/>
        </w:rPr>
        <w:t>Pochonia chlamydosporia</w:t>
      </w:r>
      <w:r w:rsidRPr="00644EE1">
        <w:t xml:space="preserve"> against </w:t>
      </w:r>
      <w:r w:rsidRPr="00644EE1">
        <w:rPr>
          <w:i/>
        </w:rPr>
        <w:t>Meloidogyne javanica</w:t>
      </w:r>
      <w:r w:rsidRPr="00644EE1">
        <w:t xml:space="preserve">. </w:t>
      </w:r>
      <w:r w:rsidRPr="00644EE1">
        <w:rPr>
          <w:i/>
          <w:iCs/>
        </w:rPr>
        <w:t>Biocontrol Science and Technology</w:t>
      </w:r>
      <w:r w:rsidRPr="00644EE1">
        <w:t xml:space="preserve">, </w:t>
      </w:r>
      <w:r w:rsidRPr="00644EE1">
        <w:rPr>
          <w:i/>
          <w:iCs/>
        </w:rPr>
        <w:t>13</w:t>
      </w:r>
      <w:r w:rsidRPr="00644EE1">
        <w:t xml:space="preserve">(8), 707–714. </w:t>
      </w:r>
      <w:hyperlink r:id="rId72" w:history="1">
        <w:r w:rsidRPr="00644EE1">
          <w:rPr>
            <w:rStyle w:val="Hyperlink"/>
            <w:color w:val="auto"/>
            <w:u w:val="none"/>
          </w:rPr>
          <w:t>https://doi.org/10.1080/09583150310001606282</w:t>
        </w:r>
      </w:hyperlink>
    </w:p>
    <w:p w14:paraId="294D6BE4"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noProof/>
        </w:rPr>
        <w:t>Stack, G. M., Toth, J. A., Carlson, C. H., Cala, A. R., Marrero-González, M. I., Wilk, R. L., Gentner, D. R., Crawford, J. L., Philippe, G., Rose, J. K. C., Viands, D. R., Smart, C. D., &amp; Smart, L. B. (2021). Season-long characterization of high-cannabinoid hemp (</w:t>
      </w:r>
      <w:r w:rsidRPr="00644EE1">
        <w:rPr>
          <w:i/>
          <w:noProof/>
        </w:rPr>
        <w:t>Cannabis sativa</w:t>
      </w:r>
      <w:r w:rsidRPr="00644EE1">
        <w:rPr>
          <w:noProof/>
        </w:rPr>
        <w:t xml:space="preserve"> L.) reveals variation in cannabinoid accumulation, flowering time, and disease resistance. </w:t>
      </w:r>
      <w:r w:rsidRPr="00644EE1">
        <w:rPr>
          <w:i/>
          <w:iCs/>
          <w:noProof/>
        </w:rPr>
        <w:t>GCB Bioenergy</w:t>
      </w:r>
      <w:r w:rsidRPr="00644EE1">
        <w:rPr>
          <w:noProof/>
        </w:rPr>
        <w:t xml:space="preserve">, </w:t>
      </w:r>
      <w:r w:rsidRPr="00644EE1">
        <w:rPr>
          <w:i/>
          <w:iCs/>
          <w:noProof/>
        </w:rPr>
        <w:t>13</w:t>
      </w:r>
      <w:r w:rsidRPr="00644EE1">
        <w:rPr>
          <w:noProof/>
        </w:rPr>
        <w:t>(4), 546–561. https://doi.org/10.1111/gcbb.12793</w:t>
      </w:r>
    </w:p>
    <w:p w14:paraId="1A30D0A3" w14:textId="77777777" w:rsidR="00D20476" w:rsidRPr="00644EE1" w:rsidRDefault="00D20476" w:rsidP="004E11C2">
      <w:pPr>
        <w:pStyle w:val="NormalWeb"/>
        <w:spacing w:before="0" w:beforeAutospacing="0" w:after="0" w:afterAutospacing="0" w:line="360" w:lineRule="auto"/>
        <w:ind w:left="720" w:hanging="630"/>
        <w:rPr>
          <w:shd w:val="clear" w:color="auto" w:fill="FFFFFF"/>
        </w:rPr>
      </w:pPr>
      <w:r w:rsidRPr="00644EE1">
        <w:rPr>
          <w:shd w:val="clear" w:color="auto" w:fill="FFFFFF"/>
        </w:rPr>
        <w:t xml:space="preserve">Starr, J. L., Ong, K. L., Huddleston, M. I. K. E., &amp; Handoo, Z. A. (2007). Control of </w:t>
      </w:r>
      <w:r w:rsidRPr="00644EE1">
        <w:rPr>
          <w:i/>
          <w:shd w:val="clear" w:color="auto" w:fill="FFFFFF"/>
        </w:rPr>
        <w:t>Meloidogyne marylandi</w:t>
      </w:r>
      <w:r w:rsidRPr="00644EE1">
        <w:rPr>
          <w:shd w:val="clear" w:color="auto" w:fill="FFFFFF"/>
        </w:rPr>
        <w:t xml:space="preserve"> on bermudagrass. </w:t>
      </w:r>
      <w:r w:rsidRPr="00644EE1">
        <w:rPr>
          <w:i/>
          <w:iCs/>
          <w:shd w:val="clear" w:color="auto" w:fill="FFFFFF"/>
        </w:rPr>
        <w:t>Nematropica</w:t>
      </w:r>
      <w:r w:rsidRPr="00644EE1">
        <w:rPr>
          <w:shd w:val="clear" w:color="auto" w:fill="FFFFFF"/>
        </w:rPr>
        <w:t>, 43-50.</w:t>
      </w:r>
    </w:p>
    <w:p w14:paraId="5DC0C9A4"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Stirling, G. R. (1984). Biological control of </w:t>
      </w:r>
      <w:r w:rsidRPr="00644EE1">
        <w:rPr>
          <w:i/>
          <w:shd w:val="clear" w:color="auto" w:fill="FFFFFF"/>
        </w:rPr>
        <w:t>Meloidogyne javanica</w:t>
      </w:r>
      <w:r w:rsidRPr="00644EE1">
        <w:rPr>
          <w:shd w:val="clear" w:color="auto" w:fill="FFFFFF"/>
        </w:rPr>
        <w:t xml:space="preserve"> </w:t>
      </w:r>
      <w:r w:rsidRPr="00644EE1">
        <w:rPr>
          <w:i/>
          <w:shd w:val="clear" w:color="auto" w:fill="FFFFFF"/>
        </w:rPr>
        <w:t>with Bacillus penetrans</w:t>
      </w:r>
      <w:r w:rsidRPr="00644EE1">
        <w:rPr>
          <w:shd w:val="clear" w:color="auto" w:fill="FFFFFF"/>
        </w:rPr>
        <w:t>. </w:t>
      </w:r>
      <w:r w:rsidRPr="00644EE1">
        <w:rPr>
          <w:i/>
          <w:iCs/>
          <w:shd w:val="clear" w:color="auto" w:fill="FFFFFF"/>
        </w:rPr>
        <w:t>Phytopathology</w:t>
      </w:r>
      <w:r w:rsidRPr="00644EE1">
        <w:rPr>
          <w:shd w:val="clear" w:color="auto" w:fill="FFFFFF"/>
        </w:rPr>
        <w:t>, </w:t>
      </w:r>
      <w:r w:rsidRPr="00644EE1">
        <w:rPr>
          <w:i/>
          <w:iCs/>
          <w:shd w:val="clear" w:color="auto" w:fill="FFFFFF"/>
        </w:rPr>
        <w:t>74</w:t>
      </w:r>
      <w:r w:rsidRPr="00644EE1">
        <w:rPr>
          <w:shd w:val="clear" w:color="auto" w:fill="FFFFFF"/>
        </w:rPr>
        <w:t>(1), 55-60.</w:t>
      </w:r>
    </w:p>
    <w:p w14:paraId="48047CE8"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Stirling, G. R., &amp; Wachtel, M. F. (1980). Mass production of </w:t>
      </w:r>
      <w:r w:rsidRPr="00644EE1">
        <w:rPr>
          <w:i/>
          <w:shd w:val="clear" w:color="auto" w:fill="FFFFFF"/>
        </w:rPr>
        <w:t>Bacillus penetrans</w:t>
      </w:r>
      <w:r w:rsidRPr="00644EE1">
        <w:rPr>
          <w:shd w:val="clear" w:color="auto" w:fill="FFFFFF"/>
        </w:rPr>
        <w:t xml:space="preserve"> for the biological control of root-knot nematodes. </w:t>
      </w:r>
      <w:r w:rsidRPr="00644EE1">
        <w:rPr>
          <w:i/>
          <w:iCs/>
          <w:shd w:val="clear" w:color="auto" w:fill="FFFFFF"/>
        </w:rPr>
        <w:t>Nematologica</w:t>
      </w:r>
      <w:r w:rsidRPr="00644EE1">
        <w:rPr>
          <w:shd w:val="clear" w:color="auto" w:fill="FFFFFF"/>
        </w:rPr>
        <w:t>.</w:t>
      </w:r>
    </w:p>
    <w:p w14:paraId="6F38B26F" w14:textId="77777777" w:rsidR="00D20476" w:rsidRPr="00644EE1" w:rsidRDefault="00D20476" w:rsidP="004E11C2">
      <w:pPr>
        <w:pStyle w:val="NormalWeb"/>
        <w:spacing w:before="0" w:beforeAutospacing="0" w:after="0" w:afterAutospacing="0" w:line="360" w:lineRule="auto"/>
        <w:ind w:left="720" w:hanging="630"/>
      </w:pPr>
      <w:r w:rsidRPr="00644EE1">
        <w:t xml:space="preserve">Szarka, D., McCulloch, M., Beale, J., Long, S., Dixon, E., &amp; Gauthier, N. (2020). First report of anthracnose leaf spot caused by </w:t>
      </w:r>
      <w:r w:rsidRPr="00644EE1">
        <w:rPr>
          <w:i/>
        </w:rPr>
        <w:t>Colletotrichum fioriniae</w:t>
      </w:r>
      <w:r w:rsidRPr="00644EE1">
        <w:t xml:space="preserve"> on Hemp (</w:t>
      </w:r>
      <w:r w:rsidRPr="00644EE1">
        <w:rPr>
          <w:i/>
        </w:rPr>
        <w:t>Cannabis sativa</w:t>
      </w:r>
      <w:r w:rsidRPr="00644EE1">
        <w:t xml:space="preserve">). </w:t>
      </w:r>
      <w:r w:rsidRPr="00644EE1">
        <w:rPr>
          <w:i/>
          <w:iCs/>
        </w:rPr>
        <w:t>Plant Disease</w:t>
      </w:r>
      <w:r w:rsidRPr="00644EE1">
        <w:t xml:space="preserve">, </w:t>
      </w:r>
      <w:r w:rsidRPr="00644EE1">
        <w:rPr>
          <w:i/>
          <w:iCs/>
        </w:rPr>
        <w:t>104</w:t>
      </w:r>
      <w:r w:rsidRPr="00644EE1">
        <w:t xml:space="preserve">(5), 4–6. </w:t>
      </w:r>
      <w:hyperlink r:id="rId73" w:history="1">
        <w:r w:rsidRPr="00644EE1">
          <w:rPr>
            <w:rStyle w:val="Hyperlink"/>
            <w:color w:val="auto"/>
            <w:u w:val="none"/>
          </w:rPr>
          <w:t>https://doi.org/10.1094/PDIS-10-19-2216-PDN</w:t>
        </w:r>
      </w:hyperlink>
    </w:p>
    <w:p w14:paraId="6D224A93" w14:textId="77777777" w:rsidR="00D20476" w:rsidRPr="00644EE1" w:rsidRDefault="00D20476" w:rsidP="004E11C2">
      <w:pPr>
        <w:pStyle w:val="NormalWeb"/>
        <w:spacing w:before="0" w:beforeAutospacing="0" w:after="0" w:afterAutospacing="0" w:line="360" w:lineRule="auto"/>
        <w:ind w:left="720" w:hanging="630"/>
      </w:pPr>
      <w:r w:rsidRPr="00644EE1">
        <w:t xml:space="preserve">Szarka, Desiree, Amsden, B., Beale, J., Dixon, E., Schardl, C. L., &amp; Gauthier, N. (2020). First report of hemp leaf spot caused by a </w:t>
      </w:r>
      <w:r w:rsidRPr="00644EE1">
        <w:rPr>
          <w:i/>
        </w:rPr>
        <w:t>Bipolaris</w:t>
      </w:r>
      <w:r w:rsidRPr="00644EE1">
        <w:t xml:space="preserve"> species on hemp (</w:t>
      </w:r>
      <w:r w:rsidRPr="00644EE1">
        <w:rPr>
          <w:i/>
        </w:rPr>
        <w:t>Cannabis sativa</w:t>
      </w:r>
      <w:r w:rsidRPr="00644EE1">
        <w:t xml:space="preserve">) in Kentucky. </w:t>
      </w:r>
      <w:r w:rsidRPr="00644EE1">
        <w:rPr>
          <w:i/>
          <w:iCs/>
        </w:rPr>
        <w:t>Plant Health Progress</w:t>
      </w:r>
      <w:r w:rsidRPr="00644EE1">
        <w:t xml:space="preserve">, </w:t>
      </w:r>
      <w:r w:rsidRPr="00644EE1">
        <w:rPr>
          <w:i/>
          <w:iCs/>
        </w:rPr>
        <w:t>21</w:t>
      </w:r>
      <w:r w:rsidRPr="00644EE1">
        <w:t xml:space="preserve">(2), 82–84. </w:t>
      </w:r>
      <w:hyperlink r:id="rId74" w:history="1">
        <w:r w:rsidRPr="00644EE1">
          <w:rPr>
            <w:rStyle w:val="Hyperlink"/>
            <w:color w:val="auto"/>
            <w:u w:val="none"/>
          </w:rPr>
          <w:t>https://doi.org/10.1094/PHP-01-20-0004-BR</w:t>
        </w:r>
      </w:hyperlink>
    </w:p>
    <w:p w14:paraId="5793EC27" w14:textId="77777777" w:rsidR="00D20476" w:rsidRPr="00644EE1" w:rsidRDefault="00D20476" w:rsidP="004E11C2">
      <w:pPr>
        <w:pStyle w:val="NoSpacing"/>
        <w:spacing w:line="360" w:lineRule="auto"/>
        <w:ind w:left="720" w:hanging="630"/>
        <w:rPr>
          <w:rFonts w:ascii="Times New Roman" w:hAnsi="Times New Roman" w:cs="Times New Roman"/>
          <w:i/>
          <w:sz w:val="24"/>
          <w:szCs w:val="24"/>
        </w:rPr>
      </w:pPr>
      <w:r w:rsidRPr="00644EE1">
        <w:rPr>
          <w:rFonts w:ascii="Times New Roman" w:hAnsi="Times New Roman" w:cs="Times New Roman"/>
          <w:sz w:val="24"/>
          <w:szCs w:val="24"/>
        </w:rPr>
        <w:t>Tennessee Department of Agriculture, 2021, November, 29. Resources for Growers</w:t>
      </w:r>
      <w:r w:rsidRPr="00644EE1">
        <w:rPr>
          <w:rFonts w:ascii="Times New Roman" w:hAnsi="Times New Roman" w:cs="Times New Roman"/>
          <w:i/>
          <w:sz w:val="24"/>
          <w:szCs w:val="24"/>
        </w:rPr>
        <w:t xml:space="preserve">. </w:t>
      </w:r>
      <w:hyperlink r:id="rId75" w:history="1">
        <w:r w:rsidRPr="00644EE1">
          <w:rPr>
            <w:rStyle w:val="Hyperlink"/>
            <w:rFonts w:ascii="Times New Roman" w:hAnsi="Times New Roman" w:cs="Times New Roman"/>
            <w:color w:val="auto"/>
            <w:sz w:val="24"/>
            <w:szCs w:val="24"/>
            <w:u w:val="none"/>
          </w:rPr>
          <w:t>https://www.tn.gov/agriculture/farms/hemp-industry/hemp/getting-started.html</w:t>
        </w:r>
      </w:hyperlink>
    </w:p>
    <w:p w14:paraId="60D76CA8"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Thiessen, L. D., Schappe, T., Cochran, S., Hicks, K., &amp; Post, A. R. (2020). Surveying for potential diseases and abiotic disorders of industrial hemp (</w:t>
      </w:r>
      <w:r w:rsidRPr="00644EE1">
        <w:rPr>
          <w:i/>
        </w:rPr>
        <w:t>Cannabis sativa</w:t>
      </w:r>
      <w:r w:rsidRPr="00644EE1">
        <w:t xml:space="preserve">) Production. </w:t>
      </w:r>
      <w:r w:rsidRPr="00644EE1">
        <w:rPr>
          <w:i/>
          <w:iCs/>
        </w:rPr>
        <w:t>Plant Health Progress</w:t>
      </w:r>
      <w:r w:rsidRPr="00644EE1">
        <w:t xml:space="preserve">, </w:t>
      </w:r>
      <w:r w:rsidRPr="00644EE1">
        <w:rPr>
          <w:i/>
          <w:iCs/>
        </w:rPr>
        <w:t>21</w:t>
      </w:r>
      <w:r w:rsidRPr="00644EE1">
        <w:t xml:space="preserve">(4), 321–332. </w:t>
      </w:r>
      <w:hyperlink r:id="rId76" w:history="1">
        <w:r w:rsidRPr="00644EE1">
          <w:rPr>
            <w:rStyle w:val="Hyperlink"/>
            <w:color w:val="auto"/>
            <w:u w:val="none"/>
          </w:rPr>
          <w:t>https://doi.org/10.1094/PHP-03-20-0017-RS</w:t>
        </w:r>
      </w:hyperlink>
    </w:p>
    <w:p w14:paraId="437056BA" w14:textId="77777777" w:rsidR="00D20476" w:rsidRPr="00644EE1" w:rsidRDefault="00D20476" w:rsidP="004E11C2">
      <w:pPr>
        <w:pStyle w:val="NormalWeb"/>
        <w:spacing w:before="0" w:beforeAutospacing="0" w:after="0" w:afterAutospacing="0" w:line="360" w:lineRule="auto"/>
        <w:ind w:left="720" w:hanging="630"/>
      </w:pPr>
      <w:r w:rsidRPr="00644EE1">
        <w:t xml:space="preserve">Tjosvold, S. A., and Koike, S. T. 2001. Evaluation of reduced risk and other biorational fungicides on the control of powdery mildew on greenhouse roses. </w:t>
      </w:r>
      <w:r w:rsidRPr="00644EE1">
        <w:rPr>
          <w:i/>
        </w:rPr>
        <w:t>Acta Horticulturae</w:t>
      </w:r>
      <w:r w:rsidRPr="00644EE1">
        <w:t>, 547, 59–70. https://doi.org/10.17660/actahortic.2001.547.7</w:t>
      </w:r>
    </w:p>
    <w:p w14:paraId="47BBF469"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Tobin, J. D., Haydock, P. P. J., Hare, M. C., Woods, S. R., &amp; Crump, D. H. (2008). Effect of the fungus </w:t>
      </w:r>
      <w:r w:rsidRPr="00644EE1">
        <w:rPr>
          <w:i/>
        </w:rPr>
        <w:t>Pochonia chlamydosporia</w:t>
      </w:r>
      <w:r w:rsidRPr="00644EE1">
        <w:t xml:space="preserve"> and fosthiazate on the multiplication rate of potato cyst nematodes (</w:t>
      </w:r>
      <w:r w:rsidRPr="00644EE1">
        <w:rPr>
          <w:i/>
        </w:rPr>
        <w:t>Globodera pallida</w:t>
      </w:r>
      <w:r w:rsidRPr="00644EE1">
        <w:t xml:space="preserve"> and </w:t>
      </w:r>
      <w:r w:rsidRPr="00644EE1">
        <w:rPr>
          <w:i/>
        </w:rPr>
        <w:t>G. rostochiensis</w:t>
      </w:r>
      <w:r w:rsidRPr="00644EE1">
        <w:t xml:space="preserve">) in potato crops grown under UK field conditions. </w:t>
      </w:r>
      <w:r w:rsidRPr="00644EE1">
        <w:rPr>
          <w:i/>
          <w:iCs/>
        </w:rPr>
        <w:t>Biological Control</w:t>
      </w:r>
      <w:r w:rsidRPr="00644EE1">
        <w:t xml:space="preserve">, </w:t>
      </w:r>
      <w:r w:rsidRPr="00644EE1">
        <w:rPr>
          <w:i/>
          <w:iCs/>
        </w:rPr>
        <w:t>46</w:t>
      </w:r>
      <w:r w:rsidRPr="00644EE1">
        <w:t xml:space="preserve">(2), 194–201. </w:t>
      </w:r>
      <w:hyperlink r:id="rId77" w:history="1">
        <w:r w:rsidRPr="00644EE1">
          <w:rPr>
            <w:rStyle w:val="Hyperlink"/>
            <w:color w:val="auto"/>
            <w:u w:val="none"/>
          </w:rPr>
          <w:t>https://doi.org/10.1016/j.biocontrol.2008.03.014</w:t>
        </w:r>
      </w:hyperlink>
    </w:p>
    <w:p w14:paraId="109C4DFE" w14:textId="77777777" w:rsidR="00D20476" w:rsidRPr="00644EE1" w:rsidRDefault="00D20476" w:rsidP="004E11C2">
      <w:pPr>
        <w:tabs>
          <w:tab w:val="left" w:pos="720"/>
          <w:tab w:val="left" w:pos="810"/>
        </w:tabs>
        <w:spacing w:line="360" w:lineRule="auto"/>
        <w:ind w:left="720" w:hanging="720"/>
        <w:rPr>
          <w:rFonts w:cs="Times New Roman"/>
          <w:szCs w:val="24"/>
          <w:shd w:val="clear" w:color="auto" w:fill="FFFFFF"/>
        </w:rPr>
      </w:pPr>
      <w:r w:rsidRPr="00644EE1">
        <w:rPr>
          <w:rFonts w:cs="Times New Roman"/>
          <w:szCs w:val="24"/>
          <w:shd w:val="clear" w:color="auto" w:fill="FFFFFF"/>
        </w:rPr>
        <w:t>Trigiano, R. N., Bernard, E. C., Hadziabdic, D., Dattilo, A. J., &amp; Wadl, P. A. (2016). First report of powdery mildew on whorled sunflower (</w:t>
      </w:r>
      <w:r w:rsidRPr="00644EE1">
        <w:rPr>
          <w:rFonts w:cs="Times New Roman"/>
          <w:i/>
          <w:szCs w:val="24"/>
          <w:shd w:val="clear" w:color="auto" w:fill="FFFFFF"/>
        </w:rPr>
        <w:t>Helianthus verticillatus</w:t>
      </w:r>
      <w:r w:rsidRPr="00644EE1">
        <w:rPr>
          <w:rFonts w:cs="Times New Roman"/>
          <w:szCs w:val="24"/>
          <w:shd w:val="clear" w:color="auto" w:fill="FFFFFF"/>
        </w:rPr>
        <w:t xml:space="preserve">) caused by </w:t>
      </w:r>
      <w:r w:rsidRPr="00644EE1">
        <w:rPr>
          <w:rFonts w:cs="Times New Roman"/>
          <w:i/>
          <w:szCs w:val="24"/>
          <w:shd w:val="clear" w:color="auto" w:fill="FFFFFF"/>
        </w:rPr>
        <w:t>Golovinomyces ambrosiae</w:t>
      </w:r>
      <w:r w:rsidRPr="00644EE1">
        <w:rPr>
          <w:rFonts w:cs="Times New Roman"/>
          <w:szCs w:val="24"/>
          <w:shd w:val="clear" w:color="auto" w:fill="FFFFFF"/>
        </w:rPr>
        <w:t>. </w:t>
      </w:r>
      <w:r w:rsidRPr="00644EE1">
        <w:rPr>
          <w:rFonts w:cs="Times New Roman"/>
          <w:i/>
          <w:iCs/>
          <w:szCs w:val="24"/>
          <w:shd w:val="clear" w:color="auto" w:fill="FFFFFF"/>
        </w:rPr>
        <w:t>Plant Disease</w:t>
      </w:r>
      <w:r w:rsidRPr="00644EE1">
        <w:rPr>
          <w:rFonts w:cs="Times New Roman"/>
          <w:szCs w:val="24"/>
          <w:shd w:val="clear" w:color="auto" w:fill="FFFFFF"/>
        </w:rPr>
        <w:t>, </w:t>
      </w:r>
      <w:r w:rsidRPr="00644EE1">
        <w:rPr>
          <w:rFonts w:cs="Times New Roman"/>
          <w:i/>
          <w:iCs/>
          <w:szCs w:val="24"/>
          <w:shd w:val="clear" w:color="auto" w:fill="FFFFFF"/>
        </w:rPr>
        <w:t>100</w:t>
      </w:r>
      <w:r w:rsidRPr="00644EE1">
        <w:rPr>
          <w:rFonts w:cs="Times New Roman"/>
          <w:szCs w:val="24"/>
          <w:shd w:val="clear" w:color="auto" w:fill="FFFFFF"/>
        </w:rPr>
        <w:t>(5), 1017.</w:t>
      </w:r>
    </w:p>
    <w:p w14:paraId="5768C7B0" w14:textId="77777777" w:rsidR="00D20476" w:rsidRPr="00644EE1" w:rsidRDefault="00D20476" w:rsidP="004E11C2">
      <w:pPr>
        <w:tabs>
          <w:tab w:val="left" w:pos="720"/>
          <w:tab w:val="left" w:pos="810"/>
        </w:tabs>
        <w:spacing w:line="360" w:lineRule="auto"/>
        <w:ind w:left="720" w:hanging="720"/>
        <w:rPr>
          <w:rFonts w:cs="Times New Roman"/>
          <w:szCs w:val="24"/>
          <w:shd w:val="clear" w:color="auto" w:fill="FFFFFF"/>
        </w:rPr>
      </w:pPr>
      <w:r w:rsidRPr="00644EE1">
        <w:rPr>
          <w:rFonts w:cs="Times New Roman"/>
          <w:szCs w:val="24"/>
          <w:shd w:val="clear" w:color="auto" w:fill="FFFFFF"/>
        </w:rPr>
        <w:t xml:space="preserve">Trigiano, R. N., Boggess, S. L., &amp; Bernard, E. C. (2018). First report of powdery mildew caused by </w:t>
      </w:r>
      <w:r w:rsidRPr="00644EE1">
        <w:rPr>
          <w:rFonts w:cs="Times New Roman"/>
          <w:i/>
          <w:szCs w:val="24"/>
          <w:shd w:val="clear" w:color="auto" w:fill="FFFFFF"/>
        </w:rPr>
        <w:t>Golovinomyces spadiceus</w:t>
      </w:r>
      <w:r w:rsidRPr="00644EE1">
        <w:rPr>
          <w:rFonts w:cs="Times New Roman"/>
          <w:szCs w:val="24"/>
          <w:shd w:val="clear" w:color="auto" w:fill="FFFFFF"/>
        </w:rPr>
        <w:t xml:space="preserve"> on green and gold (</w:t>
      </w:r>
      <w:r w:rsidRPr="00644EE1">
        <w:rPr>
          <w:rFonts w:cs="Times New Roman"/>
          <w:i/>
          <w:szCs w:val="24"/>
          <w:shd w:val="clear" w:color="auto" w:fill="FFFFFF"/>
        </w:rPr>
        <w:t>Chrysogonum virginianum</w:t>
      </w:r>
      <w:r w:rsidRPr="00644EE1">
        <w:rPr>
          <w:rFonts w:cs="Times New Roman"/>
          <w:szCs w:val="24"/>
          <w:shd w:val="clear" w:color="auto" w:fill="FFFFFF"/>
        </w:rPr>
        <w:t>) in the United States. </w:t>
      </w:r>
      <w:r w:rsidRPr="00644EE1">
        <w:rPr>
          <w:rFonts w:cs="Times New Roman"/>
          <w:i/>
          <w:iCs/>
          <w:szCs w:val="24"/>
          <w:shd w:val="clear" w:color="auto" w:fill="FFFFFF"/>
        </w:rPr>
        <w:t>Plant Disease</w:t>
      </w:r>
      <w:r w:rsidRPr="00644EE1">
        <w:rPr>
          <w:rFonts w:cs="Times New Roman"/>
          <w:szCs w:val="24"/>
          <w:shd w:val="clear" w:color="auto" w:fill="FFFFFF"/>
        </w:rPr>
        <w:t>, </w:t>
      </w:r>
      <w:r w:rsidRPr="00644EE1">
        <w:rPr>
          <w:rFonts w:cs="Times New Roman"/>
          <w:i/>
          <w:iCs/>
          <w:szCs w:val="24"/>
          <w:shd w:val="clear" w:color="auto" w:fill="FFFFFF"/>
        </w:rPr>
        <w:t>102</w:t>
      </w:r>
      <w:r w:rsidRPr="00644EE1">
        <w:rPr>
          <w:rFonts w:cs="Times New Roman"/>
          <w:szCs w:val="24"/>
          <w:shd w:val="clear" w:color="auto" w:fill="FFFFFF"/>
        </w:rPr>
        <w:t>(1), 252-252.</w:t>
      </w:r>
    </w:p>
    <w:p w14:paraId="69C1908A" w14:textId="77777777" w:rsidR="00D20476" w:rsidRPr="00644EE1" w:rsidRDefault="00D20476" w:rsidP="004E11C2">
      <w:pPr>
        <w:pStyle w:val="NormalWeb"/>
        <w:spacing w:before="0" w:beforeAutospacing="0" w:after="0" w:afterAutospacing="0" w:line="360" w:lineRule="auto"/>
        <w:ind w:left="720" w:hanging="630"/>
      </w:pPr>
      <w:r w:rsidRPr="00644EE1">
        <w:t xml:space="preserve">Walker, E., (2018). Status of industrial hemp in Tennessee. </w:t>
      </w:r>
      <w:hyperlink r:id="rId78" w:history="1">
        <w:r w:rsidRPr="00644EE1">
          <w:rPr>
            <w:rStyle w:val="Hyperlink"/>
            <w:color w:val="auto"/>
            <w:u w:val="none"/>
          </w:rPr>
          <w:t>https://www.tn.gov/content/dam/tn/agriculture/documents/planthealth/StatusOfIndustrialHempinTN_102218_W777.pdf</w:t>
        </w:r>
      </w:hyperlink>
    </w:p>
    <w:p w14:paraId="41D2E3A9" w14:textId="77777777" w:rsidR="00D20476" w:rsidRPr="00644EE1" w:rsidRDefault="00D20476" w:rsidP="004E11C2">
      <w:pPr>
        <w:pStyle w:val="NormalWeb"/>
        <w:spacing w:before="0" w:beforeAutospacing="0" w:after="0" w:afterAutospacing="0" w:line="360" w:lineRule="auto"/>
        <w:ind w:left="720" w:hanging="630"/>
      </w:pPr>
      <w:r w:rsidRPr="00644EE1">
        <w:t xml:space="preserve">Warner, F., &amp; Bird, G. 2020. </w:t>
      </w:r>
      <w:r w:rsidRPr="00644EE1">
        <w:rPr>
          <w:iCs/>
        </w:rPr>
        <w:t>Selecting cover crops for sites infested with plant-parasitic nematodes in Michigan</w:t>
      </w:r>
      <w:r w:rsidRPr="00644EE1">
        <w:t xml:space="preserve">. Nematodes and Cover Crops Author: </w:t>
      </w:r>
      <w:hyperlink r:id="rId79" w:history="1">
        <w:r w:rsidRPr="00644EE1">
          <w:rPr>
            <w:rStyle w:val="Hyperlink"/>
            <w:color w:val="auto"/>
            <w:u w:val="none"/>
          </w:rPr>
          <w:t>https://www.canr.msu.edu/resources/nematodes-and-cover-crops</w:t>
        </w:r>
      </w:hyperlink>
    </w:p>
    <w:p w14:paraId="5274A8F4" w14:textId="77777777" w:rsidR="00D20476" w:rsidRPr="00644EE1" w:rsidRDefault="00D20476" w:rsidP="004E11C2">
      <w:pPr>
        <w:pStyle w:val="NormalWeb"/>
        <w:spacing w:before="0" w:beforeAutospacing="0" w:after="0" w:afterAutospacing="0" w:line="360" w:lineRule="auto"/>
        <w:ind w:left="720" w:hanging="630"/>
      </w:pPr>
      <w:r w:rsidRPr="00644EE1">
        <w:rPr>
          <w:shd w:val="clear" w:color="auto" w:fill="FFFFFF"/>
        </w:rPr>
        <w:t xml:space="preserve">Wei, B. Q., Xue, Q. Y., Wei, L. H., Niu, D. D., Liu, H. X., Chen, L. F., &amp; Guo, J. H. (2009). A novel screening strategy to identify biocontrol fungi using protease production or chitinase activity against </w:t>
      </w:r>
      <w:r w:rsidRPr="00644EE1">
        <w:rPr>
          <w:i/>
          <w:shd w:val="clear" w:color="auto" w:fill="FFFFFF"/>
        </w:rPr>
        <w:t>Meloidogyne</w:t>
      </w:r>
      <w:r w:rsidRPr="00644EE1">
        <w:rPr>
          <w:shd w:val="clear" w:color="auto" w:fill="FFFFFF"/>
        </w:rPr>
        <w:t xml:space="preserve"> root-knot nematodes. </w:t>
      </w:r>
      <w:r w:rsidRPr="00644EE1">
        <w:rPr>
          <w:i/>
          <w:iCs/>
          <w:shd w:val="clear" w:color="auto" w:fill="FFFFFF"/>
        </w:rPr>
        <w:t>Biocontrol Science and Technology</w:t>
      </w:r>
      <w:r w:rsidRPr="00644EE1">
        <w:rPr>
          <w:shd w:val="clear" w:color="auto" w:fill="FFFFFF"/>
        </w:rPr>
        <w:t>, </w:t>
      </w:r>
      <w:r w:rsidRPr="00644EE1">
        <w:rPr>
          <w:i/>
          <w:iCs/>
          <w:shd w:val="clear" w:color="auto" w:fill="FFFFFF"/>
        </w:rPr>
        <w:t>19</w:t>
      </w:r>
      <w:r w:rsidRPr="00644EE1">
        <w:rPr>
          <w:shd w:val="clear" w:color="auto" w:fill="FFFFFF"/>
        </w:rPr>
        <w:t>(8), 859-870.</w:t>
      </w:r>
    </w:p>
    <w:p w14:paraId="60827B52" w14:textId="77777777" w:rsidR="00D20476" w:rsidRPr="00644EE1" w:rsidRDefault="00D20476" w:rsidP="004E11C2">
      <w:pPr>
        <w:pStyle w:val="NormalWeb"/>
        <w:spacing w:before="0" w:beforeAutospacing="0" w:after="0" w:afterAutospacing="0" w:line="360" w:lineRule="auto"/>
        <w:ind w:left="720" w:hanging="630"/>
        <w:rPr>
          <w:rStyle w:val="Hyperlink"/>
          <w:color w:val="auto"/>
          <w:u w:val="none"/>
        </w:rPr>
      </w:pPr>
      <w:r w:rsidRPr="00644EE1">
        <w:t xml:space="preserve">Wesemael, W. M. L., Moens, M., Viaene, N., &amp; Taning, L. M. (2014). Life cycle and damage of the root-knot nematode </w:t>
      </w:r>
      <w:r w:rsidRPr="00644EE1">
        <w:rPr>
          <w:i/>
        </w:rPr>
        <w:t>Meloidogyne minor</w:t>
      </w:r>
      <w:r w:rsidRPr="00644EE1">
        <w:t xml:space="preserve"> on potato, </w:t>
      </w:r>
      <w:r w:rsidRPr="00644EE1">
        <w:rPr>
          <w:i/>
        </w:rPr>
        <w:t>Solanum tuberosum</w:t>
      </w:r>
      <w:r w:rsidRPr="00644EE1">
        <w:t xml:space="preserve">. </w:t>
      </w:r>
      <w:r w:rsidRPr="00644EE1">
        <w:rPr>
          <w:i/>
          <w:iCs/>
        </w:rPr>
        <w:t>Nematology</w:t>
      </w:r>
      <w:r w:rsidRPr="00644EE1">
        <w:t xml:space="preserve">, </w:t>
      </w:r>
      <w:r w:rsidRPr="00644EE1">
        <w:rPr>
          <w:i/>
          <w:iCs/>
        </w:rPr>
        <w:t>16</w:t>
      </w:r>
      <w:r w:rsidRPr="00644EE1">
        <w:t xml:space="preserve">(2), 185–192. </w:t>
      </w:r>
      <w:hyperlink r:id="rId80" w:history="1">
        <w:r w:rsidRPr="00644EE1">
          <w:rPr>
            <w:rStyle w:val="Hyperlink"/>
            <w:color w:val="auto"/>
            <w:u w:val="none"/>
          </w:rPr>
          <w:t>https://doi.org/10.1163/15685411-00002756</w:t>
        </w:r>
      </w:hyperlink>
    </w:p>
    <w:p w14:paraId="08C1DB19" w14:textId="77777777" w:rsidR="00D20476" w:rsidRPr="00644EE1" w:rsidRDefault="00D20476" w:rsidP="004E11C2">
      <w:pPr>
        <w:pStyle w:val="NormalWeb"/>
        <w:spacing w:before="0" w:beforeAutospacing="0" w:after="0" w:afterAutospacing="0" w:line="360" w:lineRule="auto"/>
        <w:ind w:left="720" w:hanging="630"/>
      </w:pPr>
      <w:r w:rsidRPr="00644EE1">
        <w:t xml:space="preserve">Wrather, J. A., Shannon, J. G., &amp; Mengistu, A. (2007).  Impact of soybean planting date on soil population density of </w:t>
      </w:r>
      <w:r w:rsidRPr="00644EE1">
        <w:rPr>
          <w:i/>
        </w:rPr>
        <w:t>Macrophomina phaseolina</w:t>
      </w:r>
      <w:r w:rsidRPr="00644EE1">
        <w:t xml:space="preserve">. </w:t>
      </w:r>
      <w:r w:rsidRPr="00644EE1">
        <w:rPr>
          <w:i/>
          <w:iCs/>
        </w:rPr>
        <w:t>Plant Health Progress</w:t>
      </w:r>
      <w:r w:rsidRPr="00644EE1">
        <w:t xml:space="preserve">, </w:t>
      </w:r>
      <w:r w:rsidRPr="00644EE1">
        <w:rPr>
          <w:i/>
          <w:iCs/>
        </w:rPr>
        <w:t>8</w:t>
      </w:r>
      <w:r w:rsidRPr="00644EE1">
        <w:t xml:space="preserve">(1), 15–19. </w:t>
      </w:r>
      <w:hyperlink r:id="rId81" w:history="1">
        <w:r w:rsidRPr="00644EE1">
          <w:rPr>
            <w:rStyle w:val="Hyperlink"/>
            <w:color w:val="auto"/>
            <w:u w:val="none"/>
          </w:rPr>
          <w:t>https://doi.org/10.1094/php-2007-0917-03-rs</w:t>
        </w:r>
      </w:hyperlink>
    </w:p>
    <w:p w14:paraId="0FFF0D8D" w14:textId="77777777" w:rsidR="00D20476" w:rsidRPr="00644EE1" w:rsidRDefault="00D20476" w:rsidP="004E11C2">
      <w:pPr>
        <w:pStyle w:val="NormalWeb"/>
        <w:spacing w:before="0" w:beforeAutospacing="0" w:after="0" w:afterAutospacing="0" w:line="360" w:lineRule="auto"/>
        <w:ind w:left="720" w:hanging="630"/>
      </w:pPr>
      <w:r w:rsidRPr="00644EE1">
        <w:t xml:space="preserve">Young, L. D. (1982).  Reproduction of differentially selected soybean cyst nematode populations on soybeans 1. </w:t>
      </w:r>
      <w:r w:rsidRPr="00644EE1">
        <w:rPr>
          <w:i/>
          <w:iCs/>
        </w:rPr>
        <w:t>Crop Science</w:t>
      </w:r>
      <w:r w:rsidRPr="00644EE1">
        <w:t xml:space="preserve">, </w:t>
      </w:r>
      <w:r w:rsidRPr="00644EE1">
        <w:rPr>
          <w:i/>
          <w:iCs/>
        </w:rPr>
        <w:t>22</w:t>
      </w:r>
      <w:r w:rsidRPr="00644EE1">
        <w:t xml:space="preserve">(2), 385–388. </w:t>
      </w:r>
      <w:hyperlink r:id="rId82" w:history="1">
        <w:r w:rsidRPr="00644EE1">
          <w:rPr>
            <w:rStyle w:val="Hyperlink"/>
            <w:color w:val="auto"/>
            <w:u w:val="none"/>
          </w:rPr>
          <w:t>https://doi.org/10.2135/cropsci1982.0011183x002200020043x</w:t>
        </w:r>
      </w:hyperlink>
    </w:p>
    <w:p w14:paraId="46B787EE" w14:textId="77777777" w:rsidR="00D20476" w:rsidRPr="00644EE1" w:rsidRDefault="00D20476" w:rsidP="004E11C2">
      <w:pPr>
        <w:pStyle w:val="NormalWeb"/>
        <w:spacing w:before="0" w:beforeAutospacing="0" w:after="0" w:afterAutospacing="0" w:line="360" w:lineRule="auto"/>
        <w:ind w:left="720" w:hanging="630"/>
      </w:pPr>
      <w:r w:rsidRPr="00644EE1">
        <w:t xml:space="preserve">Zhang, S., Gan, Y., Xu, B., &amp; Xue, Y. (2014). The parasitic and lethal effects of </w:t>
      </w:r>
      <w:r w:rsidRPr="00644EE1">
        <w:rPr>
          <w:i/>
        </w:rPr>
        <w:t>Trichoderma longibrachiatum</w:t>
      </w:r>
      <w:r w:rsidRPr="00644EE1">
        <w:t xml:space="preserve"> against </w:t>
      </w:r>
      <w:r w:rsidRPr="00644EE1">
        <w:rPr>
          <w:i/>
        </w:rPr>
        <w:t>Heterodera avenae</w:t>
      </w:r>
      <w:r w:rsidRPr="00644EE1">
        <w:t xml:space="preserve">. </w:t>
      </w:r>
      <w:r w:rsidRPr="00644EE1">
        <w:rPr>
          <w:i/>
          <w:iCs/>
        </w:rPr>
        <w:t>Biological Control</w:t>
      </w:r>
      <w:r w:rsidRPr="00644EE1">
        <w:t xml:space="preserve">, </w:t>
      </w:r>
      <w:r w:rsidRPr="00644EE1">
        <w:rPr>
          <w:i/>
          <w:iCs/>
        </w:rPr>
        <w:t>72</w:t>
      </w:r>
      <w:r w:rsidRPr="00644EE1">
        <w:t xml:space="preserve">, 1–8. </w:t>
      </w:r>
      <w:hyperlink r:id="rId83" w:history="1">
        <w:r w:rsidRPr="00644EE1">
          <w:rPr>
            <w:rStyle w:val="Hyperlink"/>
            <w:color w:val="auto"/>
            <w:u w:val="none"/>
          </w:rPr>
          <w:t>https://doi.org/10.1016/j.biocontrol.2014.01.009</w:t>
        </w:r>
      </w:hyperlink>
    </w:p>
    <w:p w14:paraId="1FB2E824" w14:textId="60E4113A" w:rsidR="002B19B9" w:rsidRPr="00644EE1" w:rsidRDefault="002B19B9" w:rsidP="00615963">
      <w:pPr>
        <w:spacing w:line="360" w:lineRule="auto"/>
        <w:ind w:left="720"/>
        <w:rPr>
          <w:rFonts w:cs="Times New Roman"/>
        </w:rPr>
      </w:pPr>
      <w:r w:rsidRPr="00644EE1">
        <w:rPr>
          <w:rFonts w:cs="Times New Roman"/>
        </w:rPr>
        <w:br w:type="page"/>
      </w:r>
    </w:p>
    <w:p w14:paraId="67BC7939" w14:textId="77777777" w:rsidR="00D20476" w:rsidRPr="008E2CD0" w:rsidRDefault="00D20476" w:rsidP="00FD1FC5">
      <w:pPr>
        <w:pStyle w:val="Heading1"/>
        <w:ind w:left="720"/>
        <w:jc w:val="center"/>
      </w:pPr>
      <w:bookmarkStart w:id="188" w:name="_bookmark1"/>
      <w:bookmarkStart w:id="189" w:name="_bookmark9"/>
      <w:bookmarkStart w:id="190" w:name="_bookmark10"/>
      <w:bookmarkStart w:id="191" w:name="_Toc98812729"/>
      <w:bookmarkStart w:id="192" w:name="_Toc98812937"/>
      <w:bookmarkStart w:id="193" w:name="_Toc98813603"/>
      <w:bookmarkStart w:id="194" w:name="_Toc101048113"/>
      <w:bookmarkStart w:id="195" w:name="_Toc98812730"/>
      <w:bookmarkStart w:id="196" w:name="_Toc98812938"/>
      <w:bookmarkStart w:id="197" w:name="_Toc98813604"/>
      <w:bookmarkEnd w:id="188"/>
      <w:bookmarkEnd w:id="189"/>
      <w:bookmarkEnd w:id="190"/>
      <w:r w:rsidRPr="008E2CD0">
        <w:t>CHAPTER</w:t>
      </w:r>
      <w:r w:rsidRPr="003C484D">
        <w:rPr>
          <w:spacing w:val="-5"/>
        </w:rPr>
        <w:t xml:space="preserve"> </w:t>
      </w:r>
      <w:r w:rsidRPr="008E2CD0">
        <w:t>II.</w:t>
      </w:r>
      <w:r w:rsidRPr="003C484D">
        <w:rPr>
          <w:spacing w:val="-6"/>
        </w:rPr>
        <w:t xml:space="preserve"> </w:t>
      </w:r>
      <w:bookmarkEnd w:id="191"/>
      <w:bookmarkEnd w:id="192"/>
      <w:bookmarkEnd w:id="193"/>
      <w:r w:rsidRPr="008E2CD0">
        <w:t xml:space="preserve">NEMATODE POPULATION DYNAMICS AND </w:t>
      </w:r>
      <w:r w:rsidRPr="003C484D">
        <w:rPr>
          <w:i/>
        </w:rPr>
        <w:t>HETERODERA GLYCINES</w:t>
      </w:r>
      <w:r w:rsidRPr="008E2CD0">
        <w:t xml:space="preserve"> HG TYPES IN TENNESSEE, 2018-2020</w:t>
      </w:r>
      <w:bookmarkEnd w:id="194"/>
    </w:p>
    <w:p w14:paraId="44835B0B" w14:textId="77777777" w:rsidR="00D20476" w:rsidRPr="008E2CD0" w:rsidRDefault="00D20476" w:rsidP="00D20476">
      <w:pPr>
        <w:pStyle w:val="Heading1"/>
        <w:ind w:left="720"/>
        <w:sectPr w:rsidR="00D20476" w:rsidRPr="008E2CD0" w:rsidSect="00985092">
          <w:pgSz w:w="12240" w:h="15840" w:code="1"/>
          <w:pgMar w:top="1440" w:right="1440" w:bottom="1440" w:left="1440" w:header="0" w:footer="1440" w:gutter="0"/>
          <w:cols w:space="720"/>
          <w:docGrid w:linePitch="326"/>
        </w:sectPr>
      </w:pPr>
    </w:p>
    <w:p w14:paraId="7E489EF1" w14:textId="77777777" w:rsidR="00D20476" w:rsidRPr="00D40FF8" w:rsidRDefault="00D20476" w:rsidP="00D20476">
      <w:pPr>
        <w:pStyle w:val="Heading1"/>
        <w:spacing w:line="360" w:lineRule="auto"/>
        <w:ind w:left="720"/>
        <w:jc w:val="center"/>
      </w:pPr>
      <w:bookmarkStart w:id="198" w:name="_Toc101048114"/>
      <w:r w:rsidRPr="00D40FF8">
        <w:t>Abstract</w:t>
      </w:r>
      <w:bookmarkEnd w:id="195"/>
      <w:bookmarkEnd w:id="196"/>
      <w:bookmarkEnd w:id="197"/>
      <w:bookmarkEnd w:id="198"/>
    </w:p>
    <w:p w14:paraId="43067D9C" w14:textId="77777777" w:rsidR="00D20476" w:rsidRPr="00D40FF8" w:rsidRDefault="00D20476" w:rsidP="00D20476">
      <w:pPr>
        <w:pStyle w:val="BodyText"/>
        <w:spacing w:line="360" w:lineRule="auto"/>
        <w:ind w:left="720" w:firstLine="720"/>
        <w:rPr>
          <w:rFonts w:cs="Times New Roman"/>
        </w:rPr>
      </w:pPr>
      <w:r w:rsidRPr="00D40FF8">
        <w:rPr>
          <w:rFonts w:cs="Times New Roman"/>
        </w:rPr>
        <w:t>Field crops occupy a large portion of Tennessee farm acreage, but plant-parasitic nematodes (PPN</w:t>
      </w:r>
      <w:r>
        <w:rPr>
          <w:rFonts w:cs="Times New Roman"/>
        </w:rPr>
        <w:t>s</w:t>
      </w:r>
      <w:r w:rsidRPr="00D40FF8">
        <w:rPr>
          <w:rFonts w:cs="Times New Roman"/>
        </w:rPr>
        <w:t>) can reduce their productivity. Multiple PPNs are found across Tennessee fields but there is no current information on their prevalence and density in field crop</w:t>
      </w:r>
      <w:r>
        <w:rPr>
          <w:rFonts w:cs="Times New Roman"/>
        </w:rPr>
        <w:t>s</w:t>
      </w:r>
      <w:r w:rsidRPr="00D40FF8">
        <w:rPr>
          <w:rFonts w:cs="Times New Roman"/>
        </w:rPr>
        <w:t>. Additionally, information on soybean cyst nematode [SCN] (</w:t>
      </w:r>
      <w:r w:rsidRPr="00D40FF8">
        <w:rPr>
          <w:rFonts w:cs="Times New Roman"/>
          <w:i/>
        </w:rPr>
        <w:t>Heterodera glycines</w:t>
      </w:r>
      <w:r w:rsidRPr="00D40FF8">
        <w:rPr>
          <w:rFonts w:cs="Times New Roman"/>
        </w:rPr>
        <w:t>) virulence potentials (HG types) on resistan</w:t>
      </w:r>
      <w:r>
        <w:rPr>
          <w:rFonts w:cs="Times New Roman"/>
        </w:rPr>
        <w:t>t</w:t>
      </w:r>
      <w:r w:rsidRPr="00D40FF8">
        <w:rPr>
          <w:rFonts w:cs="Times New Roman"/>
        </w:rPr>
        <w:t xml:space="preserve"> soybean can support SCN management, but the information is currently lacking for Tennessee SCN. This study was conducted from 2018 through 2020</w:t>
      </w:r>
      <w:r w:rsidRPr="00D40FF8">
        <w:t xml:space="preserve"> </w:t>
      </w:r>
      <w:r w:rsidRPr="00D40FF8">
        <w:rPr>
          <w:rFonts w:cs="Times New Roman"/>
        </w:rPr>
        <w:t xml:space="preserve">to (1) determine the population density of PPN associated with field crops in Tennessee, and (2) </w:t>
      </w:r>
      <w:r>
        <w:rPr>
          <w:rFonts w:cs="Times New Roman"/>
        </w:rPr>
        <w:t xml:space="preserve">determine </w:t>
      </w:r>
      <w:r w:rsidRPr="00D40FF8">
        <w:rPr>
          <w:rFonts w:cs="Times New Roman"/>
        </w:rPr>
        <w:t>virulence phenotypes of SCN in the state by the HG types. Soil samples (378) were collected from 25 counties, and populations of nematode juveniles or eggs present in 100 cm</w:t>
      </w:r>
      <w:r w:rsidRPr="00D40FF8">
        <w:rPr>
          <w:rFonts w:cs="Times New Roman"/>
          <w:vertAlign w:val="superscript"/>
        </w:rPr>
        <w:t>3</w:t>
      </w:r>
      <w:r w:rsidRPr="00D40FF8">
        <w:rPr>
          <w:rFonts w:cs="Times New Roman"/>
        </w:rPr>
        <w:t xml:space="preserve"> of each sample were extracted by the decanting method. HG type testing was conducted for SCN found in samples that had at least 65,000 eggs/100 cm</w:t>
      </w:r>
      <w:r w:rsidRPr="00D40FF8">
        <w:rPr>
          <w:rFonts w:cs="Times New Roman"/>
          <w:vertAlign w:val="superscript"/>
        </w:rPr>
        <w:t>3</w:t>
      </w:r>
      <w:r w:rsidRPr="00D40FF8">
        <w:rPr>
          <w:rFonts w:cs="Times New Roman"/>
        </w:rPr>
        <w:t xml:space="preserve"> of soil. </w:t>
      </w:r>
      <w:r>
        <w:rPr>
          <w:rFonts w:cs="Times New Roman"/>
        </w:rPr>
        <w:t>S</w:t>
      </w:r>
      <w:r w:rsidRPr="00D40FF8">
        <w:rPr>
          <w:rFonts w:cs="Times New Roman"/>
        </w:rPr>
        <w:t xml:space="preserve">even SCN resistant indicator lines and ‘Williams 82’ (susceptible) soybean seedlings </w:t>
      </w:r>
      <w:r>
        <w:rPr>
          <w:rFonts w:cs="Times New Roman"/>
        </w:rPr>
        <w:t xml:space="preserve">were infested </w:t>
      </w:r>
      <w:r w:rsidRPr="00D40FF8">
        <w:rPr>
          <w:rFonts w:cs="Times New Roman"/>
        </w:rPr>
        <w:t>with 2,000 eggs of SCN at planting</w:t>
      </w:r>
      <w:r>
        <w:rPr>
          <w:rFonts w:cs="Times New Roman"/>
        </w:rPr>
        <w:t xml:space="preserve">, and </w:t>
      </w:r>
      <w:r w:rsidRPr="00D40FF8">
        <w:rPr>
          <w:rFonts w:cs="Times New Roman"/>
        </w:rPr>
        <w:t xml:space="preserve">SCN </w:t>
      </w:r>
      <w:r>
        <w:rPr>
          <w:rFonts w:cs="Times New Roman"/>
        </w:rPr>
        <w:t>females that formed on the roots of the soybean were collected and used to estimate the female index on each resistant line</w:t>
      </w:r>
      <w:r w:rsidRPr="00D40FF8">
        <w:rPr>
          <w:rFonts w:cs="Times New Roman"/>
        </w:rPr>
        <w:t>. HG type number was assigned to</w:t>
      </w:r>
      <w:r>
        <w:rPr>
          <w:rFonts w:cs="Times New Roman"/>
        </w:rPr>
        <w:t xml:space="preserve"> SCN populations based on the </w:t>
      </w:r>
      <w:r w:rsidRPr="00D40FF8">
        <w:rPr>
          <w:rFonts w:cs="Times New Roman"/>
        </w:rPr>
        <w:t xml:space="preserve">female index on each resistant line. Fourteen nematode species were found at different frequencies and densities across the samples. Spiral (83%), lance (29%), SCN (25%), stunt (19%), lesion (23%), reniform (20%), and root-knot nematodes (13%) were found most frequently. Lance, reniform, root-knot, SCN, and spiral nematode populations occurred in relatively high frequencies or densities that may require close monitoring or immediate control measures. Also, all the screened SCN populations were identified as the virulent HG types 1.2.5.7 (67%), 2.5.7 (22%), and 7 (11%). None of the screened SCN populations </w:t>
      </w:r>
      <w:r>
        <w:rPr>
          <w:rFonts w:cs="Times New Roman"/>
        </w:rPr>
        <w:t>were the</w:t>
      </w:r>
      <w:r w:rsidRPr="00D40FF8">
        <w:rPr>
          <w:rFonts w:cs="Times New Roman"/>
        </w:rPr>
        <w:t xml:space="preserve"> non-virulent HG type 0. This information will support nematode management and field crop production in Tennessee.</w:t>
      </w:r>
    </w:p>
    <w:p w14:paraId="6B0D9F76" w14:textId="77777777" w:rsidR="00D20476" w:rsidRPr="00D40FF8" w:rsidRDefault="00D20476" w:rsidP="00D20476">
      <w:pPr>
        <w:pStyle w:val="Default"/>
        <w:spacing w:line="360" w:lineRule="auto"/>
        <w:ind w:left="720"/>
        <w:rPr>
          <w:color w:val="auto"/>
          <w:sz w:val="23"/>
          <w:szCs w:val="23"/>
        </w:rPr>
      </w:pPr>
      <w:bookmarkStart w:id="199" w:name="_bookmark11"/>
      <w:bookmarkStart w:id="200" w:name="_bookmark27"/>
      <w:bookmarkEnd w:id="199"/>
      <w:bookmarkEnd w:id="200"/>
    </w:p>
    <w:p w14:paraId="04AB7140" w14:textId="77777777" w:rsidR="00D20476" w:rsidRPr="00D40FF8" w:rsidRDefault="00D20476" w:rsidP="00D20476">
      <w:pPr>
        <w:pStyle w:val="Default"/>
        <w:spacing w:line="360" w:lineRule="auto"/>
        <w:ind w:left="720"/>
        <w:rPr>
          <w:color w:val="auto"/>
          <w:sz w:val="23"/>
          <w:szCs w:val="23"/>
        </w:rPr>
      </w:pPr>
    </w:p>
    <w:p w14:paraId="40244FA2" w14:textId="77777777" w:rsidR="00D20476" w:rsidRPr="00D40FF8" w:rsidRDefault="00D20476" w:rsidP="00D20476">
      <w:pPr>
        <w:spacing w:line="360" w:lineRule="auto"/>
        <w:ind w:left="720"/>
        <w:rPr>
          <w:rFonts w:eastAsiaTheme="minorHAnsi" w:cs="Times New Roman"/>
          <w:sz w:val="23"/>
          <w:szCs w:val="23"/>
        </w:rPr>
      </w:pPr>
      <w:r w:rsidRPr="00D40FF8">
        <w:rPr>
          <w:sz w:val="23"/>
          <w:szCs w:val="23"/>
        </w:rPr>
        <w:br w:type="page"/>
      </w:r>
    </w:p>
    <w:p w14:paraId="2D9D8D3C" w14:textId="4BA956D2" w:rsidR="00FD1FC5" w:rsidRPr="00D40FF8" w:rsidRDefault="00D20476" w:rsidP="00FD1FC5">
      <w:pPr>
        <w:pStyle w:val="Heading1"/>
        <w:spacing w:before="240" w:after="240" w:line="360" w:lineRule="auto"/>
        <w:ind w:left="720"/>
        <w:jc w:val="center"/>
      </w:pPr>
      <w:bookmarkStart w:id="201" w:name="_Toc98812731"/>
      <w:bookmarkStart w:id="202" w:name="_Toc98812939"/>
      <w:bookmarkStart w:id="203" w:name="_Toc98813605"/>
      <w:bookmarkStart w:id="204" w:name="_Toc101048115"/>
      <w:r w:rsidRPr="00D40FF8">
        <w:t>Introduction</w:t>
      </w:r>
      <w:bookmarkEnd w:id="201"/>
      <w:bookmarkEnd w:id="202"/>
      <w:bookmarkEnd w:id="203"/>
      <w:bookmarkEnd w:id="204"/>
    </w:p>
    <w:p w14:paraId="173313B9" w14:textId="47C091AD" w:rsidR="00D20476" w:rsidRPr="00D40FF8" w:rsidRDefault="00D20476" w:rsidP="00D20476">
      <w:pPr>
        <w:spacing w:line="360" w:lineRule="auto"/>
        <w:ind w:left="720" w:firstLine="720"/>
        <w:rPr>
          <w:rFonts w:cs="Times New Roman"/>
          <w:szCs w:val="24"/>
        </w:rPr>
      </w:pPr>
      <w:r w:rsidRPr="00D40FF8">
        <w:rPr>
          <w:rFonts w:cs="Times New Roman"/>
          <w:szCs w:val="24"/>
        </w:rPr>
        <w:t xml:space="preserve">Field crops occupy a large portion of Tennessee farm acreage. Large acres are regularly cultivated for soybean, cotton, corn, and wheat in the state. Approximately 1.7 million acres of soybean, 280,000 acres of cotton, 870,000 acres of corn, and 300,000 acres of wheat were cultivated in Tennessee in </w:t>
      </w:r>
      <w:r w:rsidRPr="00102AAA">
        <w:rPr>
          <w:rFonts w:cs="Times New Roman"/>
          <w:szCs w:val="24"/>
        </w:rPr>
        <w:t>2020 (U.S Department of Agriculture</w:t>
      </w:r>
      <w:r w:rsidRPr="00102AAA">
        <w:rPr>
          <w:rStyle w:val="Hyperlink"/>
          <w:rFonts w:cs="Times New Roman"/>
          <w:color w:val="auto"/>
          <w:szCs w:val="24"/>
        </w:rPr>
        <w:t xml:space="preserve"> </w:t>
      </w:r>
      <w:r w:rsidRPr="00102AAA">
        <w:rPr>
          <w:rFonts w:cs="Times New Roman"/>
          <w:szCs w:val="24"/>
        </w:rPr>
        <w:t>National Agricultural Statistics Service</w:t>
      </w:r>
      <w:r w:rsidRPr="00102AAA">
        <w:rPr>
          <w:rStyle w:val="Hyperlink"/>
          <w:rFonts w:cs="Times New Roman"/>
          <w:color w:val="auto"/>
          <w:szCs w:val="24"/>
          <w:u w:val="none"/>
        </w:rPr>
        <w:t>, 2022</w:t>
      </w:r>
      <w:r w:rsidRPr="00102AAA">
        <w:rPr>
          <w:rFonts w:cs="Times New Roman"/>
          <w:szCs w:val="24"/>
        </w:rPr>
        <w:t>). Field</w:t>
      </w:r>
      <w:r w:rsidRPr="00D40FF8">
        <w:rPr>
          <w:rFonts w:cs="Times New Roman"/>
          <w:szCs w:val="24"/>
        </w:rPr>
        <w:t xml:space="preserve"> crop production can be limited by biotic and abiotic constraints</w:t>
      </w:r>
      <w:r>
        <w:rPr>
          <w:rFonts w:cs="Times New Roman"/>
          <w:szCs w:val="24"/>
        </w:rPr>
        <w:t xml:space="preserve">. Nematodes are among the </w:t>
      </w:r>
      <w:r w:rsidRPr="00D40FF8">
        <w:rPr>
          <w:rFonts w:cs="Times New Roman"/>
          <w:noProof/>
          <w:szCs w:val="24"/>
        </w:rPr>
        <w:t xml:space="preserve">most </w:t>
      </w:r>
      <w:r>
        <w:rPr>
          <w:rFonts w:cs="Times New Roman"/>
          <w:noProof/>
          <w:szCs w:val="24"/>
        </w:rPr>
        <w:t xml:space="preserve">important crop limiting biotic factors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w:t>
      </w:r>
      <w:r w:rsidRPr="00D40FF8">
        <w:rPr>
          <w:rFonts w:cs="Times New Roman"/>
          <w:bCs/>
          <w:szCs w:val="24"/>
          <w:shd w:val="clear" w:color="auto" w:fill="FFFFFF"/>
        </w:rPr>
        <w:t>Among the most predominant and economically important of these species are r</w:t>
      </w:r>
      <w:r w:rsidRPr="00D40FF8">
        <w:rPr>
          <w:rFonts w:cs="Times New Roman"/>
          <w:szCs w:val="24"/>
        </w:rPr>
        <w:t>oot-knot nematodes (</w:t>
      </w:r>
      <w:r w:rsidRPr="00D40FF8">
        <w:rPr>
          <w:rFonts w:cs="Times New Roman"/>
          <w:i/>
          <w:szCs w:val="24"/>
        </w:rPr>
        <w:t xml:space="preserve">Meloidogyne incognita, </w:t>
      </w:r>
      <w:r>
        <w:rPr>
          <w:rFonts w:cs="Times New Roman"/>
          <w:i/>
          <w:szCs w:val="24"/>
        </w:rPr>
        <w:t xml:space="preserve">and </w:t>
      </w:r>
      <w:r w:rsidRPr="00D40FF8">
        <w:rPr>
          <w:rFonts w:cs="Times New Roman"/>
          <w:bCs/>
          <w:i/>
          <w:szCs w:val="24"/>
          <w:shd w:val="clear" w:color="auto" w:fill="FFFFFF"/>
        </w:rPr>
        <w:t>M. hapla</w:t>
      </w:r>
      <w:r w:rsidRPr="001139B1">
        <w:rPr>
          <w:rFonts w:cs="Times New Roman"/>
          <w:iCs/>
          <w:szCs w:val="24"/>
        </w:rPr>
        <w:t>)</w:t>
      </w:r>
      <w:r w:rsidRPr="00D40FF8">
        <w:rPr>
          <w:rFonts w:cs="Times New Roman"/>
          <w:i/>
          <w:szCs w:val="24"/>
        </w:rPr>
        <w:t xml:space="preserve"> </w:t>
      </w:r>
      <w:r w:rsidRPr="00D40FF8">
        <w:rPr>
          <w:rFonts w:cs="Times New Roman"/>
          <w:bCs/>
          <w:szCs w:val="24"/>
          <w:shd w:val="clear" w:color="auto" w:fill="FFFFFF"/>
        </w:rPr>
        <w:t>soybean cyst nematode [SCN] (</w:t>
      </w:r>
      <w:r w:rsidRPr="00D40FF8">
        <w:rPr>
          <w:rFonts w:cs="Times New Roman"/>
          <w:bCs/>
          <w:i/>
          <w:szCs w:val="24"/>
          <w:shd w:val="clear" w:color="auto" w:fill="FFFFFF"/>
        </w:rPr>
        <w:t>Heterodera glycines</w:t>
      </w:r>
      <w:r w:rsidRPr="00D40FF8">
        <w:rPr>
          <w:rFonts w:cs="Times New Roman"/>
          <w:bCs/>
          <w:szCs w:val="24"/>
          <w:shd w:val="clear" w:color="auto" w:fill="FFFFFF"/>
        </w:rPr>
        <w:t xml:space="preserve">), </w:t>
      </w:r>
      <w:r w:rsidRPr="00D40FF8">
        <w:rPr>
          <w:rFonts w:cs="Times New Roman"/>
          <w:szCs w:val="24"/>
        </w:rPr>
        <w:t>lesion nematode</w:t>
      </w:r>
      <w:r w:rsidRPr="00D40FF8">
        <w:rPr>
          <w:rFonts w:cs="Times New Roman"/>
          <w:i/>
          <w:szCs w:val="24"/>
        </w:rPr>
        <w:t xml:space="preserve"> (Pratylenchus scribneri</w:t>
      </w:r>
      <w:r w:rsidRPr="00D40FF8">
        <w:rPr>
          <w:rFonts w:cs="Times New Roman"/>
          <w:szCs w:val="24"/>
        </w:rPr>
        <w:t>), reniform nematode (</w:t>
      </w:r>
      <w:r w:rsidRPr="00D40FF8">
        <w:rPr>
          <w:rFonts w:cs="Times New Roman"/>
          <w:i/>
          <w:szCs w:val="24"/>
        </w:rPr>
        <w:t xml:space="preserve">Rotylenchulus </w:t>
      </w:r>
      <w:r>
        <w:rPr>
          <w:rFonts w:cs="Times New Roman"/>
          <w:i/>
          <w:szCs w:val="24"/>
        </w:rPr>
        <w:t>r</w:t>
      </w:r>
      <w:r w:rsidRPr="00D40FF8">
        <w:rPr>
          <w:rFonts w:cs="Times New Roman"/>
          <w:i/>
          <w:szCs w:val="24"/>
        </w:rPr>
        <w:t>eniformis</w:t>
      </w:r>
      <w:r w:rsidRPr="00D40FF8">
        <w:rPr>
          <w:rFonts w:cs="Times New Roman"/>
          <w:szCs w:val="24"/>
        </w:rPr>
        <w:t>), dagger nematode (</w:t>
      </w:r>
      <w:r w:rsidRPr="00D40FF8">
        <w:rPr>
          <w:rFonts w:cs="Times New Roman"/>
          <w:bCs/>
          <w:i/>
          <w:szCs w:val="24"/>
          <w:shd w:val="clear" w:color="auto" w:fill="FFFFFF"/>
        </w:rPr>
        <w:t>Xiphinema</w:t>
      </w:r>
      <w:r w:rsidRPr="00D40FF8">
        <w:rPr>
          <w:rFonts w:cs="Times New Roman"/>
          <w:i/>
          <w:szCs w:val="24"/>
          <w:shd w:val="clear" w:color="auto" w:fill="FFFFFF"/>
        </w:rPr>
        <w:t> </w:t>
      </w:r>
      <w:r w:rsidRPr="00D40FF8">
        <w:rPr>
          <w:rFonts w:cs="Times New Roman"/>
          <w:bCs/>
          <w:i/>
          <w:szCs w:val="24"/>
          <w:shd w:val="clear" w:color="auto" w:fill="FFFFFF"/>
        </w:rPr>
        <w:t>americanum</w:t>
      </w:r>
      <w:r w:rsidRPr="00D40FF8">
        <w:rPr>
          <w:rFonts w:cs="Times New Roman"/>
          <w:bCs/>
          <w:szCs w:val="24"/>
          <w:shd w:val="clear" w:color="auto" w:fill="FFFFFF"/>
        </w:rPr>
        <w:t>), spiral nematode (</w:t>
      </w:r>
      <w:r w:rsidRPr="00D40FF8">
        <w:rPr>
          <w:rFonts w:cs="Times New Roman"/>
          <w:bCs/>
          <w:i/>
          <w:szCs w:val="24"/>
          <w:shd w:val="clear" w:color="auto" w:fill="FFFFFF"/>
        </w:rPr>
        <w:t>Helicotylenchus pseudorobustus),</w:t>
      </w:r>
      <w:r w:rsidRPr="00D40FF8">
        <w:rPr>
          <w:rFonts w:cs="Times New Roman"/>
          <w:bCs/>
          <w:szCs w:val="24"/>
          <w:shd w:val="clear" w:color="auto" w:fill="FFFFFF"/>
        </w:rPr>
        <w:t xml:space="preserve"> and stunt nematode</w:t>
      </w:r>
      <w:r w:rsidRPr="00D40FF8">
        <w:rPr>
          <w:rFonts w:cs="Times New Roman"/>
          <w:bCs/>
          <w:i/>
          <w:szCs w:val="24"/>
          <w:shd w:val="clear" w:color="auto" w:fill="FFFFFF"/>
        </w:rPr>
        <w:t xml:space="preserve"> (Tylenchorhynchus claytoni)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 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w:t>
      </w:r>
    </w:p>
    <w:p w14:paraId="1D886C56" w14:textId="77777777" w:rsidR="00D20476" w:rsidRPr="00D40FF8" w:rsidRDefault="00D20476" w:rsidP="00D20476">
      <w:pPr>
        <w:spacing w:line="360" w:lineRule="auto"/>
        <w:ind w:left="720" w:firstLine="720"/>
        <w:rPr>
          <w:rFonts w:cs="Times New Roman"/>
          <w:szCs w:val="24"/>
        </w:rPr>
      </w:pPr>
      <w:r w:rsidRPr="00D40FF8">
        <w:rPr>
          <w:rFonts w:cs="Times New Roman"/>
          <w:bCs/>
          <w:szCs w:val="24"/>
          <w:shd w:val="clear" w:color="auto" w:fill="FFFFFF"/>
        </w:rPr>
        <w:t xml:space="preserve">All plant-feeding nematodes possess a hollow protrusible mouthpart referred to as a stylet which they use to probe and feed on plant tissues. They typically affect crop growth directly by feeding on roots or indirectly by altering symbiotic nitrogen fixation activity in legumes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{"citationItems":[{"id":"ITEM-1","itemData":{"DOI":"10.1038/s41598-020-58546-x","ISSN":"20452322","abstract":"Early maturing varieties of soybean have a high yield potential in Europe, where the main biotic threat to soybean cultivation are root lesion nematodes (Pratylenchus spp.). Nitrogen fixation in root nodules by highly efficient inoculants of Bradyrhizobium japonicum is an incentive to grow soybean in low-input rotation systems. We investigated density-dependent effects of Pratylenchus penetrans on nitrogen fixation by co-inoculated B. japonicum. Less than 130 inoculated nematodes affected the number and weight of nodules, the density of viable bacteroids in nodules, and nitrogen fixation measured as concentration of ureides in leaves. With more inoculated nematodes, the percentage that invaded the roots increased, and adverse effects on the symbiosis accelerated, leading to non-functional nodules at 4,000 and more nematodes. When P. penetrans invaded roots that had fully established nodules, growth of nodules, density of bacteroids, and nitrogen fixation were affected but not the number of nodules. In contrast, nodulation of already infested roots resulted in a high number of small nodules with decreased densities of bacteroids and nitrogen fixation. P. penetrans invaded and damaged the nodules locally, but they also significantly affected the nodule symbiosis by a plant-mediated mechanism, as shown in an experiment with split-root systems.","author":[{"dropping-particle":"","family":"Elhady","given":"Ahmed","non-dropping-particle":"","parse-names":false,"suffix":""},{"dropping-particle":"","family":"Hallmann","given":"Johannes","non-dropping-particle":"","parse-names":false,"suffix":""},{"dropping-particle":"","family":"Heuer","given":"Holger","non-dropping-particle":"","parse-names":false,"suffix":""}],"container-title":"Scientific Reports","id":"ITEM-1","issue":"1","issued":{"date-parts":[["2020"]]},"page":"1-12","title":"Symbiosis of soybean with nitrogen fixing bacteria affected by root lesion nematodes in a density-dependent manner","type":"article-journal","volume":"10"},"uris":["http://www.mendeley.com/documents/?uuid=d513d60f-f08c-4521-91b2-33d1414e32be"]}],"mendeley":{"formattedCitation":"(Elhady et al., 2020)","manualFormatting":"(Elhady et al., 2020;","plainTextFormattedCitation":"(Elhady et al., 2020)","previouslyFormattedCitation":"(Elhady et al., 2020)"},"properties":{"noteIndex":0},"schema":"https://github.com/citation-style-language/schema/raw/master/csl-citation.json"}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(Elhady et al., 2020;</w:t>
      </w:r>
      <w:r w:rsidRPr="00D40FF8">
        <w:rPr>
          <w:rFonts w:cs="Times New Roman"/>
          <w:bCs/>
          <w:szCs w:val="24"/>
          <w:shd w:val="clear" w:color="auto" w:fill="FFFFFF"/>
        </w:rPr>
        <w:fldChar w:fldCharType="end"/>
      </w:r>
      <w:r w:rsidRPr="00D40FF8">
        <w:rPr>
          <w:rFonts w:cs="Times New Roman"/>
          <w:bCs/>
          <w:szCs w:val="24"/>
          <w:shd w:val="clear" w:color="auto" w:fill="FFFFFF"/>
        </w:rPr>
        <w:t xml:space="preserve">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{"citationItems":[{"id":"ITEM-1","itemData":{"ISSN":"0022-300X","abstract":"A split-root technique was applied to soybean, Glycine max (L.) Merr. cv. Lee 68, to characterize the nature of the nodulation suppression by race 1 of the soybean cyst nematode (SCN), Heterodera glycines. Root-halves of each split-root plant were inoculated with Rhizobium japonicum, and one root-half only was inoculated with various numbers of SCN eggs. Nodulation (indicated by nodule number, nodule weights, and ratio of nodule weight to root weight) and nitrogen-fixing capacity (indicated by rate of acetylene reduction) were systemically and variously suppressed on both root-halves of the split-root plant 5 weeks after half-root inoculation with 12,500 SCN eggs. Inoculation with 500 eggs caused this suppression only on the SCN-infected (+NE) root-half; nodulation on the companion uninfected (-NE) root-half was stimulated slightly. The +NE root-halves inoculated with 5,000 eggs were excised at 2-week intervals; nodulation on the remaining -NE root-halves was not different from that of the noninoculated control when measured 6 weeks after the SCN inoculation. Thus, the systemic suppression of nodulation was reversible upon the removal of the SCN. Similarly, application of various levels of KNO[sub3] to the -NE root-halves of the split-root plant did not alleviate the suppressed nodulation on the companion +NE root-halves, even though plant growth was much improved at certain levels of nitrogen (125 [mu]g N/g soil). This indicated that the localized suppression of nodulation by SCN was caused by factors in addition to poor plant growth. Key words: soybean cyst nematode, Rhizobiura japonicum, Glycine max, nitrogen fixation, split-root technique.","author":[{"dropping-particle":"","family":"Ko","given":"M P","non-dropping-particle":"","parse-names":false,"suffix":""},{"dropping-particle":"","family":"Barker","given":"K R","non-dropping-particle":"","parse-names":false,"suffix":""},{"dropping-particle":"","family":"Huang","given":"J S","non-dropping-particle":"","parse-names":false,"suffix":""}],"container-title":"Journal of nematology","id":"ITEM-1","issue":"1","issued":{"date-parts":[["1984"]]},"page":"97-105","title":"Nodulation of Soybeans as Affected by Half-root Infection with Heterodera glycines.","type":"article-journal","volume":"16"},"uris":["http://www.mendeley.com/documents/?uuid=3595d295-e80f-4246-8b97-a27a9d787c24"]}],"mendeley":{"formattedCitation":"(Ko et al., 1984)","manualFormatting":"Ko et al., 1984)","plainTextFormattedCitation":"(Ko et al., 1984)","previouslyFormattedCitation":"(Ko et al., 1984)"},"properties":{"noteIndex":0},"schema":"https://github.com/citation-style-language/schema/raw/master/csl-citation.json"}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Ko et al., 1984)</w:t>
      </w:r>
      <w:r w:rsidRPr="00D40FF8">
        <w:rPr>
          <w:rFonts w:cs="Times New Roman"/>
          <w:bCs/>
          <w:szCs w:val="24"/>
          <w:shd w:val="clear" w:color="auto" w:fill="FFFFFF"/>
        </w:rPr>
        <w:fldChar w:fldCharType="end"/>
      </w:r>
      <w:r w:rsidRPr="00D40FF8">
        <w:rPr>
          <w:rFonts w:cs="Times New Roman"/>
          <w:bCs/>
          <w:szCs w:val="24"/>
          <w:shd w:val="clear" w:color="auto" w:fill="FFFFFF"/>
        </w:rPr>
        <w:t>. They can live as migratory ectoparasites</w:t>
      </w:r>
      <w:r>
        <w:rPr>
          <w:rFonts w:cs="Times New Roman"/>
          <w:bCs/>
          <w:szCs w:val="24"/>
          <w:shd w:val="clear" w:color="auto" w:fill="FFFFFF"/>
        </w:rPr>
        <w:t>, migratory endo</w:t>
      </w:r>
      <w:r w:rsidRPr="00D40FF8">
        <w:rPr>
          <w:rFonts w:cs="Times New Roman"/>
          <w:bCs/>
          <w:szCs w:val="24"/>
          <w:shd w:val="clear" w:color="auto" w:fill="FFFFFF"/>
        </w:rPr>
        <w:t xml:space="preserve">parasites, semi-endoparasites, or sedentary endoparasites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2002)","plainTextFormattedCitation":"(Lambert &amp; Bekal, 2002a)","previouslyFormattedCitation":"(Lambert &amp; Bekal, 2002a)"},"properties":{"noteIndex":0},"schema":"https://github.com/citation-style-language/schema/raw/master/csl-citation.json"}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(Lambert &amp; Bekal, 2002)</w:t>
      </w:r>
      <w:r w:rsidRPr="00D40FF8">
        <w:rPr>
          <w:rFonts w:cs="Times New Roman"/>
          <w:bCs/>
          <w:szCs w:val="24"/>
          <w:shd w:val="clear" w:color="auto" w:fill="FFFFFF"/>
        </w:rPr>
        <w:fldChar w:fldCharType="end"/>
      </w:r>
      <w:r w:rsidRPr="00D40FF8">
        <w:rPr>
          <w:rFonts w:cs="Times New Roman"/>
          <w:bCs/>
          <w:szCs w:val="24"/>
          <w:shd w:val="clear" w:color="auto" w:fill="FFFFFF"/>
        </w:rPr>
        <w:t xml:space="preserve">. Migratory ectoparasites (e.g. dagger nematode, </w:t>
      </w:r>
      <w:r w:rsidRPr="00D40FF8">
        <w:rPr>
          <w:rFonts w:cs="Times New Roman"/>
          <w:bCs/>
          <w:i/>
          <w:szCs w:val="24"/>
          <w:shd w:val="clear" w:color="auto" w:fill="FFFFFF"/>
        </w:rPr>
        <w:t>X.</w:t>
      </w:r>
      <w:r w:rsidRPr="00D40FF8">
        <w:rPr>
          <w:rFonts w:cs="Times New Roman"/>
          <w:i/>
          <w:szCs w:val="24"/>
          <w:shd w:val="clear" w:color="auto" w:fill="FFFFFF"/>
        </w:rPr>
        <w:t> </w:t>
      </w:r>
      <w:r w:rsidRPr="00D40FF8">
        <w:rPr>
          <w:rFonts w:cs="Times New Roman"/>
          <w:bCs/>
          <w:i/>
          <w:szCs w:val="24"/>
          <w:shd w:val="clear" w:color="auto" w:fill="FFFFFF"/>
        </w:rPr>
        <w:t xml:space="preserve">americanum; </w:t>
      </w:r>
      <w:r w:rsidRPr="00D40FF8">
        <w:rPr>
          <w:rFonts w:cs="Times New Roman"/>
          <w:bCs/>
          <w:szCs w:val="24"/>
          <w:shd w:val="clear" w:color="auto" w:fill="FFFFFF"/>
        </w:rPr>
        <w:t>stunt nematode</w:t>
      </w:r>
      <w:r w:rsidRPr="00D40FF8">
        <w:rPr>
          <w:rFonts w:cs="Times New Roman"/>
          <w:bCs/>
          <w:i/>
          <w:szCs w:val="24"/>
          <w:shd w:val="clear" w:color="auto" w:fill="FFFFFF"/>
        </w:rPr>
        <w:t xml:space="preserve">, </w:t>
      </w:r>
      <w:r w:rsidRPr="00D40FF8">
        <w:rPr>
          <w:rFonts w:cs="Times New Roman"/>
          <w:i/>
          <w:szCs w:val="24"/>
          <w:shd w:val="clear" w:color="auto" w:fill="FFFFFF"/>
        </w:rPr>
        <w:t>Tylenchorhynchus claytoni</w:t>
      </w:r>
      <w:r w:rsidRPr="00D40FF8">
        <w:rPr>
          <w:rFonts w:cs="Times New Roman"/>
          <w:bCs/>
          <w:szCs w:val="24"/>
          <w:shd w:val="clear" w:color="auto" w:fill="FFFFFF"/>
        </w:rPr>
        <w:t>) stay outside of their host plants and use their stylet</w:t>
      </w:r>
      <w:r>
        <w:rPr>
          <w:rFonts w:cs="Times New Roman"/>
          <w:bCs/>
          <w:szCs w:val="24"/>
          <w:shd w:val="clear" w:color="auto" w:fill="FFFFFF"/>
        </w:rPr>
        <w:t>s</w:t>
      </w:r>
      <w:r w:rsidRPr="00D40FF8">
        <w:rPr>
          <w:rFonts w:cs="Times New Roman"/>
          <w:bCs/>
          <w:szCs w:val="24"/>
          <w:shd w:val="clear" w:color="auto" w:fill="FFFFFF"/>
        </w:rPr>
        <w:t xml:space="preserve"> to feed on the cells of the plant roots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2002)","plainTextFormattedCitation":"(Lambert &amp; Bekal, 2002a)","previouslyFormattedCitation":"(Lambert &amp; Bekal, 2002a)"},"properties":{"noteIndex":0},"schema":"https://github.com/citation-style-language/schema/raw/master/csl-citation.json"}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(Lambert &amp; Bekal, 2002)</w:t>
      </w:r>
      <w:r w:rsidRPr="00D40FF8">
        <w:rPr>
          <w:rFonts w:cs="Times New Roman"/>
          <w:bCs/>
          <w:szCs w:val="24"/>
          <w:shd w:val="clear" w:color="auto" w:fill="FFFFFF"/>
        </w:rPr>
        <w:fldChar w:fldCharType="end"/>
      </w:r>
      <w:r w:rsidRPr="00D40FF8">
        <w:rPr>
          <w:rFonts w:cs="Times New Roman"/>
          <w:bCs/>
          <w:szCs w:val="24"/>
          <w:shd w:val="clear" w:color="auto" w:fill="FFFFFF"/>
        </w:rPr>
        <w:t>. Whereas</w:t>
      </w:r>
      <w:r>
        <w:rPr>
          <w:rFonts w:cs="Times New Roman"/>
          <w:bCs/>
          <w:szCs w:val="24"/>
          <w:shd w:val="clear" w:color="auto" w:fill="FFFFFF"/>
        </w:rPr>
        <w:t xml:space="preserve"> migratory endo</w:t>
      </w:r>
      <w:r w:rsidRPr="00D40FF8">
        <w:rPr>
          <w:rFonts w:cs="Times New Roman"/>
          <w:bCs/>
          <w:szCs w:val="24"/>
          <w:shd w:val="clear" w:color="auto" w:fill="FFFFFF"/>
        </w:rPr>
        <w:t xml:space="preserve">parasites (e.g. lesion nematode, </w:t>
      </w:r>
      <w:r w:rsidRPr="00D40FF8">
        <w:rPr>
          <w:rFonts w:cs="Times New Roman"/>
          <w:i/>
          <w:szCs w:val="24"/>
        </w:rPr>
        <w:t>P. scribneri</w:t>
      </w:r>
      <w:r w:rsidRPr="00D40FF8">
        <w:rPr>
          <w:rFonts w:cs="Times New Roman"/>
          <w:bCs/>
          <w:szCs w:val="24"/>
          <w:shd w:val="clear" w:color="auto" w:fill="FFFFFF"/>
        </w:rPr>
        <w:t>) enter the host</w:t>
      </w:r>
      <w:r>
        <w:rPr>
          <w:rFonts w:cs="Times New Roman"/>
          <w:bCs/>
          <w:szCs w:val="24"/>
          <w:shd w:val="clear" w:color="auto" w:fill="FFFFFF"/>
        </w:rPr>
        <w:t xml:space="preserve"> root</w:t>
      </w:r>
      <w:r w:rsidRPr="00D40FF8">
        <w:rPr>
          <w:rFonts w:cs="Times New Roman"/>
          <w:bCs/>
          <w:szCs w:val="24"/>
          <w:shd w:val="clear" w:color="auto" w:fill="FFFFFF"/>
        </w:rPr>
        <w:t xml:space="preserve">s and migrate through the </w:t>
      </w:r>
      <w:r>
        <w:rPr>
          <w:rFonts w:cs="Times New Roman"/>
          <w:bCs/>
          <w:szCs w:val="24"/>
          <w:shd w:val="clear" w:color="auto" w:fill="FFFFFF"/>
        </w:rPr>
        <w:t>cortex</w:t>
      </w:r>
      <w:r w:rsidRPr="00D40FF8">
        <w:rPr>
          <w:rFonts w:cs="Times New Roman"/>
          <w:bCs/>
          <w:szCs w:val="24"/>
          <w:shd w:val="clear" w:color="auto" w:fill="FFFFFF"/>
        </w:rPr>
        <w:t>, feeding on cell cytoplasm and causing tissue damage</w:t>
      </w:r>
      <w:r>
        <w:rPr>
          <w:rFonts w:cs="Times New Roman"/>
          <w:bCs/>
          <w:szCs w:val="24"/>
          <w:shd w:val="clear" w:color="auto" w:fill="FFFFFF"/>
        </w:rPr>
        <w:t>.</w:t>
      </w:r>
      <w:r w:rsidRPr="00D40FF8">
        <w:rPr>
          <w:rFonts w:cs="Times New Roman"/>
          <w:bCs/>
          <w:szCs w:val="24"/>
          <w:shd w:val="clear" w:color="auto" w:fill="FFFFFF"/>
        </w:rPr>
        <w:t xml:space="preserve"> Migratory endoparasites do not form permanent feeding cells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2002)","plainTextFormattedCitation":"(Lambert &amp; Bekal, 2002a)","previouslyFormattedCitation":"(Lambert &amp; Bekal, 2002a)"},"properties":{"noteIndex":0},"schema":"https://github.com/citation-style-language/schema/raw/master/csl-citation.json"}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(Lambert &amp; Bekal, 2002)</w:t>
      </w:r>
      <w:r w:rsidRPr="00D40FF8">
        <w:rPr>
          <w:rFonts w:cs="Times New Roman"/>
          <w:bCs/>
          <w:szCs w:val="24"/>
          <w:shd w:val="clear" w:color="auto" w:fill="FFFFFF"/>
        </w:rPr>
        <w:fldChar w:fldCharType="end"/>
      </w:r>
      <w:r w:rsidRPr="00D40FF8">
        <w:rPr>
          <w:rFonts w:cs="Times New Roman"/>
          <w:bCs/>
          <w:szCs w:val="24"/>
          <w:shd w:val="clear" w:color="auto" w:fill="FFFFFF"/>
        </w:rPr>
        <w:t>. Semi-endoparasit</w:t>
      </w:r>
      <w:r>
        <w:rPr>
          <w:rFonts w:cs="Times New Roman"/>
          <w:bCs/>
          <w:szCs w:val="24"/>
          <w:shd w:val="clear" w:color="auto" w:fill="FFFFFF"/>
        </w:rPr>
        <w:t>ic nematodes</w:t>
      </w:r>
      <w:r w:rsidRPr="00D40FF8">
        <w:rPr>
          <w:rFonts w:cs="Times New Roman"/>
          <w:bCs/>
          <w:szCs w:val="24"/>
          <w:shd w:val="clear" w:color="auto" w:fill="FFFFFF"/>
        </w:rPr>
        <w:t xml:space="preserve"> (e.g.</w:t>
      </w:r>
      <w:r>
        <w:rPr>
          <w:rFonts w:cs="Times New Roman"/>
          <w:bCs/>
          <w:szCs w:val="24"/>
          <w:shd w:val="clear" w:color="auto" w:fill="FFFFFF"/>
        </w:rPr>
        <w:t>,</w:t>
      </w:r>
      <w:r w:rsidRPr="00D40FF8">
        <w:rPr>
          <w:rFonts w:cs="Times New Roman"/>
          <w:bCs/>
          <w:szCs w:val="24"/>
          <w:shd w:val="clear" w:color="auto" w:fill="FFFFFF"/>
        </w:rPr>
        <w:t xml:space="preserve"> reniform nematode; </w:t>
      </w:r>
      <w:r w:rsidRPr="00D40FF8">
        <w:rPr>
          <w:rFonts w:cs="Times New Roman"/>
          <w:bCs/>
          <w:i/>
          <w:szCs w:val="24"/>
          <w:shd w:val="clear" w:color="auto" w:fill="FFFFFF"/>
        </w:rPr>
        <w:t>Rotylenchulus reniformis</w:t>
      </w:r>
      <w:r w:rsidRPr="00D40FF8">
        <w:rPr>
          <w:rFonts w:cs="Times New Roman"/>
          <w:bCs/>
          <w:szCs w:val="24"/>
          <w:shd w:val="clear" w:color="auto" w:fill="FFFFFF"/>
        </w:rPr>
        <w:t xml:space="preserve">) partially penetrate their host </w:t>
      </w:r>
      <w:r>
        <w:rPr>
          <w:rFonts w:cs="Times New Roman"/>
          <w:bCs/>
          <w:szCs w:val="24"/>
          <w:shd w:val="clear" w:color="auto" w:fill="FFFFFF"/>
        </w:rPr>
        <w:t>so that the</w:t>
      </w:r>
      <w:r w:rsidRPr="00D40FF8">
        <w:rPr>
          <w:rFonts w:cs="Times New Roman"/>
          <w:bCs/>
          <w:szCs w:val="24"/>
          <w:shd w:val="clear" w:color="auto" w:fill="FFFFFF"/>
        </w:rPr>
        <w:t xml:space="preserve"> anterior </w:t>
      </w:r>
      <w:r>
        <w:rPr>
          <w:rFonts w:cs="Times New Roman"/>
          <w:bCs/>
          <w:szCs w:val="24"/>
          <w:shd w:val="clear" w:color="auto" w:fill="FFFFFF"/>
        </w:rPr>
        <w:t>portion is embedded while</w:t>
      </w:r>
      <w:r w:rsidRPr="00D40FF8">
        <w:rPr>
          <w:rFonts w:cs="Times New Roman"/>
          <w:bCs/>
          <w:szCs w:val="24"/>
          <w:shd w:val="clear" w:color="auto" w:fill="FFFFFF"/>
        </w:rPr>
        <w:t xml:space="preserve"> the </w:t>
      </w:r>
      <w:r>
        <w:rPr>
          <w:rFonts w:cs="Times New Roman"/>
          <w:bCs/>
          <w:szCs w:val="24"/>
          <w:shd w:val="clear" w:color="auto" w:fill="FFFFFF"/>
        </w:rPr>
        <w:t>posterior portion is exposed.</w:t>
      </w:r>
      <w:r w:rsidRPr="00D40FF8">
        <w:rPr>
          <w:rFonts w:cs="Times New Roman"/>
          <w:bCs/>
          <w:szCs w:val="24"/>
          <w:shd w:val="clear" w:color="auto" w:fill="FFFFFF"/>
        </w:rPr>
        <w:t xml:space="preserve"> The nematode then forms a permanent feeding site for a long-lasting nutrient supply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&amp; Bekal, 2002)","plainTextFormattedCitation":"(Lambert &amp; Bekal, 2002a)","previouslyFormattedCitation":"(Lambert &amp; Bekal, 2002a)"},"properties":{"noteIndex":0},"schema":"https://github.com/citation-style-language/schema/raw/master/csl-citation.json"}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(Lambert &amp; Bekal, 2002)</w:t>
      </w:r>
      <w:r w:rsidRPr="00D40FF8">
        <w:rPr>
          <w:rFonts w:cs="Times New Roman"/>
          <w:bCs/>
          <w:szCs w:val="24"/>
          <w:shd w:val="clear" w:color="auto" w:fill="FFFFFF"/>
        </w:rPr>
        <w:fldChar w:fldCharType="end"/>
      </w:r>
      <w:r w:rsidRPr="00D40FF8">
        <w:rPr>
          <w:rFonts w:cs="Times New Roman"/>
          <w:bCs/>
          <w:szCs w:val="24"/>
          <w:shd w:val="clear" w:color="auto" w:fill="FFFFFF"/>
        </w:rPr>
        <w:t xml:space="preserve">. Sedentary endoparasites (e.g. SCN, </w:t>
      </w:r>
      <w:r w:rsidRPr="00D40FF8">
        <w:rPr>
          <w:rFonts w:cs="Times New Roman"/>
          <w:bCs/>
          <w:i/>
          <w:szCs w:val="24"/>
          <w:shd w:val="clear" w:color="auto" w:fill="FFFFFF"/>
        </w:rPr>
        <w:t>H. glycines</w:t>
      </w:r>
      <w:r w:rsidRPr="00D40FF8">
        <w:rPr>
          <w:rFonts w:cs="Times New Roman"/>
          <w:bCs/>
          <w:szCs w:val="24"/>
          <w:shd w:val="clear" w:color="auto" w:fill="FFFFFF"/>
        </w:rPr>
        <w:t xml:space="preserve"> and root-knot nematodes, </w:t>
      </w:r>
      <w:r w:rsidRPr="00D40FF8">
        <w:rPr>
          <w:rFonts w:cs="Times New Roman"/>
          <w:i/>
          <w:szCs w:val="24"/>
        </w:rPr>
        <w:t xml:space="preserve">M. incognita, </w:t>
      </w:r>
      <w:r w:rsidRPr="00D40FF8">
        <w:rPr>
          <w:rFonts w:cs="Times New Roman"/>
          <w:bCs/>
          <w:i/>
          <w:szCs w:val="24"/>
          <w:shd w:val="clear" w:color="auto" w:fill="FFFFFF"/>
        </w:rPr>
        <w:t>M. hapla</w:t>
      </w:r>
      <w:r w:rsidRPr="00D40FF8">
        <w:rPr>
          <w:rFonts w:cs="Times New Roman"/>
          <w:bCs/>
          <w:szCs w:val="24"/>
          <w:shd w:val="clear" w:color="auto" w:fill="FFFFFF"/>
        </w:rPr>
        <w:t xml:space="preserve">, and </w:t>
      </w:r>
      <w:r w:rsidRPr="00D40FF8">
        <w:rPr>
          <w:rFonts w:cs="Times New Roman"/>
          <w:bCs/>
          <w:i/>
          <w:szCs w:val="24"/>
          <w:shd w:val="clear" w:color="auto" w:fill="FFFFFF"/>
        </w:rPr>
        <w:t>M. javanica</w:t>
      </w:r>
      <w:r w:rsidRPr="00D40FF8">
        <w:rPr>
          <w:rFonts w:cs="Times New Roman"/>
          <w:bCs/>
          <w:szCs w:val="24"/>
          <w:shd w:val="clear" w:color="auto" w:fill="FFFFFF"/>
        </w:rPr>
        <w:t xml:space="preserve">) completely enter and become embedded in the host tissue, and move toward the developing vascular cells to form a permanent feeding site for a continuous nutrient supply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Nematodes","type":"article-journal"},"uris":["http://www.mendeley.com/documents/?uuid=07c20e54-b637-4f04-8c1d-f9e93358ab94"]},{"id":"ITEM-2","itemData":{"ISSN":"0022-300X","abstract":"Selected populations of soybean cyst nematodes were inoculated to roots of compatible and incompatible soybeans. Rates of penetration of infective juveniles of nematode populations selected on PI 209332, PI 89772, and Pickett 71 were equivalent on compatible and incompatible soybean roots. The first two populations averaged about 10% and the last about 5% penetration in 24-hour inoculations of young seedlings. About 14% of those juveniles that entered roots in compatible combinations developed into maturing females, compared with only about 1% in incompatible combinations. Several aberrations from the pattern of syncytial development associated with mature females in compatible hosts were apparent. A rapid necrotic response occurred in both kinds of hosts but was more frequent in incompatible associations. Delayed necrosis and small syncytia were present in some combinations. Those few females that developed in incompatible soybeans were associated with a characteristic syncytium different from the kind seen in roots of compatible hosts. Key words: Glycine max, soybean cyst nematode, syncytia, rapid necrotic response.","author":[{"dropping-particle":"","family":"Acedo","given":"J R","non-dropping-particle":"","parse-names":false,"suffix":""},{"dropping-particle":"","family":"Dropkin","given":"V H","non-dropping-particle":"","parse-names":false,"suffix":""},{"dropping-particle":"","family":"Luedders","given":"V D","non-dropping-particle":"","parse-names":false,"suffix":""}],"container-title":"Journal of nematology","id":"ITEM-2","issue":"1","issued":{"date-parts":[["1984"]]},"page":"48-56","title":"Nematode Population Attrition and Histopathology of Heterodera glycines-Soybean Associations.","type":"article-journal","volume":"16"},"uris":["http://www.mendeley.com/documents/?uuid=cbfdc94d-940e-42c8-9c22-e9bc20e2a85a"]}],"mendeley":{"formattedCitation":"(Acedo et al., 1984; Lambert &amp; Bekal, 2002a)","manualFormatting":"(Acedo et al., 1984; Lambert &amp; Bekal, 2002)","plainTextFormattedCitation":"(Acedo et al., 1984; Lambert &amp; Bekal, 2002a)","previouslyFormattedCitation":"(Acedo et al., 1984; Lambert &amp; Bekal, 2002a)"},"properties":{"noteIndex":0},"schema":"https://github.com/citation-style-language/schema/raw/master/csl-citation.json"}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(Acedo et al., 1984; Lambert &amp; Bekal, 2002)</w:t>
      </w:r>
      <w:r w:rsidRPr="00D40FF8">
        <w:rPr>
          <w:rFonts w:cs="Times New Roman"/>
          <w:bCs/>
          <w:szCs w:val="24"/>
          <w:shd w:val="clear" w:color="auto" w:fill="FFFFFF"/>
        </w:rPr>
        <w:fldChar w:fldCharType="end"/>
      </w:r>
      <w:r w:rsidRPr="00D40FF8">
        <w:rPr>
          <w:rFonts w:cs="Times New Roman"/>
          <w:bCs/>
          <w:szCs w:val="24"/>
          <w:shd w:val="clear" w:color="auto" w:fill="FFFFFF"/>
        </w:rPr>
        <w:t xml:space="preserve">. </w:t>
      </w:r>
      <w:r>
        <w:rPr>
          <w:rFonts w:cs="Times New Roman"/>
          <w:bCs/>
          <w:szCs w:val="24"/>
          <w:shd w:val="clear" w:color="auto" w:fill="FFFFFF"/>
        </w:rPr>
        <w:t>The</w:t>
      </w:r>
      <w:r w:rsidRPr="00D40FF8">
        <w:rPr>
          <w:rFonts w:cs="Times New Roman"/>
          <w:szCs w:val="24"/>
        </w:rPr>
        <w:t xml:space="preserve"> life cycle of plant-parasitic nematodes begins </w:t>
      </w:r>
      <w:r>
        <w:rPr>
          <w:rFonts w:cs="Times New Roman"/>
          <w:szCs w:val="24"/>
        </w:rPr>
        <w:t>with</w:t>
      </w:r>
      <w:r w:rsidRPr="00D40FF8">
        <w:rPr>
          <w:rFonts w:cs="Times New Roman"/>
          <w:szCs w:val="24"/>
        </w:rPr>
        <w:t xml:space="preserve"> eggs, followed by four juvenile stages (J1 to J4), and adult. Depending on the nematode species and conditions, a nematode may take two to six weeks to complete a life cycle. At the end of a life cycle, adult females can produce about 50 to 1,000 eggs per female, depending on the nematode species and environmental influence</w:t>
      </w:r>
      <w:r>
        <w:rPr>
          <w:rFonts w:cs="Times New Roman"/>
          <w:szCs w:val="24"/>
        </w:rPr>
        <w:t>s (Lambert &amp; Bekal, 2002b; Mitkowski, 2003; Wesemael et al., 2014).</w:t>
      </w:r>
      <w:r w:rsidRPr="00D40FF8">
        <w:rPr>
          <w:rFonts w:cs="Times New Roman"/>
          <w:szCs w:val="24"/>
        </w:rPr>
        <w:t xml:space="preserve"> </w:t>
      </w:r>
    </w:p>
    <w:p w14:paraId="15B0E7B3" w14:textId="77777777" w:rsidR="00D20476" w:rsidRPr="00D40FF8" w:rsidRDefault="00D20476" w:rsidP="00D20476">
      <w:pPr>
        <w:spacing w:line="360" w:lineRule="auto"/>
        <w:ind w:left="720" w:firstLine="720"/>
        <w:rPr>
          <w:rFonts w:cs="Times New Roman"/>
          <w:bCs/>
          <w:szCs w:val="24"/>
          <w:shd w:val="clear" w:color="auto" w:fill="FFFFFF"/>
        </w:rPr>
      </w:pPr>
      <w:r w:rsidRPr="00D40FF8">
        <w:rPr>
          <w:rFonts w:cs="Times New Roman"/>
          <w:szCs w:val="24"/>
        </w:rPr>
        <w:t>T</w:t>
      </w:r>
      <w:r w:rsidRPr="00D40FF8">
        <w:rPr>
          <w:rFonts w:cs="Times New Roman"/>
          <w:bCs/>
          <w:szCs w:val="24"/>
          <w:shd w:val="clear" w:color="auto" w:fill="FFFFFF"/>
        </w:rPr>
        <w:t xml:space="preserve">he amount of crop damage caused by nematodes depends on the host species, prevailing environmental conditions, the nematode species, and the population density of the nematodes </w:t>
      </w:r>
      <w:r w:rsidRPr="00D40FF8">
        <w:rPr>
          <w:rFonts w:cs="Times New Roman"/>
          <w:bCs/>
          <w:szCs w:val="24"/>
          <w:shd w:val="clear" w:color="auto" w:fill="FFFFFF"/>
        </w:rPr>
        <w:fldChar w:fldCharType="begin" w:fldLock="1"/>
      </w:r>
      <w:r>
        <w:rPr>
          <w:rFonts w:cs="Times New Roman"/>
          <w:bCs/>
          <w:szCs w:val="24"/>
          <w:shd w:val="clear" w:color="auto" w:fill="FFFFFF"/>
        </w:rPr>
        <w:instrText>ADDIN CSL_CITATION {"citationItems":[{"id":"ITEM-1","itemData":{"DOI":"10.1094/PHI-I-2003-0917-01","author":[{"dropping-particle":"","family":"Mitkowski","given":"N.A. and G.S. Abawi","non-dropping-particle":"","parse-names":false,"suffix":""}],"container-title":"The Plant Health Instructor","id":"ITEM-1","issued":{"date-parts":[["2003"]]},"title":"​ Root-knot Nematode​ R ​","type":"article-journal"},"uris":["http://www.mendeley.com/documents/?uuid=d4e04224-7ac8-4867-bcc2-96cdddd69f13"]}],"mendeley":{"formattedCitation":"(N. A. and G. S. A. Mitkowski, 2003)","manualFormatting":"(Mitkowski and Abawi, 2003)","plainTextFormattedCitation":"(N. A. and G. S. A. Mitkowski, 2003)","previouslyFormattedCitation":"(Mitkowski, 2003)"},"properties":{"noteIndex":0},"schema":"https://github.com/citation-style-language/schema/raw/master/csl-citation.json"}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(Mitkowski and Abawi, 2003)</w:t>
      </w:r>
      <w:r w:rsidRPr="00D40FF8">
        <w:rPr>
          <w:rFonts w:cs="Times New Roman"/>
          <w:bCs/>
          <w:szCs w:val="24"/>
          <w:shd w:val="clear" w:color="auto" w:fill="FFFFFF"/>
        </w:rPr>
        <w:fldChar w:fldCharType="end"/>
      </w:r>
      <w:r w:rsidRPr="00D40FF8">
        <w:rPr>
          <w:rFonts w:cs="Times New Roman"/>
          <w:bCs/>
          <w:szCs w:val="24"/>
          <w:shd w:val="clear" w:color="auto" w:fill="FFFFFF"/>
        </w:rPr>
        <w:t xml:space="preserve">. Nematodes are managed mainly by growing resistant or tolerant cultivars, rotating to non-hosts, and using nematicides to suppress nematode population densities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{"citationItems":[{"id":"ITEM-1","itemData":{"ISBN":"9781789247541","abstract":"Over the last two decades, scanning transmission electron microscopy (STEM) has become a very popular and widespread technique, with the number of publications and presentations making use of STEM techniques increasing by about an order of magnitude. Although the strengths of the technique for providing high-resolution structural and analytical information have been known and understood for much longer than that, the key to its more recent popularity has undoubtedly been the availability of STEM modes on instruments available from the major TEM manufacturers. Gone are the days when researchers want- ing the unique capabilities of high-resolution STEM had to undertake the task of keeping a VG dedicated STEM instrument operating. Given the current interest in the technique, we felt that the time was right to review the current state of knowledge about STEM and STEM-related techniques and their application to a range of materials problems. The purpose of this volume is both to educate those who wish to deepen their understanding of STEM and to inform those who are seeking a review of the latest applications and methods associated with STEM. We are delighted that so many of our colleagues accepted our invitation to contribute to this volume, and we are indebted to them for their efforts in creating such excellent contributions. The follow- ing chapters illustrate how close STEM has brought us to the ultimate materials characterisation challenge of analysing materials atom by atom. We hope that the following chapters demonstrate the spectacular results that can be achieved when performing the relatively simple experiment of focusing a beam of electrons down to an atomic scale and measuring the scattering that results. Stephen","author":[{"dropping-particle":"","family":"Sikora, R. A., Desaeger, J., &amp; Molendijk","given":"L","non-dropping-particle":"","parse-names":false,"suffix":""}],"id":"ITEM-1","issued":{"date-parts":[["2021"]]},"title":"Integrated Nematode Management: State-of-the-art and visions for the futur","type":"book"},"uris":["http://www.mendeley.com/documents/?uuid=9ac09064-5bf8-4a54-9516-5b18918df278"]}],"mendeley":{"formattedCitation":"(Sikora, R. A., Desaeger, J., &amp; Molendijk, 2021)","manualFormatting":"(Sikora et al., 2021)","plainTextFormattedCitation":"(Sikora, R. A., Desaeger, J., &amp; Molendijk, 2021)","previouslyFormattedCitation":"(Sikora, R. A., Desaeger, J., &amp; Molendijk, 2021)"},"properties":{"noteIndex":0},"schema":"https://github.com/citation-style-language/schema/raw/master/csl-citation.json"}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(Sikora et al., 2021)</w:t>
      </w:r>
      <w:r w:rsidRPr="00D40FF8">
        <w:rPr>
          <w:rFonts w:cs="Times New Roman"/>
          <w:bCs/>
          <w:szCs w:val="24"/>
          <w:shd w:val="clear" w:color="auto" w:fill="FFFFFF"/>
        </w:rPr>
        <w:fldChar w:fldCharType="end"/>
      </w:r>
      <w:r w:rsidRPr="00D40FF8">
        <w:rPr>
          <w:rFonts w:cs="Times New Roman"/>
          <w:bCs/>
          <w:szCs w:val="24"/>
          <w:shd w:val="clear" w:color="auto" w:fill="FFFFFF"/>
        </w:rPr>
        <w:t>. Generally, information on nematode population density is used as a guide or threshold for making management decisions. These thresholds are based on the number of nematode infective juveniles (J2) or eggs found in a representative soil sample</w:t>
      </w:r>
      <w:r>
        <w:rPr>
          <w:rFonts w:cs="Times New Roman"/>
          <w:bCs/>
          <w:szCs w:val="24"/>
          <w:shd w:val="clear" w:color="auto" w:fill="FFFFFF"/>
        </w:rPr>
        <w:t>, u</w:t>
      </w:r>
      <w:r w:rsidRPr="00D40FF8">
        <w:rPr>
          <w:rFonts w:cs="Times New Roman"/>
          <w:bCs/>
          <w:szCs w:val="24"/>
          <w:shd w:val="clear" w:color="auto" w:fill="FFFFFF"/>
        </w:rPr>
        <w:t>sually a 100 or 500 cm</w:t>
      </w:r>
      <w:r w:rsidRPr="00D40FF8">
        <w:rPr>
          <w:rFonts w:cs="Times New Roman"/>
          <w:bCs/>
          <w:szCs w:val="24"/>
          <w:shd w:val="clear" w:color="auto" w:fill="FFFFFF"/>
          <w:vertAlign w:val="superscript"/>
        </w:rPr>
        <w:t>3</w:t>
      </w:r>
      <w:r w:rsidRPr="00D40FF8">
        <w:rPr>
          <w:rFonts w:cs="Times New Roman"/>
          <w:bCs/>
          <w:szCs w:val="24"/>
          <w:shd w:val="clear" w:color="auto" w:fill="FFFFFF"/>
        </w:rPr>
        <w:t xml:space="preserve"> soil sample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{"citationItems":[{"id":"ITEM-1","itemData":{"DOI":"10.1146/annurev.py.14.090176.001551","ISSN":"0066-4286","author":[{"dropping-particle":"","family":"Barker","given":"K R","non-dropping-particle":"","parse-names":false,"suffix":""},{"dropping-particle":"","family":"Olthof","given":"T H A","non-dropping-particle":"","parse-names":false,"suffix":""}],"container-title":"Annual Review of Phytopathology","id":"ITEM-1","issue":"1","issued":{"date-parts":[["1976"]]},"page":"327-353","title":"Relationships Between Nematode Population Densities and Crop Responses","type":"article-journal","volume":"14"},"uris":["http://www.mendeley.com/documents/?uuid=9ce15280-35fa-4d12-bad1-c4b04fcc59c4"]}],"mendeley":{"formattedCitation":"(Barker &amp; Olthof, 1976)","plainTextFormattedCitation":"(Barker &amp; Olthof, 1976)","previouslyFormattedCitation":"(Barker &amp; Olthof, 1976)"},"properties":{"noteIndex":0},"schema":"https://github.com/citation-style-language/schema/raw/master/csl-citation.json"}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(Barker &amp; Olthof, 1976)</w:t>
      </w:r>
      <w:r w:rsidRPr="00D40FF8">
        <w:rPr>
          <w:rFonts w:cs="Times New Roman"/>
          <w:bCs/>
          <w:szCs w:val="24"/>
          <w:shd w:val="clear" w:color="auto" w:fill="FFFFFF"/>
        </w:rPr>
        <w:fldChar w:fldCharType="end"/>
      </w:r>
      <w:r w:rsidRPr="00D40FF8">
        <w:rPr>
          <w:rFonts w:cs="Times New Roman"/>
          <w:bCs/>
          <w:szCs w:val="24"/>
          <w:shd w:val="clear" w:color="auto" w:fill="FFFFFF"/>
        </w:rPr>
        <w:t>. There is no current information on the density of the economic</w:t>
      </w:r>
      <w:r>
        <w:rPr>
          <w:rFonts w:cs="Times New Roman"/>
          <w:bCs/>
          <w:szCs w:val="24"/>
          <w:shd w:val="clear" w:color="auto" w:fill="FFFFFF"/>
        </w:rPr>
        <w:t xml:space="preserve">ally </w:t>
      </w:r>
      <w:r w:rsidRPr="006B6B4C">
        <w:rPr>
          <w:rFonts w:cs="Times New Roman"/>
          <w:bCs/>
          <w:szCs w:val="24"/>
          <w:shd w:val="clear" w:color="auto" w:fill="FFFFFF"/>
        </w:rPr>
        <w:t>important</w:t>
      </w:r>
      <w:r w:rsidRPr="00D40FF8">
        <w:rPr>
          <w:rFonts w:cs="Times New Roman"/>
          <w:bCs/>
          <w:szCs w:val="24"/>
          <w:shd w:val="clear" w:color="auto" w:fill="FFFFFF"/>
        </w:rPr>
        <w:t xml:space="preserve"> nematodes associated with field crops in Tennessee. This information is essential to provide nematode management guidance for Tennessee growers and guide future research efforts. </w:t>
      </w:r>
    </w:p>
    <w:p w14:paraId="3EB58A4E" w14:textId="4CAE1848" w:rsidR="00D20476" w:rsidRPr="00D40FF8" w:rsidRDefault="00D20476" w:rsidP="00D20476">
      <w:pPr>
        <w:spacing w:line="360" w:lineRule="auto"/>
        <w:ind w:left="720" w:firstLine="720"/>
        <w:rPr>
          <w:rFonts w:cs="Times New Roman"/>
          <w:szCs w:val="24"/>
          <w:shd w:val="clear" w:color="auto" w:fill="FFFFFF"/>
        </w:rPr>
      </w:pPr>
      <w:r>
        <w:rPr>
          <w:rFonts w:cs="Times New Roman"/>
          <w:szCs w:val="24"/>
          <w:shd w:val="clear" w:color="auto" w:fill="FFFFFF"/>
        </w:rPr>
        <w:t>The soybean cyst nematode</w:t>
      </w:r>
      <w:r w:rsidRPr="00D40FF8">
        <w:rPr>
          <w:rFonts w:cs="Times New Roman"/>
          <w:szCs w:val="24"/>
          <w:shd w:val="clear" w:color="auto" w:fill="FFFFFF"/>
        </w:rPr>
        <w:t xml:space="preserve"> was estimated to cause more than 123 million bushel yield loss in annual soybean production between 2010 and 2014 in the United States and Canada </w:t>
      </w:r>
      <w:r w:rsidRPr="00D40FF8">
        <w:rPr>
          <w:rFonts w:cs="Times New Roman"/>
          <w:szCs w:val="24"/>
          <w:shd w:val="clear" w:color="auto" w:fill="FFFFFF"/>
        </w:rPr>
        <w:fldChar w:fldCharType="begin" w:fldLock="1"/>
      </w:r>
      <w:r w:rsidRPr="00D40FF8">
        <w:rPr>
          <w:rFonts w:cs="Times New Roman"/>
          <w:szCs w:val="24"/>
          <w:shd w:val="clear" w:color="auto" w:fill="FFFFFF"/>
        </w:rPr>
        <w:instrText>ADDIN CSL_CITATION {"citationItems":[{"id":"ITEM-1","itemData":{"DOI":"10.1111/mpp.12057","ISSN":"14646722","PMID":"23809086","abstract":"The aim of this review was to undertake a survey of researchers working with plant-parasitic nematodes in order to determine a 'top 10' list of these pathogens based on scientific and economic importance. Any such list will not be definitive as economic importance will vary depending on the region of the world in which a researcher is based. However, care was taken to include researchers from as many parts of the world as possible when carrying out the survey. The top 10 list emerging from the survey is composed of: (1) root-knot nematodes (Meloidogyne spp.); (2) cyst nematodes (Heterodera and Globodera spp.); (3) root lesion nematodes (Pratylenchus spp.); (4) the burrowing nematode Radopholus similis; (5) Ditylenchus dipsaci; (6) the pine wilt nematode Bursaphelenchus xylophilus; (7) the reniform nematode Rotylenchulus reniformis; (8) Xiphinema index (the only virus vector nematode to make the list); (9) Nacobbus aberrans; and (10) Aphelenchoides besseyi. The biology of each nematode (or nematode group) is reviewed briefly. © 2013 BSPP AND JOHN WILEY &amp; SONS LTD.","author":[{"dropping-particle":"","family":"Jones","given":"John T.","non-dropping-particle":"","parse-names":false,"suffix":""},{"dropping-particle":"","family":"Haegeman","given":"Annelies","non-dropping-particle":"","parse-names":false,"suffix":""},{"dropping-particle":"","family":"Danchin","given":"Etienne G.J.","non-dropping-particle":"","parse-names":false,"suffix":""},{"dropping-particle":"","family":"Gaur","given":"Hari S.","non-dropping-particle":"","parse-names":false,"suffix":""},{"dropping-particle":"","family":"Helder","given":"Johannes","non-dropping-particle":"","parse-names":false,"suffix":""},{"dropping-particle":"","family":"Jones","given":"Michael G.K.","non-dropping-particle":"","parse-names":false,"suffix":""},{"dropping-particle":"","family":"Kikuchi","given":"Taisei","non-dropping-particle":"","parse-names":false,"suffix":""},{"dropping-particle":"","family":"Manzanilla-López","given":"Rosa","non-dropping-particle":"","parse-names":false,"suffix":""},{"dropping-particle":"","family":"Palomares-Rius","given":"Juan E.","non-dropping-particle":"","parse-names":false,"suffix":""},{"dropping-particle":"","family":"Wesemael","given":"Wim M.L.","non-dropping-particle":"","parse-names":false,"suffix":""},{"dropping-particle":"","family":"Perry","given":"Roland N.","non-dropping-particle":"","parse-names":false,"suffix":""}],"container-title":"Molecular Plant Pathology","id":"ITEM-1","issue":"9","issued":{"date-parts":[["2013"]]},"page":"946-961","title":"Top 10 plant-parasitic nematodes in molecular plant pathology","type":"article-journal","volume":"14"},"uris":["http://www.mendeley.com/documents/?uuid=e234e945-2803-4735-a670-6406b694b9e6"]}],"mendeley":{"formattedCitation":"(Jones et al., 2013)","manualFormatting":"(Allen et al., 2017)","plainTextFormattedCitation":"(Jones et al., 2013)","previouslyFormattedCitation":"(Jones et al., 2013)"},"properties":{"noteIndex":0},"schema":"https://github.com/citation-style-language/schema/raw/master/csl-citation.json"}</w:instrText>
      </w:r>
      <w:r w:rsidRPr="00D40FF8">
        <w:rPr>
          <w:rFonts w:cs="Times New Roman"/>
          <w:szCs w:val="24"/>
          <w:shd w:val="clear" w:color="auto" w:fill="FFFFFF"/>
        </w:rPr>
        <w:fldChar w:fldCharType="separate"/>
      </w:r>
      <w:r w:rsidRPr="00D40FF8">
        <w:rPr>
          <w:rFonts w:cs="Times New Roman"/>
          <w:noProof/>
          <w:szCs w:val="24"/>
          <w:shd w:val="clear" w:color="auto" w:fill="FFFFFF"/>
        </w:rPr>
        <w:t>(Allen et al., 2017)</w:t>
      </w:r>
      <w:r w:rsidRPr="00D40FF8">
        <w:rPr>
          <w:rFonts w:cs="Times New Roman"/>
          <w:szCs w:val="24"/>
          <w:shd w:val="clear" w:color="auto" w:fill="FFFFFF"/>
        </w:rPr>
        <w:fldChar w:fldCharType="end"/>
      </w:r>
      <w:r w:rsidRPr="00D40FF8">
        <w:rPr>
          <w:rFonts w:cs="Times New Roman"/>
          <w:szCs w:val="24"/>
          <w:shd w:val="clear" w:color="auto" w:fill="FFFFFF"/>
        </w:rPr>
        <w:t>. With soybean at $16/bushel, SCN cost</w:t>
      </w:r>
      <w:r>
        <w:rPr>
          <w:rFonts w:cs="Times New Roman"/>
          <w:szCs w:val="24"/>
          <w:shd w:val="clear" w:color="auto" w:fill="FFFFFF"/>
        </w:rPr>
        <w:t>s</w:t>
      </w:r>
      <w:r w:rsidRPr="00D40FF8">
        <w:rPr>
          <w:rFonts w:cs="Times New Roman"/>
          <w:szCs w:val="24"/>
          <w:shd w:val="clear" w:color="auto" w:fill="FFFFFF"/>
        </w:rPr>
        <w:t xml:space="preserve"> </w:t>
      </w:r>
      <w:r>
        <w:rPr>
          <w:rFonts w:cs="Times New Roman"/>
          <w:szCs w:val="24"/>
          <w:shd w:val="clear" w:color="auto" w:fill="FFFFFF"/>
        </w:rPr>
        <w:t>producers</w:t>
      </w:r>
      <w:r w:rsidRPr="00D40FF8">
        <w:rPr>
          <w:rFonts w:cs="Times New Roman"/>
          <w:szCs w:val="24"/>
          <w:shd w:val="clear" w:color="auto" w:fill="FFFFFF"/>
        </w:rPr>
        <w:t xml:space="preserve"> over $2 billion loss annually. The nematode has been mainly controlled by growing resistant/tolerant soybean cultivars, rotating to non-host crops, and nematicides. However, SCN populations with the ability to feed and reproduce on the most common resistance source used in commercial cultivars are evolving and eliciting yield loss on resistance cultivars, because of the prolonged reliance on </w:t>
      </w:r>
      <w:r>
        <w:rPr>
          <w:rFonts w:cs="Times New Roman"/>
          <w:szCs w:val="24"/>
          <w:shd w:val="clear" w:color="auto" w:fill="FFFFFF"/>
        </w:rPr>
        <w:t>a</w:t>
      </w:r>
      <w:r w:rsidRPr="00D40FF8">
        <w:rPr>
          <w:rFonts w:cs="Times New Roman"/>
          <w:szCs w:val="24"/>
          <w:shd w:val="clear" w:color="auto" w:fill="FFFFFF"/>
        </w:rPr>
        <w:t xml:space="preserve"> sole resistance source </w:t>
      </w:r>
      <w:r w:rsidRPr="00D40FF8">
        <w:rPr>
          <w:rFonts w:cs="Times New Roman"/>
          <w:szCs w:val="24"/>
          <w:shd w:val="clear" w:color="auto" w:fill="FFFFFF"/>
        </w:rPr>
        <w:fldChar w:fldCharType="begin" w:fldLock="1"/>
      </w:r>
      <w:r>
        <w:rPr>
          <w:rFonts w:cs="Times New Roman"/>
          <w:szCs w:val="24"/>
          <w:shd w:val="clear" w:color="auto" w:fill="FFFFFF"/>
        </w:rPr>
        <w:instrText>ADDIN CSL_CITATION {"citationItems":[{"id":"ITEM-1","itemData":{"DOI":"10.1094/php-2008-0118-01-rs","ISSN":"1535-1025","abstract":"Circadian rhythms in physiology and behavior are temporally synchronized to the day/night cycle through the action of light on the circadian clock. In mammals, transduction of the photic signal reaching the circadian oscillator in the suprachiasmatic nucleus (SCN) occurs through the release of glutamate and pituitary adenylate cyclase-activating peptide (PACAP). The authors' study aimed at clarifying the role played by PACAP in photic resetting and entrainment. They investigated the circadian response to light of PACAPnullmice lacking the 5th exon of the PACAP coding sequence. Specifically, they examined free-running rhythms, entrainment to 12-h light:12-h dark (LD)cycles, the phase-response curve (PRC) to single light pulses, entrainment to a23-h T-cycle, re-entrainment to 6-h phase shifts in LD cycles, and light-induced c-Fos expression. PACAP-null and wild-type mice show similar free-running periods and similar entrainment to 12:12 LD cycles. However, the PRC of PACAP-null mice lacks a phase-advance portion. Surprisingly, despite the absence of phase advance to single light pulses, PACAP-null mice are able to entrain to a 23-h T-cycle, but with a significantly longer phase angle of entrainment than wild types. In addition, PACAP-null mice re-entrain more slowly to a 6-h phase advance of the LD cycle. Nevertheless, induction of c-Fos by light in late night is normal. In all experiments, PACAP-null mice show specific behavioral impairments in response to phase-advancing photic stimuli. These results suggest that PACAP is required for the normal integration of the phase advancing light signal by the SCN","author":[{"dropping-particle":"","family":"Niblack","given":"T. L.","non-dropping-particle":"","parse-names":false,"suffix":""},{"dropping-particle":"","family":"Colgrove","given":"A. L.","non-dropping-particle":"","parse-names":false,"suffix":""},{"dropping-particle":"","family":"Colgrove","given":"K.","non-dropping-particle":"","parse-names":false,"suffix":""},{"dropping-particle":"","family":"Bond","given":"J. P.","non-dropping-particle":"","parse-names":false,"suffix":""}],"container-title":"Plant Health Progress","id":"ITEM-1","issued":{"date-parts":[["2008"]]},"title":"Shift in Virulence of Soybean Cyst Nematode is Associated with Use of Resistance from PI 88788","type":"article-journal"},"uris":["http://www.mendeley.com/documents/?uuid=85d64030-7955-4cb0-af19-370ef3af0c07"]},{"id":"ITEM-2","itemData":{"DOI":"10.1016/j.eng.2018.07.009","ISSN":"20958099","abstract":"Heterodera glycines (i.e., soybean cyst nematode, SCN) is the most damaging nematode pest affecting soybean crop worldwide. This nematode is managed by means of crop rotation with selected resistant sources. With increasing reports of virulent SCN populations that are able to break the resistance within commonly used sources, there is an increasing need to find new sources of resistance or to broaden the resistance background. This review summarizes recent findings about the genes controlling SCN resistance in soybean, and about how these genes interact to confer resistance against SCN in soybean. It also provides an update on molecular mapping and molecular markers that can be used for the mass selection and differentiation of different resistance lines and cultivars in order to expedite conventional breeding programs. In-depth knowledge of SCN parasitism proteins and soybean resistance responses to the pathogen is critical for the diversification of resistant sources through gene modification, gene stacking, or incorporation of novel sources of resistance through backcrossing or genetic engineering.","author":[{"dropping-particle":"","family":"Yan","given":"Guiping","non-dropping-particle":"","parse-names":false,"suffix":""},{"dropping-particle":"","family":"Baidoo","given":"Richard","non-dropping-particle":"","parse-names":false,"suffix":""}],"container-title":"Engineering","id":"ITEM-2","issue":"4","issued":{"date-parts":[["2018"]]},"page":"534-541","title":"Current Research Status of Heterodera glycines Resistance and Its Implication on Soybean Breeding","type":"article-journal","volume":"4"},"uris":["http://www.mendeley.com/documents/?uuid=e639803d-6961-42bd-9ae9-fcc0232be450"]}],"mendeley":{"formattedCitation":"(Niblack et al., 2008a; Yan &amp; Baidoo, 2018)","plainTextFormattedCitation":"(Niblack et al., 2008a; Yan &amp; Baidoo, 2018)","previouslyFormattedCitation":"(Niblack et al., 2008a; Yan &amp; Baidoo, 2018)"},"properties":{"noteIndex":0},"schema":"https://github.com/citation-style-language/schema/raw/master/csl-citation.json"}</w:instrText>
      </w:r>
      <w:r w:rsidRPr="00D40FF8">
        <w:rPr>
          <w:rFonts w:cs="Times New Roman"/>
          <w:szCs w:val="24"/>
          <w:shd w:val="clear" w:color="auto" w:fill="FFFFFF"/>
        </w:rPr>
        <w:fldChar w:fldCharType="separate"/>
      </w:r>
      <w:r w:rsidR="00870FD4">
        <w:rPr>
          <w:rFonts w:cs="Times New Roman"/>
          <w:noProof/>
          <w:szCs w:val="24"/>
          <w:shd w:val="clear" w:color="auto" w:fill="FFFFFF"/>
        </w:rPr>
        <w:t>(Niblack et al., 2008</w:t>
      </w:r>
      <w:r w:rsidRPr="00D40FF8">
        <w:rPr>
          <w:rFonts w:cs="Times New Roman"/>
          <w:noProof/>
          <w:szCs w:val="24"/>
          <w:shd w:val="clear" w:color="auto" w:fill="FFFFFF"/>
        </w:rPr>
        <w:t>; Yan &amp; Baidoo, 2018)</w:t>
      </w:r>
      <w:r w:rsidRPr="00D40FF8">
        <w:rPr>
          <w:rFonts w:cs="Times New Roman"/>
          <w:szCs w:val="24"/>
          <w:shd w:val="clear" w:color="auto" w:fill="FFFFFF"/>
        </w:rPr>
        <w:fldChar w:fldCharType="end"/>
      </w:r>
      <w:r w:rsidRPr="00D40FF8">
        <w:rPr>
          <w:rFonts w:cs="Times New Roman"/>
          <w:szCs w:val="24"/>
          <w:shd w:val="clear" w:color="auto" w:fill="FFFFFF"/>
        </w:rPr>
        <w:t xml:space="preserve">. This </w:t>
      </w:r>
      <w:r>
        <w:rPr>
          <w:rFonts w:cs="Times New Roman"/>
          <w:szCs w:val="24"/>
          <w:shd w:val="clear" w:color="auto" w:fill="FFFFFF"/>
        </w:rPr>
        <w:t>circumstance</w:t>
      </w:r>
      <w:r w:rsidRPr="00D40FF8">
        <w:rPr>
          <w:rFonts w:cs="Times New Roman"/>
          <w:szCs w:val="24"/>
          <w:shd w:val="clear" w:color="auto" w:fill="FFFFFF"/>
        </w:rPr>
        <w:t xml:space="preserve"> has spurred researchers to investigate and categorize SCN populations based on their capability to feed and reproduce on resistant indicator lines. This </w:t>
      </w:r>
      <w:r>
        <w:rPr>
          <w:rFonts w:cs="Times New Roman"/>
          <w:szCs w:val="24"/>
          <w:shd w:val="clear" w:color="auto" w:fill="FFFFFF"/>
        </w:rPr>
        <w:t>categorization</w:t>
      </w:r>
      <w:r w:rsidRPr="00D40FF8">
        <w:rPr>
          <w:rFonts w:cs="Times New Roman"/>
          <w:szCs w:val="24"/>
          <w:shd w:val="clear" w:color="auto" w:fill="FFFFFF"/>
        </w:rPr>
        <w:t xml:space="preserve"> is done </w:t>
      </w:r>
      <w:r>
        <w:rPr>
          <w:rFonts w:cs="Times New Roman"/>
          <w:szCs w:val="24"/>
          <w:shd w:val="clear" w:color="auto" w:fill="FFFFFF"/>
        </w:rPr>
        <w:t>with</w:t>
      </w:r>
      <w:r w:rsidRPr="00D40FF8">
        <w:rPr>
          <w:rFonts w:cs="Times New Roman"/>
          <w:szCs w:val="24"/>
          <w:shd w:val="clear" w:color="auto" w:fill="FFFFFF"/>
        </w:rPr>
        <w:t xml:space="preserve"> the HG Type test on SCN populations to place them into different biotypes or HG (</w:t>
      </w:r>
      <w:r w:rsidRPr="00D40FF8">
        <w:rPr>
          <w:rFonts w:cs="Times New Roman"/>
          <w:i/>
          <w:szCs w:val="24"/>
          <w:shd w:val="clear" w:color="auto" w:fill="FFFFFF"/>
        </w:rPr>
        <w:t>Heterodera glycines</w:t>
      </w:r>
      <w:r w:rsidRPr="00D40FF8">
        <w:rPr>
          <w:rFonts w:cs="Times New Roman"/>
          <w:szCs w:val="24"/>
          <w:shd w:val="clear" w:color="auto" w:fill="FFFFFF"/>
        </w:rPr>
        <w:t xml:space="preserve">) types </w:t>
      </w:r>
      <w:r>
        <w:rPr>
          <w:rFonts w:cs="Times New Roman"/>
          <w:szCs w:val="24"/>
          <w:shd w:val="clear" w:color="auto" w:fill="FFFFFF"/>
        </w:rPr>
        <w:t>(</w:t>
      </w:r>
      <w:r>
        <w:rPr>
          <w:rFonts w:cs="Times New Roman"/>
          <w:noProof/>
          <w:szCs w:val="24"/>
          <w:shd w:val="clear" w:color="auto" w:fill="FFFFFF"/>
        </w:rPr>
        <w:t xml:space="preserve">Niblack et al., 2002; Tylka, 2016). </w:t>
      </w:r>
      <w:r w:rsidRPr="00D40FF8">
        <w:rPr>
          <w:rFonts w:cs="Times New Roman"/>
          <w:szCs w:val="24"/>
          <w:shd w:val="clear" w:color="auto" w:fill="FFFFFF"/>
        </w:rPr>
        <w:t xml:space="preserve">The HG type </w:t>
      </w:r>
      <w:r w:rsidRPr="00D40FF8">
        <w:rPr>
          <w:rFonts w:cs="Times New Roman"/>
          <w:szCs w:val="24"/>
        </w:rPr>
        <w:t xml:space="preserve">test is conducted by culturing an SCN population on the roots of the seven resistant indicator lines (numbered 1 to 7) </w:t>
      </w:r>
      <w:r>
        <w:rPr>
          <w:rFonts w:cs="Times New Roman"/>
          <w:szCs w:val="24"/>
        </w:rPr>
        <w:t>possessing</w:t>
      </w:r>
      <w:r w:rsidRPr="00D40FF8">
        <w:rPr>
          <w:rFonts w:cs="Times New Roman"/>
          <w:szCs w:val="24"/>
        </w:rPr>
        <w:t xml:space="preserve"> the known sources of SCN resistance used in </w:t>
      </w:r>
      <w:r>
        <w:rPr>
          <w:rFonts w:cs="Times New Roman"/>
          <w:szCs w:val="24"/>
        </w:rPr>
        <w:t xml:space="preserve">commercial </w:t>
      </w:r>
      <w:r w:rsidRPr="00D40FF8">
        <w:rPr>
          <w:rFonts w:cs="Times New Roman"/>
          <w:szCs w:val="24"/>
        </w:rPr>
        <w:t xml:space="preserve">cultivars, and a standard susceptible cultivar. The reproduction of the SCN population is compared between each indicator line and the susceptible cultivar. When the density of an SCN population on an indicator line is greater than 10% of the SCN population on the susceptible cultivar, the population is considered capable of feeding on the indicator line, and hence the SCN population HG Type will carry the number of that indicator line. For example, an ‘HG type 1’ SCN population can feed and reproduce on indicator line 1. This means the population density on indicator 1 is greater than 10% of its density on the susceptible cultivar. </w:t>
      </w:r>
      <w:r>
        <w:rPr>
          <w:rFonts w:cs="Times New Roman"/>
          <w:szCs w:val="24"/>
        </w:rPr>
        <w:t>Similarly</w:t>
      </w:r>
      <w:r w:rsidRPr="00D40FF8">
        <w:rPr>
          <w:rFonts w:cs="Times New Roman"/>
          <w:szCs w:val="24"/>
        </w:rPr>
        <w:t>, an “HG type 1.2” population can successfully feed and reproduce on indicator lines 1 and 2. K</w:t>
      </w:r>
      <w:r w:rsidRPr="00D40FF8">
        <w:rPr>
          <w:rFonts w:cs="Times New Roman"/>
          <w:szCs w:val="24"/>
          <w:shd w:val="clear" w:color="auto" w:fill="FFFFFF"/>
        </w:rPr>
        <w:t xml:space="preserve">nowing the HG type of an SCN population can help to make informed management decisions, specifically about what sources of resistance should be sought to manage specific SCN populations. However, there is currently no available data on the HG types of the SCN populations associated with field crops in Tennessee. </w:t>
      </w:r>
    </w:p>
    <w:p w14:paraId="5587A8BA"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The objectives of this study were therefore to (1) determine the population density of major plant-parasitic nematodes associated with field crops in Tennessee, and (2) determine the HG types or virulence phenotypes of SCN in the state.</w:t>
      </w:r>
    </w:p>
    <w:p w14:paraId="5060D1F8" w14:textId="77777777" w:rsidR="00D20476" w:rsidRPr="00D40FF8" w:rsidRDefault="00D20476" w:rsidP="00D20476">
      <w:pPr>
        <w:spacing w:line="360" w:lineRule="auto"/>
        <w:ind w:left="720"/>
        <w:rPr>
          <w:rFonts w:cs="Times New Roman"/>
        </w:rPr>
      </w:pPr>
    </w:p>
    <w:p w14:paraId="2D63EE3D" w14:textId="77777777" w:rsidR="00D20476" w:rsidRPr="00D40FF8" w:rsidRDefault="00D20476" w:rsidP="00D20476">
      <w:pPr>
        <w:pStyle w:val="Heading1"/>
        <w:spacing w:line="360" w:lineRule="auto"/>
        <w:ind w:left="720"/>
        <w:jc w:val="center"/>
      </w:pPr>
      <w:bookmarkStart w:id="205" w:name="_Toc98812732"/>
      <w:bookmarkStart w:id="206" w:name="_Toc98812940"/>
      <w:bookmarkStart w:id="207" w:name="_Toc98813606"/>
      <w:bookmarkStart w:id="208" w:name="_Toc101048116"/>
      <w:r w:rsidRPr="00D40FF8">
        <w:t>Materials and methods</w:t>
      </w:r>
      <w:bookmarkEnd w:id="205"/>
      <w:bookmarkEnd w:id="206"/>
      <w:bookmarkEnd w:id="207"/>
      <w:bookmarkEnd w:id="208"/>
    </w:p>
    <w:p w14:paraId="6DB75726" w14:textId="77777777" w:rsidR="00D20476" w:rsidRPr="00D40FF8" w:rsidRDefault="00D20476" w:rsidP="00FD1FC5">
      <w:pPr>
        <w:pStyle w:val="Heading2"/>
      </w:pPr>
      <w:bookmarkStart w:id="209" w:name="_Toc98812733"/>
      <w:bookmarkStart w:id="210" w:name="_Toc98812941"/>
      <w:bookmarkStart w:id="211" w:name="_Toc98813607"/>
      <w:bookmarkStart w:id="212" w:name="_Toc101048117"/>
      <w:r w:rsidRPr="00D40FF8">
        <w:t>Soil sample sources</w:t>
      </w:r>
      <w:bookmarkEnd w:id="209"/>
      <w:bookmarkEnd w:id="210"/>
      <w:bookmarkEnd w:id="211"/>
      <w:bookmarkEnd w:id="212"/>
      <w:r w:rsidRPr="00D40FF8">
        <w:t xml:space="preserve"> </w:t>
      </w:r>
    </w:p>
    <w:p w14:paraId="3CAB4713" w14:textId="77777777" w:rsidR="00A427ED" w:rsidRDefault="00D20476" w:rsidP="00A427ED">
      <w:pPr>
        <w:spacing w:line="360" w:lineRule="auto"/>
        <w:ind w:left="720" w:firstLine="720"/>
        <w:rPr>
          <w:rFonts w:cs="Times New Roman"/>
          <w:szCs w:val="24"/>
        </w:rPr>
      </w:pPr>
      <w:r w:rsidRPr="00D40FF8">
        <w:rPr>
          <w:rFonts w:cs="Times New Roman"/>
          <w:szCs w:val="24"/>
        </w:rPr>
        <w:t>A total of 378 soil samples were collected across 25 counties in Tennessee from 2018 through 2020. The samples were either submitted by county agents, crop consultants, growers</w:t>
      </w:r>
      <w:r>
        <w:rPr>
          <w:rFonts w:cs="Times New Roman"/>
          <w:szCs w:val="24"/>
        </w:rPr>
        <w:t>,</w:t>
      </w:r>
      <w:r w:rsidRPr="00D40FF8">
        <w:rPr>
          <w:rFonts w:cs="Times New Roman"/>
          <w:szCs w:val="24"/>
        </w:rPr>
        <w:t xml:space="preserve"> or collected by the members of the field crop pathology team from row crop fields. Fields were sampled predominantly in the fall after the harvest of soybean, corn, or cotton. Each sample comprised of approximately 20 soil cores collected per 20 acres of land, from 6 to 8 inches deep in the soil, using a </w:t>
      </w:r>
      <w:r>
        <w:rPr>
          <w:rFonts w:cs="Times New Roman"/>
          <w:szCs w:val="24"/>
        </w:rPr>
        <w:t>2.5-cm</w:t>
      </w:r>
      <w:r w:rsidRPr="00D40FF8">
        <w:rPr>
          <w:rFonts w:cs="Times New Roman"/>
          <w:szCs w:val="24"/>
        </w:rPr>
        <w:t xml:space="preserve"> diameter soil probe.</w:t>
      </w:r>
      <w:bookmarkStart w:id="213" w:name="_Toc98812734"/>
      <w:bookmarkStart w:id="214" w:name="_Toc98812942"/>
      <w:bookmarkStart w:id="215" w:name="_Toc98813608"/>
      <w:bookmarkStart w:id="216" w:name="_Toc101048118"/>
    </w:p>
    <w:p w14:paraId="50B490C8" w14:textId="77777777" w:rsidR="00A427ED" w:rsidRDefault="00A427ED" w:rsidP="00A427ED">
      <w:pPr>
        <w:spacing w:line="360" w:lineRule="auto"/>
        <w:ind w:left="720" w:firstLine="720"/>
        <w:rPr>
          <w:rFonts w:cs="Times New Roman"/>
          <w:szCs w:val="24"/>
        </w:rPr>
      </w:pPr>
    </w:p>
    <w:p w14:paraId="73A0C167" w14:textId="7B74F3A9" w:rsidR="00D20476" w:rsidRPr="00AB65D6" w:rsidRDefault="00D20476" w:rsidP="00A427ED">
      <w:pPr>
        <w:spacing w:line="360" w:lineRule="auto"/>
        <w:ind w:left="720"/>
        <w:rPr>
          <w:rStyle w:val="Heading2Char"/>
          <w:b w:val="0"/>
          <w:bCs w:val="0"/>
          <w:i w:val="0"/>
        </w:rPr>
      </w:pPr>
      <w:r w:rsidRPr="00AB65D6">
        <w:t>Det</w:t>
      </w:r>
      <w:r w:rsidRPr="00AB65D6">
        <w:rPr>
          <w:rStyle w:val="Heading2Char"/>
        </w:rPr>
        <w:t>ermination of nematode density in samples</w:t>
      </w:r>
      <w:bookmarkEnd w:id="213"/>
      <w:bookmarkEnd w:id="214"/>
      <w:bookmarkEnd w:id="215"/>
      <w:bookmarkEnd w:id="216"/>
      <w:r w:rsidRPr="00AB65D6">
        <w:rPr>
          <w:rStyle w:val="Heading2Char"/>
        </w:rPr>
        <w:t xml:space="preserve">  </w:t>
      </w:r>
    </w:p>
    <w:p w14:paraId="79288786"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 xml:space="preserve">Each soil sample was mixed by </w:t>
      </w:r>
      <w:r>
        <w:rPr>
          <w:rFonts w:cs="Times New Roman"/>
          <w:szCs w:val="24"/>
        </w:rPr>
        <w:t>passing it</w:t>
      </w:r>
      <w:r w:rsidRPr="00D40FF8">
        <w:rPr>
          <w:rFonts w:cs="Times New Roman"/>
          <w:szCs w:val="24"/>
        </w:rPr>
        <w:t xml:space="preserve"> through a 0.6</w:t>
      </w:r>
      <w:r>
        <w:rPr>
          <w:rFonts w:cs="Times New Roman"/>
          <w:szCs w:val="24"/>
        </w:rPr>
        <w:t>-</w:t>
      </w:r>
      <w:r w:rsidRPr="00D40FF8">
        <w:rPr>
          <w:rFonts w:cs="Times New Roman"/>
          <w:szCs w:val="24"/>
        </w:rPr>
        <w:t>cm</w:t>
      </w:r>
      <w:r>
        <w:rPr>
          <w:rFonts w:cs="Times New Roman"/>
          <w:szCs w:val="24"/>
        </w:rPr>
        <w:t>-</w:t>
      </w:r>
      <w:r w:rsidRPr="00D40FF8">
        <w:rPr>
          <w:rFonts w:cs="Times New Roman"/>
          <w:szCs w:val="24"/>
        </w:rPr>
        <w:t>mesh metal screen</w:t>
      </w:r>
      <w:r>
        <w:rPr>
          <w:rFonts w:cs="Times New Roman"/>
          <w:szCs w:val="24"/>
        </w:rPr>
        <w:t>. The screen was</w:t>
      </w:r>
      <w:r w:rsidRPr="00D40FF8">
        <w:rPr>
          <w:rFonts w:cs="Times New Roman"/>
          <w:szCs w:val="24"/>
        </w:rPr>
        <w:t xml:space="preserve"> clean</w:t>
      </w:r>
      <w:r>
        <w:rPr>
          <w:rFonts w:cs="Times New Roman"/>
          <w:szCs w:val="24"/>
        </w:rPr>
        <w:t>ed</w:t>
      </w:r>
      <w:r w:rsidRPr="00D40FF8">
        <w:rPr>
          <w:rFonts w:cs="Times New Roman"/>
          <w:szCs w:val="24"/>
        </w:rPr>
        <w:t xml:space="preserve"> between samples. A 100</w:t>
      </w:r>
      <w:r>
        <w:rPr>
          <w:rFonts w:cs="Times New Roman"/>
          <w:szCs w:val="24"/>
        </w:rPr>
        <w:t>-</w:t>
      </w:r>
      <w:r w:rsidRPr="00D40FF8">
        <w:rPr>
          <w:rFonts w:cs="Times New Roman"/>
          <w:szCs w:val="24"/>
        </w:rPr>
        <w:t>cm</w:t>
      </w:r>
      <w:r w:rsidRPr="00D40FF8">
        <w:rPr>
          <w:rFonts w:cs="Times New Roman"/>
          <w:szCs w:val="24"/>
          <w:vertAlign w:val="superscript"/>
        </w:rPr>
        <w:t xml:space="preserve">3 </w:t>
      </w:r>
      <w:r w:rsidRPr="00D40FF8">
        <w:rPr>
          <w:rFonts w:cs="Times New Roman"/>
          <w:szCs w:val="24"/>
        </w:rPr>
        <w:t xml:space="preserve">subsample was taken from each sample for nematode extraction. The nematode extraction was conducted by the Arkansas Nematode Diagnostic Laboratory at the University of Arkansas using the decanting method </w:t>
      </w:r>
      <w:r w:rsidRPr="00D40FF8">
        <w:rPr>
          <w:rFonts w:cs="Times New Roman"/>
          <w:szCs w:val="24"/>
        </w:rPr>
        <w:fldChar w:fldCharType="begin" w:fldLock="1"/>
      </w:r>
      <w:r w:rsidRPr="00D40FF8">
        <w:rPr>
          <w:rFonts w:cs="Times New Roman"/>
          <w:szCs w:val="24"/>
        </w:rPr>
        <w:instrText>ADDIN CSL_CITATION {"citationItems":[{"id":"ITEM-1","itemData":{"abstract":"liste de nombreuses méthodes et techniques pour l'étude des nématodes. A la base ce manuel est destiné  à l'étude des nématodes phytopathogènes, mais de nombreuses techniques sont applicables à l'étude des nématodes libres\\n\\ndisponible gratuitement sur (http://www.nem.wur.nl/NR/rdonlyres/CC0A519F-3ADD-4FFA-B473-959062BC9C7F/47004/MethodsandTechniquesforNematology.pdf)","author":[{"dropping-particle":"","family":"Bezooijen","given":"J.","non-dropping-particle":"Van","parse-names":false,"suffix":""}],"id":"ITEM-1","issued":{"date-parts":[["2006"]]},"page":"1-118","title":"Methods and Techniques for Nematology","type":"article-journal"},"uris":["http://www.mendeley.com/documents/?uuid=64dff6c4-682f-43bd-9625-e4cac63976c5"]}],"mendeley":{"formattedCitation":"(Van Bezooijen, 2006)","plainTextFormattedCitation":"(Van Bezooijen, 2006)","previouslyFormattedCitation":"(Van Bezooijen, 2006)"},"properties":{"noteIndex":0},"schema":"https://github.com/citation-style-language/schema/raw/master/csl-citation.json"}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(Van Bezooijen, 2006)</w:t>
      </w:r>
      <w:r w:rsidRPr="00D40FF8">
        <w:rPr>
          <w:rFonts w:cs="Times New Roman"/>
          <w:szCs w:val="24"/>
        </w:rPr>
        <w:fldChar w:fldCharType="end"/>
      </w:r>
      <w:r w:rsidRPr="00D40FF8">
        <w:rPr>
          <w:rFonts w:cs="Times New Roman"/>
          <w:szCs w:val="24"/>
        </w:rPr>
        <w:t xml:space="preserve">. </w:t>
      </w:r>
      <w:r>
        <w:rPr>
          <w:rFonts w:cs="Times New Roman"/>
          <w:szCs w:val="24"/>
        </w:rPr>
        <w:t>The n</w:t>
      </w:r>
      <w:r w:rsidRPr="00D40FF8">
        <w:rPr>
          <w:rFonts w:cs="Times New Roman"/>
          <w:szCs w:val="24"/>
        </w:rPr>
        <w:t xml:space="preserve">umbers of nematode juveniles (J2) and SCN eggs found in each subsample were recorded. </w:t>
      </w:r>
    </w:p>
    <w:p w14:paraId="22E40A4E" w14:textId="77777777" w:rsidR="00D20476" w:rsidRPr="00D40FF8" w:rsidRDefault="00D20476" w:rsidP="00D20476">
      <w:pPr>
        <w:spacing w:line="360" w:lineRule="auto"/>
        <w:ind w:left="720"/>
        <w:rPr>
          <w:rFonts w:cs="Times New Roman"/>
          <w:szCs w:val="24"/>
        </w:rPr>
      </w:pPr>
    </w:p>
    <w:p w14:paraId="216C1819" w14:textId="77777777" w:rsidR="00D20476" w:rsidRPr="00D40FF8" w:rsidRDefault="00D20476" w:rsidP="00FD1FC5">
      <w:pPr>
        <w:pStyle w:val="Heading2"/>
      </w:pPr>
      <w:bookmarkStart w:id="217" w:name="_Toc98812735"/>
      <w:bookmarkStart w:id="218" w:name="_Toc98812943"/>
      <w:bookmarkStart w:id="219" w:name="_Toc98813609"/>
      <w:bookmarkStart w:id="220" w:name="_Toc101048119"/>
      <w:r w:rsidRPr="00D40FF8">
        <w:t>SCN HG types</w:t>
      </w:r>
      <w:bookmarkEnd w:id="217"/>
      <w:bookmarkEnd w:id="218"/>
      <w:bookmarkEnd w:id="219"/>
      <w:bookmarkEnd w:id="220"/>
      <w:r w:rsidRPr="00D40FF8">
        <w:t xml:space="preserve"> </w:t>
      </w:r>
    </w:p>
    <w:p w14:paraId="4AE52EAE" w14:textId="77777777" w:rsidR="00D20476" w:rsidRPr="00EE50AA" w:rsidRDefault="00D20476" w:rsidP="00D20476">
      <w:pPr>
        <w:spacing w:line="360" w:lineRule="auto"/>
        <w:ind w:left="720"/>
        <w:rPr>
          <w:rFonts w:cs="Times New Roman"/>
          <w:i/>
          <w:szCs w:val="24"/>
        </w:rPr>
      </w:pPr>
      <w:r w:rsidRPr="00EE50AA">
        <w:rPr>
          <w:rFonts w:cs="Times New Roman"/>
          <w:b/>
          <w:i/>
          <w:szCs w:val="24"/>
        </w:rPr>
        <w:t>Extraction of SCN females from samples.</w:t>
      </w:r>
      <w:r w:rsidRPr="00EE50AA">
        <w:rPr>
          <w:rFonts w:cs="Times New Roman"/>
          <w:i/>
          <w:szCs w:val="24"/>
        </w:rPr>
        <w:t xml:space="preserve"> </w:t>
      </w:r>
    </w:p>
    <w:p w14:paraId="553C9A82"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Soil samples having a moderate to high SCN egg density (&gt;2,000/100cm</w:t>
      </w:r>
      <w:r w:rsidRPr="00D40FF8">
        <w:rPr>
          <w:rFonts w:cs="Times New Roman"/>
          <w:szCs w:val="24"/>
          <w:vertAlign w:val="superscript"/>
        </w:rPr>
        <w:t>3</w:t>
      </w:r>
      <w:r w:rsidRPr="00D40FF8">
        <w:rPr>
          <w:rFonts w:cs="Times New Roman"/>
          <w:szCs w:val="24"/>
        </w:rPr>
        <w:t xml:space="preserve">) </w:t>
      </w:r>
      <w:r w:rsidRPr="00F2465F">
        <w:rPr>
          <w:rFonts w:cs="Times New Roman"/>
          <w:szCs w:val="24"/>
        </w:rPr>
        <w:t xml:space="preserve">screened </w:t>
      </w:r>
      <w:r w:rsidRPr="00D40FF8">
        <w:rPr>
          <w:rFonts w:cs="Times New Roman"/>
          <w:szCs w:val="24"/>
        </w:rPr>
        <w:t xml:space="preserve">were selected for HG-type testing. The remaining sample was either used alone or mixed with some additional soil </w:t>
      </w:r>
      <w:r w:rsidRPr="0095393B">
        <w:rPr>
          <w:rStyle w:val="CommentReference"/>
        </w:rPr>
        <w:t>to grow a s</w:t>
      </w:r>
      <w:r w:rsidRPr="00D40FF8">
        <w:rPr>
          <w:rFonts w:cs="Times New Roman"/>
          <w:szCs w:val="24"/>
        </w:rPr>
        <w:t>usceptible soybean cultivar</w:t>
      </w:r>
      <w:r w:rsidRPr="006B6B4C">
        <w:rPr>
          <w:rFonts w:cs="Times New Roman"/>
          <w:szCs w:val="24"/>
        </w:rPr>
        <w:t>,</w:t>
      </w:r>
      <w:r w:rsidRPr="00D40FF8">
        <w:rPr>
          <w:rFonts w:cs="Times New Roman"/>
          <w:szCs w:val="24"/>
        </w:rPr>
        <w:t xml:space="preserve"> ‘Hutchinson’</w:t>
      </w:r>
      <w:r w:rsidRPr="006B6B4C">
        <w:rPr>
          <w:rFonts w:cs="Times New Roman"/>
          <w:szCs w:val="24"/>
        </w:rPr>
        <w:t>,</w:t>
      </w:r>
      <w:r w:rsidRPr="00D40FF8">
        <w:rPr>
          <w:rFonts w:cs="Times New Roman"/>
          <w:szCs w:val="24"/>
        </w:rPr>
        <w:t xml:space="preserve"> for 30 to 60 days to increase the SCN population in the soil to have enough nematodes for the HG type test. After 30 or 60 days, SCN females were collected from the roots and rhizosphere soil of Hutchinson using </w:t>
      </w:r>
      <w:r>
        <w:rPr>
          <w:rFonts w:cs="Times New Roman"/>
          <w:szCs w:val="24"/>
        </w:rPr>
        <w:t>a sugar flotation-</w:t>
      </w:r>
      <w:r w:rsidRPr="00D40FF8">
        <w:rPr>
          <w:rFonts w:cs="Times New Roman"/>
          <w:szCs w:val="24"/>
        </w:rPr>
        <w:t xml:space="preserve">centrifugation method </w:t>
      </w:r>
      <w:r w:rsidRPr="00D40FF8">
        <w:rPr>
          <w:rFonts w:cs="Times New Roman"/>
          <w:szCs w:val="24"/>
        </w:rPr>
        <w:fldChar w:fldCharType="begin" w:fldLock="1"/>
      </w:r>
      <w:r w:rsidRPr="00D40FF8">
        <w:rPr>
          <w:rFonts w:cs="Times New Roman"/>
          <w:szCs w:val="24"/>
        </w:rPr>
        <w:instrText>ADDIN CSL_CITATION {"citationItems":[{"id":"ITEM-1","itemData":{"ISBN":"0865313210","abstract":"Soil samples of 100 to 500 ml. are washed through a 20-mesh sieve into a 2-gallon bucket. After half filling with water, the mixture is well stirred and then allowed to stand for about 30 sec. before decanting through a 270- or 325-mesh sieve. This is done twice and the residue on the sieve collected in a beaker; the remaining soil is discarded. The residue is transferred to two 50 ml. centrifuge tubes and spun for 4 to 5 min. at about 1, 750 r.p.m. The supernatant liquid is then poured off and a sugar solution added (1 lb. cane sugar, l litre water), thoroughly mixing sugar solution and sediment; the tubes are spun for 0.5 to 1 min. The supernatant containing the nematodes is poured on to a 325-mesh sieve. After rinsing the sugar away with water the nematodes are ready for use. The process is said to recover all free-living nematodes in excellent shape and with infective potential. C.E.T.","author":[{"dropping-particle":"","family":"Jenkins","given":"W. R.","non-dropping-particle":"","parse-names":false,"suffix":""}],"container-title":"Plant Disease Reporter","id":"ITEM-1","issued":{"date-parts":[["1983"]]},"title":"A rapid centrifugal-flotation technique for separating nematodes from soil.","type":"article-journal"},"uris":["http://www.mendeley.com/documents/?uuid=bb9ad16c-7d32-44b7-83f8-7b37b0ea0a65"]}],"mendeley":{"formattedCitation":"(Jenkins, 1983)","manualFormatting":"(Jenkins, 1964)","plainTextFormattedCitation":"(Jenkins, 1983)","previouslyFormattedCitation":"(Jenkins, 1983)"},"properties":{"noteIndex":0},"schema":"https://github.com/citation-style-language/schema/raw/master/csl-citation.json"}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(Jenkins, 1964)</w:t>
      </w:r>
      <w:r w:rsidRPr="00D40FF8">
        <w:rPr>
          <w:rFonts w:cs="Times New Roman"/>
          <w:szCs w:val="24"/>
        </w:rPr>
        <w:fldChar w:fldCharType="end"/>
      </w:r>
      <w:r w:rsidRPr="00D40FF8">
        <w:rPr>
          <w:rFonts w:cs="Times New Roman"/>
          <w:szCs w:val="24"/>
        </w:rPr>
        <w:t xml:space="preserve">. First, the root </w:t>
      </w:r>
      <w:r>
        <w:rPr>
          <w:rFonts w:cs="Times New Roman"/>
          <w:szCs w:val="24"/>
        </w:rPr>
        <w:t>system</w:t>
      </w:r>
      <w:r w:rsidRPr="00D40FF8">
        <w:rPr>
          <w:rFonts w:cs="Times New Roman"/>
          <w:szCs w:val="24"/>
        </w:rPr>
        <w:t xml:space="preserve"> was soaked in water for at least 15 min, after which most of the </w:t>
      </w:r>
      <w:r>
        <w:rPr>
          <w:rFonts w:cs="Times New Roman"/>
          <w:szCs w:val="24"/>
        </w:rPr>
        <w:t xml:space="preserve">remaining </w:t>
      </w:r>
      <w:r w:rsidRPr="00D40FF8">
        <w:rPr>
          <w:rFonts w:cs="Times New Roman"/>
          <w:szCs w:val="24"/>
        </w:rPr>
        <w:t xml:space="preserve">soil attached to the roots was gently removed into the water by hand. The roots were then placed </w:t>
      </w:r>
      <w:r>
        <w:rPr>
          <w:rFonts w:cs="Times New Roman"/>
          <w:szCs w:val="24"/>
        </w:rPr>
        <w:t>on</w:t>
      </w:r>
      <w:r w:rsidRPr="00D40FF8">
        <w:rPr>
          <w:rFonts w:cs="Times New Roman"/>
          <w:szCs w:val="24"/>
        </w:rPr>
        <w:t>to an 850</w:t>
      </w:r>
      <w:r>
        <w:rPr>
          <w:rFonts w:cs="Times New Roman"/>
          <w:szCs w:val="24"/>
        </w:rPr>
        <w:t xml:space="preserve"> </w:t>
      </w:r>
      <w:r w:rsidRPr="00D40FF8">
        <w:rPr>
          <w:rFonts w:cs="Times New Roman"/>
          <w:szCs w:val="24"/>
        </w:rPr>
        <w:t>µm-pore sieve nested over a 250</w:t>
      </w:r>
      <w:r>
        <w:rPr>
          <w:rFonts w:cs="Times New Roman"/>
          <w:szCs w:val="24"/>
        </w:rPr>
        <w:t xml:space="preserve"> </w:t>
      </w:r>
      <w:r w:rsidRPr="00D40FF8">
        <w:rPr>
          <w:rFonts w:cs="Times New Roman"/>
          <w:szCs w:val="24"/>
        </w:rPr>
        <w:t xml:space="preserve">µm-pore sieve. </w:t>
      </w:r>
      <w:r>
        <w:rPr>
          <w:rFonts w:cs="Times New Roman"/>
          <w:szCs w:val="24"/>
        </w:rPr>
        <w:t>R</w:t>
      </w:r>
      <w:r w:rsidRPr="00D40FF8">
        <w:rPr>
          <w:rFonts w:cs="Times New Roman"/>
          <w:szCs w:val="24"/>
        </w:rPr>
        <w:t xml:space="preserve">oots were sprayed with a strong water stream to dislodge SCN females </w:t>
      </w:r>
      <w:r>
        <w:rPr>
          <w:rFonts w:cs="Times New Roman"/>
          <w:szCs w:val="24"/>
        </w:rPr>
        <w:t>from</w:t>
      </w:r>
      <w:r w:rsidRPr="00D40FF8">
        <w:rPr>
          <w:rFonts w:cs="Times New Roman"/>
          <w:szCs w:val="24"/>
        </w:rPr>
        <w:t xml:space="preserve"> the roots into the 250µm-pore sieve. </w:t>
      </w:r>
      <w:r>
        <w:rPr>
          <w:rFonts w:cs="Times New Roman"/>
          <w:szCs w:val="24"/>
        </w:rPr>
        <w:t>T</w:t>
      </w:r>
      <w:r w:rsidRPr="00D40FF8">
        <w:rPr>
          <w:rFonts w:cs="Times New Roman"/>
          <w:szCs w:val="24"/>
        </w:rPr>
        <w:t xml:space="preserve">he soil in the bucket was thoroughly mixed, stirred by hand, and then carefully decanted </w:t>
      </w:r>
      <w:r>
        <w:rPr>
          <w:rFonts w:cs="Times New Roman"/>
          <w:szCs w:val="24"/>
        </w:rPr>
        <w:t>through</w:t>
      </w:r>
      <w:r w:rsidRPr="00D40FF8">
        <w:rPr>
          <w:rFonts w:cs="Times New Roman"/>
          <w:szCs w:val="24"/>
        </w:rPr>
        <w:t xml:space="preserve"> the 850µm-pore sieve. All the materials collected in the 250µm sieve were then rinsed with water and decanted into a clean beaker. Further separation and extraction of the SCN females were done by using the sucrose centrifugation method, using a </w:t>
      </w:r>
      <w:r>
        <w:rPr>
          <w:rFonts w:cs="Times New Roman"/>
          <w:szCs w:val="24"/>
        </w:rPr>
        <w:t>dense</w:t>
      </w:r>
      <w:r w:rsidRPr="00D40FF8">
        <w:rPr>
          <w:rFonts w:cs="Times New Roman"/>
          <w:szCs w:val="24"/>
        </w:rPr>
        <w:t xml:space="preserve"> sugar solution containing 605g table sugar dissolved in 500 ml water </w:t>
      </w:r>
      <w:r w:rsidRPr="00D40FF8">
        <w:rPr>
          <w:rFonts w:cs="Times New Roman"/>
          <w:szCs w:val="24"/>
        </w:rPr>
        <w:fldChar w:fldCharType="begin" w:fldLock="1"/>
      </w:r>
      <w:r w:rsidRPr="00D40FF8">
        <w:rPr>
          <w:rFonts w:cs="Times New Roman"/>
          <w:szCs w:val="24"/>
        </w:rPr>
        <w:instrText>ADDIN CSL_CITATION {"citationItems":[{"id":"ITEM-1","itemData":{"ISBN":"0865313210","abstract":"Soil samples of 100 to 500 ml. are washed through a 20-mesh sieve into a 2-gallon bucket. After half filling with water, the mixture is well stirred and then allowed to stand for about 30 sec. before decanting through a 270- or 325-mesh sieve. This is done twice and the residue on the sieve collected in a beaker; the remaining soil is discarded. The residue is transferred to two 50 ml. centrifuge tubes and spun for 4 to 5 min. at about 1, 750 r.p.m. The supernatant liquid is then poured off and a sugar solution added (1 lb. cane sugar, l litre water), thoroughly mixing sugar solution and sediment; the tubes are spun for 0.5 to 1 min. The supernatant containing the nematodes is poured on to a 325-mesh sieve. After rinsing the sugar away with water the nematodes are ready for use. The process is said to recover all free-living nematodes in excellent shape and with infective potential. C.E.T.","author":[{"dropping-particle":"","family":"Jenkins","given":"W. R.","non-dropping-particle":"","parse-names":false,"suffix":""}],"container-title":"Plant Disease Reporter","id":"ITEM-1","issued":{"date-parts":[["1983"]]},"title":"A rapid centrifugal-flotation technique for separating nematodes from soil.","type":"article-journal"},"uris":["http://www.mendeley.com/documents/?uuid=bb9ad16c-7d32-44b7-83f8-7b37b0ea0a65"]}],"mendeley":{"formattedCitation":"(Jenkins, 1983)","plainTextFormattedCitation":"(Jenkins, 1983)","previouslyFormattedCitation":"(Jenkins, 1983)"},"properties":{"noteIndex":0},"schema":"https://github.com/citation-style-language/schema/raw/master/csl-citation.json"}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(Jenkins, 1983)</w:t>
      </w:r>
      <w:r w:rsidRPr="00D40FF8">
        <w:rPr>
          <w:rFonts w:cs="Times New Roman"/>
          <w:szCs w:val="24"/>
        </w:rPr>
        <w:fldChar w:fldCharType="end"/>
      </w:r>
      <w:r w:rsidRPr="00D40FF8">
        <w:rPr>
          <w:rFonts w:cs="Times New Roman"/>
          <w:szCs w:val="24"/>
        </w:rPr>
        <w:t xml:space="preserve">. </w:t>
      </w:r>
    </w:p>
    <w:p w14:paraId="11004A24" w14:textId="32C6E396" w:rsidR="00BE3C59" w:rsidRDefault="00BE3C59">
      <w:pPr>
        <w:rPr>
          <w:rFonts w:cs="Times New Roman"/>
          <w:b/>
          <w:szCs w:val="24"/>
        </w:rPr>
      </w:pPr>
      <w:r>
        <w:rPr>
          <w:rFonts w:cs="Times New Roman"/>
          <w:b/>
          <w:szCs w:val="24"/>
        </w:rPr>
        <w:br w:type="page"/>
      </w:r>
    </w:p>
    <w:p w14:paraId="5329038B" w14:textId="77777777" w:rsidR="00D20476" w:rsidRPr="00EE50AA" w:rsidRDefault="00D20476" w:rsidP="00D20476">
      <w:pPr>
        <w:spacing w:line="360" w:lineRule="auto"/>
        <w:ind w:left="720"/>
        <w:rPr>
          <w:rFonts w:cs="Times New Roman"/>
          <w:b/>
          <w:i/>
          <w:szCs w:val="24"/>
        </w:rPr>
      </w:pPr>
      <w:r w:rsidRPr="00EE50AA">
        <w:rPr>
          <w:rFonts w:cs="Times New Roman"/>
          <w:b/>
          <w:i/>
          <w:szCs w:val="24"/>
        </w:rPr>
        <w:t xml:space="preserve">Extraction of eggs from SCN females. </w:t>
      </w:r>
    </w:p>
    <w:p w14:paraId="6779DBBD"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 xml:space="preserve">After extraction, the SCN females were crushed using a rubber stopper attached to a drill press in a small 250µm pore sieve over a 75µm pore sieve nested on a 25µm pore sieve. After rinsing with a strong pressure water stream, the eggs were poured into a clean beaker and diluted to 20 to 40mL egg solution. The density of eggs present in 1mL of the egg solution was </w:t>
      </w:r>
      <w:r>
        <w:rPr>
          <w:rFonts w:cs="Times New Roman"/>
          <w:szCs w:val="24"/>
        </w:rPr>
        <w:t>determined</w:t>
      </w:r>
      <w:r w:rsidRPr="00D40FF8">
        <w:rPr>
          <w:rFonts w:cs="Times New Roman"/>
          <w:szCs w:val="24"/>
        </w:rPr>
        <w:t xml:space="preserve"> on a counting disk under a microscope, and </w:t>
      </w:r>
      <w:r>
        <w:rPr>
          <w:rFonts w:cs="Times New Roman"/>
          <w:szCs w:val="24"/>
        </w:rPr>
        <w:t xml:space="preserve">the </w:t>
      </w:r>
      <w:r w:rsidRPr="00D40FF8">
        <w:rPr>
          <w:rFonts w:cs="Times New Roman"/>
          <w:szCs w:val="24"/>
        </w:rPr>
        <w:t xml:space="preserve">total egg number </w:t>
      </w:r>
      <w:r w:rsidRPr="0068375E">
        <w:rPr>
          <w:rFonts w:cs="Times New Roman"/>
          <w:szCs w:val="24"/>
        </w:rPr>
        <w:t>was extrapolated.</w:t>
      </w:r>
      <w:r w:rsidRPr="00D40FF8">
        <w:rPr>
          <w:rFonts w:cs="Times New Roman"/>
          <w:szCs w:val="24"/>
        </w:rPr>
        <w:t xml:space="preserve"> SCN populations </w:t>
      </w:r>
      <w:r w:rsidRPr="0068375E">
        <w:rPr>
          <w:rFonts w:cs="Times New Roman"/>
          <w:szCs w:val="24"/>
        </w:rPr>
        <w:t>with sufficient</w:t>
      </w:r>
      <w:r w:rsidRPr="00D40FF8">
        <w:rPr>
          <w:rFonts w:cs="Times New Roman"/>
          <w:szCs w:val="24"/>
        </w:rPr>
        <w:t xml:space="preserve"> eggs (&gt; 65,000 eggs) were used to perform the HG type test. Populations </w:t>
      </w:r>
      <w:r>
        <w:rPr>
          <w:rFonts w:cs="Times New Roman"/>
          <w:szCs w:val="24"/>
        </w:rPr>
        <w:t>with a lower</w:t>
      </w:r>
      <w:r w:rsidRPr="00D40FF8">
        <w:rPr>
          <w:rFonts w:cs="Times New Roman"/>
          <w:szCs w:val="24"/>
        </w:rPr>
        <w:t xml:space="preserve"> egg </w:t>
      </w:r>
      <w:r>
        <w:rPr>
          <w:rFonts w:cs="Times New Roman"/>
          <w:szCs w:val="24"/>
        </w:rPr>
        <w:t>yield</w:t>
      </w:r>
      <w:r w:rsidRPr="00D40FF8">
        <w:rPr>
          <w:rFonts w:cs="Times New Roman"/>
          <w:szCs w:val="24"/>
        </w:rPr>
        <w:t xml:space="preserve"> were inoculated onto the roots of susceptible soybean again to reproduce for 30 to 60 days to increase the population to the required density and provide an active population for the HG type test.</w:t>
      </w:r>
    </w:p>
    <w:p w14:paraId="48EFBF3F" w14:textId="77777777" w:rsidR="00D20476" w:rsidRPr="00D40FF8" w:rsidRDefault="00D20476" w:rsidP="00D20476">
      <w:pPr>
        <w:spacing w:line="360" w:lineRule="auto"/>
        <w:ind w:left="720" w:firstLine="720"/>
        <w:rPr>
          <w:rFonts w:cs="Times New Roman"/>
          <w:szCs w:val="24"/>
        </w:rPr>
      </w:pPr>
    </w:p>
    <w:p w14:paraId="3088A8B5" w14:textId="77777777" w:rsidR="00D20476" w:rsidRPr="00EE50AA" w:rsidRDefault="00D20476" w:rsidP="00D20476">
      <w:pPr>
        <w:spacing w:line="360" w:lineRule="auto"/>
        <w:ind w:left="720"/>
        <w:rPr>
          <w:rFonts w:cs="Times New Roman"/>
          <w:b/>
          <w:i/>
          <w:szCs w:val="24"/>
        </w:rPr>
      </w:pPr>
      <w:r w:rsidRPr="00EE50AA">
        <w:rPr>
          <w:rFonts w:cs="Times New Roman"/>
          <w:b/>
          <w:i/>
          <w:szCs w:val="24"/>
        </w:rPr>
        <w:t xml:space="preserve">Determination of the HG type. </w:t>
      </w:r>
    </w:p>
    <w:p w14:paraId="05BCF2E9" w14:textId="77777777" w:rsidR="00D20476" w:rsidRPr="00D40FF8" w:rsidRDefault="00D20476" w:rsidP="00D20476">
      <w:pPr>
        <w:spacing w:line="360" w:lineRule="auto"/>
        <w:ind w:left="720" w:firstLine="720"/>
        <w:rPr>
          <w:rFonts w:cs="Times New Roman"/>
          <w:szCs w:val="24"/>
        </w:rPr>
      </w:pPr>
      <w:r w:rsidRPr="0095393B">
        <w:t>N</w:t>
      </w:r>
      <w:r w:rsidRPr="00D40FF8">
        <w:rPr>
          <w:rFonts w:cs="Times New Roman"/>
          <w:szCs w:val="24"/>
        </w:rPr>
        <w:t xml:space="preserve">ine SCN populations that had a sufficient population density were used to perform the HG type test following the method described in previous studies </w:t>
      </w:r>
      <w:r w:rsidRPr="00D40FF8">
        <w:rPr>
          <w:rFonts w:cs="Times New Roman"/>
          <w:szCs w:val="24"/>
        </w:rPr>
        <w:fldChar w:fldCharType="begin" w:fldLock="1"/>
      </w:r>
      <w:r>
        <w:rPr>
          <w:rFonts w:cs="Times New Roman"/>
          <w:szCs w:val="24"/>
        </w:rPr>
        <w:instrText>ADDIN CSL_CITATION {"citationItems":[{"id":"ITEM-1","itemData":{"author":[{"dropping-particle":"","family":"Zheng","given":"J W","non-dropping-particle":"","parse-names":false,"suffix":""},{"dropping-particle":"","family":"Chen","given":"S Y","non-dropping-particle":"","parse-names":false,"suffix":""}],"id":"ITEM-1","issue":"March","issued":{"date-parts":[["2011"]]},"page":"37-43","title":"Estimation of virulence type and level of soybean cyst nematode field populations in response to resistant cultivars","type":"article-journal","volume":"3"},"uris":["http://www.mendeley.com/documents/?uuid=cb6dfc01-25fa-4bd3-9cab-2d578c7b42e0"]},{"id":"ITEM-2","itemData":{"DOI":"10.1094/PDIS-04-16-0572-RE","ISSN":"01912917","abstract":"The soybean cyst nematode (SCN), Heterodera glycines, is the most important yield-limiting pathogen of soybean in the United States. In South Dakota, SCN has been found in 29 counties, as of 2016, and continues to spread. Determining the virulence phenotypes (HG types) of the SCN populations can reveal the diversity of the SCN populations and the sources of resistance that would be most effective for SCN management. To determine the HG types prevalent in South Dakota, 250 soil samples were collected from at least three arbitrarily selected fields in each of the 28 counties with fields previously found to be infested with SCN. SCN was detected in 82 fields (33%), and combined egg and juvenile counts ranged from 200 to 65,200 per 100 cm3 of soil. Eggs and juveniles were extracted from each soil sample and were used to infest seven SCN HG type test indicator soybean lines and ‘Williams 82’ as the susceptible check. A female index (FI) was calculated based on the number of females found on each indicator line relative to those on the susceptible check. A FI equal to or greater than 10% in any line was assigned as that HG type. Out of 73 SCN populations for which HG type tests were done, 63% had FI ≥10% on PI 548316 (indicator line #7), 25% on PI 88788 (#2), 19% on PI 209332 (#5), 7% on PI 548402 (#1), 4% on PI 90736 (#3), and 4% on PI 89722 (#6). None of the SCN populations had FI ≥10% on PI 437654 (indicator line #4). The most prevalent HG types were 0, 2.5.7, and 7. These accounted for 81% of all the HG types determined for the samples tested. HG types with ≥10% reproduction on indicator lines PI 88788, PI 209332, and PI 548317 were most prevalent in the soil samples tested, suggesting that the use of these sources of resistance for developing SCN resistant cultivars should be avoided. For sustainable SCN management, use of resistant cultivars should be rotated with nonhost crops and cultivars with different sources of resistance.","author":[{"dropping-particle":"","family":"Acharya","given":"K.","non-dropping-particle":"","parse-names":false,"suffix":""},{"dropping-particle":"","family":"Tande","given":"C.","non-dropping-particle":"","parse-names":false,"suffix":""},{"dropping-particle":"","family":"Byamukama","given":"E.","non-dropping-particle":"","parse-names":false,"suffix":""}],"container-title":"Plant Disease","id":"ITEM-2","issue":"11","issued":{"date-parts":[["2016"]]},"page":"2281-2286","title":"Determination of heterodera glycines virulence phenotypes occurring in South Dakota","type":"article-journal","volume":"100"},"uris":["http://www.mendeley.com/documents/?uuid=4db46b6b-d1ca-4973-bb8d-c030156c32ce"]},{"id":"ITEM-3","itemData":{"DOI":"10.1094/PDIS.2003.87.8.929","ISSN":"01912917","abstract":"The soybean cyst nematode, Heterodera glycines, is the most economically important pathogen of soybean in Missouri. Knowledge of the nematode's distribution and ability to adapt to resistant varieties is important for determining crop losses and establishing research priorities. No previous surveys of Missouri have provided reliable population density and phenotypic diversity data; therefore, we conducted a random survey to obtain both. Two samples from each of 200 fields were collected; 392 samples were processed for extractions of cysts and eggs. Two hundred and forty seven (63%) of the samples had detectable cyst nematode populations, which ranged from 15 to 149,700 eggs per 250 cm3 of soil. The lowest average population densities were observed in the east-central region of Missouri (2,260 eggs per 250 cm3 of soil), and the highest were observed in the northeast (9,238 eggs per 250 cm3 of soil), but among the eight regions sampled, mean population densities did not differ significantly. These population densities were potentially responsible for losses worth over $58 million in 1999 in Missouri. Race tests were conducted on populations from 183 samples. In order of frequency, races 3, 1, and 2 accounted for 86% of H. glycines populations. Nearly 60% of the populations were virulent (able to produce females) on plant introduction (PI) 88788, which is the source of resistance for most H. glycines-resistant cultivars. More than a third of the populations were virulent on cv. Peking, another common resistance source. Very few populations were virulent on PI 90763 or PI 437654, suggesting that these sources of resistance should be exploited more frequently.","author":[{"dropping-particle":"","family":"Niblack","given":"T. L.","non-dropping-particle":"","parse-names":false,"suffix":""},{"dropping-particle":"","family":"Wrather","given":"J. A.","non-dropping-particle":"","parse-names":false,"suffix":""},{"dropping-particle":"","family":"Heinz","given":"R. D.","non-dropping-particle":"","parse-names":false,"suffix":""},{"dropping-particle":"","family":"Donald","given":"P. A.","non-dropping-particle":"","parse-names":false,"suffix":""}],"container-title":"Plant Disease","id":"ITEM-3","issue":"8","issued":{"date-parts":[["2003"]]},"page":"929-932","title":"Distribution and virulence phenotypes of Heterodera glycines in Missouri","type":"article-journal","volume":"87"},"uris":["http://www.mendeley.com/documents/?uuid=d92e8830-cd42-4f69-a98f-41443f91bd73"]},{"id":"ITEM-4","itemData":{"DOI":"10.1094/php-2009-0513-01-rv","ISSN":"1535-1025","author":[{"dropping-particle":"","family":"Niblack","given":"T. L.","non-dropping-particle":"","parse-names":false,"suffix":""},{"dropping-particle":"","family":"Tylka","given":"Gregory L.","non-dropping-particle":"","parse-names":false,"suffix":""},{"dropping-particle":"","family":"Arelli","given":"Prakash","non-dropping-particle":"","parse-names":false,"suffix":""},{"dropping-particle":"","family":"Bond","given":"Jason","non-dropping-particle":"","parse-names":false,"suffix":""},{"dropping-particle":"","family":"Diers","given":"Brian","non-dropping-particle":"","parse-names":false,"suffix":""},{"dropping-particle":"","family":"Donald","given":"Pat","non-dropping-particle":"","parse-names":false,"suffix":""},{"dropping-particle":"","family":"Faghihi","given":"Jamal","non-dropping-particle":"","parse-names":false,"suffix":""},{"dropping-particle":"","family":"Gallo","given":"Karen","non-dropping-particle":"","parse-names":false,"suffix":""},{"dropping-particle":"","family":"Heinz","given":"Robert D.","non-dropping-particle":"","parse-names":false,"suffix":""},{"dropping-particle":"","family":"Lopez-Nicora","given":"Horacio","non-dropping-particle":"","parse-names":false,"suffix":""},{"dropping-particle":"","family":"Qualen","given":"Ralph","non-dropping-particle":"Von","parse-names":false,"suffix":""},{"dropping-particle":"","family":"Welacky","given":"Tom","non-dropping-particle":"","parse-names":false,"suffix":""},{"dropping-particle":"","family":"Wilcox","given":"John","non-dropping-particle":"","parse-names":false,"suffix":""}],"container-title":"Plant Health Progress","id":"ITEM-4","issue":"1","issued":{"date-parts":[["2009"]]},"page":"33","title":"A Standard Greenhouse Method for Assessing Soybean Cyst Nematode Resistance in Soybean: SCE08 (Standardized Cyst Evaluation 2008)","type":"article-journal","volume":"10"},"uris":["http://www.mendeley.com/documents/?uuid=add21cc1-e9b1-48e6-b7c7-be1ee122a1ce"]},{"id":"ITEM-5","itemData":{"ISSN":"0022300X","PMID":"19265945","abstract":"Heterodera glycines, the soybean cyst nematode, is a major yield-limiting pathogen in most soybean production areas worldwide. Field populations of H. glycines exhibit diversity in their ability to develop on resistant soybean cultivars. Since 1970, this diversity has been characterized by a bioassay used to assign a race classification to a population. The value of the race scheme is reflected in the number and quality of resistant soybean cultivars that have been developed and released by soybean breeders and nematologists working in concert. However, the race scheme also has been misapplied as a means of studying H. glycines genotypes, in part due to the use of the term \"race.\" For fungal and bacterial pathogen species, \"race\" can theoretically be applied to individuals of a population, thus allowing inference of individual genotypes. Application of a race designation to an individual egg or second-stage juvenile (J2) of H. glycines is not possible because a single J2 cannot be tested on multiple hosts. For other nematode species, \"race\" is defined by host ranges involving different plant species, whereas the H. glycines race test involves a set of lines of the same plant species. Nonetheless, because H. glycines populations vary in genetic diversity, and this variation has implications for management strategies, a mechanism is needed for documenting and discussing population differences. The HG Type scheme described herein avoids the implication of genetic uniformity or predictability in contrast to the way the race scheme has been used.","author":[{"dropping-particle":"","family":"Niblack","given":"T. L.","non-dropping-particle":"","parse-names":false,"suffix":""},{"dropping-particle":"","family":"Arelli","given":"P. R.","non-dropping-particle":"","parse-names":false,"suffix":""},{"dropping-particle":"","family":"Noel","given":"G. R.","non-dropping-particle":"","parse-names":false,"suffix":""},{"dropping-particle":"","family":"Opperman","given":"C. H.","non-dropping-particle":"","parse-names":false,"suffix":""},{"dropping-particle":"","family":"Orf","given":"J. H.","non-dropping-particle":"","parse-names":false,"suffix":""},{"dropping-particle":"","family":"Schmitt","given":"D. P.","non-dropping-particle":"","parse-names":false,"suffix":""},{"dropping-particle":"","family":"Shannon","given":"J. G.","non-dropping-particle":"","parse-names":false,"suffix":""},{"dropping-particle":"","family":"Tylka","given":"G. L.","non-dropping-particle":"","parse-names":false,"suffix":""}],"container-title":"Journal of Nematology","id":"ITEM-5","issue":"4","issued":{"date-parts":[["2002"]]},"page":"279-288","title":"A revised classification scheme for genetically diverse populations of Heterodera glycines","type":"article-journal","volume":"34"},"uris":["http://www.mendeley.com/documents/?uuid=a1fbd69e-f7b7-4bf0-abc1-8bbedd7a785f"]}],"mendeley":{"formattedCitation":"(Acharya et al., 2016; Niblack et al., 2002, 2003, 2009; J. W. Zheng &amp; Chen, 2011)","plainTextFormattedCitation":"(Acharya et al., 2016; Niblack et al., 2002, 2003, 2009; J. W. Zheng &amp; Chen, 2011)","previouslyFormattedCitation":"(Acharya et al., 2016; Niblack et al., 2002, 2003, 2009; Zheng &amp; Chen, 2011)"},"properties":{"noteIndex":0},"schema":"https://github.com/citation-style-language/schema/raw/master/csl-citation.json"}</w:instrText>
      </w:r>
      <w:r w:rsidRPr="00D40FF8">
        <w:rPr>
          <w:rFonts w:cs="Times New Roman"/>
          <w:szCs w:val="24"/>
        </w:rPr>
        <w:fldChar w:fldCharType="separate"/>
      </w:r>
      <w:r w:rsidRPr="00FB5B67">
        <w:rPr>
          <w:rFonts w:cs="Times New Roman"/>
          <w:noProof/>
          <w:szCs w:val="24"/>
        </w:rPr>
        <w:t xml:space="preserve">(Acharya et al., 2016; Niblack </w:t>
      </w:r>
      <w:r>
        <w:rPr>
          <w:rFonts w:cs="Times New Roman"/>
          <w:noProof/>
          <w:szCs w:val="24"/>
        </w:rPr>
        <w:t xml:space="preserve">et al., 2002, 2003, 2009; </w:t>
      </w:r>
      <w:r w:rsidRPr="00FB5B67">
        <w:rPr>
          <w:rFonts w:cs="Times New Roman"/>
          <w:noProof/>
          <w:szCs w:val="24"/>
        </w:rPr>
        <w:t>Zheng &amp; Chen, 2011)</w:t>
      </w:r>
      <w:r w:rsidRPr="00D40FF8">
        <w:rPr>
          <w:rFonts w:cs="Times New Roman"/>
          <w:szCs w:val="24"/>
        </w:rPr>
        <w:fldChar w:fldCharType="end"/>
      </w:r>
      <w:r w:rsidRPr="00D40FF8">
        <w:rPr>
          <w:rFonts w:cs="Times New Roman"/>
          <w:szCs w:val="24"/>
        </w:rPr>
        <w:t xml:space="preserve"> with some </w:t>
      </w:r>
      <w:r w:rsidRPr="0068375E">
        <w:rPr>
          <w:rFonts w:cs="Times New Roman"/>
          <w:szCs w:val="24"/>
        </w:rPr>
        <w:t>modification.</w:t>
      </w:r>
      <w:r w:rsidRPr="00D40FF8">
        <w:rPr>
          <w:rFonts w:cs="Times New Roman"/>
          <w:szCs w:val="24"/>
        </w:rPr>
        <w:t xml:space="preserve"> Soybean indicator lines used for the HG type testing included </w:t>
      </w:r>
      <w:r>
        <w:rPr>
          <w:rFonts w:cs="Times New Roman"/>
          <w:szCs w:val="24"/>
        </w:rPr>
        <w:t xml:space="preserve">PI 548402 (‘Peking’, indicator </w:t>
      </w:r>
      <w:r w:rsidRPr="00D40FF8">
        <w:rPr>
          <w:rFonts w:cs="Times New Roman"/>
          <w:szCs w:val="24"/>
        </w:rPr>
        <w:t xml:space="preserve">1), </w:t>
      </w:r>
      <w:r>
        <w:rPr>
          <w:rFonts w:cs="Times New Roman"/>
          <w:szCs w:val="24"/>
        </w:rPr>
        <w:t xml:space="preserve">PI 88788 (2), PI 90763 (3), PI 437654 (4), PI 209332 (5), PI 89772 (6), PI 548316 (‘Cloud’, </w:t>
      </w:r>
      <w:r w:rsidRPr="00D40FF8">
        <w:rPr>
          <w:rFonts w:cs="Times New Roman"/>
          <w:szCs w:val="24"/>
        </w:rPr>
        <w:t>7), and a susceptible check (‘Williams 82’), which were obtained from the USDA soybean germplasm collection at the University of Illinois, Urban</w:t>
      </w:r>
      <w:r>
        <w:rPr>
          <w:rFonts w:cs="Times New Roman"/>
          <w:szCs w:val="24"/>
        </w:rPr>
        <w:t>a-Champaign</w:t>
      </w:r>
      <w:r w:rsidRPr="00D40FF8">
        <w:rPr>
          <w:rFonts w:cs="Times New Roman"/>
          <w:szCs w:val="24"/>
        </w:rPr>
        <w:t xml:space="preserve">. Seeds were germinated </w:t>
      </w:r>
      <w:r>
        <w:rPr>
          <w:rFonts w:cs="Times New Roman"/>
          <w:szCs w:val="24"/>
        </w:rPr>
        <w:t>on</w:t>
      </w:r>
      <w:r w:rsidRPr="00D40FF8">
        <w:rPr>
          <w:rFonts w:cs="Times New Roman"/>
          <w:szCs w:val="24"/>
        </w:rPr>
        <w:t xml:space="preserve"> moist germination paper in a growth chamber at 28°C for three days. </w:t>
      </w:r>
      <w:r>
        <w:rPr>
          <w:rFonts w:cs="Times New Roman"/>
          <w:szCs w:val="24"/>
        </w:rPr>
        <w:t>O</w:t>
      </w:r>
      <w:r w:rsidRPr="00D40FF8">
        <w:rPr>
          <w:rFonts w:cs="Times New Roman"/>
          <w:szCs w:val="24"/>
        </w:rPr>
        <w:t xml:space="preserve">ne seedling of each </w:t>
      </w:r>
      <w:r>
        <w:rPr>
          <w:rFonts w:cs="Times New Roman"/>
          <w:szCs w:val="24"/>
        </w:rPr>
        <w:t>line</w:t>
      </w:r>
      <w:r w:rsidRPr="00D40FF8">
        <w:rPr>
          <w:rFonts w:cs="Times New Roman"/>
          <w:szCs w:val="24"/>
        </w:rPr>
        <w:t xml:space="preserve"> was planted into a </w:t>
      </w:r>
      <w:r>
        <w:rPr>
          <w:rFonts w:cs="Times New Roman"/>
          <w:szCs w:val="24"/>
        </w:rPr>
        <w:t>PVC</w:t>
      </w:r>
      <w:r w:rsidRPr="00D40FF8">
        <w:rPr>
          <w:rFonts w:cs="Times New Roman"/>
          <w:szCs w:val="24"/>
        </w:rPr>
        <w:t xml:space="preserve"> tube (2.5</w:t>
      </w:r>
      <w:r>
        <w:rPr>
          <w:rFonts w:cs="Times New Roman"/>
          <w:szCs w:val="24"/>
        </w:rPr>
        <w:t xml:space="preserve"> </w:t>
      </w:r>
      <w:r w:rsidRPr="00D40FF8">
        <w:rPr>
          <w:rFonts w:cs="Times New Roman"/>
          <w:szCs w:val="24"/>
        </w:rPr>
        <w:t xml:space="preserve">cm </w:t>
      </w:r>
      <w:r>
        <w:rPr>
          <w:rFonts w:cs="Times New Roman"/>
          <w:szCs w:val="24"/>
        </w:rPr>
        <w:t>wide</w:t>
      </w:r>
      <w:r w:rsidRPr="00D40FF8">
        <w:rPr>
          <w:rFonts w:cs="Times New Roman"/>
          <w:szCs w:val="24"/>
        </w:rPr>
        <w:t>, 23</w:t>
      </w:r>
      <w:r>
        <w:rPr>
          <w:rFonts w:cs="Times New Roman"/>
          <w:szCs w:val="24"/>
        </w:rPr>
        <w:t xml:space="preserve"> </w:t>
      </w:r>
      <w:r w:rsidRPr="00D40FF8">
        <w:rPr>
          <w:rFonts w:cs="Times New Roman"/>
          <w:szCs w:val="24"/>
        </w:rPr>
        <w:t>cm long) filled with a mixture of pasteurized Mason Sand and field soil in a 3:1 ratio, respectively. The tubes were arranged in a completely randomized design with five replicates in a rectangular 5-gallon bucket (D:W:H: 40:30:20cm</w:t>
      </w:r>
      <w:r w:rsidRPr="00D40FF8">
        <w:rPr>
          <w:rStyle w:val="CommentReference"/>
          <w:rFonts w:cs="Times New Roman"/>
          <w:szCs w:val="24"/>
        </w:rPr>
        <w:t>)</w:t>
      </w:r>
      <w:r w:rsidRPr="00D40FF8">
        <w:rPr>
          <w:rFonts w:cs="Times New Roman"/>
          <w:szCs w:val="24"/>
        </w:rPr>
        <w:t>. Spaces between the tubes were filled with soil to keep the tubes in place. At planting, each soybean seedling was infested with approximately 2,000 SCN eggs contained in 1 mL of water. The bucket was maintained in a growth chamber at 28°C and 16-hours of daylight for 30 days. The plants were watered to optimum moisture level each day and fertilized weekly with Miracle-Gro Plant Food (The Scotts Company, Marysville, OH) at the rate of 14g per 3.8 L. After 30 days, the tubes were removed from the bucket and soaked in water for 15 min</w:t>
      </w:r>
      <w:r>
        <w:rPr>
          <w:rFonts w:cs="Times New Roman"/>
          <w:szCs w:val="24"/>
        </w:rPr>
        <w:t>,</w:t>
      </w:r>
      <w:r w:rsidRPr="00D40FF8">
        <w:rPr>
          <w:rFonts w:cs="Times New Roman"/>
          <w:szCs w:val="24"/>
        </w:rPr>
        <w:t xml:space="preserve"> the</w:t>
      </w:r>
      <w:r>
        <w:rPr>
          <w:rFonts w:cs="Times New Roman"/>
          <w:szCs w:val="24"/>
        </w:rPr>
        <w:t>n</w:t>
      </w:r>
      <w:r w:rsidRPr="00D40FF8">
        <w:rPr>
          <w:rFonts w:cs="Times New Roman"/>
          <w:szCs w:val="24"/>
        </w:rPr>
        <w:t xml:space="preserve"> plants were </w:t>
      </w:r>
      <w:r>
        <w:rPr>
          <w:rFonts w:cs="Times New Roman"/>
          <w:szCs w:val="24"/>
        </w:rPr>
        <w:t>carefully</w:t>
      </w:r>
      <w:r w:rsidRPr="00D40FF8">
        <w:rPr>
          <w:rFonts w:cs="Times New Roman"/>
          <w:szCs w:val="24"/>
        </w:rPr>
        <w:t xml:space="preserve">. </w:t>
      </w:r>
      <w:r>
        <w:rPr>
          <w:rFonts w:cs="Times New Roman"/>
          <w:szCs w:val="24"/>
        </w:rPr>
        <w:t>F</w:t>
      </w:r>
      <w:r w:rsidRPr="00D40FF8">
        <w:rPr>
          <w:rFonts w:cs="Times New Roman"/>
          <w:szCs w:val="24"/>
        </w:rPr>
        <w:t xml:space="preserve">emale SCN were collected from the roots as </w:t>
      </w:r>
      <w:r>
        <w:rPr>
          <w:rFonts w:cs="Times New Roman"/>
          <w:szCs w:val="24"/>
        </w:rPr>
        <w:t xml:space="preserve">previously </w:t>
      </w:r>
      <w:r w:rsidRPr="00D40FF8">
        <w:rPr>
          <w:rFonts w:cs="Times New Roman"/>
          <w:szCs w:val="24"/>
        </w:rPr>
        <w:t xml:space="preserve">described. All females collected from each indicator line and Williams 82 were counted under a microscope, and the data </w:t>
      </w:r>
      <w:r>
        <w:rPr>
          <w:rFonts w:cs="Times New Roman"/>
          <w:szCs w:val="24"/>
        </w:rPr>
        <w:t>were</w:t>
      </w:r>
      <w:r w:rsidRPr="00D40FF8">
        <w:rPr>
          <w:rFonts w:cs="Times New Roman"/>
          <w:szCs w:val="24"/>
        </w:rPr>
        <w:t xml:space="preserve"> used to calculate the female index (FI) for each line, as follows: FI = (average number of females found on indicator line/average number of females found on susceptible line) </w:t>
      </w:r>
      <w:r w:rsidRPr="00D07534">
        <w:rPr>
          <w:rFonts w:cs="Times New Roman"/>
          <w:b/>
          <w:szCs w:val="24"/>
        </w:rPr>
        <w:t>×</w:t>
      </w:r>
      <w:r w:rsidRPr="00D40FF8">
        <w:rPr>
          <w:rFonts w:cs="Times New Roman"/>
          <w:szCs w:val="24"/>
        </w:rPr>
        <w:t xml:space="preserve"> 100. </w:t>
      </w:r>
      <w:r>
        <w:rPr>
          <w:rFonts w:cs="Times New Roman"/>
          <w:szCs w:val="24"/>
        </w:rPr>
        <w:t xml:space="preserve">An </w:t>
      </w:r>
      <w:r w:rsidRPr="00D40FF8">
        <w:rPr>
          <w:rFonts w:cs="Times New Roman"/>
          <w:szCs w:val="24"/>
        </w:rPr>
        <w:t>SCN population with an FI equal to or greater than 10% on any indicator line was assigned the number of the indicator line as the HG type. Each population was evaluated twice except for P26 and P28 populations</w:t>
      </w:r>
      <w:r>
        <w:rPr>
          <w:rFonts w:cs="Times New Roman"/>
          <w:szCs w:val="24"/>
        </w:rPr>
        <w:t>,</w:t>
      </w:r>
      <w:r w:rsidRPr="00D40FF8">
        <w:rPr>
          <w:rFonts w:cs="Times New Roman"/>
          <w:szCs w:val="24"/>
        </w:rPr>
        <w:t xml:space="preserve"> which died out after the first evaluation.</w:t>
      </w:r>
    </w:p>
    <w:p w14:paraId="1BE6F2A6" w14:textId="7B95B921" w:rsidR="00D20476" w:rsidRPr="00D40FF8" w:rsidRDefault="00D20476" w:rsidP="00D20476">
      <w:pPr>
        <w:pStyle w:val="NormalWeb"/>
        <w:spacing w:before="0" w:beforeAutospacing="0" w:after="0" w:afterAutospacing="0" w:line="360" w:lineRule="auto"/>
        <w:ind w:left="720"/>
        <w:rPr>
          <w:b/>
        </w:rPr>
      </w:pPr>
      <w:r w:rsidRPr="00D40FF8">
        <w:rPr>
          <w:b/>
        </w:rPr>
        <w:t xml:space="preserve">  </w:t>
      </w:r>
    </w:p>
    <w:p w14:paraId="05F79BD5" w14:textId="77777777" w:rsidR="00D20476" w:rsidRPr="00D40FF8" w:rsidRDefault="00D20476" w:rsidP="00FD1FC5">
      <w:pPr>
        <w:pStyle w:val="Heading2"/>
      </w:pPr>
      <w:bookmarkStart w:id="221" w:name="_Toc98812736"/>
      <w:bookmarkStart w:id="222" w:name="_Toc98812944"/>
      <w:bookmarkStart w:id="223" w:name="_Toc98813610"/>
      <w:bookmarkStart w:id="224" w:name="_Toc101048120"/>
      <w:r w:rsidRPr="00D40FF8">
        <w:t>Data analysis</w:t>
      </w:r>
      <w:bookmarkEnd w:id="221"/>
      <w:bookmarkEnd w:id="222"/>
      <w:bookmarkEnd w:id="223"/>
      <w:bookmarkEnd w:id="224"/>
    </w:p>
    <w:p w14:paraId="0721DF79" w14:textId="77777777" w:rsidR="00D20476" w:rsidRPr="00D40FF8" w:rsidRDefault="00D20476" w:rsidP="00D20476">
      <w:pPr>
        <w:pStyle w:val="NoSpacing"/>
        <w:spacing w:line="360" w:lineRule="auto"/>
        <w:ind w:left="720" w:firstLine="720"/>
        <w:rPr>
          <w:rFonts w:ascii="Times New Roman" w:hAnsi="Times New Roman" w:cs="Times New Roman"/>
          <w:sz w:val="24"/>
          <w:szCs w:val="24"/>
        </w:rPr>
      </w:pPr>
      <w:r w:rsidRPr="00D40FF8">
        <w:rPr>
          <w:rFonts w:ascii="Times New Roman" w:hAnsi="Times New Roman" w:cs="Times New Roman"/>
          <w:sz w:val="24"/>
          <w:szCs w:val="24"/>
        </w:rPr>
        <w:t xml:space="preserve">Descriptive statistics were obtained for the survey data using JMP Pro 14 (SAS Institute, Cary, NC), and </w:t>
      </w:r>
      <w:r>
        <w:rPr>
          <w:rFonts w:ascii="Times New Roman" w:hAnsi="Times New Roman" w:cs="Times New Roman"/>
          <w:sz w:val="24"/>
          <w:szCs w:val="24"/>
        </w:rPr>
        <w:t xml:space="preserve">the </w:t>
      </w:r>
      <w:r w:rsidRPr="00D40FF8">
        <w:rPr>
          <w:rFonts w:ascii="Times New Roman" w:hAnsi="Times New Roman" w:cs="Times New Roman"/>
          <w:sz w:val="24"/>
          <w:szCs w:val="24"/>
        </w:rPr>
        <w:t xml:space="preserve">analysis of variance (ANOVA) was performed for the HG type data to compare </w:t>
      </w:r>
      <w:r>
        <w:rPr>
          <w:rFonts w:ascii="Times New Roman" w:hAnsi="Times New Roman" w:cs="Times New Roman"/>
          <w:sz w:val="24"/>
          <w:szCs w:val="24"/>
        </w:rPr>
        <w:t xml:space="preserve">the </w:t>
      </w:r>
      <w:r w:rsidRPr="00D40FF8">
        <w:rPr>
          <w:rFonts w:ascii="Times New Roman" w:hAnsi="Times New Roman" w:cs="Times New Roman"/>
          <w:sz w:val="24"/>
          <w:szCs w:val="24"/>
        </w:rPr>
        <w:t xml:space="preserve">number of SCN females collected from </w:t>
      </w:r>
      <w:r>
        <w:rPr>
          <w:rFonts w:ascii="Times New Roman" w:hAnsi="Times New Roman" w:cs="Times New Roman"/>
          <w:sz w:val="24"/>
          <w:szCs w:val="24"/>
        </w:rPr>
        <w:t xml:space="preserve">the </w:t>
      </w:r>
      <w:r w:rsidRPr="00D40FF8">
        <w:rPr>
          <w:rFonts w:ascii="Times New Roman" w:hAnsi="Times New Roman" w:cs="Times New Roman"/>
          <w:sz w:val="24"/>
          <w:szCs w:val="24"/>
        </w:rPr>
        <w:t>roots of each soybean line using SAS 9.4 (SAS Institute, Cary, NC).</w:t>
      </w:r>
    </w:p>
    <w:p w14:paraId="3986D510" w14:textId="77777777" w:rsidR="00D20476" w:rsidRDefault="00D20476" w:rsidP="00D20476">
      <w:pPr>
        <w:spacing w:line="360" w:lineRule="auto"/>
        <w:ind w:left="720"/>
        <w:rPr>
          <w:rFonts w:cs="Times New Roman"/>
          <w:szCs w:val="24"/>
        </w:rPr>
      </w:pPr>
    </w:p>
    <w:p w14:paraId="04A891D2" w14:textId="77777777" w:rsidR="00D20476" w:rsidRPr="00D40FF8" w:rsidRDefault="00D20476" w:rsidP="00D20476">
      <w:pPr>
        <w:pStyle w:val="Heading1"/>
        <w:spacing w:line="360" w:lineRule="auto"/>
        <w:ind w:left="720"/>
        <w:jc w:val="center"/>
      </w:pPr>
      <w:bookmarkStart w:id="225" w:name="_Toc98812737"/>
      <w:bookmarkStart w:id="226" w:name="_Toc98812945"/>
      <w:bookmarkStart w:id="227" w:name="_Toc98813611"/>
      <w:bookmarkStart w:id="228" w:name="_Toc101048121"/>
      <w:r w:rsidRPr="00D40FF8">
        <w:t>Results</w:t>
      </w:r>
      <w:bookmarkEnd w:id="225"/>
      <w:bookmarkEnd w:id="226"/>
      <w:bookmarkEnd w:id="227"/>
      <w:bookmarkEnd w:id="228"/>
    </w:p>
    <w:p w14:paraId="51EED1F2" w14:textId="77777777" w:rsidR="00D20476" w:rsidRPr="00D40FF8" w:rsidRDefault="00D20476" w:rsidP="00FD1FC5">
      <w:pPr>
        <w:pStyle w:val="Heading2"/>
      </w:pPr>
      <w:bookmarkStart w:id="229" w:name="_Toc98812738"/>
      <w:bookmarkStart w:id="230" w:name="_Toc98812946"/>
      <w:bookmarkStart w:id="231" w:name="_Toc98813612"/>
      <w:bookmarkStart w:id="232" w:name="_Toc101048122"/>
      <w:r w:rsidRPr="00D40FF8">
        <w:t>Sample sources</w:t>
      </w:r>
      <w:bookmarkEnd w:id="229"/>
      <w:bookmarkEnd w:id="230"/>
      <w:bookmarkEnd w:id="231"/>
      <w:bookmarkEnd w:id="232"/>
      <w:r w:rsidRPr="00D40FF8">
        <w:t xml:space="preserve"> </w:t>
      </w:r>
    </w:p>
    <w:p w14:paraId="51F914A5" w14:textId="77777777" w:rsidR="00D20476" w:rsidRPr="00D40FF8" w:rsidRDefault="00D20476" w:rsidP="00AB65D6">
      <w:pPr>
        <w:spacing w:line="360" w:lineRule="auto"/>
        <w:ind w:left="720" w:firstLine="720"/>
        <w:rPr>
          <w:rFonts w:cs="Times New Roman"/>
          <w:szCs w:val="24"/>
        </w:rPr>
      </w:pPr>
      <w:r w:rsidRPr="00D40FF8">
        <w:rPr>
          <w:rFonts w:cs="Times New Roman"/>
          <w:szCs w:val="24"/>
        </w:rPr>
        <w:t>A total number of 378 soil samples were collected from 2018 through 2020 from 25 Tennessee counties (Table 2.1). The highest number of samples per county was 118, 44, and 31 samples from Crockett, Gibson, and Henry counties, respectively. Carrol</w:t>
      </w:r>
      <w:r>
        <w:rPr>
          <w:rFonts w:cs="Times New Roman"/>
          <w:szCs w:val="24"/>
        </w:rPr>
        <w:t>l</w:t>
      </w:r>
      <w:r w:rsidRPr="00D40FF8">
        <w:rPr>
          <w:rFonts w:cs="Times New Roman"/>
          <w:szCs w:val="24"/>
        </w:rPr>
        <w:t>, Lawrence, and Obion counties had only 1 sample each. Information about the crop that was grown in the fields during the sampling year was provided for 372 samples (Figure 2.1). The number of fields for each crop type was 150 for soybean, 54 for cotton, 47 for corn, 10 for wheat, and the remaining fields were either grown with cover crops, weeds, unknown crops, or under fallow (Figure 2.1).</w:t>
      </w:r>
      <w:r>
        <w:rPr>
          <w:rFonts w:cs="Times New Roman"/>
          <w:szCs w:val="24"/>
        </w:rPr>
        <w:t xml:space="preserve"> The “unknown crops” were samples that had no information about the crops that were grown in the fields during the sample year. </w:t>
      </w:r>
      <w:r w:rsidRPr="00D40FF8">
        <w:rPr>
          <w:rFonts w:cs="Times New Roman"/>
          <w:szCs w:val="24"/>
        </w:rPr>
        <w:t>Information about the name</w:t>
      </w:r>
      <w:r>
        <w:rPr>
          <w:rFonts w:cs="Times New Roman"/>
          <w:szCs w:val="24"/>
        </w:rPr>
        <w:t>s</w:t>
      </w:r>
      <w:r w:rsidRPr="00D40FF8">
        <w:rPr>
          <w:rFonts w:cs="Times New Roman"/>
          <w:szCs w:val="24"/>
        </w:rPr>
        <w:t xml:space="preserve"> of soybean cultivars grown in fields was provided for 70 samples. The top three soybean cultivars in the list were Asgrow </w:t>
      </w:r>
      <w:r>
        <w:rPr>
          <w:rFonts w:eastAsia="Times New Roman" w:cs="Times New Roman"/>
          <w:szCs w:val="24"/>
        </w:rPr>
        <w:t>47</w:t>
      </w:r>
      <w:r>
        <w:rPr>
          <w:rFonts w:cs="Times New Roman"/>
          <w:szCs w:val="24"/>
        </w:rPr>
        <w:t>×</w:t>
      </w:r>
      <w:r w:rsidRPr="00D40FF8">
        <w:rPr>
          <w:rFonts w:eastAsia="Times New Roman" w:cs="Times New Roman"/>
          <w:szCs w:val="24"/>
        </w:rPr>
        <w:t>6 from 22 fields, Asgrow 43</w:t>
      </w:r>
      <w:r>
        <w:rPr>
          <w:rFonts w:cs="Times New Roman"/>
          <w:szCs w:val="24"/>
        </w:rPr>
        <w:t>×</w:t>
      </w:r>
      <w:r w:rsidRPr="00D40FF8">
        <w:rPr>
          <w:rFonts w:eastAsia="Times New Roman" w:cs="Times New Roman"/>
          <w:szCs w:val="24"/>
        </w:rPr>
        <w:t>8 from 11 fields, and Asgrow 43</w:t>
      </w:r>
      <w:r>
        <w:rPr>
          <w:rFonts w:cs="Times New Roman"/>
          <w:szCs w:val="24"/>
        </w:rPr>
        <w:t>×</w:t>
      </w:r>
      <w:r w:rsidRPr="00D40FF8">
        <w:rPr>
          <w:rFonts w:eastAsia="Times New Roman" w:cs="Times New Roman"/>
          <w:szCs w:val="24"/>
        </w:rPr>
        <w:t xml:space="preserve">7 from 7 fields (Figure 2.2). </w:t>
      </w:r>
    </w:p>
    <w:p w14:paraId="5B99CEB6" w14:textId="77777777" w:rsidR="00D20476" w:rsidRPr="00D40FF8" w:rsidRDefault="00D20476" w:rsidP="00D20476">
      <w:pPr>
        <w:spacing w:line="360" w:lineRule="auto"/>
        <w:ind w:left="720" w:firstLine="720"/>
        <w:rPr>
          <w:rFonts w:cs="Times New Roman"/>
          <w:szCs w:val="24"/>
        </w:rPr>
      </w:pPr>
    </w:p>
    <w:p w14:paraId="369C14FA" w14:textId="77777777" w:rsidR="00D20476" w:rsidRPr="00D40FF8" w:rsidRDefault="00D20476" w:rsidP="00FD1FC5">
      <w:pPr>
        <w:pStyle w:val="Heading2"/>
      </w:pPr>
      <w:bookmarkStart w:id="233" w:name="_Toc98812739"/>
      <w:bookmarkStart w:id="234" w:name="_Toc98812947"/>
      <w:bookmarkStart w:id="235" w:name="_Toc98813613"/>
      <w:bookmarkStart w:id="236" w:name="_Toc101048123"/>
      <w:r w:rsidRPr="00D40FF8">
        <w:t>Nematode diversity and distribution</w:t>
      </w:r>
      <w:bookmarkEnd w:id="233"/>
      <w:bookmarkEnd w:id="234"/>
      <w:bookmarkEnd w:id="235"/>
      <w:bookmarkEnd w:id="236"/>
      <w:r w:rsidRPr="00D40FF8">
        <w:t xml:space="preserve">   </w:t>
      </w:r>
    </w:p>
    <w:p w14:paraId="1CDD9423" w14:textId="77777777" w:rsidR="00D20476" w:rsidRPr="00D40FF8" w:rsidRDefault="00D20476" w:rsidP="00AB65D6">
      <w:pPr>
        <w:spacing w:line="360" w:lineRule="auto"/>
        <w:ind w:left="720" w:firstLine="720"/>
        <w:rPr>
          <w:rFonts w:cs="Times New Roman"/>
          <w:szCs w:val="24"/>
        </w:rPr>
      </w:pPr>
      <w:r w:rsidRPr="00D40FF8">
        <w:rPr>
          <w:rFonts w:cs="Times New Roman"/>
          <w:b/>
          <w:i/>
          <w:szCs w:val="24"/>
        </w:rPr>
        <w:t>Across samples</w:t>
      </w:r>
      <w:r w:rsidRPr="00D40FF8">
        <w:rPr>
          <w:rFonts w:cs="Times New Roman"/>
          <w:b/>
          <w:szCs w:val="24"/>
        </w:rPr>
        <w:t>.</w:t>
      </w:r>
      <w:r w:rsidRPr="00D40FF8">
        <w:rPr>
          <w:rFonts w:cs="Times New Roman"/>
          <w:szCs w:val="24"/>
        </w:rPr>
        <w:t xml:space="preserve"> All of the 378 samples, except one, had at least one type of plant-parasitic nematode detected in them (Table 2.1). Fourteen plant-parasitic nematode</w:t>
      </w:r>
      <w:r>
        <w:rPr>
          <w:rFonts w:cs="Times New Roman"/>
          <w:szCs w:val="24"/>
        </w:rPr>
        <w:t xml:space="preserve"> genera</w:t>
      </w:r>
      <w:r w:rsidRPr="00D40FF8">
        <w:rPr>
          <w:rFonts w:cs="Times New Roman"/>
          <w:szCs w:val="24"/>
        </w:rPr>
        <w:t xml:space="preserve"> </w:t>
      </w:r>
      <w:r>
        <w:rPr>
          <w:rFonts w:cs="Times New Roman"/>
          <w:szCs w:val="24"/>
        </w:rPr>
        <w:t>(</w:t>
      </w:r>
      <w:r w:rsidRPr="00D40FF8">
        <w:rPr>
          <w:rFonts w:eastAsia="Times New Roman" w:cs="Times New Roman"/>
          <w:szCs w:val="24"/>
        </w:rPr>
        <w:t xml:space="preserve">dagger, lance, lesion, needle, pin, reniform, ring, root-knot, sheath </w:t>
      </w:r>
      <w:r w:rsidRPr="00D40FF8">
        <w:rPr>
          <w:rFonts w:cs="Times New Roman"/>
          <w:szCs w:val="24"/>
        </w:rPr>
        <w:t>(</w:t>
      </w:r>
      <w:r w:rsidRPr="00D40FF8">
        <w:rPr>
          <w:rFonts w:cs="Times New Roman"/>
          <w:bCs/>
          <w:i/>
          <w:iCs/>
          <w:szCs w:val="24"/>
        </w:rPr>
        <w:t>Hemicycliophora</w:t>
      </w:r>
      <w:r w:rsidRPr="00D40FF8">
        <w:rPr>
          <w:rFonts w:cs="Times New Roman"/>
          <w:i/>
          <w:szCs w:val="24"/>
        </w:rPr>
        <w:t>)</w:t>
      </w:r>
      <w:r w:rsidRPr="00D40FF8">
        <w:rPr>
          <w:rFonts w:eastAsia="Times New Roman" w:cs="Times New Roman"/>
          <w:szCs w:val="24"/>
        </w:rPr>
        <w:t xml:space="preserve">, SCN, spiral, sting </w:t>
      </w:r>
      <w:r w:rsidRPr="00D40FF8">
        <w:rPr>
          <w:rFonts w:cs="Times New Roman"/>
          <w:szCs w:val="24"/>
        </w:rPr>
        <w:t>(</w:t>
      </w:r>
      <w:r w:rsidRPr="00D40FF8">
        <w:rPr>
          <w:rFonts w:cs="Times New Roman"/>
          <w:i/>
          <w:szCs w:val="24"/>
        </w:rPr>
        <w:t>Belonolaimus</w:t>
      </w:r>
      <w:r w:rsidRPr="00285E8E">
        <w:rPr>
          <w:rFonts w:cs="Times New Roman"/>
          <w:szCs w:val="24"/>
        </w:rPr>
        <w:t xml:space="preserve"> spp.)</w:t>
      </w:r>
      <w:r w:rsidRPr="00285E8E">
        <w:rPr>
          <w:rFonts w:eastAsia="Times New Roman" w:cs="Times New Roman"/>
          <w:szCs w:val="24"/>
        </w:rPr>
        <w:t>,</w:t>
      </w:r>
      <w:r w:rsidRPr="00D40FF8">
        <w:rPr>
          <w:rFonts w:eastAsia="Times New Roman" w:cs="Times New Roman"/>
          <w:szCs w:val="24"/>
        </w:rPr>
        <w:t xml:space="preserve"> stubby-root, and stunt nematodes</w:t>
      </w:r>
      <w:r>
        <w:rPr>
          <w:rFonts w:eastAsia="Times New Roman" w:cs="Times New Roman"/>
          <w:szCs w:val="24"/>
        </w:rPr>
        <w:t>)</w:t>
      </w:r>
      <w:r w:rsidRPr="00D40FF8">
        <w:rPr>
          <w:rFonts w:eastAsia="Times New Roman" w:cs="Times New Roman"/>
          <w:szCs w:val="24"/>
        </w:rPr>
        <w:t xml:space="preserve"> were found at different frequencies and densities </w:t>
      </w:r>
      <w:r>
        <w:rPr>
          <w:rFonts w:eastAsia="Times New Roman" w:cs="Times New Roman"/>
          <w:szCs w:val="24"/>
        </w:rPr>
        <w:t>in</w:t>
      </w:r>
      <w:r w:rsidRPr="00D40FF8">
        <w:rPr>
          <w:rFonts w:eastAsia="Times New Roman" w:cs="Times New Roman"/>
          <w:szCs w:val="24"/>
        </w:rPr>
        <w:t xml:space="preserve"> the sample</w:t>
      </w:r>
      <w:r>
        <w:rPr>
          <w:rFonts w:eastAsia="Times New Roman" w:cs="Times New Roman"/>
          <w:szCs w:val="24"/>
        </w:rPr>
        <w:t xml:space="preserve">d </w:t>
      </w:r>
      <w:r w:rsidRPr="00D40FF8">
        <w:rPr>
          <w:rFonts w:eastAsia="Times New Roman" w:cs="Times New Roman"/>
          <w:szCs w:val="24"/>
        </w:rPr>
        <w:t>count</w:t>
      </w:r>
      <w:r>
        <w:rPr>
          <w:rFonts w:eastAsia="Times New Roman" w:cs="Times New Roman"/>
          <w:szCs w:val="24"/>
        </w:rPr>
        <w:t>y</w:t>
      </w:r>
      <w:r w:rsidRPr="00D40FF8">
        <w:rPr>
          <w:rFonts w:eastAsia="Times New Roman" w:cs="Times New Roman"/>
          <w:szCs w:val="24"/>
        </w:rPr>
        <w:t xml:space="preserve"> samples </w:t>
      </w:r>
      <w:r w:rsidRPr="00D40FF8">
        <w:rPr>
          <w:rFonts w:cs="Times New Roman"/>
          <w:szCs w:val="24"/>
        </w:rPr>
        <w:t>(Table 2.1).</w:t>
      </w:r>
    </w:p>
    <w:p w14:paraId="7B88C9F8" w14:textId="77777777" w:rsidR="00D20476" w:rsidRDefault="00D20476" w:rsidP="00D20476">
      <w:pPr>
        <w:spacing w:line="360" w:lineRule="auto"/>
        <w:ind w:left="720"/>
        <w:rPr>
          <w:rFonts w:cs="Times New Roman"/>
          <w:b/>
          <w:i/>
          <w:szCs w:val="24"/>
        </w:rPr>
      </w:pPr>
    </w:p>
    <w:p w14:paraId="49B92555" w14:textId="77777777" w:rsidR="00D20476" w:rsidRPr="00D40FF8" w:rsidRDefault="00D20476" w:rsidP="00AB65D6">
      <w:pPr>
        <w:spacing w:line="360" w:lineRule="auto"/>
        <w:ind w:left="720" w:firstLine="720"/>
        <w:rPr>
          <w:rFonts w:cs="Times New Roman"/>
          <w:szCs w:val="24"/>
        </w:rPr>
      </w:pPr>
      <w:r w:rsidRPr="00D40FF8">
        <w:rPr>
          <w:rFonts w:cs="Times New Roman"/>
          <w:b/>
          <w:i/>
          <w:szCs w:val="24"/>
        </w:rPr>
        <w:t>Across counties</w:t>
      </w:r>
      <w:r w:rsidRPr="00D40FF8">
        <w:rPr>
          <w:rFonts w:cs="Times New Roman"/>
          <w:b/>
          <w:szCs w:val="24"/>
        </w:rPr>
        <w:t>.</w:t>
      </w:r>
      <w:r w:rsidRPr="00D40FF8">
        <w:rPr>
          <w:rFonts w:cs="Times New Roman"/>
          <w:szCs w:val="24"/>
        </w:rPr>
        <w:t xml:space="preserve"> </w:t>
      </w:r>
      <w:r>
        <w:rPr>
          <w:rFonts w:cs="Times New Roman"/>
          <w:szCs w:val="24"/>
        </w:rPr>
        <w:t>No nematode was detected in</w:t>
      </w:r>
      <w:r w:rsidRPr="00D40FF8">
        <w:rPr>
          <w:rFonts w:cs="Times New Roman"/>
          <w:szCs w:val="24"/>
        </w:rPr>
        <w:t xml:space="preserve"> one county (Lawrence</w:t>
      </w:r>
      <w:r>
        <w:rPr>
          <w:rFonts w:cs="Times New Roman"/>
          <w:szCs w:val="24"/>
        </w:rPr>
        <w:t>).</w:t>
      </w:r>
      <w:r w:rsidRPr="00D40FF8">
        <w:rPr>
          <w:rFonts w:cs="Times New Roman"/>
          <w:szCs w:val="24"/>
        </w:rPr>
        <w:t xml:space="preserve"> Five counties (Carro</w:t>
      </w:r>
      <w:r>
        <w:rPr>
          <w:rFonts w:cs="Times New Roman"/>
          <w:szCs w:val="24"/>
        </w:rPr>
        <w:t>l</w:t>
      </w:r>
      <w:r w:rsidRPr="00D40FF8">
        <w:rPr>
          <w:rFonts w:cs="Times New Roman"/>
          <w:szCs w:val="24"/>
        </w:rPr>
        <w:t xml:space="preserve">l, Obion, Overton, Tipton, and Warren) had a low nematode diversity (2 to 3 nematodes). Eleven counties (Benton, Chester, Coffee, Giles, Hardin, Henderson, Henry, Madison, Marion, Marshall, and Shelby) had a moderate nematode diversity with 4 to 7 nematode </w:t>
      </w:r>
      <w:r>
        <w:rPr>
          <w:rFonts w:cs="Times New Roman"/>
          <w:szCs w:val="24"/>
        </w:rPr>
        <w:t>genera</w:t>
      </w:r>
      <w:r w:rsidRPr="00D40FF8">
        <w:rPr>
          <w:rFonts w:cs="Times New Roman"/>
          <w:szCs w:val="24"/>
        </w:rPr>
        <w:t xml:space="preserve"> detected. The remaining eight counties (Cannon, Crockett, Dyer, Gibson, Haywood, Lauderdale, McNairy, and Weakley) were high in nematode diversity, with 8 to 11 </w:t>
      </w:r>
      <w:r>
        <w:rPr>
          <w:rFonts w:cs="Times New Roman"/>
          <w:szCs w:val="24"/>
        </w:rPr>
        <w:t>genera</w:t>
      </w:r>
      <w:r w:rsidRPr="00D40FF8">
        <w:rPr>
          <w:rFonts w:cs="Times New Roman"/>
          <w:szCs w:val="24"/>
        </w:rPr>
        <w:t xml:space="preserve"> detected (Table 2.1). </w:t>
      </w:r>
    </w:p>
    <w:p w14:paraId="5ED9F9A1" w14:textId="77777777" w:rsidR="00D20476" w:rsidRPr="00D40FF8" w:rsidRDefault="00D20476" w:rsidP="00D20476">
      <w:pPr>
        <w:spacing w:line="360" w:lineRule="auto"/>
        <w:ind w:left="720"/>
      </w:pPr>
    </w:p>
    <w:p w14:paraId="6B4A87D4" w14:textId="77777777" w:rsidR="00D20476" w:rsidRPr="00D40FF8" w:rsidRDefault="00D20476" w:rsidP="00FD1FC5">
      <w:pPr>
        <w:pStyle w:val="Heading2"/>
      </w:pPr>
      <w:bookmarkStart w:id="237" w:name="_Toc101048124"/>
      <w:bookmarkStart w:id="238" w:name="_Toc98812740"/>
      <w:bookmarkStart w:id="239" w:name="_Toc98812948"/>
      <w:bookmarkStart w:id="240" w:name="_Toc98813614"/>
      <w:r w:rsidRPr="00D40FF8">
        <w:t xml:space="preserve">Nematode </w:t>
      </w:r>
      <w:r>
        <w:t xml:space="preserve">frequency and </w:t>
      </w:r>
      <w:r w:rsidRPr="00D40FF8">
        <w:t>density</w:t>
      </w:r>
      <w:bookmarkEnd w:id="237"/>
      <w:r w:rsidRPr="00D40FF8">
        <w:t xml:space="preserve"> </w:t>
      </w:r>
      <w:bookmarkEnd w:id="238"/>
      <w:bookmarkEnd w:id="239"/>
      <w:bookmarkEnd w:id="240"/>
      <w:r w:rsidRPr="00D40FF8">
        <w:t xml:space="preserve"> </w:t>
      </w:r>
    </w:p>
    <w:p w14:paraId="2549B0E6" w14:textId="77777777" w:rsidR="00D20476" w:rsidRPr="00D40FF8" w:rsidRDefault="00D20476" w:rsidP="00AB65D6">
      <w:pPr>
        <w:spacing w:line="360" w:lineRule="auto"/>
        <w:ind w:left="720" w:firstLine="720"/>
        <w:rPr>
          <w:rFonts w:cs="Times New Roman"/>
          <w:szCs w:val="24"/>
        </w:rPr>
      </w:pPr>
      <w:r w:rsidRPr="00D40FF8">
        <w:rPr>
          <w:rFonts w:cs="Times New Roman"/>
          <w:b/>
          <w:i/>
          <w:szCs w:val="24"/>
        </w:rPr>
        <w:t>Density across samples.</w:t>
      </w:r>
      <w:r w:rsidRPr="00D40FF8">
        <w:rPr>
          <w:rFonts w:cs="Times New Roman"/>
          <w:szCs w:val="24"/>
        </w:rPr>
        <w:t xml:space="preserve"> The </w:t>
      </w:r>
      <w:r>
        <w:rPr>
          <w:rFonts w:cs="Times New Roman"/>
          <w:szCs w:val="24"/>
        </w:rPr>
        <w:t xml:space="preserve">frequency and </w:t>
      </w:r>
      <w:r w:rsidRPr="00D40FF8">
        <w:rPr>
          <w:rFonts w:cs="Times New Roman"/>
          <w:szCs w:val="24"/>
        </w:rPr>
        <w:t>average population densit</w:t>
      </w:r>
      <w:r>
        <w:rPr>
          <w:rFonts w:cs="Times New Roman"/>
          <w:szCs w:val="24"/>
        </w:rPr>
        <w:t>ies of the nematodes per 100 cm</w:t>
      </w:r>
      <w:r>
        <w:rPr>
          <w:rFonts w:cs="Times New Roman"/>
          <w:szCs w:val="24"/>
          <w:vertAlign w:val="superscript"/>
        </w:rPr>
        <w:t xml:space="preserve">3 </w:t>
      </w:r>
      <w:r>
        <w:rPr>
          <w:rFonts w:cs="Times New Roman"/>
          <w:szCs w:val="24"/>
        </w:rPr>
        <w:t xml:space="preserve">of soil are presented in Table 2.2. </w:t>
      </w:r>
      <w:r w:rsidRPr="00D40FF8">
        <w:rPr>
          <w:rFonts w:cs="Times New Roman"/>
          <w:szCs w:val="24"/>
        </w:rPr>
        <w:t>Spiral nematode</w:t>
      </w:r>
      <w:r>
        <w:rPr>
          <w:rFonts w:cs="Times New Roman"/>
          <w:szCs w:val="24"/>
        </w:rPr>
        <w:t xml:space="preserve"> (occurring at </w:t>
      </w:r>
      <w:r w:rsidRPr="00D40FF8">
        <w:rPr>
          <w:rFonts w:cs="Times New Roman"/>
          <w:szCs w:val="24"/>
        </w:rPr>
        <w:t>83%), lance nematode</w:t>
      </w:r>
      <w:r>
        <w:rPr>
          <w:rFonts w:cs="Times New Roman"/>
          <w:szCs w:val="24"/>
        </w:rPr>
        <w:t xml:space="preserve"> (29%)</w:t>
      </w:r>
      <w:r w:rsidRPr="00D40FF8">
        <w:rPr>
          <w:rFonts w:cs="Times New Roman"/>
          <w:szCs w:val="24"/>
        </w:rPr>
        <w:t>, and SCN</w:t>
      </w:r>
      <w:r>
        <w:rPr>
          <w:rFonts w:cs="Times New Roman"/>
          <w:szCs w:val="24"/>
        </w:rPr>
        <w:t xml:space="preserve"> (25%)</w:t>
      </w:r>
      <w:r w:rsidRPr="00D40FF8">
        <w:rPr>
          <w:rFonts w:cs="Times New Roman"/>
          <w:szCs w:val="24"/>
        </w:rPr>
        <w:t xml:space="preserve"> were the m</w:t>
      </w:r>
      <w:r>
        <w:rPr>
          <w:rFonts w:cs="Times New Roman"/>
          <w:szCs w:val="24"/>
        </w:rPr>
        <w:t>ost frequently found nematodes across samples (Table 2.2)</w:t>
      </w:r>
      <w:r w:rsidRPr="00D40FF8">
        <w:rPr>
          <w:rFonts w:cs="Times New Roman"/>
          <w:szCs w:val="24"/>
        </w:rPr>
        <w:t xml:space="preserve">. The average population </w:t>
      </w:r>
      <w:r>
        <w:rPr>
          <w:rFonts w:cs="Times New Roman"/>
          <w:szCs w:val="24"/>
        </w:rPr>
        <w:t>density per sample for the nematodes was 88 J2s for s</w:t>
      </w:r>
      <w:r w:rsidRPr="0005124C">
        <w:rPr>
          <w:rFonts w:cs="Times New Roman"/>
          <w:szCs w:val="24"/>
        </w:rPr>
        <w:t>piral nematode</w:t>
      </w:r>
      <w:r>
        <w:rPr>
          <w:rFonts w:cs="Times New Roman"/>
          <w:szCs w:val="24"/>
        </w:rPr>
        <w:t>s</w:t>
      </w:r>
      <w:r w:rsidRPr="0005124C">
        <w:rPr>
          <w:rFonts w:cs="Times New Roman"/>
          <w:szCs w:val="24"/>
        </w:rPr>
        <w:t xml:space="preserve">, </w:t>
      </w:r>
      <w:r>
        <w:rPr>
          <w:rFonts w:cs="Times New Roman"/>
          <w:szCs w:val="24"/>
        </w:rPr>
        <w:t xml:space="preserve">22 J2s for </w:t>
      </w:r>
      <w:r w:rsidRPr="0005124C">
        <w:rPr>
          <w:rFonts w:cs="Times New Roman"/>
          <w:szCs w:val="24"/>
        </w:rPr>
        <w:t>lance nematode</w:t>
      </w:r>
      <w:r>
        <w:rPr>
          <w:rFonts w:cs="Times New Roman"/>
          <w:szCs w:val="24"/>
        </w:rPr>
        <w:t>s</w:t>
      </w:r>
      <w:r w:rsidRPr="0005124C">
        <w:rPr>
          <w:rFonts w:cs="Times New Roman"/>
          <w:szCs w:val="24"/>
        </w:rPr>
        <w:t xml:space="preserve">, and </w:t>
      </w:r>
      <w:r>
        <w:rPr>
          <w:rFonts w:cs="Times New Roman"/>
          <w:szCs w:val="24"/>
        </w:rPr>
        <w:t xml:space="preserve">22 J2s or 779 </w:t>
      </w:r>
      <w:r w:rsidRPr="00D40FF8">
        <w:rPr>
          <w:rFonts w:cs="Times New Roman"/>
          <w:szCs w:val="24"/>
        </w:rPr>
        <w:t>eggs</w:t>
      </w:r>
      <w:r>
        <w:rPr>
          <w:rFonts w:cs="Times New Roman"/>
          <w:szCs w:val="24"/>
        </w:rPr>
        <w:t xml:space="preserve"> for SCN </w:t>
      </w:r>
      <w:r w:rsidRPr="00D40FF8">
        <w:rPr>
          <w:rFonts w:cs="Times New Roman"/>
          <w:szCs w:val="24"/>
        </w:rPr>
        <w:t xml:space="preserve">(Table 2.2). </w:t>
      </w:r>
      <w:r>
        <w:rPr>
          <w:rFonts w:cs="Times New Roman"/>
          <w:szCs w:val="24"/>
        </w:rPr>
        <w:t>Likewise, root-knot (occurring at 25%), lesion (23%), and reniform (20%) nematodes, which are economically important, were found at an average density of 78, 20, and 1,764 J2s per sample, respectively</w:t>
      </w:r>
      <w:r w:rsidRPr="00D40FF8">
        <w:rPr>
          <w:rFonts w:cs="Times New Roman"/>
          <w:szCs w:val="24"/>
        </w:rPr>
        <w:t>.</w:t>
      </w:r>
      <w:r>
        <w:rPr>
          <w:rFonts w:cs="Times New Roman"/>
          <w:szCs w:val="24"/>
        </w:rPr>
        <w:t xml:space="preserve"> </w:t>
      </w:r>
      <w:r w:rsidRPr="00D40FF8">
        <w:rPr>
          <w:rFonts w:cs="Times New Roman"/>
          <w:szCs w:val="24"/>
        </w:rPr>
        <w:t xml:space="preserve">The maximum density found for each nematode was 562 J2s for root-knot, </w:t>
      </w:r>
      <w:r>
        <w:rPr>
          <w:rFonts w:cs="Times New Roman"/>
          <w:szCs w:val="24"/>
        </w:rPr>
        <w:t xml:space="preserve">100 J2s or 4,567 </w:t>
      </w:r>
      <w:r w:rsidRPr="00D40FF8">
        <w:rPr>
          <w:rFonts w:cs="Times New Roman"/>
          <w:szCs w:val="24"/>
        </w:rPr>
        <w:t xml:space="preserve">eggs for SCN, 115 J2s for lesion, </w:t>
      </w:r>
      <w:r>
        <w:rPr>
          <w:rFonts w:cs="Times New Roman"/>
          <w:szCs w:val="24"/>
        </w:rPr>
        <w:t xml:space="preserve">and </w:t>
      </w:r>
      <w:r w:rsidRPr="00D40FF8">
        <w:rPr>
          <w:rFonts w:cs="Times New Roman"/>
          <w:szCs w:val="24"/>
        </w:rPr>
        <w:t>16,669 J2s for reniform per sample (Table 2.2). Dagger</w:t>
      </w:r>
      <w:r>
        <w:rPr>
          <w:rFonts w:cs="Times New Roman"/>
          <w:szCs w:val="24"/>
        </w:rPr>
        <w:t xml:space="preserve">; pin; sting </w:t>
      </w:r>
      <w:r w:rsidRPr="00D40FF8">
        <w:rPr>
          <w:rFonts w:cs="Times New Roman"/>
          <w:szCs w:val="24"/>
        </w:rPr>
        <w:t>(</w:t>
      </w:r>
      <w:r>
        <w:rPr>
          <w:rFonts w:cs="Times New Roman"/>
          <w:szCs w:val="24"/>
        </w:rPr>
        <w:t>7</w:t>
      </w:r>
      <w:r w:rsidRPr="00D40FF8">
        <w:rPr>
          <w:rFonts w:cs="Times New Roman"/>
          <w:szCs w:val="24"/>
        </w:rPr>
        <w:t>%), stubby-root (</w:t>
      </w:r>
      <w:r>
        <w:rPr>
          <w:rFonts w:cs="Times New Roman"/>
          <w:szCs w:val="24"/>
        </w:rPr>
        <w:t>3%</w:t>
      </w:r>
      <w:r w:rsidRPr="00D40FF8">
        <w:rPr>
          <w:rFonts w:cs="Times New Roman"/>
          <w:szCs w:val="24"/>
        </w:rPr>
        <w:t>),</w:t>
      </w:r>
      <w:r>
        <w:rPr>
          <w:rFonts w:cs="Times New Roman"/>
          <w:szCs w:val="24"/>
        </w:rPr>
        <w:t xml:space="preserve"> and</w:t>
      </w:r>
      <w:r w:rsidRPr="00D40FF8">
        <w:rPr>
          <w:rFonts w:cs="Times New Roman"/>
          <w:szCs w:val="24"/>
        </w:rPr>
        <w:t xml:space="preserve"> sheath; needle; and ring (</w:t>
      </w:r>
      <w:r>
        <w:rPr>
          <w:rFonts w:cs="Times New Roman"/>
          <w:szCs w:val="24"/>
        </w:rPr>
        <w:t>1</w:t>
      </w:r>
      <w:r w:rsidRPr="00D40FF8">
        <w:rPr>
          <w:rFonts w:cs="Times New Roman"/>
          <w:szCs w:val="24"/>
        </w:rPr>
        <w:t>%) nematodes were the least found nematodes across the samples. The nematodes were found with an average density of 16</w:t>
      </w:r>
      <w:r>
        <w:rPr>
          <w:rFonts w:cs="Times New Roman"/>
          <w:szCs w:val="24"/>
        </w:rPr>
        <w:t xml:space="preserve"> </w:t>
      </w:r>
      <w:r w:rsidRPr="00D40FF8">
        <w:rPr>
          <w:rFonts w:cs="Times New Roman"/>
          <w:szCs w:val="24"/>
        </w:rPr>
        <w:t>J2s (pin), 13 J2s (dagger and sheath), 8 J2s (needle and ring), 7J2s (sting), and 2 J2s (stubby-root) per sample across positive samples (Table 2.2).</w:t>
      </w:r>
    </w:p>
    <w:p w14:paraId="17143C27" w14:textId="77777777" w:rsidR="00D20476" w:rsidRDefault="00D20476" w:rsidP="00D20476">
      <w:pPr>
        <w:spacing w:line="360" w:lineRule="auto"/>
        <w:ind w:left="720"/>
        <w:rPr>
          <w:rFonts w:cs="Times New Roman"/>
          <w:b/>
          <w:i/>
          <w:szCs w:val="24"/>
        </w:rPr>
      </w:pPr>
    </w:p>
    <w:p w14:paraId="7E545A6A" w14:textId="77777777" w:rsidR="00D20476" w:rsidRPr="00B213AF" w:rsidRDefault="00D20476" w:rsidP="00AB65D6">
      <w:pPr>
        <w:spacing w:line="360" w:lineRule="auto"/>
        <w:ind w:left="720" w:firstLine="720"/>
        <w:rPr>
          <w:rFonts w:cs="Times New Roman"/>
          <w:szCs w:val="24"/>
        </w:rPr>
      </w:pPr>
      <w:r w:rsidRPr="00D40FF8">
        <w:rPr>
          <w:rFonts w:cs="Times New Roman"/>
          <w:b/>
          <w:i/>
          <w:szCs w:val="24"/>
        </w:rPr>
        <w:t>Density across counties</w:t>
      </w:r>
      <w:r w:rsidRPr="00B213AF">
        <w:rPr>
          <w:rFonts w:cs="Times New Roman"/>
          <w:b/>
          <w:szCs w:val="24"/>
        </w:rPr>
        <w:t xml:space="preserve">. </w:t>
      </w:r>
      <w:r w:rsidRPr="00B213AF">
        <w:rPr>
          <w:rFonts w:cs="Times New Roman"/>
          <w:szCs w:val="24"/>
        </w:rPr>
        <w:t xml:space="preserve">Across the 25 counties, spiral nematode was found in 24 counties (96%) with an average of 90 J2s. SCN was found in 18 counties (72%) with an average of 741 eggs (or 25 J2s). </w:t>
      </w:r>
      <w:r w:rsidRPr="00B213AF">
        <w:t>Lesion nematode was found in 19 counties (76%) with an average of 22 J2s</w:t>
      </w:r>
      <w:r w:rsidRPr="00B213AF">
        <w:rPr>
          <w:rFonts w:cs="Times New Roman"/>
          <w:szCs w:val="24"/>
        </w:rPr>
        <w:t xml:space="preserve">. Reniform and root-knot nematodes were found in 2 and 13 (52%) counties (8% and 52%), with an average of 913 and 89 </w:t>
      </w:r>
      <w:r w:rsidRPr="00B213AF">
        <w:t>J2s</w:t>
      </w:r>
      <w:r w:rsidRPr="00B213AF">
        <w:rPr>
          <w:rFonts w:cs="Times New Roman"/>
          <w:szCs w:val="24"/>
        </w:rPr>
        <w:t xml:space="preserve">, respectively, per sample (Table 2.2). </w:t>
      </w:r>
    </w:p>
    <w:p w14:paraId="051D81D5" w14:textId="77777777" w:rsidR="00D20476" w:rsidRPr="00D40FF8" w:rsidRDefault="00D20476" w:rsidP="00D20476">
      <w:pPr>
        <w:spacing w:line="360" w:lineRule="auto"/>
        <w:ind w:left="720" w:firstLine="720"/>
        <w:rPr>
          <w:rFonts w:cs="Times New Roman"/>
          <w:szCs w:val="24"/>
        </w:rPr>
      </w:pPr>
    </w:p>
    <w:p w14:paraId="580A7C74" w14:textId="77777777" w:rsidR="00D20476" w:rsidRPr="00D40FF8" w:rsidRDefault="00D20476" w:rsidP="00FD1FC5">
      <w:pPr>
        <w:pStyle w:val="Heading2"/>
      </w:pPr>
      <w:bookmarkStart w:id="241" w:name="_Toc101048125"/>
      <w:r w:rsidRPr="00D40FF8">
        <w:t>Population density across fields</w:t>
      </w:r>
      <w:bookmarkEnd w:id="241"/>
      <w:r w:rsidRPr="00D40FF8">
        <w:t xml:space="preserve">  </w:t>
      </w:r>
    </w:p>
    <w:p w14:paraId="25555133"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The density of each nematode across each field type varied (Figure 2.3). Dagger nematode was found in cotton, corn, soybean, and wheat fields at an average juvenile density of 8 (Cotton and Wheat), 13 (Soybean), and 15 (Corn) J2s per sample. Lance nematode (</w:t>
      </w:r>
      <w:r w:rsidRPr="00D40FF8">
        <w:rPr>
          <w:rFonts w:cs="Times New Roman"/>
          <w:i/>
          <w:szCs w:val="24"/>
        </w:rPr>
        <w:t>Hoplolaimus</w:t>
      </w:r>
      <w:r w:rsidRPr="00D40FF8">
        <w:rPr>
          <w:rFonts w:cs="Times New Roman"/>
          <w:szCs w:val="24"/>
        </w:rPr>
        <w:t xml:space="preserve"> sp) was found across fields (corn, cotton, soybean, wheat, fallow, and cover crops) at an average density that ranged between 8 J2s (cover crops) and 22 J2s (cotton and corn) per sample. Lesion nematode was found across all fields at an average population density that ranged between 8 J2s (cover crops) and 29 J2s (cotton) per sample. Needle nematode (</w:t>
      </w:r>
      <w:r w:rsidRPr="00D40FF8">
        <w:rPr>
          <w:rFonts w:cs="Times New Roman"/>
          <w:i/>
          <w:szCs w:val="24"/>
        </w:rPr>
        <w:t>Longidorus</w:t>
      </w:r>
      <w:r w:rsidRPr="00F705D5">
        <w:t>)</w:t>
      </w:r>
      <w:r w:rsidRPr="00D40FF8">
        <w:rPr>
          <w:rFonts w:cs="Times New Roman"/>
          <w:szCs w:val="24"/>
        </w:rPr>
        <w:t xml:space="preserve"> was found in weed-covered and unknown fields at an average population density of 8 J2s per sample. Pin nematode (</w:t>
      </w:r>
      <w:r w:rsidRPr="00D40FF8">
        <w:rPr>
          <w:rFonts w:cs="Times New Roman"/>
          <w:i/>
          <w:szCs w:val="24"/>
        </w:rPr>
        <w:t>Paratylenchus</w:t>
      </w:r>
      <w:r w:rsidRPr="00F705D5">
        <w:t>)</w:t>
      </w:r>
      <w:r w:rsidRPr="00D40FF8">
        <w:rPr>
          <w:rFonts w:cs="Times New Roman"/>
          <w:szCs w:val="24"/>
        </w:rPr>
        <w:t xml:space="preserve"> was only found in soybean and unknown fields at an average population density of 11 and 31 J2s per sample, respectively. Sheath nematode was found in corn and soybean fields at an average population density of 8 J2 and 15 J2s per sample, respectively. Soybean cyst nematode was found across fields grown with soybean, corn, cover crops, unknown, cotton, wheat, and fallow. SCN eggs were detected only in soybean, cover crops, unknown, cotton, and fallow fields. No SCN egg was found in cotton and wheat fields. Average SCN-eggs density per sample ranged from 58 (Weed-cover) to 701 (Soybean) across fields. Likewise, SCN J2s were detected only in soybean, corn, cover crops, unknown, wheat, and fallow fields. No SCN J2 was found in cotton and weed-covered feeds.  Average SCN J2s per sample density ranged from 10 (Wheat) to 38 (Fallow) across fields. Spiral nematode was found in all field types, with an average density that ranged from 34 J2s (Wheat) and 188 J2s (Fallow) per sample. Sting nematode was found in corn, cotton, soybean, wheat, and cover crops fields at an average population density that ranged between 1 (cover crops) and 15 J2s (Cotton) per sample. Stubby-root nematode was found in corn, cotton, soybean, and unknown fields at an average population density ranging between 8 (unknown) and 27 J2s (soybean) per sample. Stunt nematode was found in all fields except in fallow fields. The average density ranged between 8 J2s (Weed cover and Wheat) and 30 J2s (Corn) per sample. Reniform nematode was found in cotton, soybean, unknown, and wheat fields at an average population density ranging between 38 (Wheat) and 2,782 J2s (Soybean) per sample. Reniform density in cotton fields averaged 1,267 J2s per sample. Ring nematode was found in soybean and unknown fields at an average population density of 8 J2s per sample. Root-knot nematode was found in all fields except in fallow fields at an average population density that ranged between 8 J2s (Wheat) and 145 J2s (Soybean) per sample. </w:t>
      </w:r>
    </w:p>
    <w:p w14:paraId="5518C9F3" w14:textId="77777777" w:rsidR="00D20476" w:rsidRPr="00D40FF8" w:rsidRDefault="00D20476" w:rsidP="00D20476">
      <w:pPr>
        <w:spacing w:line="360" w:lineRule="auto"/>
        <w:ind w:left="720"/>
        <w:rPr>
          <w:rFonts w:cs="Times New Roman"/>
          <w:b/>
          <w:szCs w:val="24"/>
        </w:rPr>
      </w:pPr>
    </w:p>
    <w:p w14:paraId="33084080" w14:textId="77777777" w:rsidR="00D20476" w:rsidRPr="00D40FF8" w:rsidRDefault="00D20476" w:rsidP="00D20476">
      <w:pPr>
        <w:spacing w:line="360" w:lineRule="auto"/>
        <w:ind w:left="720"/>
        <w:rPr>
          <w:rFonts w:cs="Times New Roman"/>
          <w:b/>
          <w:szCs w:val="24"/>
        </w:rPr>
      </w:pPr>
      <w:bookmarkStart w:id="242" w:name="_Toc101048126"/>
      <w:r w:rsidRPr="00AB65D6">
        <w:rPr>
          <w:rStyle w:val="Heading2Char"/>
        </w:rPr>
        <w:t>SCN density across soybean fields</w:t>
      </w:r>
      <w:bookmarkEnd w:id="242"/>
      <w:r w:rsidRPr="00D40FF8">
        <w:rPr>
          <w:rFonts w:cs="Times New Roman"/>
          <w:b/>
          <w:szCs w:val="24"/>
        </w:rPr>
        <w:t xml:space="preserve">. </w:t>
      </w:r>
    </w:p>
    <w:p w14:paraId="5E9F4471" w14:textId="77777777" w:rsidR="00D20476" w:rsidRPr="00B66B69" w:rsidRDefault="00D20476" w:rsidP="00AB65D6">
      <w:pPr>
        <w:spacing w:line="360" w:lineRule="auto"/>
        <w:ind w:left="720" w:firstLine="720"/>
        <w:rPr>
          <w:rFonts w:cs="Times New Roman"/>
          <w:b/>
          <w:szCs w:val="24"/>
        </w:rPr>
      </w:pPr>
      <w:r w:rsidRPr="00D40FF8">
        <w:rPr>
          <w:rFonts w:cs="Times New Roman"/>
          <w:szCs w:val="24"/>
        </w:rPr>
        <w:t>Soybean fields were grown with eleven soybean cultivars and each either had only SCN eggs, J2s, or both (Figure 2.4). Of those fields, SCN eggs per sample ranged from 58 (PI40T26X) to 1,490 eggs (Asgrow 43</w:t>
      </w:r>
      <w:r w:rsidRPr="00B66B69">
        <w:rPr>
          <w:rFonts w:cs="Times New Roman"/>
          <w:b/>
          <w:szCs w:val="24"/>
        </w:rPr>
        <w:t>×</w:t>
      </w:r>
      <w:r w:rsidRPr="00D40FF8">
        <w:rPr>
          <w:rFonts w:cs="Times New Roman"/>
          <w:szCs w:val="24"/>
        </w:rPr>
        <w:t>7), while J2 densities ranged from 2 (CL3900) to 23 (Asgrow 43</w:t>
      </w:r>
      <w:r w:rsidRPr="00B66B69">
        <w:rPr>
          <w:rFonts w:cs="Times New Roman"/>
          <w:b/>
          <w:szCs w:val="24"/>
        </w:rPr>
        <w:t>×</w:t>
      </w:r>
      <w:r w:rsidRPr="00D40FF8">
        <w:rPr>
          <w:rFonts w:cs="Times New Roman"/>
          <w:szCs w:val="24"/>
        </w:rPr>
        <w:t>7) per sample (Figure 2.4). No SCN was found in fields grown with Asgrow 38x8, Asgrow 46x7, Becks 366, and Warren 4911. No SCN eggs were found in fields grown with CL 3900 LL, CL 4850 LL, and Asgrow 47x6 soybean cultivars (Figure 2.4).</w:t>
      </w:r>
    </w:p>
    <w:p w14:paraId="294FA48B" w14:textId="77777777" w:rsidR="00AB65D6" w:rsidRDefault="00AB65D6" w:rsidP="00D20476">
      <w:pPr>
        <w:spacing w:line="360" w:lineRule="auto"/>
        <w:ind w:left="720"/>
        <w:rPr>
          <w:rFonts w:cs="Times New Roman"/>
          <w:b/>
          <w:szCs w:val="24"/>
        </w:rPr>
      </w:pPr>
    </w:p>
    <w:p w14:paraId="1F118A01" w14:textId="4EC65249" w:rsidR="00D20476" w:rsidRPr="00D40FF8" w:rsidRDefault="00D20476" w:rsidP="00D20476">
      <w:pPr>
        <w:spacing w:line="360" w:lineRule="auto"/>
        <w:ind w:left="720"/>
        <w:rPr>
          <w:rFonts w:cs="Times New Roman"/>
          <w:b/>
          <w:szCs w:val="24"/>
        </w:rPr>
      </w:pPr>
      <w:r w:rsidRPr="00D40FF8">
        <w:rPr>
          <w:rFonts w:cs="Times New Roman"/>
          <w:b/>
          <w:szCs w:val="24"/>
        </w:rPr>
        <w:t>SCN HG types</w:t>
      </w:r>
    </w:p>
    <w:p w14:paraId="7EE811DD" w14:textId="77777777" w:rsidR="00D20476" w:rsidRPr="00D40FF8" w:rsidRDefault="00D20476" w:rsidP="00FD1FC5">
      <w:pPr>
        <w:pStyle w:val="Heading2"/>
      </w:pPr>
      <w:bookmarkStart w:id="243" w:name="_Toc101048127"/>
      <w:r w:rsidRPr="00D40FF8">
        <w:t>SCN reproduction on soybean lines, female index, and HG types.</w:t>
      </w:r>
      <w:bookmarkEnd w:id="243"/>
      <w:r w:rsidRPr="00D40FF8">
        <w:t xml:space="preserve"> </w:t>
      </w:r>
    </w:p>
    <w:p w14:paraId="280252C2"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The population (cysts/plant) of each test population on the soybean lines is presented in Table 2.3. Reproduction on the susceptible soybean Williams 82 ranged from 69 cysts to 434 cysts per plant. Six populations had an FI ≥10% on Indicator line 1 (PI548402). The FI of the populations ranged from 10 to 28%. Eight populations had a FI ≥10% on indicator lines 2 (PI88788) and 5 (PI209332). The FI of the populations ranged from 27 to 106% on PI88788, while it ranged from 22 to 62% on PI209332. All nine populations had a FI &gt;10% on indicator line 7 (PI548316). The FI ranged from 13 to 706% on the line. No population had a FI ≥10% on indicator lines 3 (PI90763), 4 (PI437654)</w:t>
      </w:r>
      <w:r>
        <w:rPr>
          <w:rFonts w:cs="Times New Roman"/>
          <w:szCs w:val="24"/>
        </w:rPr>
        <w:t xml:space="preserve">, and 6 (PI89772). Female indices </w:t>
      </w:r>
      <w:r w:rsidRPr="00D40FF8">
        <w:rPr>
          <w:rFonts w:cs="Times New Roman"/>
          <w:szCs w:val="24"/>
        </w:rPr>
        <w:t>on the lines ranged from 0 to 8% (Table 2.3).</w:t>
      </w:r>
      <w:r>
        <w:rPr>
          <w:rFonts w:cs="Times New Roman"/>
          <w:szCs w:val="24"/>
        </w:rPr>
        <w:t xml:space="preserve"> The </w:t>
      </w:r>
      <w:r w:rsidRPr="00A21A3B">
        <w:rPr>
          <w:rFonts w:cs="Times New Roman"/>
          <w:szCs w:val="24"/>
        </w:rPr>
        <w:t>tested populations</w:t>
      </w:r>
      <w:r>
        <w:rPr>
          <w:rFonts w:cs="Times New Roman"/>
          <w:szCs w:val="24"/>
        </w:rPr>
        <w:t xml:space="preserve"> were identified as three HG types:</w:t>
      </w:r>
      <w:r w:rsidRPr="00D40FF8">
        <w:rPr>
          <w:rFonts w:cs="Times New Roman"/>
          <w:szCs w:val="24"/>
        </w:rPr>
        <w:t xml:space="preserve"> 1.2.5</w:t>
      </w:r>
      <w:r>
        <w:rPr>
          <w:rFonts w:cs="Times New Roman"/>
          <w:szCs w:val="24"/>
        </w:rPr>
        <w:t>.</w:t>
      </w:r>
      <w:r w:rsidRPr="00D40FF8">
        <w:rPr>
          <w:rFonts w:cs="Times New Roman"/>
          <w:szCs w:val="24"/>
        </w:rPr>
        <w:t>7, 2.5.7, and 7. Six populations were identified as HG type 1.2.5.7, two were HG type 2.5.7, and one was HG type 7. No p</w:t>
      </w:r>
      <w:r>
        <w:rPr>
          <w:rFonts w:cs="Times New Roman"/>
          <w:szCs w:val="24"/>
        </w:rPr>
        <w:t xml:space="preserve">opulation was HG type 0 or with a </w:t>
      </w:r>
      <w:r w:rsidRPr="00D40FF8">
        <w:rPr>
          <w:rFonts w:cs="Times New Roman"/>
          <w:szCs w:val="24"/>
        </w:rPr>
        <w:t xml:space="preserve">FI &lt; 10% on all indicators (Table 2.3). </w:t>
      </w:r>
    </w:p>
    <w:p w14:paraId="7C2D9F89" w14:textId="77777777" w:rsidR="00D20476" w:rsidRPr="00D40FF8" w:rsidRDefault="00D20476" w:rsidP="00D20476">
      <w:pPr>
        <w:spacing w:line="360" w:lineRule="auto"/>
        <w:ind w:left="720"/>
        <w:rPr>
          <w:rFonts w:cs="Times New Roman"/>
          <w:szCs w:val="24"/>
        </w:rPr>
      </w:pPr>
    </w:p>
    <w:p w14:paraId="7D4E3A69" w14:textId="77777777" w:rsidR="00D20476" w:rsidRPr="00D40FF8" w:rsidRDefault="00D20476" w:rsidP="00D20476">
      <w:pPr>
        <w:pStyle w:val="Heading1"/>
        <w:spacing w:line="360" w:lineRule="auto"/>
        <w:ind w:left="720"/>
        <w:jc w:val="center"/>
      </w:pPr>
      <w:bookmarkStart w:id="244" w:name="_Toc98812746"/>
      <w:bookmarkStart w:id="245" w:name="_Toc98812954"/>
      <w:bookmarkStart w:id="246" w:name="_Toc98813620"/>
      <w:bookmarkStart w:id="247" w:name="_Toc101048128"/>
      <w:r w:rsidRPr="00D40FF8">
        <w:t>Discussion</w:t>
      </w:r>
      <w:bookmarkEnd w:id="244"/>
      <w:bookmarkEnd w:id="245"/>
      <w:bookmarkEnd w:id="246"/>
      <w:bookmarkEnd w:id="247"/>
    </w:p>
    <w:p w14:paraId="3D23C0DC" w14:textId="77777777" w:rsidR="00D20476" w:rsidRPr="00D40FF8" w:rsidRDefault="00D20476" w:rsidP="00D20476">
      <w:pPr>
        <w:spacing w:line="360" w:lineRule="auto"/>
        <w:ind w:left="720" w:firstLine="720"/>
        <w:rPr>
          <w:rFonts w:cs="Times New Roman"/>
          <w:szCs w:val="24"/>
        </w:rPr>
      </w:pPr>
      <w:bookmarkStart w:id="248" w:name="_Toc98812747"/>
      <w:bookmarkStart w:id="249" w:name="_Toc98812955"/>
      <w:bookmarkStart w:id="250" w:name="_Toc98813621"/>
      <w:r w:rsidRPr="00D40FF8">
        <w:rPr>
          <w:rFonts w:cs="Times New Roman"/>
          <w:szCs w:val="24"/>
        </w:rPr>
        <w:t xml:space="preserve">The number of samples from each county varied widely. The top three highest samples came from three West Tennessee counties (Gibson, Crockett, and Henry), which are among the leading producers of field crops in Tennessee with 248,145, </w:t>
      </w:r>
      <w:r w:rsidRPr="00D40FF8">
        <w:rPr>
          <w:rFonts w:eastAsia="Times New Roman" w:cs="Times New Roman"/>
          <w:szCs w:val="24"/>
        </w:rPr>
        <w:t>125,830</w:t>
      </w:r>
      <w:r w:rsidRPr="00D40FF8">
        <w:rPr>
          <w:rFonts w:cs="Times New Roman"/>
          <w:szCs w:val="24"/>
        </w:rPr>
        <w:t xml:space="preserve">, and </w:t>
      </w:r>
      <w:r w:rsidRPr="00D40FF8">
        <w:rPr>
          <w:rFonts w:eastAsia="Times New Roman" w:cs="Times New Roman"/>
          <w:szCs w:val="24"/>
        </w:rPr>
        <w:t xml:space="preserve">95,541 field crop </w:t>
      </w:r>
      <w:r w:rsidRPr="00D40FF8">
        <w:rPr>
          <w:rFonts w:cs="Times New Roman"/>
          <w:szCs w:val="24"/>
        </w:rPr>
        <w:t>acreage</w:t>
      </w:r>
      <w:r>
        <w:rPr>
          <w:rFonts w:cs="Times New Roman"/>
          <w:szCs w:val="24"/>
        </w:rPr>
        <w:t>s</w:t>
      </w:r>
      <w:r w:rsidRPr="00D40FF8">
        <w:rPr>
          <w:rFonts w:cs="Times New Roman"/>
          <w:szCs w:val="24"/>
        </w:rPr>
        <w:t xml:space="preserve"> in 2020, respectively </w:t>
      </w:r>
      <w:r w:rsidRPr="00D40FF8">
        <w:rPr>
          <w:rFonts w:eastAsia="Times New Roman" w:cs="Times New Roman"/>
          <w:szCs w:val="24"/>
        </w:rPr>
        <w:t xml:space="preserve">(Bowling and Smith, 2021). Their large field crop acreage likely accounts for their </w:t>
      </w:r>
      <w:r w:rsidRPr="00D40FF8">
        <w:rPr>
          <w:rFonts w:cs="Times New Roman"/>
          <w:szCs w:val="24"/>
        </w:rPr>
        <w:t>high number of samples compared to other counties</w:t>
      </w:r>
      <w:r>
        <w:rPr>
          <w:rFonts w:cs="Times New Roman"/>
          <w:szCs w:val="24"/>
        </w:rPr>
        <w:t>, because of more farms to sample</w:t>
      </w:r>
      <w:r w:rsidRPr="00D40FF8">
        <w:rPr>
          <w:rFonts w:cs="Times New Roman"/>
          <w:szCs w:val="24"/>
        </w:rPr>
        <w:t xml:space="preserve">.  Although Obion, </w:t>
      </w:r>
      <w:r w:rsidRPr="005D13F6">
        <w:rPr>
          <w:rFonts w:cs="Times New Roman"/>
          <w:szCs w:val="24"/>
        </w:rPr>
        <w:t>Carroll</w:t>
      </w:r>
      <w:r w:rsidRPr="00D40FF8">
        <w:rPr>
          <w:rFonts w:cs="Times New Roman"/>
          <w:szCs w:val="24"/>
        </w:rPr>
        <w:t xml:space="preserve">, and Lawrence counties had the lowest number of samples, they are high field crop-producing counties with </w:t>
      </w:r>
      <w:r w:rsidRPr="00D40FF8">
        <w:rPr>
          <w:rFonts w:eastAsia="Times New Roman" w:cs="Times New Roman"/>
          <w:szCs w:val="24"/>
        </w:rPr>
        <w:t xml:space="preserve">196,856, </w:t>
      </w:r>
      <w:r w:rsidRPr="00D40FF8">
        <w:rPr>
          <w:rFonts w:cs="Times New Roman"/>
          <w:szCs w:val="24"/>
        </w:rPr>
        <w:t>97,353, and 59,974 acreages in field crops, respectively (</w:t>
      </w:r>
      <w:r w:rsidRPr="00D40FF8">
        <w:rPr>
          <w:rFonts w:eastAsia="Times New Roman" w:cs="Times New Roman"/>
          <w:szCs w:val="24"/>
        </w:rPr>
        <w:t>Bowling and Smith, 2021).</w:t>
      </w:r>
      <w:r>
        <w:rPr>
          <w:rFonts w:eastAsia="Times New Roman" w:cs="Times New Roman"/>
          <w:szCs w:val="24"/>
        </w:rPr>
        <w:t xml:space="preserve"> The numbers of samples received from these counties were small because the number of growers that participated in the nematode survey from the county was low compared to that of other high field crop-producing counties.</w:t>
      </w:r>
      <w:r w:rsidRPr="00D40FF8">
        <w:rPr>
          <w:rFonts w:cs="Times New Roman"/>
          <w:szCs w:val="24"/>
        </w:rPr>
        <w:t xml:space="preserve"> Future sampling efforts should be done to allow a similar number of samples to be collected from counties with similar field crop acreage. All (14) plant-parasitic nematode genera that were screened for were found in this survey, similar to the survey conducted in Tennessee by Bernard (1980) where the same genera were previously found. From our sample data, the diversity of nematodes per county was associated with the number of samples processed per county. Hence, the nematode diversity in some counties with a low number of samples (e.g. Carro</w:t>
      </w:r>
      <w:r>
        <w:rPr>
          <w:rFonts w:cs="Times New Roman"/>
          <w:szCs w:val="24"/>
        </w:rPr>
        <w:t>l</w:t>
      </w:r>
      <w:r w:rsidRPr="00D40FF8">
        <w:rPr>
          <w:rFonts w:cs="Times New Roman"/>
          <w:szCs w:val="24"/>
        </w:rPr>
        <w:t xml:space="preserve">l, Obion, Overton, and Warren) may be underestimated in this data set. </w:t>
      </w:r>
    </w:p>
    <w:p w14:paraId="1FAA955C" w14:textId="77777777" w:rsidR="00D20476" w:rsidRDefault="00D20476" w:rsidP="00D20476">
      <w:pPr>
        <w:spacing w:line="360" w:lineRule="auto"/>
        <w:ind w:left="720" w:firstLine="720"/>
        <w:rPr>
          <w:rFonts w:cs="Times New Roman"/>
          <w:szCs w:val="24"/>
        </w:rPr>
      </w:pPr>
      <w:r w:rsidRPr="00D40FF8">
        <w:rPr>
          <w:rFonts w:cs="Times New Roman"/>
          <w:szCs w:val="24"/>
        </w:rPr>
        <w:t xml:space="preserve">Results suggest that spiral, lance, and SCN are the most abundant nematodes among those screened for across sample areas (Table 2.1). Spiral nematodes were associated with 83% of the samples, lance with 29% of the samples, and SCN </w:t>
      </w:r>
      <w:r>
        <w:rPr>
          <w:rFonts w:cs="Times New Roman"/>
          <w:szCs w:val="24"/>
        </w:rPr>
        <w:t xml:space="preserve">with </w:t>
      </w:r>
      <w:r w:rsidRPr="00D40FF8">
        <w:rPr>
          <w:rFonts w:cs="Times New Roman"/>
          <w:szCs w:val="24"/>
        </w:rPr>
        <w:t xml:space="preserve">25% of the samples (Table 2.2). Spiral nematodes are ectoparasites that feed on the epidermis and cortical cells of the host plants. Some species may shift to a semi-endoparasite feeding mode, inserting their anterior body part into host roots. They are known to have multiple hosts including fruit crops, vegetables, agronomic crops, ornamental plants, forages, turfgrasses, weeds, and plants in natural habitats </w:t>
      </w:r>
      <w:r w:rsidRPr="00D40FF8">
        <w:rPr>
          <w:rFonts w:cs="Times New Roman"/>
          <w:szCs w:val="24"/>
        </w:rPr>
        <w:fldChar w:fldCharType="begin" w:fldLock="1"/>
      </w:r>
      <w:r w:rsidRPr="00D40FF8">
        <w:rPr>
          <w:rFonts w:cs="Times New Roman"/>
          <w:szCs w:val="24"/>
        </w:rPr>
        <w:instrText>ADDIN CSL_CITATION {"citationItems":[{"id":"ITEM-1","itemData":{"author":[{"dropping-particle":"","family":"Crow","given":"William T","non-dropping-particle":"","parse-names":false,"suffix":""}],"id":"ITEM-1","issue":"January","issued":{"date-parts":[["2013"]]},"page":"2-5","title":"( Steiner , 1941 ) Golden , 1956 ( Nematoda : Tylenchida :","type":"article-journal","volume":"1956"},"uris":["http://www.mendeley.com/documents/?uuid=a3b0ffc6-14c6-4248-a1b7-56511d060363"]}],"mendeley":{"formattedCitation":"(William T Crow, 2013)","plainTextFormattedCitation":"(William T Crow, 2013)","previouslyFormattedCitation":"(William T Crow, 2013)"},"properties":{"noteIndex":0},"schema":"https://github.com/citation-style-language/schema/raw/master/csl-citation.json"}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(Crow, 2013)</w:t>
      </w:r>
      <w:r w:rsidRPr="00D40FF8">
        <w:rPr>
          <w:rFonts w:cs="Times New Roman"/>
          <w:szCs w:val="24"/>
        </w:rPr>
        <w:fldChar w:fldCharType="end"/>
      </w:r>
      <w:r w:rsidRPr="00D40FF8">
        <w:rPr>
          <w:rFonts w:cs="Times New Roman"/>
          <w:szCs w:val="24"/>
        </w:rPr>
        <w:t>. Our result</w:t>
      </w:r>
      <w:r>
        <w:rPr>
          <w:rFonts w:cs="Times New Roman"/>
          <w:szCs w:val="24"/>
        </w:rPr>
        <w:t>s</w:t>
      </w:r>
      <w:r w:rsidRPr="00D40FF8">
        <w:rPr>
          <w:rFonts w:cs="Times New Roman"/>
          <w:szCs w:val="24"/>
        </w:rPr>
        <w:t xml:space="preserve"> suggested an increased prevalence of spiral nematodes within Tennessee compared to the previous survey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associated 67% of samples and all tested counties with spiral nematodes, while 83% of samples </w:t>
      </w:r>
      <w:r>
        <w:rPr>
          <w:rFonts w:cs="Times New Roman"/>
          <w:szCs w:val="24"/>
        </w:rPr>
        <w:t>and 96% of counties tested from 2018 through 2020 had</w:t>
      </w:r>
      <w:r w:rsidRPr="00D40FF8">
        <w:rPr>
          <w:rFonts w:cs="Times New Roman"/>
          <w:szCs w:val="24"/>
        </w:rPr>
        <w:t xml:space="preserve"> spiral nematodes. </w:t>
      </w:r>
    </w:p>
    <w:p w14:paraId="6E30B14D" w14:textId="77777777" w:rsidR="00D20476" w:rsidRDefault="00D20476" w:rsidP="00D20476">
      <w:pPr>
        <w:spacing w:line="360" w:lineRule="auto"/>
        <w:ind w:left="720" w:firstLine="720"/>
        <w:rPr>
          <w:rFonts w:cs="Times New Roman"/>
          <w:szCs w:val="24"/>
        </w:rPr>
      </w:pPr>
      <w:r w:rsidRPr="00D40FF8">
        <w:rPr>
          <w:rFonts w:cs="Times New Roman"/>
          <w:szCs w:val="24"/>
        </w:rPr>
        <w:t xml:space="preserve">Spiral nematodes are also widespread elsewhere in the United States. In Iowa, spiral nematodes were associated with 77% of cornfield samples </w:t>
      </w:r>
      <w:r w:rsidRPr="00D40FF8">
        <w:rPr>
          <w:rFonts w:cs="Times New Roman"/>
          <w:szCs w:val="24"/>
        </w:rPr>
        <w:fldChar w:fldCharType="begin" w:fldLock="1"/>
      </w:r>
      <w:r w:rsidRPr="00D40FF8">
        <w:rPr>
          <w:rFonts w:cs="Times New Roman"/>
          <w:szCs w:val="24"/>
        </w:rPr>
        <w:instrText>ADDIN CSL_CITATION {"citationItems":[{"id":"ITEM-1","itemData":{"DOI":"10.1094/php-2011-1205-01-rs","ISSN":"1535-1025","abstract":"The Iowa State University Plant and Insect Diagnostic Clinic analyzes soil and root samples for plant-parasitic nematodes. The results of samples associated with corn that were submitted from 2000 through 2010 were summarized. One or more genera of plant-parasitic nematodes were found in 92% of the samples. Spiral nematode and root-lesion nematode were most commonly found. Other nematodes recovered were dagger, lance, needle, pin, ring, and stunt nematodes. Nematodes recovered at damaging population densities were dagger, needle, ring, and spiral nematodes. An average of 15 samples were submitted per year from 2000 to 2004. Sample numbers increased nearly threefold since 2005, but overall sample numbers were low every year from 2000 through 2010. Samples were received from 53 of the 99 Iowa counties, and most samples were received in June and July, which is the recommended sampling time. Nematodes that have been associated with corn in Iowa in the past that were not recovered from the samples were sheath, sting, and stubby-root nematodes. The methods used to extract the nematodes from soil and roots and how the samples were handled during collection and processing may have affected the species and population densities recovered. Much more frequent and widespread sampling is needed in Iowa for plant-parasitic nematodes that feed on corn.Accepted for publication 28 October 2011. Published 5 December 2011.","author":[{"dropping-particle":"","family":"Tylka","given":"Gregory L.","non-dropping-particle":"","parse-names":false,"suffix":""},{"dropping-particle":"","family":"Sisson","given":"Adam J.","non-dropping-particle":"","parse-names":false,"suffix":""},{"dropping-particle":"","family":"Jesse","given":"Laura C.","non-dropping-particle":"","parse-names":false,"suffix":""},{"dropping-particle":"","family":"Kennicker","given":"John","non-dropping-particle":"","parse-names":false,"suffix":""},{"dropping-particle":"","family":"Marett","given":"Christopher C.","non-dropping-particle":"","parse-names":false,"suffix":""}],"container-title":"Plant Health Progress","id":"ITEM-1","issue":"1","issued":{"date-parts":[["2011"]]},"title":"Testing for Plant-parasitic Nematodes that Feed on Corn in Iowa 2000-2010","type":"article-journal","volume":"12"},"uris":["http://www.mendeley.com/documents/?uuid=edd6f455-3e6a-4045-a41d-5e793050ef79"]}],"mendeley":{"formattedCitation":"(Tylka et al., 2011)","plainTextFormattedCitation":"(Tylka et al., 2011)","previouslyFormattedCitation":"(Tylka et al., 2011)"},"properties":{"noteIndex":0},"schema":"https://github.com/citation-style-language/schema/raw/master/csl-citation.json"}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(Tylka et al., 2011)</w:t>
      </w:r>
      <w:r w:rsidRPr="00D40FF8">
        <w:rPr>
          <w:rFonts w:cs="Times New Roman"/>
          <w:szCs w:val="24"/>
        </w:rPr>
        <w:fldChar w:fldCharType="end"/>
      </w:r>
      <w:r w:rsidRPr="00D40FF8">
        <w:rPr>
          <w:rFonts w:cs="Times New Roman"/>
          <w:szCs w:val="24"/>
        </w:rPr>
        <w:t>, and in Ohio</w:t>
      </w:r>
      <w:r>
        <w:rPr>
          <w:rFonts w:cs="Times New Roman"/>
          <w:szCs w:val="24"/>
        </w:rPr>
        <w:t>,</w:t>
      </w:r>
      <w:r w:rsidRPr="00D40FF8">
        <w:rPr>
          <w:rFonts w:cs="Times New Roman"/>
          <w:szCs w:val="24"/>
        </w:rPr>
        <w:t xml:space="preserve"> 94% of tested fields </w:t>
      </w:r>
      <w:r>
        <w:rPr>
          <w:rFonts w:cs="Times New Roman"/>
          <w:szCs w:val="24"/>
        </w:rPr>
        <w:t>had spiral nematodes</w:t>
      </w:r>
      <w:r w:rsidRPr="00D40FF8">
        <w:rPr>
          <w:rFonts w:cs="Times New Roman"/>
          <w:szCs w:val="24"/>
        </w:rPr>
        <w:t xml:space="preserve"> </w:t>
      </w:r>
      <w:r w:rsidRPr="00D40FF8">
        <w:rPr>
          <w:rFonts w:cs="Times New Roman"/>
          <w:szCs w:val="24"/>
        </w:rPr>
        <w:fldChar w:fldCharType="begin" w:fldLock="1"/>
      </w:r>
      <w:r w:rsidRPr="00D40FF8">
        <w:rPr>
          <w:rFonts w:cs="Times New Roman"/>
          <w:szCs w:val="24"/>
        </w:rPr>
        <w:instrText>ADDIN CSL_CITATION {"citationItems":[{"id":"ITEM-1","itemData":{"author":[{"dropping-particle":"","family":"Wilson","given":"J D","non-dropping-particle":"","parse-names":false,"suffix":""},{"dropping-particle":"","family":"Walker","given":"J T","non-dropping-particle":"","parse-names":false,"suffix":""}],"id":"ITEM-1","issue":"December","issued":{"date-parts":[["1961"]]},"title":"An Inventory of Stylet-Bearing Nematodes in Ohio","type":"article-journal"},"uris":["http://www.mendeley.com/documents/?uuid=e5f987f9-b1cb-4a71-bdaf-3ae91abdc843"]}],"mendeley":{"formattedCitation":"(Wilson &amp; Walker, 1961)","plainTextFormattedCitation":"(Wilson &amp; Walker, 1961)","previouslyFormattedCitation":"(Wilson &amp; Walker, 1961)"},"properties":{"noteIndex":0},"schema":"https://github.com/citation-style-language/schema/raw/master/csl-citation.json"}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(Wilson &amp; Walker, 1961)</w:t>
      </w:r>
      <w:r w:rsidRPr="00D40FF8">
        <w:rPr>
          <w:rFonts w:cs="Times New Roman"/>
          <w:szCs w:val="24"/>
        </w:rPr>
        <w:fldChar w:fldCharType="end"/>
      </w:r>
      <w:r w:rsidRPr="00D40FF8">
        <w:rPr>
          <w:rFonts w:cs="Times New Roman"/>
          <w:szCs w:val="24"/>
        </w:rPr>
        <w:t xml:space="preserve">. However, spiral nematodes often occur as non-pests or minor parasites, even at a very high density on most of their hosts </w:t>
      </w:r>
      <w:r w:rsidRPr="00D40FF8">
        <w:rPr>
          <w:rFonts w:cs="Times New Roman"/>
          <w:szCs w:val="24"/>
        </w:rPr>
        <w:fldChar w:fldCharType="begin" w:fldLock="1"/>
      </w:r>
      <w:r>
        <w:rPr>
          <w:rFonts w:cs="Times New Roman"/>
          <w:szCs w:val="24"/>
        </w:rPr>
        <w:instrText>ADDIN CSL_CITATION {"citationItems":[{"id":"ITEM-1","itemData":{"ISSN":"0022300X","author":[{"dropping-particle":"","family":"Bernard","given":"E. C.","non-dropping-particle":"","parse-names":false,"suffix":""},{"dropping-particle":"","family":"Montgomery-Dee","given":"M. E.","non-dropping-particle":"","parse-names":false,"suffix":""}],"container-title":"Journal of Nematology","id":"ITEM-1","issue":"4 Supp.","issued":{"date-parts":[["1993"]]},"page":"863-868","title":"Reproduction of plant-parasitic nematodes on winter rapeseed (Brassica napus ssp. oleifera)","type":"article-journal","volume":"25"},"uris":["http://www.mendeley.com/documents/?uuid=7f608a58-d1bf-4c45-96f0-9442e9b9150a"]}],"mendeley":{"formattedCitation":"(E. C. Bernard &amp; Montgomery-Dee, 1993)","manualFormatting":"(Bernard &amp; Montgomery-Dee, 1993","plainTextFormattedCitation":"(E. C. Bernard &amp; Montgomery-Dee, 1993)","previouslyFormattedCitation":"(Bernard &amp; Montgomery-Dee, 1993)"},"properties":{"noteIndex":0},"schema":"https://github.com/citation-style-language/schema/raw/master/csl-citation.json"}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&amp; Montgomery-Dee, 1993</w:t>
      </w:r>
      <w:r w:rsidRPr="00D40FF8">
        <w:rPr>
          <w:rFonts w:cs="Times New Roman"/>
          <w:szCs w:val="24"/>
        </w:rPr>
        <w:fldChar w:fldCharType="end"/>
      </w:r>
      <w:r w:rsidRPr="00D40FF8">
        <w:rPr>
          <w:rFonts w:cs="Times New Roman"/>
          <w:szCs w:val="24"/>
        </w:rPr>
        <w:t xml:space="preserve">; </w:t>
      </w:r>
      <w:r w:rsidRPr="00D40FF8">
        <w:rPr>
          <w:rFonts w:cs="Times New Roman"/>
          <w:szCs w:val="24"/>
          <w:shd w:val="clear" w:color="auto" w:fill="FFFFFF"/>
        </w:rPr>
        <w:t>Bernard, 2018)</w:t>
      </w:r>
      <w:r w:rsidRPr="00D40FF8">
        <w:rPr>
          <w:rFonts w:cs="Times New Roman"/>
          <w:szCs w:val="24"/>
        </w:rPr>
        <w:t>. Populations of spiral nematodes can be greater than 2,000 nematodes per 100cm</w:t>
      </w:r>
      <w:r w:rsidRPr="00D40FF8">
        <w:rPr>
          <w:rFonts w:cs="Times New Roman"/>
          <w:szCs w:val="24"/>
          <w:vertAlign w:val="superscript"/>
        </w:rPr>
        <w:t>3</w:t>
      </w:r>
      <w:r w:rsidRPr="00D40FF8">
        <w:rPr>
          <w:rFonts w:cs="Times New Roman"/>
          <w:szCs w:val="24"/>
        </w:rPr>
        <w:t xml:space="preserve"> on sunflower and rapeseed without causing damage </w:t>
      </w:r>
      <w:r w:rsidRPr="00D40FF8">
        <w:rPr>
          <w:rFonts w:cs="Times New Roman"/>
          <w:szCs w:val="24"/>
        </w:rPr>
        <w:fldChar w:fldCharType="begin" w:fldLock="1"/>
      </w:r>
      <w:r>
        <w:rPr>
          <w:rFonts w:cs="Times New Roman"/>
          <w:szCs w:val="24"/>
        </w:rPr>
        <w:instrText>ADDIN CSL_CITATION {"citationItems":[{"id":"ITEM-1","itemData":{"ISSN":"0022300X","author":[{"dropping-particle":"","family":"Bernard","given":"E. C.","non-dropping-particle":"","parse-names":false,"suffix":""},{"dropping-particle":"","family":"Montgomery-Dee","given":"M. E.","non-dropping-particle":"","parse-names":false,"suffix":""}],"container-title":"Journal of Nematology","id":"ITEM-1","issue":"4 Supp.","issued":{"date-parts":[["1993"]]},"page":"863-868","title":"Reproduction of plant-parasitic nematodes on winter rapeseed (Brassica napus ssp. oleifera)","type":"article-journal","volume":"25"},"uris":["http://www.mendeley.com/documents/?uuid=7f608a58-d1bf-4c45-96f0-9442e9b9150a"]}],"mendeley":{"formattedCitation":"(E. C. Bernard &amp; Montgomery-Dee, 1993)","manualFormatting":"(Bernard &amp; Montgomery-Dee, 1993","plainTextFormattedCitation":"(E. C. Bernard &amp; Montgomery-Dee, 1993)","previouslyFormattedCitation":"(Bernard &amp; Montgomery-Dee, 1993)"},"properties":{"noteIndex":0},"schema":"https://github.com/citation-style-language/schema/raw/master/csl-citation.json"}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&amp; Montgomery-Dee, 1993</w:t>
      </w:r>
      <w:r w:rsidRPr="00D40FF8">
        <w:rPr>
          <w:rFonts w:cs="Times New Roman"/>
          <w:szCs w:val="24"/>
        </w:rPr>
        <w:fldChar w:fldCharType="end"/>
      </w:r>
      <w:r w:rsidRPr="00D40FF8">
        <w:rPr>
          <w:rFonts w:cs="Times New Roman"/>
          <w:szCs w:val="24"/>
        </w:rPr>
        <w:t xml:space="preserve">; </w:t>
      </w:r>
      <w:r w:rsidRPr="00D40FF8">
        <w:rPr>
          <w:rFonts w:cs="Times New Roman"/>
          <w:szCs w:val="24"/>
          <w:shd w:val="clear" w:color="auto" w:fill="FFFFFF"/>
        </w:rPr>
        <w:t>Bernard, 2018).</w:t>
      </w:r>
      <w:r w:rsidRPr="00D40FF8">
        <w:rPr>
          <w:rFonts w:cs="Times New Roman"/>
          <w:szCs w:val="24"/>
        </w:rPr>
        <w:t xml:space="preserve"> Other hosts like soybean, cotton, corn, bermudagrass, seashore paspalum, and creeping bentgrass can incur a loss due to spiral nematode loads </w:t>
      </w:r>
      <w:r w:rsidRPr="00D40FF8">
        <w:rPr>
          <w:rFonts w:cs="Times New Roman"/>
          <w:szCs w:val="24"/>
        </w:rPr>
        <w:fldChar w:fldCharType="begin" w:fldLock="1"/>
      </w:r>
      <w:r w:rsidRPr="00D40FF8">
        <w:rPr>
          <w:rFonts w:cs="Times New Roman"/>
          <w:szCs w:val="24"/>
        </w:rPr>
        <w:instrText>ADDIN CSL_CITATION {"citationItems":[{"id":"ITEM-1","itemData":{"author":[{"dropping-particle":"","family":"Crow","given":"William T","non-dropping-particle":"","parse-names":false,"suffix":""}],"id":"ITEM-1","issue":"January","issued":{"date-parts":[["2013"]]},"page":"2-5","title":"( Steiner , 1941 ) Golden , 1956 ( Nematoda : Tylenchida :","type":"article-journal","volume":"1956"},"uris":["http://www.mendeley.com/documents/?uuid=a3b0ffc6-14c6-4248-a1b7-56511d060363"]}],"mendeley":{"formattedCitation":"(William T Crow, 2013)","manualFormatting":"(Crow, 2013)","plainTextFormattedCitation":"(William T Crow, 2013)","previouslyFormattedCitation":"(William T Crow, 2013)"},"properties":{"noteIndex":0},"schema":"https://github.com/citation-style-language/schema/raw/master/csl-citation.json"}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(Crow, 2013)</w:t>
      </w:r>
      <w:r w:rsidRPr="00D40FF8">
        <w:rPr>
          <w:rFonts w:cs="Times New Roman"/>
          <w:szCs w:val="24"/>
        </w:rPr>
        <w:fldChar w:fldCharType="end"/>
      </w:r>
      <w:r w:rsidRPr="00D40FF8">
        <w:rPr>
          <w:rFonts w:cs="Times New Roman"/>
          <w:szCs w:val="24"/>
        </w:rPr>
        <w:t>. A density as high as 500 nematodes/100 cm</w:t>
      </w:r>
      <w:r w:rsidRPr="00D40FF8">
        <w:rPr>
          <w:rFonts w:cs="Times New Roman"/>
          <w:szCs w:val="24"/>
          <w:vertAlign w:val="superscript"/>
        </w:rPr>
        <w:t xml:space="preserve">3 </w:t>
      </w:r>
      <w:r w:rsidRPr="00D40FF8">
        <w:rPr>
          <w:rFonts w:cs="Times New Roman"/>
          <w:szCs w:val="24"/>
        </w:rPr>
        <w:t xml:space="preserve">soil was reported to cause damage to corn in Iowa </w:t>
      </w:r>
      <w:r w:rsidRPr="00D40FF8">
        <w:rPr>
          <w:rFonts w:cs="Times New Roman"/>
          <w:szCs w:val="24"/>
        </w:rPr>
        <w:fldChar w:fldCharType="begin" w:fldLock="1"/>
      </w:r>
      <w:r w:rsidRPr="00D40FF8">
        <w:rPr>
          <w:rFonts w:cs="Times New Roman"/>
          <w:szCs w:val="24"/>
        </w:rPr>
        <w:instrText>ADDIN CSL_CITATION {"citationItems":[{"id":"ITEM-1","itemData":{"DOI":"10.1094/php-2011-1205-01-rs","ISSN":"1535-1025","abstract":"The Iowa State University Plant and Insect Diagnostic Clinic analyzes soil and root samples for plant-parasitic nematodes. The results of samples associated with corn that were submitted from 2000 through 2010 were summarized. One or more genera of plant-parasitic nematodes were found in 92% of the samples. Spiral nematode and root-lesion nematode were most commonly found. Other nematodes recovered were dagger, lance, needle, pin, ring, and stunt nematodes. Nematodes recovered at damaging population densities were dagger, needle, ring, and spiral nematodes. An average of 15 samples were submitted per year from 2000 to 2004. Sample numbers increased nearly threefold since 2005, but overall sample numbers were low every year from 2000 through 2010. Samples were received from 53 of the 99 Iowa counties, and most samples were received in June and July, which is the recommended sampling time. Nematodes that have been associated with corn in Iowa in the past that were not recovered from the samples were sheath, sting, and stubby-root nematodes. The methods used to extract the nematodes from soil and roots and how the samples were handled during collection and processing may have affected the species and population densities recovered. Much more frequent and widespread sampling is needed in Iowa for plant-parasitic nematodes that feed on corn.Accepted for publication 28 October 2011. Published 5 December 2011.","author":[{"dropping-particle":"","family":"Tylka","given":"Gregory L.","non-dropping-particle":"","parse-names":false,"suffix":""},{"dropping-particle":"","family":"Sisson","given":"Adam J.","non-dropping-particle":"","parse-names":false,"suffix":""},{"dropping-particle":"","family":"Jesse","given":"Laura C.","non-dropping-particle":"","parse-names":false,"suffix":""},{"dropping-particle":"","family":"Kennicker","given":"John","non-dropping-particle":"","parse-names":false,"suffix":""},{"dropping-particle":"","family":"Marett","given":"Christopher C.","non-dropping-particle":"","parse-names":false,"suffix":""}],"container-title":"Plant Health Progress","id":"ITEM-1","issue":"1","issued":{"date-parts":[["2011"]]},"title":"Testing for Plant-parasitic Nematodes that Feed on Corn in Iowa 2000-2010","type":"article-journal","volume":"12"},"uris":["http://www.mendeley.com/documents/?uuid=edd6f455-3e6a-4045-a41d-5e793050ef79"]}],"mendeley":{"formattedCitation":"(Tylka et al., 2011)","plainTextFormattedCitation":"(Tylka et al., 2011)","previouslyFormattedCitation":"(Tylka et al., 2011)"},"properties":{"noteIndex":0},"schema":"https://github.com/citation-style-language/schema/raw/master/csl-citation.json"}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(Tylka et al., 2011)</w:t>
      </w:r>
      <w:r w:rsidRPr="00D40FF8">
        <w:rPr>
          <w:rFonts w:cs="Times New Roman"/>
          <w:szCs w:val="24"/>
        </w:rPr>
        <w:fldChar w:fldCharType="end"/>
      </w:r>
      <w:r w:rsidRPr="00D40FF8">
        <w:rPr>
          <w:rFonts w:cs="Times New Roman"/>
          <w:szCs w:val="24"/>
        </w:rPr>
        <w:t>. Our findings indicate that spiral nematodes are not currently a major concern to field crop growers in Tennessee as the average density found was 88 nematodes/100 cm</w:t>
      </w:r>
      <w:r w:rsidRPr="00D40FF8">
        <w:rPr>
          <w:rFonts w:cs="Times New Roman"/>
          <w:szCs w:val="24"/>
          <w:vertAlign w:val="superscript"/>
        </w:rPr>
        <w:t xml:space="preserve">3 </w:t>
      </w:r>
      <w:r w:rsidRPr="00D40FF8">
        <w:rPr>
          <w:rFonts w:cs="Times New Roman"/>
          <w:szCs w:val="24"/>
        </w:rPr>
        <w:t>and only a few samples (0.02%) had over 500 spiral nematodes/100cm</w:t>
      </w:r>
      <w:r w:rsidRPr="00D40FF8">
        <w:rPr>
          <w:rFonts w:cs="Times New Roman"/>
          <w:szCs w:val="24"/>
          <w:vertAlign w:val="superscript"/>
        </w:rPr>
        <w:t>3</w:t>
      </w:r>
      <w:r w:rsidRPr="00D40FF8">
        <w:rPr>
          <w:rFonts w:cs="Times New Roman"/>
          <w:szCs w:val="24"/>
        </w:rPr>
        <w:t xml:space="preserve">. A study to evaluate the effect of the highest density on corn and soybean production as well as continued monitoring of spiral nematode populations across Tennessee are recommended. </w:t>
      </w:r>
    </w:p>
    <w:p w14:paraId="5D0ED0BB" w14:textId="77777777" w:rsidR="00D20476" w:rsidRDefault="00D20476" w:rsidP="00D20476">
      <w:pPr>
        <w:spacing w:line="360" w:lineRule="auto"/>
        <w:ind w:left="720" w:firstLine="720"/>
        <w:rPr>
          <w:rFonts w:cs="Times New Roman"/>
          <w:szCs w:val="24"/>
        </w:rPr>
      </w:pPr>
      <w:r w:rsidRPr="00D40FF8">
        <w:rPr>
          <w:rFonts w:cs="Times New Roman"/>
          <w:szCs w:val="24"/>
        </w:rPr>
        <w:t>Lance nematodes (</w:t>
      </w:r>
      <w:r w:rsidRPr="00D40FF8">
        <w:rPr>
          <w:rFonts w:cs="Times New Roman"/>
          <w:i/>
          <w:szCs w:val="24"/>
        </w:rPr>
        <w:t>Hoplolaimus</w:t>
      </w:r>
      <w:r w:rsidRPr="00D40FF8">
        <w:rPr>
          <w:rFonts w:cs="Times New Roman"/>
          <w:szCs w:val="24"/>
        </w:rPr>
        <w:t xml:space="preserve"> sp</w:t>
      </w:r>
      <w:r>
        <w:rPr>
          <w:rFonts w:cs="Times New Roman"/>
          <w:szCs w:val="24"/>
        </w:rPr>
        <w:t>p</w:t>
      </w:r>
      <w:r w:rsidRPr="00D40FF8">
        <w:rPr>
          <w:rFonts w:cs="Times New Roman"/>
          <w:szCs w:val="24"/>
        </w:rPr>
        <w:t xml:space="preserve">.) are migratory ectoparasites and endoparasites. They feed on the outside of the root but eventually enter and embed themselves either partially or completely within the root of their host </w:t>
      </w:r>
      <w:r w:rsidRPr="00D40FF8">
        <w:rPr>
          <w:rFonts w:cs="Times New Roman"/>
          <w:szCs w:val="24"/>
        </w:rPr>
        <w:fldChar w:fldCharType="begin" w:fldLock="1"/>
      </w:r>
      <w:r w:rsidRPr="00D40FF8">
        <w:rPr>
          <w:rFonts w:cs="Times New Roman"/>
          <w:szCs w:val="24"/>
        </w:rPr>
        <w:instrText>ADDIN CSL_CITATION {"citationItems":[{"id":"ITEM-1","itemData":{"author":[{"dropping-particle":"","family":"Supramana","given":"S","non-dropping-particle":"","parse-names":false,"suffix":""},{"dropping-particle":"","family":"Lewis","given":"S A","non-dropping-particle":"","parse-names":false,"suffix":""},{"dropping-particle":"","family":"Mueller","given":"J D","non-dropping-particle":"","parse-names":false,"suffix":""},{"dropping-particle":"","family":"Fortnum","given":"B A","non-dropping-particle":"","parse-names":false,"suffix":""},{"dropping-particle":"","family":"Ballard","given":"R E","non-dropping-particle":"","parse-names":false,"suffix":""}],"id":"ITEM-1","issued":{"date-parts":[["2001"]]},"page":"281-288","title":"BIOLOGY OF COLUMBIA LANCE NEMATODE ( HOPLOLAIMUS COLUMBUS SHER ) ON SOYBEAN EXCISED ROOT CULTURE The Columbia lance nematode , Hoplo- laimus columbus Sher , was first reported by Q . L . Holdeman in a field of declining soy- bean [ Glycine max ( L .) Merr","type":"article-journal"},"uris":["http://www.mendeley.com/documents/?uuid=40f4fb14-a47a-4e39-9678-3729d08387ff"]}],"mendeley":{"formattedCitation":"(Supramana et al., 2001)","plainTextFormattedCitation":"(Supramana et al., 2001)","previouslyFormattedCitation":"(Supramana et al., 2001)"},"properties":{"noteIndex":0},"schema":"https://github.com/citation-style-language/schema/raw/master/csl-citation.json"}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(Supramana et al., 2001)</w:t>
      </w:r>
      <w:r w:rsidRPr="00D40FF8">
        <w:rPr>
          <w:rFonts w:cs="Times New Roman"/>
          <w:szCs w:val="24"/>
        </w:rPr>
        <w:fldChar w:fldCharType="end"/>
      </w:r>
      <w:r w:rsidRPr="00D40FF8">
        <w:rPr>
          <w:rFonts w:cs="Times New Roman"/>
          <w:szCs w:val="24"/>
        </w:rPr>
        <w:t xml:space="preserve">. Lance nematodes have a wide host range, but some of their most economical hosts are cotton, soybean, and turfgrass </w:t>
      </w:r>
      <w:r w:rsidRPr="00D40FF8">
        <w:rPr>
          <w:rFonts w:cs="Times New Roman"/>
          <w:szCs w:val="24"/>
        </w:rPr>
        <w:fldChar w:fldCharType="begin" w:fldLock="1"/>
      </w:r>
      <w:r w:rsidRPr="00D40FF8">
        <w:rPr>
          <w:rFonts w:cs="Times New Roman"/>
          <w:szCs w:val="24"/>
        </w:rPr>
        <w:instrText>ADDIN CSL_CITATION {"citationItems":[{"id":"ITEM-1","itemData":{"DOI":"10.32473/edis-in390-2001","abstract":"Among nematodes, which are often too small to be accurately detected by sight, the lance nematode Hoplolaimus galeatus (Cobb, 1913) Thorne, 1935, is one of the larger species. As adults they measure about 1.5 mm in length. Although other species of lance nematodes can be very damaging to agronomic crops, H. galeatus is known primarily as a pest of turfgrasses. This document is EENY-234, one of a series of Featured Creatures from the Entomology and Nematology Department, Florida Cooperative Extension Service, Institute of Food and Agricultural Sciences, University of Florida. Published: August 2001.\r https://edis.ifas.ufl.edu/in390","author":[{"dropping-particle":"","family":"Crow","given":"William T.","non-dropping-particle":"","parse-names":false,"suffix":""},{"dropping-particle":"","family":"Brammer","given":"Angela S.","non-dropping-particle":"","parse-names":false,"suffix":""}],"container-title":"Edis","id":"ITEM-1","issue":"9","issued":{"date-parts":[["1969"]]},"page":"1-3","title":"Lance Nematode, Hoplolaimus galeatus (Cobb, 1913) Thorne, 1935 (Nematoda: Secernentea: Tylenchida: Tylenchoidea: Hoplolaimidae)","type":"article-journal","volume":"2002"},"uris":["http://www.mendeley.com/documents/?uuid=5b8c4568-8bd7-45e7-a83c-27382c7d2a4b"]}],"mendeley":{"formattedCitation":"(William T. Crow &amp; Brammer, 1969)","manualFormatting":"(Crow &amp; Brammer, 1969;","plainTextFormattedCitation":"(William T. Crow &amp; Brammer, 1969)","previouslyFormattedCitation":"(William T. Crow &amp; Brammer, 1969)"},"properties":{"noteIndex":0},"schema":"https://github.com/citation-style-language/schema/raw/master/csl-citation.json"}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(Crow &amp; Brammer, 1969;</w:t>
      </w:r>
      <w:r w:rsidRPr="00D40FF8">
        <w:rPr>
          <w:rFonts w:cs="Times New Roman"/>
          <w:szCs w:val="24"/>
        </w:rPr>
        <w:fldChar w:fldCharType="end"/>
      </w:r>
      <w:r w:rsidRPr="00D40FF8">
        <w:rPr>
          <w:rFonts w:cs="Times New Roman"/>
          <w:szCs w:val="24"/>
        </w:rPr>
        <w:t xml:space="preserve"> </w:t>
      </w:r>
      <w:r w:rsidRPr="00D40FF8">
        <w:rPr>
          <w:rFonts w:cs="Times New Roman"/>
          <w:szCs w:val="24"/>
        </w:rPr>
        <w:fldChar w:fldCharType="begin" w:fldLock="1"/>
      </w:r>
      <w:r w:rsidRPr="00D40FF8">
        <w:rPr>
          <w:rFonts w:cs="Times New Roman"/>
          <w:szCs w:val="24"/>
        </w:rPr>
        <w:instrText>ADDIN CSL_CITATION {"citationItems":[{"id":"ITEM-1","itemData":{"DOI":"10.1564/16feb04","ISSN":"17431026","abstract":"William T. Crow describes the problems associated with different genera of nematodes on golf courses and offers solutions to the damage that they cause. © 2005. Research Information Ltd. All rights reserved.","author":[{"dropping-particle":"","family":"Crow","given":"William T.","non-dropping-particle":"","parse-names":false,"suffix":""}],"container-title":"Outlooks on Pest Management","id":"ITEM-1","issue":"1","issued":{"date-parts":[["2005"]]},"page":"10-15","title":"Plant-parasitic nematodes on golf course turf","type":"article-journal","volume":"16"},"uris":["http://www.mendeley.com/documents/?uuid=1fbb48a9-cd1f-48e0-88f8-cfc99fce4bdd"]},{"id":"ITEM-2","itemData":{"DOI":"10.1016/j.apsoil.2015.06.004","ISSN":"09291393","abstract":"Hoplolaimus columbus, Columbia lance nematode (CLN), can cause severe stunting and considerable yield losses in cotton. A three-year field study was conducted in South Carolina with the purpose of examining the population dynamics and spatial distribution patterns of CLN as influenced by soil texture, the presence of Rotylenchulus reniformis, reniform nematode (RN), and a cotton-corn-soybean rotation scheme. Four plots with different soil textures inferred by soil electrical conductivity were sampled at plant and at harvest for each crop. Population densities of CLN were aggregated and the host plant did not affect the pattern of spatial distribution. Columbia lance nematode and RN were found in spatially distinct areas in the field influenced by differences in soil texture. Columbia lance nematode was mainly found in areas with high sand content (above 75%) and RN in areas with 60-65% sand content. Therefore, depending on the sand content, whenever there are concomitant infestations of CLN and RN in a field, only one species is likely to be the key pest. Knowledge of the distribution patterns of CLN is essential for selecting sampling strategies and for site-specific management.","author":[{"dropping-particle":"","family":"Holguin","given":"Claudia M.","non-dropping-particle":"","parse-names":false,"suffix":""},{"dropping-particle":"","family":"Mueller","given":"John D.","non-dropping-particle":"","parse-names":false,"suffix":""},{"dropping-particle":"","family":"Khalilian","given":"Ahmad","non-dropping-particle":"","parse-names":false,"suffix":""},{"dropping-particle":"","family":"Agudelo","given":"Paula","non-dropping-particle":"","parse-names":false,"suffix":""}],"container-title":"Applied Soil Ecology","id":"ITEM-2","issued":{"date-parts":[["2015"]]},"page":"107-114","title":"Population dynamics and spatial distribution of Columbia lance nematode in cotton","type":"article-journal","volume":"95"},"uris":["http://www.mendeley.com/documents/?uuid=b08e3ea7-9cac-4b2a-9c47-b0bd112388ab"]},{"id":"ITEM-3","itemData":{"DOI":"10.1094/PDIS-12-14-1332-RE","ISSN":"01912917","abstract":"Hoplolaimus columbus is an important nematode pest of soybean in South Carolina and North Carolina. Tolerant cultivars are available for the management of this plant-parasitic nematode; however, variation in the response of soybean cultivars to H. columbus populations has been observed. This variation may be due to the presence of different species or high genetic diversity of H. columbus populations. The objective of this study was to identify the Hoplolaimus spp. present in fields representing the main soybean-growing regions in South Carolina and North Carolina and to examine the genetic variability of these populations. In South Carolina, the only species found associated with soybean was H. columbus but, in North Carolina, H. stephanus was the dominant species. The two species were never found together. Genetic variability analyses of a mitochondrial and a nuclear marker showed that only one haplotype was shared by the H. columbus populations. H. stephanus showed higher genetic variability, with private haplotypes per sampling location. Knowledge of the distribution and genetic variability of these two Hoplolaimus spp. is valuable to growers to determine potentially damaging infestations of these plant-parasitic nematodes in soybean fields.","author":[{"dropping-particle":"","family":"Holguin","given":"Claudia M.","non-dropping-particle":"","parse-names":false,"suffix":""},{"dropping-particle":"","family":"Ma","given":"Xinyuan","non-dropping-particle":"","parse-names":false,"suffix":""},{"dropping-particle":"","family":"Mueller","given":"John D.","non-dropping-particle":"","parse-names":false,"suffix":""},{"dropping-particle":"","family":"Agudelo","given":"Paula","non-dropping-particle":"","parse-names":false,"suffix":""}],"container-title":"Plant Disease","id":"ITEM-3","issue":"1","issued":{"date-parts":[["2016"]]},"page":"149-153","title":"Distribution of Hoplolaimus species in soybean fields in south Carolina and north Carolina","type":"article-journal","volume":"100"},"uris":["http://www.mendeley.com/documents/?uuid=e6ee3f1c-3a82-4aed-b690-70920d33e0e0"]}],"mendeley":{"formattedCitation":"(William T. Crow, 2005; Holguin et al., 2015, 2016)","manualFormatting":"Crow, 2005; Holguin et al., 2015, 2016)","plainTextFormattedCitation":"(William T. Crow, 2005; Holguin et al., 2015, 2016)","previouslyFormattedCitation":"(William T. Crow, 2005; Holguin et al., 2015, 2016)"},"properties":{"noteIndex":0},"schema":"https://github.com/citation-style-language/schema/raw/master/csl-citation.json"}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Crow, 2005; Holguin et al., 2015, 2016)</w:t>
      </w:r>
      <w:r w:rsidRPr="00D40FF8">
        <w:rPr>
          <w:rFonts w:cs="Times New Roman"/>
          <w:szCs w:val="24"/>
        </w:rPr>
        <w:fldChar w:fldCharType="end"/>
      </w:r>
      <w:r w:rsidRPr="00D40FF8">
        <w:rPr>
          <w:rFonts w:cs="Times New Roman"/>
          <w:szCs w:val="24"/>
        </w:rPr>
        <w:t xml:space="preserve">. Lance nematode species have been associated with field crops, forage, pasture, woody ornamentals, turf, and vegetables in Tennessee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and our study supports that lance nematode can be harbored by cotton, soybean, corn, wheat, weeds in fallow fields, and cover crops. Weeds and cover crops may serve as alternative hosts to maintain this nematode. Our study also suggests an increase in lance nematode prevalence compared to previous findings.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found </w:t>
      </w:r>
      <w:r>
        <w:rPr>
          <w:rFonts w:cs="Times New Roman"/>
          <w:szCs w:val="24"/>
        </w:rPr>
        <w:t xml:space="preserve">that </w:t>
      </w:r>
      <w:r w:rsidRPr="00D40FF8">
        <w:rPr>
          <w:rFonts w:cs="Times New Roman"/>
          <w:szCs w:val="24"/>
        </w:rPr>
        <w:t xml:space="preserve">19% of samples and 27% of counties had lance nematodes, </w:t>
      </w:r>
      <w:r>
        <w:rPr>
          <w:rFonts w:cs="Times New Roman"/>
          <w:szCs w:val="24"/>
        </w:rPr>
        <w:t>compared to</w:t>
      </w:r>
      <w:r w:rsidRPr="00D40FF8">
        <w:rPr>
          <w:rFonts w:cs="Times New Roman"/>
          <w:szCs w:val="24"/>
        </w:rPr>
        <w:t xml:space="preserve"> 29% of samples and 68% of counties in this study. Densities of 60 lance nematodes/100 cm</w:t>
      </w:r>
      <w:r w:rsidRPr="00D40FF8">
        <w:rPr>
          <w:rFonts w:cs="Times New Roman"/>
          <w:szCs w:val="24"/>
          <w:vertAlign w:val="superscript"/>
        </w:rPr>
        <w:t xml:space="preserve">3 </w:t>
      </w:r>
      <w:r w:rsidRPr="00D40FF8">
        <w:rPr>
          <w:rFonts w:cs="Times New Roman"/>
          <w:szCs w:val="24"/>
        </w:rPr>
        <w:t>can cause stunted root growth in soybean (</w:t>
      </w:r>
      <w:r w:rsidRPr="00D40FF8">
        <w:rPr>
          <w:rFonts w:cs="Times New Roman"/>
          <w:szCs w:val="24"/>
        </w:rPr>
        <w:fldChar w:fldCharType="begin" w:fldLock="1"/>
      </w:r>
      <w:r w:rsidRPr="00D40FF8">
        <w:rPr>
          <w:rFonts w:cs="Times New Roman"/>
          <w:szCs w:val="24"/>
        </w:rPr>
        <w:instrText>ADDIN CSL_CITATION {"citationItems":[{"id":"ITEM-1","itemData":{"id":"ITEM-1","issued":{"date-parts":[["0"]]},"title":"First Report of the Lance Nematode Hoplolaimus stephanus From a Soybean Field in North Dakota _ Plant Disease.pdf","type":"article"},"uris":["http://www.mendeley.com/documents/?uuid=fc06cc5e-5d61-4974-b5af-c30ef208e0a6"]}],"mendeley":{"formattedCitation":"(&lt;i&gt;First Report of the Lance Nematode Hoplolaimus stephanus From a Soybean Field in North Dakota _ Plant Disease.pdf&lt;/i&gt;, n.d.)","manualFormatting":"Yan et al., 2016)","plainTextFormattedCitation":"(First Report of the Lance Nematode Hoplolaimus stephanus From a Soybean Field in North Dakota _ Plant Disease.pdf, n.d.)","previouslyFormattedCitation":"(&lt;i&gt;First Report of the Lance Nematode Hoplolaimus stephanus From a Soybean Field in North Dakota _ Plant Disease.pdf&lt;/i&gt;, n.d.)"},"properties":{"noteIndex":0},"schema":"https://github.com/citation-style-language/schema/raw/master/csl-citation.json"}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Yan et al., 2016)</w:t>
      </w:r>
      <w:r w:rsidRPr="00D40FF8">
        <w:rPr>
          <w:rFonts w:cs="Times New Roman"/>
          <w:szCs w:val="24"/>
        </w:rPr>
        <w:fldChar w:fldCharType="end"/>
      </w:r>
      <w:r w:rsidRPr="00D40FF8">
        <w:rPr>
          <w:rFonts w:cs="Times New Roman"/>
          <w:szCs w:val="24"/>
        </w:rPr>
        <w:t xml:space="preserve"> and 75 nematodes/100 cm</w:t>
      </w:r>
      <w:r w:rsidRPr="00D40FF8">
        <w:rPr>
          <w:rFonts w:cs="Times New Roman"/>
          <w:szCs w:val="24"/>
          <w:vertAlign w:val="superscript"/>
        </w:rPr>
        <w:t>3</w:t>
      </w:r>
      <w:r>
        <w:rPr>
          <w:rFonts w:cs="Times New Roman"/>
          <w:szCs w:val="24"/>
        </w:rPr>
        <w:t xml:space="preserve"> </w:t>
      </w:r>
      <w:r w:rsidRPr="00D40FF8">
        <w:rPr>
          <w:rFonts w:cs="Times New Roman"/>
          <w:szCs w:val="24"/>
        </w:rPr>
        <w:t>can damage cotton, and cause up to 25% in yield loss  (</w:t>
      </w:r>
      <w:r w:rsidRPr="00D40FF8">
        <w:rPr>
          <w:rFonts w:cs="Times New Roman"/>
          <w:szCs w:val="24"/>
        </w:rPr>
        <w:fldChar w:fldCharType="begin" w:fldLock="1"/>
      </w:r>
      <w:r w:rsidRPr="00D40FF8">
        <w:rPr>
          <w:rFonts w:cs="Times New Roman"/>
          <w:szCs w:val="24"/>
        </w:rPr>
        <w:instrText>ADDIN CSL_CITATION {"citationItems":[{"id":"ITEM-1","itemData":{"DOI":"10.1094/PDIS.2004.88.2.100","ISSN":"01912917","author":[{"dropping-particle":"","family":"Koenning","given":"Stephen R.","non-dropping-particle":"","parse-names":false,"suffix":""},{"dropping-particle":"","family":"Wrather","given":"J. Allen","non-dropping-particle":"","parse-names":false,"suffix":""},{"dropping-particle":"","family":"Kirkpatrick","given":"Terrence L.","non-dropping-particle":"","parse-names":false,"suffix":""},{"dropping-particle":"","family":"Walker","given":"Nathan R.","non-dropping-particle":"","parse-names":false,"suffix":""},{"dropping-particle":"","family":"Starr","given":"James L.","non-dropping-particle":"","parse-names":false,"suffix":""},{"dropping-particle":"","family":"Mueller","given":"John D.","non-dropping-particle":"","parse-names":false,"suffix":""}],"container-title":"Plant Disease","id":"ITEM-1","issue":"2","issued":{"date-parts":[["2004"]]},"page":"100-113","title":"Plant-parasitic nematodes attacking cotton in the United States: Old and emerging production challenges","type":"article-journal","volume":"88"},"uris":["http://www.mendeley.com/documents/?uuid=ea83035b-46f9-4ed1-bc9f-b05b9c146d83"]}],"mendeley":{"formattedCitation":"(Koenning et al., 2004)","manualFormatting":"Koenning et al., 2004)","plainTextFormattedCitation":"(Koenning et al., 2004)","previouslyFormattedCitation":"(Koenning et al., 2004)"},"properties":{"noteIndex":0},"schema":"https://github.com/citation-style-language/schema/raw/master/csl-citation.json"}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Koenning et al., 2004)</w:t>
      </w:r>
      <w:r w:rsidRPr="00D40FF8">
        <w:rPr>
          <w:rFonts w:cs="Times New Roman"/>
          <w:szCs w:val="24"/>
        </w:rPr>
        <w:fldChar w:fldCharType="end"/>
      </w:r>
      <w:r w:rsidRPr="00D40FF8">
        <w:rPr>
          <w:rFonts w:cs="Times New Roman"/>
          <w:szCs w:val="24"/>
        </w:rPr>
        <w:t>. The average density found in the present study was 22 nematodes/100 cm</w:t>
      </w:r>
      <w:r w:rsidRPr="00D40FF8">
        <w:rPr>
          <w:rFonts w:cs="Times New Roman"/>
          <w:szCs w:val="24"/>
          <w:vertAlign w:val="superscript"/>
        </w:rPr>
        <w:t>3</w:t>
      </w:r>
      <w:r w:rsidRPr="00D40FF8">
        <w:rPr>
          <w:rFonts w:cs="Times New Roman"/>
          <w:szCs w:val="24"/>
        </w:rPr>
        <w:t xml:space="preserve"> soil, with only ~ 7% of lance populations greater than 60 nematodes/100 cm</w:t>
      </w:r>
      <w:r w:rsidRPr="00D40FF8">
        <w:rPr>
          <w:rFonts w:cs="Times New Roman"/>
          <w:szCs w:val="24"/>
          <w:vertAlign w:val="superscript"/>
        </w:rPr>
        <w:t xml:space="preserve">3 </w:t>
      </w:r>
      <w:r w:rsidRPr="00D40FF8">
        <w:rPr>
          <w:rFonts w:cs="Times New Roman"/>
          <w:szCs w:val="24"/>
        </w:rPr>
        <w:t>of soil and 100 nematodes/100 cm</w:t>
      </w:r>
      <w:r w:rsidRPr="00D40FF8">
        <w:rPr>
          <w:rFonts w:cs="Times New Roman"/>
          <w:szCs w:val="24"/>
          <w:vertAlign w:val="superscript"/>
        </w:rPr>
        <w:t xml:space="preserve">3 </w:t>
      </w:r>
      <w:r w:rsidRPr="00D40FF8">
        <w:rPr>
          <w:rFonts w:cs="Times New Roman"/>
          <w:szCs w:val="24"/>
        </w:rPr>
        <w:t xml:space="preserve">being the maximum density found. This suggests that only a few populations of lance nematodes that were found in this study have the potential to cause damage on Tennessee field crops including soybean, cotton, and corn. </w:t>
      </w:r>
    </w:p>
    <w:p w14:paraId="1C6A7638" w14:textId="77777777" w:rsidR="00D20476" w:rsidRPr="00AB65D6" w:rsidRDefault="00D20476" w:rsidP="00D20476">
      <w:pPr>
        <w:spacing w:line="360" w:lineRule="auto"/>
        <w:ind w:left="720" w:firstLine="720"/>
        <w:rPr>
          <w:rFonts w:cs="Times New Roman"/>
          <w:szCs w:val="24"/>
          <w:shd w:val="clear" w:color="auto" w:fill="FFFFFF"/>
        </w:rPr>
      </w:pPr>
      <w:r w:rsidRPr="00D40FF8">
        <w:rPr>
          <w:rFonts w:cs="Times New Roman"/>
          <w:szCs w:val="24"/>
        </w:rPr>
        <w:t xml:space="preserve">Soybean cyst nematode is the most important soybean pathogen in the United States, as it is responsible for over $1.5 billion in yield loss annually </w:t>
      </w:r>
      <w:r w:rsidRPr="00D40FF8">
        <w:rPr>
          <w:rFonts w:cs="Times New Roman"/>
          <w:szCs w:val="24"/>
        </w:rPr>
        <w:fldChar w:fldCharType="begin" w:fldLock="1"/>
      </w:r>
      <w:r w:rsidRPr="00D40FF8">
        <w:rPr>
          <w:rFonts w:cs="Times New Roman"/>
          <w:szCs w:val="24"/>
        </w:rPr>
        <w:instrText>ADDIN CSL_CITATION {"citationItems":[{"id":"ITEM-1","itemData":{"DOI":"10.1094/PHP-RS-16-0066","ISSN":"15351025","abstract":"Annual decreases in soybean (Glycine max L. Merrill) yield caused by diseases were estimated by surveying university-affiliated plant pathologists in 28 soybean-producing states in theUnitedStates and in Ontario, Canada, from 2010 through 2014. Estimated yield losses from each disease varied greatly by state or province and year. Over the duration of this survey, soybean cyst nematode (SCN) (Heterodera glycines Ichinohe) was estimated to have caused more than twice as much yield loss than any other disease. Seedling diseases (caused by various pathogens), charcoal rot (caused by Macrophomina phaseolina (Tassi) Goid), and sudden death syndrome (SDS) (caused by Fusarium virguliforme O'Donnell &amp; T. Aoki) caused the next greatest estimated yield losses, in descending order. The estimated mean economic loss due to all soybean diseases, averaged across U.S. states and Ontario from 2010 to 2014, was $60.66 USD per acre. Results from this survey will provide scientists, breeders, governments, and educators with soybean yield-loss estimates to help inform and prioritize research, policy, and educational efforts in soybean pathology and disease management.","author":[{"dropping-particle":"","family":"Allen","given":"Tom W.","non-dropping-particle":"","parse-names":false,"suffix":""},{"dropping-particle":"","family":"Bradley","given":"Carl A.","non-dropping-particle":"","parse-names":false,"suffix":""},{"dropping-particle":"","family":"Sisson","given":"Adam J.","non-dropping-particle":"","parse-names":false,"suffix":""},{"dropping-particle":"","family":"Byamukama","given":"Emmanuel","non-dropping-particle":"","parse-names":false,"suffix":""},{"dropping-particle":"","family":"Chilvers","given":"Martin I.","non-dropping-particle":"","parse-names":false,"suffix":""},{"dropping-particle":"","family":"Coker","given":"Cliff M.","non-dropping-particle":"","parse-names":false,"suffix":""},{"dropping-particle":"","family":"Collins","given":"Alyssa A.","non-dropping-particle":"","parse-names":false,"suffix":""},{"dropping-particle":"","family":"Damicone","given":"John P.","non-dropping-particle":"","parse-names":false,"suffix":""},{"dropping-particle":"","family":"Dorrance","given":"Anne E.","non-dropping-particle":"","parse-names":false,"suffix":""},{"dropping-particle":"","family":"Dufault","given":"Nicholas S.","non-dropping-particle":"","parse-names":false,"suffix":""},{"dropping-particle":"","family":"Esker","given":"Paul D.","non-dropping-particle":"","parse-names":false,"suffix":""},{"dropping-particle":"","family":"Faske","given":"Travis R.","non-dropping-particle":"","parse-names":false,"suffix":""},{"dropping-particle":"","family":"Giesler","given":"Loren J.","non-dropping-particle":"","parse-names":false,"suffix":""},{"dropping-particle":"","family":"Grybauskas","given":"Arvydas P.","non-dropping-particle":"","parse-names":false,"suffix":""},{"dropping-particle":"","family":"Hershman","given":"Donald E.","non-dropping-particle":"","parse-names":false,"suffix":""},{"dropping-particle":"","family":"Hollier","given":"Clayton A.","non-dropping-particle":"","parse-names":false,"suffix":""},{"dropping-particle":"","family":"Isakeit","given":"Tom","non-dropping-particle":"","parse-names":false,"suffix":""},{"dropping-particle":"","family":"Jardine","given":"Douglas J.","non-dropping-particle":"","parse-names":false,"suffix":""},{"dropping-particle":"","family":"Kelly","given":"Heather M.","non-dropping-particle":"","parse-names":false,"suffix":""},{"dropping-particle":"","family":"Kemerait","given":"Robert C.","non-dropping-particle":"","parse-names":false,"suffix":""},{"dropping-particle":"","family":"Kleczewski","given":"Nathan M.","non-dropping-particle":"","parse-names":false,"suffix":""},{"dropping-particle":"","family":"Koenning","given":"Steve R.","non-dropping-particle":"","parse-names":false,"suffix":""},{"dropping-particle":"","family":"Kurle","given":"James E.","non-dropping-particle":"","parse-names":false,"suffix":""},{"dropping-particle":"","family":"Malvick","given":"Dean K.","non-dropping-particle":"","parse-names":false,"suffix":""},{"dropping-particle":"","family":"Markell","given":"Samuel G.","non-dropping-particle":"","parse-names":false,"suffix":""},{"dropping-particle":"","family":"Mehl","given":"Hillary L.","non-dropping-particle":"","parse-names":false,"suffix":""},{"dropping-particle":"","family":"Mueller","given":"Daren S.","non-dropping-particle":"","parse-names":false,"suffix":""},{"dropping-particle":"","family":"Mueller","given":"John D.","non-dropping-particle":"","parse-names":false,"suffix":""},{"dropping-particle":"","family":"Mulrooney","given":"Robert P.","non-dropping-particle":"","parse-names":false,"suffix":""},{"dropping-particle":"","family":"Nelson","given":"Berlin D.","non-dropping-particle":"","parse-names":false,"suffix":""},{"dropping-particle":"","family":"Newman","given":"Melvin A.","non-dropping-particle":"","parse-names":false,"suffix":""},{"dropping-particle":"","family":"Osborne","given":"Larry","non-dropping-particle":"","parse-names":false,"suffix":""},{"dropping-particle":"","family":"Overstreet","given":"Charles","non-dropping-particle":"","parse-names":false,"suffix":""},{"dropping-particle":"","family":"Padgett","given":"Guy B.","non-dropping-particle":"","parse-names":false,"suffix":""},{"dropping-particle":"","family":"Phipps","given":"Patrick M.","non-dropping-particle":"","parse-names":false,"suffix":""},{"dropping-particle":"","family":"Price","given":"Paul P.","non-dropping-particle":"","parse-names":false,"suffix":""},{"dropping-particle":"","family":"Sikora","given":"Edward J.","non-dropping-particle":"","parse-names":false,"suffix":""},{"dropping-particle":"","family":"Smith","given":"Damon L.","non-dropping-particle":"","parse-names":false,"suffix":""},{"dropping-particle":"","family":"Spurlock","given":"Terry N.","non-dropping-particle":"","parse-names":false,"suffix":""},{"dropping-particle":"","family":"Tande","given":"Connie A.","non-dropping-particle":"","parse-names":false,"suffix":""},{"dropping-particle":"","family":"Tenuta","given":"Albert U.","non-dropping-particle":"","parse-names":false,"suffix":""},{"dropping-particle":"","family":"A.Wise","given":"Kiersten","non-dropping-particle":"","parse-names":false,"suffix":""},{"dropping-particle":"","family":"Allen Wrather","given":"J.","non-dropping-particle":"","parse-names":false,"suffix":""}],"container-title":"Plant Health Progress","id":"ITEM-1","issue":"1","issued":{"date-parts":[["2017"]]},"page":"19-27","title":"Soybean yield loss estimates due to diseases in the United States and Ontario, Canada, from 2010 to 2014","type":"article-journal","volume":"18"},"uris":["http://www.mendeley.com/documents/?uuid=a4599dde-2c87-401e-9b92-44ec3df7713f"]}],"mendeley":{"formattedCitation":"(Allen et al., 2017)","plainTextFormattedCitation":"(Allen et al., 2017)","previouslyFormattedCitation":"(Allen et al., 2017)"},"properties":{"noteIndex":0},"schema":"https://github.com/citation-style-language/schema/raw/master/csl-citation.json"}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(Allen et al., 2017)</w:t>
      </w:r>
      <w:r w:rsidRPr="00D40FF8">
        <w:rPr>
          <w:rFonts w:cs="Times New Roman"/>
          <w:szCs w:val="24"/>
        </w:rPr>
        <w:fldChar w:fldCharType="end"/>
      </w:r>
      <w:r w:rsidRPr="00D40FF8">
        <w:rPr>
          <w:rFonts w:cs="Times New Roman"/>
          <w:szCs w:val="24"/>
        </w:rPr>
        <w:t xml:space="preserve">, and is widespread across all soybean growing countries and regions </w:t>
      </w:r>
      <w:r w:rsidRPr="00D40FF8">
        <w:rPr>
          <w:rFonts w:cs="Times New Roman"/>
          <w:szCs w:val="24"/>
        </w:rPr>
        <w:fldChar w:fldCharType="begin" w:fldLock="1"/>
      </w:r>
      <w:r w:rsidRPr="00D40FF8">
        <w:rPr>
          <w:rFonts w:cs="Times New Roman"/>
          <w:szCs w:val="24"/>
        </w:rPr>
        <w:instrText>ADDIN CSL_CITATION {"citationItems":[{"id":"ITEM-1","itemData":{"author":[{"dropping-particle":"","family":"Schmitt","given":"D P","non-dropping-particle":"","parse-names":false,"suffix":""},{"dropping-particle":"","family":"Wrather","given":"J A","non-dropping-particle":"","parse-names":false,"suffix":""},{"dropping-particle":"","family":"Riggs","given":"R D","non-dropping-particle":"","parse-names":false,"suffix":""}],"id":"ITEM-1","issued":{"date-parts":[["1992"]]},"page":"17","title":"Biology and Management of Soybean Cyst Nematode","type":"article-journal"},"uris":["http://www.mendeley.com/documents/?uuid=0531e24a-3464-4d07-a382-5df26df849dc"]}],"mendeley":{"formattedCitation":"(Schmitt et al., 1992)","plainTextFormattedCitation":"(Schmitt et al., 1992)","previouslyFormattedCitation":"(Schmitt et al., 1992)"},"properties":{"noteIndex":0},"schema":"https://github.com/citation-style-language/schema/raw/master/csl-citation.json"}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(Schmitt et al., 1992)</w:t>
      </w:r>
      <w:r w:rsidRPr="00D40FF8">
        <w:rPr>
          <w:rFonts w:cs="Times New Roman"/>
          <w:szCs w:val="24"/>
        </w:rPr>
        <w:fldChar w:fldCharType="end"/>
      </w:r>
      <w:r w:rsidRPr="00D40FF8">
        <w:rPr>
          <w:rFonts w:cs="Times New Roman"/>
          <w:szCs w:val="24"/>
        </w:rPr>
        <w:t xml:space="preserve">. Our results showed that SCN was associated with different field types at varying frequencies and densities. Variability in nematode densities across different areas or counties may be due to variability in soil properties, host plant, soybean cultivars, SCN aggressiveness, and sampling time </w:t>
      </w:r>
      <w:r w:rsidRPr="00D40FF8">
        <w:rPr>
          <w:rFonts w:cs="Times New Roman"/>
          <w:szCs w:val="24"/>
        </w:rPr>
        <w:fldChar w:fldCharType="begin" w:fldLock="1"/>
      </w:r>
      <w:r w:rsidRPr="00D40FF8">
        <w:rPr>
          <w:rFonts w:cs="Times New Roman"/>
          <w:szCs w:val="24"/>
        </w:rPr>
        <w:instrText>ADDIN CSL_CITATION {"citationItems":[{"id":"ITEM-1","itemData":{"DOI":"10.1094/phyto-70-884","ISSN":"0031949X","abstract":"Acremonium strictum and/or Fusarium oxysporum were isolated from eggs within Heterodera schachtii young females and cysts in 20 of 25 fields infested with the nematode. Investigation of H. schachtii egg parasitization in greenhouse cultures indicated the presence of the nematode and one or both fungi in 26 of 29 soils tested. Both fungi parasitized eggs on agar and in soil when either mycelial or conidial inocula were used. The fungi also parasitized eggs of other nematodes on agar and both fungi grew saprophytically in H. schachtii eggs killed by heat. A. strictum and F. oxysporum invade the female of H. schachtii through natural openings. There was no destruction of the cuticle or disruption of subsequent development of the cyst wall. In the greenhouse, A. strictum was weakly parasitic on seven of nine plants tested, including sugar beet. The amount of parasitism exhibited by isolates of both fungi in laboratory and in greenhouse studies suggested that the fungi may be useful in the control of H. schachtii besides being important as plant pathogens in some crops.","author":[{"dropping-particle":"","family":"Nigh","given":"Elizabeth A.","non-dropping-particle":"","parse-names":false,"suffix":""}],"container-title":"Phytopathology","id":"ITEM-1","issue":"9","issued":{"date-parts":[["1980"]]},"page":"884","title":" Identification and Distribution of Fungal Parasites of Heterodera schachtii Eggs in California ","type":"article","volume":"70"},"uris":["http://www.mendeley.com/documents/?uuid=7faab35f-8f0f-4271-86fe-f131202355cc"]},{"id":"ITEM-2","itemData":{"author":[{"dropping-particle":"","family":"Bernard EC.","given":"","non-dropping-particle":"","parse-names":false,"suffix":""}],"container-title":"University of Tennessee Agricultural Experiment Station Bulletin","id":"ITEM-2","issued":{"date-parts":[["1980"]]},"page":"1–18","title":"Identification, distribution, and plant associations of plant-parasitic nematodes in Tennessee","type":"article-journal","volume":"594"},"uris":["http://www.mendeley.com/documents/?uuid=7d34a316-22b5-438f-875f-8b98249753aa"]},{"id":"ITEM-3","itemData":{"ISSN":"16807073","abstract":"To understand the relationship between natural physicochemical semipenetrans), a survey was conducted during 2009-2010 in some 37 citrus orchards, in Kohgilouyeh va Boyerahmad Province, Iran. Distribution of the citrus nematode was determined by collecting random samples from the soil and citrus plant roots, extracting and enumerating the number of second stage juveniles, males/100 g of soil and females/5 g of root. The relationships between nematode population, and the factors of: organic matter content, Nitrogen (N), Phosphorus (P), Potassium (K), organic carbon, Calcium Carbonate, soil texture, Electrical Conductivity (EC) and pH were determined. Increase in nematode population density was observed by increasing soil saturation percentage (up to 43%), and by an increase in soil silt, sand, P, K and organic carbon, but by an increase in soil salinity, Calcium Carbonate, total Nitrogen and the amount of clay in soil, the nematode population decreased. Maximum nematode population density was recorded in a loamy soil texture. The most suitable soil pH for nematode activity was found almost seven while either an increase or decrease in soil pH, resulted in a decrease in nematode population. The number of second stage juveniles ranged from 58 to 2,730/100 g of soil while females were present by 11 to 331 individuals/g of root respectively. About 62% of the studied orchards were infested with T. semipenetrans.","author":[{"dropping-particle":"","family":"Salahi Ardakani","given":"A.","non-dropping-particle":"","parse-names":false,"suffix":""},{"dropping-particle":"","family":"Tanha Mafi","given":"Z.","non-dropping-particle":"","parse-names":false,"suffix":""},{"dropping-particle":"","family":"Mokaram Hesar","given":"A.","non-dropping-particle":"","parse-names":false,"suffix":""},{"dropping-particle":"","family":"Mohammadi Goltappeh","given":"E.","non-dropping-particle":"","parse-names":false,"suffix":""}],"container-title":"Journal of Agricultural Science and Technology","id":"ITEM-3","issue":"March 2015","issued":{"date-parts":[["2014"]]},"page":"1699-1710","title":"Relationship between soil properties and abundance of Tylenchulus semipenetrans in citrus orchards, Kohgilouyeh va Boyerahmad Province","type":"article-journal","volume":"16"},"uris":["http://www.mendeley.com/documents/?uuid=1249df30-d18a-43ae-8630-566dd75396c6"]}],"mendeley":{"formattedCitation":"(Bernard EC., 1980; Nigh, 1980; Salahi Ardakani et al., 2014)","manualFormatting":"(Bernard, 1980; Nigh, 1980; Salahi Ardakani et al., 2014)","plainTextFormattedCitation":"(Bernard EC., 1980; Nigh, 1980; Salahi Ardakani et al., 2014)","previouslyFormattedCitation":"(Bernard EC., 1980; Nigh, 1980; Salahi Ardakani et al., 2014)"},"properties":{"noteIndex":0},"schema":"https://github.com/citation-style-language/schema/raw/master/csl-citation.json"}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 Nigh, 1980; Salahi Ardakani et al., 2014)</w:t>
      </w:r>
      <w:r w:rsidRPr="00D40FF8">
        <w:rPr>
          <w:rFonts w:cs="Times New Roman"/>
          <w:szCs w:val="24"/>
        </w:rPr>
        <w:fldChar w:fldCharType="end"/>
      </w:r>
      <w:r w:rsidRPr="00D40FF8">
        <w:rPr>
          <w:rFonts w:cs="Times New Roman"/>
          <w:szCs w:val="24"/>
        </w:rPr>
        <w:t>. The five highest population densities (2,381, 2,369, 1,353, 1,076, and 950 eggs/100 cm</w:t>
      </w:r>
      <w:r w:rsidRPr="00D40FF8">
        <w:rPr>
          <w:rFonts w:cs="Times New Roman"/>
          <w:szCs w:val="24"/>
          <w:vertAlign w:val="superscript"/>
        </w:rPr>
        <w:t>3</w:t>
      </w:r>
      <w:r w:rsidRPr="00D40FF8">
        <w:rPr>
          <w:rFonts w:cs="Times New Roman"/>
          <w:szCs w:val="24"/>
        </w:rPr>
        <w:t>) were recovered from top-soybean producing counties (Weakley, Chester, Henry, Hardin, and Crockett counties, respectively). This may likely be due to the planting of soybean cultivars that are favorable to SCN population increase. Results showed that soybean cultivars Asgrow 29x8, Asgrow 43x7, and Asgrow 43x8 were associated with higher SCN densities compared to other cultivars. Likewise, sample numbers may have contributed to the frequency of high-density populations observed as counties with high sample numbers were among those with the greatest population densities. Only 25% of the samples tested had SCN populations in them, and the majority of the populations were very low (average density was 22 J2s and 799 eggs/100 cm</w:t>
      </w:r>
      <w:r w:rsidRPr="00D40FF8">
        <w:rPr>
          <w:rFonts w:cs="Times New Roman"/>
          <w:szCs w:val="24"/>
          <w:vertAlign w:val="superscript"/>
        </w:rPr>
        <w:t>3</w:t>
      </w:r>
      <w:r w:rsidRPr="00D40FF8">
        <w:rPr>
          <w:rFonts w:cs="Times New Roman"/>
          <w:szCs w:val="24"/>
        </w:rPr>
        <w:t xml:space="preserve"> of soil). Also, the maximum densities detected were </w:t>
      </w:r>
      <w:r>
        <w:rPr>
          <w:rFonts w:cs="Times New Roman"/>
          <w:szCs w:val="24"/>
        </w:rPr>
        <w:t xml:space="preserve">100 </w:t>
      </w:r>
      <w:r w:rsidRPr="00D40FF8">
        <w:rPr>
          <w:rFonts w:cs="Times New Roman"/>
          <w:szCs w:val="24"/>
        </w:rPr>
        <w:t>J2s and 4,569 eggs per 100 cm</w:t>
      </w:r>
      <w:r w:rsidRPr="00D40FF8">
        <w:rPr>
          <w:rFonts w:cs="Times New Roman"/>
          <w:szCs w:val="24"/>
          <w:vertAlign w:val="superscript"/>
        </w:rPr>
        <w:t>3</w:t>
      </w:r>
      <w:r w:rsidRPr="00D40FF8">
        <w:rPr>
          <w:rFonts w:cs="Times New Roman"/>
          <w:szCs w:val="24"/>
        </w:rPr>
        <w:t xml:space="preserve"> of soil. SCN can cause high damage when densities are greater than 5,000 eggs/100 cm</w:t>
      </w:r>
      <w:r w:rsidRPr="00D40FF8">
        <w:rPr>
          <w:rFonts w:cs="Times New Roman"/>
          <w:szCs w:val="24"/>
          <w:vertAlign w:val="superscript"/>
        </w:rPr>
        <w:t>3</w:t>
      </w:r>
      <w:r w:rsidRPr="00D40FF8">
        <w:rPr>
          <w:rFonts w:cs="Times New Roman"/>
          <w:szCs w:val="24"/>
        </w:rPr>
        <w:t xml:space="preserve"> of soil, moderate damage between 2,000 to 5,000 eggs/100 cm</w:t>
      </w:r>
      <w:r w:rsidRPr="00D40FF8">
        <w:rPr>
          <w:rFonts w:cs="Times New Roman"/>
          <w:szCs w:val="24"/>
          <w:vertAlign w:val="superscript"/>
        </w:rPr>
        <w:t>3</w:t>
      </w:r>
      <w:r w:rsidRPr="00D40FF8">
        <w:rPr>
          <w:rFonts w:cs="Times New Roman"/>
          <w:szCs w:val="24"/>
        </w:rPr>
        <w:t xml:space="preserve"> of soil, low damage between 200 and 2000 eggs/100 cm3 of soil, and trace between 1 and 200 eggs/100 cm3 of soil (Mehl, 2018). None of the densities found in this study were greater than 5,000 eggs/100 cm3 of soil, and of the samples that had SCN, only 11% had more than 2000 eggs/100 cm3 of soil. This implied that SCN population densities are not yield-limiting in the majority of the fields sampled. These lower densities are most likely due to the regular crop rotation to corn or cotton, non-host crops for SCN, </w:t>
      </w:r>
      <w:r>
        <w:rPr>
          <w:rFonts w:cs="Times New Roman"/>
          <w:szCs w:val="24"/>
        </w:rPr>
        <w:t>which</w:t>
      </w:r>
      <w:r w:rsidRPr="00D40FF8">
        <w:rPr>
          <w:rFonts w:cs="Times New Roman"/>
          <w:szCs w:val="24"/>
        </w:rPr>
        <w:t xml:space="preserve"> is common practice in Tennessee. Hence, the use of resistant cultivars or rotation to non-hosts in fields with low to moderate SCN densities is still recommended to prevent further increase of the nematode density and to avoid potential yield loss. Furthermore, compared to other states in the U.S, our results suggested that SCN infestation in Tennessee may be lower than that of some other states. For example, the 25% SCN occurrence in Tennessee</w:t>
      </w:r>
      <w:r>
        <w:rPr>
          <w:rFonts w:cs="Times New Roman"/>
          <w:szCs w:val="24"/>
        </w:rPr>
        <w:t xml:space="preserve"> field crop acres</w:t>
      </w:r>
      <w:r w:rsidRPr="00D40FF8">
        <w:rPr>
          <w:rFonts w:cs="Times New Roman"/>
          <w:szCs w:val="24"/>
        </w:rPr>
        <w:t xml:space="preserve"> from this study was lower than that of 70% in</w:t>
      </w:r>
      <w:r>
        <w:rPr>
          <w:rFonts w:cs="Times New Roman"/>
          <w:szCs w:val="24"/>
        </w:rPr>
        <w:t xml:space="preserve"> </w:t>
      </w:r>
      <w:r w:rsidRPr="00AB65D6">
        <w:rPr>
          <w:rFonts w:cs="Times New Roman"/>
          <w:szCs w:val="24"/>
        </w:rPr>
        <w:t xml:space="preserve">soybean fields in Michigan </w:t>
      </w:r>
      <w:r w:rsidRPr="00AB65D6">
        <w:rPr>
          <w:rFonts w:cs="Times New Roman"/>
          <w:szCs w:val="24"/>
        </w:rPr>
        <w:fldChar w:fldCharType="begin" w:fldLock="1"/>
      </w:r>
      <w:r w:rsidRPr="00AB65D6">
        <w:rPr>
          <w:rFonts w:cs="Times New Roman"/>
          <w:szCs w:val="24"/>
        </w:rPr>
        <w:instrText>ADDIN CSL_CITATION {"citationItems":[{"id":"ITEM-1","itemData":{"author":[{"dropping-particle":"","family":"Schumacher-lott","given":"Lesley Ann","non-dropping-particle":"","parse-names":false,"suffix":""}],"id":"ITEM-1","issued":{"date-parts":[["2011"]]},"title":"BIONOMICS OF HETERODERA GLYCINES AND PRATYLENCHUS PENETRANS By Submitted to Michigan State University in partial fulfillment of the requirements for the degree of MASTER OF SCIENCE Entomology","type":"article-journal"},"uris":["http://www.mendeley.com/documents/?uuid=5ad868c1-9129-41ae-8e48-463b1e7f734e"]}],"mendeley":{"formattedCitation":"(Schumacher-lott, 2011)","plainTextFormattedCitation":"(Schumacher-lott, 2011)","previouslyFormattedCitation":"(Schumacher-lott, 2011)"},"properties":{"noteIndex":0},"schema":"https://github.com/citation-style-language/schema/raw/master/csl-citation.json"}</w:instrText>
      </w:r>
      <w:r w:rsidRPr="00AB65D6">
        <w:rPr>
          <w:rFonts w:cs="Times New Roman"/>
          <w:szCs w:val="24"/>
        </w:rPr>
        <w:fldChar w:fldCharType="separate"/>
      </w:r>
      <w:r w:rsidRPr="00AB65D6">
        <w:rPr>
          <w:rFonts w:cs="Times New Roman"/>
          <w:noProof/>
          <w:szCs w:val="24"/>
        </w:rPr>
        <w:t>(Schumacher-lott, 2011)</w:t>
      </w:r>
      <w:r w:rsidRPr="00AB65D6">
        <w:rPr>
          <w:rFonts w:cs="Times New Roman"/>
          <w:szCs w:val="24"/>
        </w:rPr>
        <w:fldChar w:fldCharType="end"/>
      </w:r>
      <w:r w:rsidRPr="00AB65D6">
        <w:rPr>
          <w:rFonts w:cs="Times New Roman"/>
          <w:szCs w:val="24"/>
        </w:rPr>
        <w:t>, 68% in soybean fields in Minnesota (</w:t>
      </w:r>
      <w:r w:rsidRPr="00AB65D6">
        <w:rPr>
          <w:rFonts w:cs="Times New Roman"/>
          <w:szCs w:val="24"/>
          <w:shd w:val="clear" w:color="auto" w:fill="FFFFFF"/>
        </w:rPr>
        <w:t xml:space="preserve">Chen and Grabau, 2018), </w:t>
      </w:r>
      <w:r w:rsidRPr="00AB65D6">
        <w:rPr>
          <w:rFonts w:cs="Times New Roman"/>
          <w:szCs w:val="24"/>
        </w:rPr>
        <w:t>and 30% in soybean fields North Dakota, (</w:t>
      </w:r>
      <w:r w:rsidRPr="00AB65D6">
        <w:rPr>
          <w:rFonts w:cs="Times New Roman"/>
          <w:szCs w:val="24"/>
          <w:shd w:val="clear" w:color="auto" w:fill="FFFFFF"/>
        </w:rPr>
        <w:t>Yan &amp; Baidoo, 2018).  It appears that these states reported greater SCN infestation compared to the present study because they only sampled soybean fields. The infestation occurrence in TN is higher than that of North Carolina, 22%, and Kansas state, 15% (Todd and Powers, 2018).</w:t>
      </w:r>
    </w:p>
    <w:p w14:paraId="3B46057B" w14:textId="77777777" w:rsidR="00D20476" w:rsidRDefault="00D20476" w:rsidP="00D20476">
      <w:pPr>
        <w:spacing w:line="360" w:lineRule="auto"/>
        <w:ind w:left="720" w:firstLine="720"/>
        <w:rPr>
          <w:rStyle w:val="CommentReference"/>
          <w:rFonts w:asciiTheme="minorHAnsi" w:eastAsiaTheme="minorHAnsi" w:hAnsiTheme="minorHAnsi" w:cstheme="minorBidi"/>
        </w:rPr>
      </w:pPr>
      <w:r w:rsidRPr="00AB65D6">
        <w:rPr>
          <w:rFonts w:cs="Times New Roman"/>
          <w:szCs w:val="24"/>
          <w:shd w:val="clear" w:color="auto" w:fill="FFFFFF"/>
        </w:rPr>
        <w:t>Lesion (23%), reniform (20%), stunt (19%), and root-knot (13%) nematodes were the next most common nematodes found. Root lesion nematode (</w:t>
      </w:r>
      <w:r w:rsidRPr="00AB65D6">
        <w:rPr>
          <w:rFonts w:cs="Times New Roman"/>
          <w:i/>
          <w:szCs w:val="24"/>
        </w:rPr>
        <w:t>Pratylenchus</w:t>
      </w:r>
      <w:r w:rsidRPr="00AB65D6">
        <w:rPr>
          <w:rFonts w:cs="Times New Roman"/>
          <w:szCs w:val="24"/>
        </w:rPr>
        <w:t>)</w:t>
      </w:r>
      <w:r w:rsidRPr="00AB65D6">
        <w:rPr>
          <w:rFonts w:cs="Times New Roman"/>
          <w:szCs w:val="24"/>
          <w:shd w:val="clear" w:color="auto" w:fill="FFFFFF"/>
        </w:rPr>
        <w:t xml:space="preserve"> is the third most economically important nematode </w:t>
      </w:r>
      <w:r w:rsidRPr="00D40FF8">
        <w:rPr>
          <w:rFonts w:cs="Times New Roman"/>
          <w:szCs w:val="24"/>
          <w:shd w:val="clear" w:color="auto" w:fill="FFFFFF"/>
        </w:rPr>
        <w:t xml:space="preserve">after </w:t>
      </w:r>
      <w:r w:rsidRPr="00D40FF8">
        <w:rPr>
          <w:rFonts w:cs="Times New Roman"/>
          <w:szCs w:val="24"/>
        </w:rPr>
        <w:t>SCN</w:t>
      </w:r>
      <w:r w:rsidRPr="00D40FF8">
        <w:rPr>
          <w:rFonts w:cs="Times New Roman"/>
          <w:szCs w:val="24"/>
          <w:shd w:val="clear" w:color="auto" w:fill="FFFFFF"/>
        </w:rPr>
        <w:t xml:space="preserve"> and root-knot nematode on soybean </w:t>
      </w:r>
      <w:r w:rsidRPr="00D40FF8">
        <w:rPr>
          <w:rFonts w:cs="Times New Roman"/>
          <w:szCs w:val="24"/>
          <w:shd w:val="clear" w:color="auto" w:fill="FFFFFF"/>
        </w:rPr>
        <w:fldChar w:fldCharType="begin" w:fldLock="1"/>
      </w:r>
      <w:r w:rsidRPr="00D40FF8">
        <w:rPr>
          <w:rFonts w:cs="Times New Roman"/>
          <w:szCs w:val="24"/>
          <w:shd w:val="clear" w:color="auto" w:fill="FFFFFF"/>
        </w:rPr>
        <w:instrText>ADDIN CSL_CITATION {"citationItems":[{"id":"ITEM-1","itemData":{"DOI":"10.1111/mpp.12057","ISSN":"14646722","PMID":"23809086","abstract":"The aim of this review was to undertake a survey of researchers working with plant-parasitic nematodes in order to determine a 'top 10' list of these pathogens based on scientific and economic importance. Any such list will not be definitive as economic importance will vary depending on the region of the world in which a researcher is based. However, care was taken to include researchers from as many parts of the world as possible when carrying out the survey. The top 10 list emerging from the survey is composed of: (1) root-knot nematodes (Meloidogyne spp.); (2) cyst nematodes (Heterodera and Globodera spp.); (3) root lesion nematodes (Pratylenchus spp.); (4) the burrowing nematode Radopholus similis; (5) Ditylenchus dipsaci; (6) the pine wilt nematode Bursaphelenchus xylophilus; (7) the reniform nematode Rotylenchulus reniformis; (8) Xiphinema index (the only virus vector nematode to make the list); (9) Nacobbus aberrans; and (10) Aphelenchoides besseyi. The biology of each nematode (or nematode group) is reviewed briefly. © 2013 BSPP AND JOHN WILEY &amp; SONS LTD.","author":[{"dropping-particle":"","family":"Jones","given":"John T.","non-dropping-particle":"","parse-names":false,"suffix":""},{"dropping-particle":"","family":"Haegeman","given":"Annelies","non-dropping-particle":"","parse-names":false,"suffix":""},{"dropping-particle":"","family":"Danchin","given":"Etienne G.J.","non-dropping-particle":"","parse-names":false,"suffix":""},{"dropping-particle":"","family":"Gaur","given":"Hari S.","non-dropping-particle":"","parse-names":false,"suffix":""},{"dropping-particle":"","family":"Helder","given":"Johannes","non-dropping-particle":"","parse-names":false,"suffix":""},{"dropping-particle":"","family":"Jones","given":"Michael G.K.","non-dropping-particle":"","parse-names":false,"suffix":""},{"dropping-particle":"","family":"Kikuchi","given":"Taisei","non-dropping-particle":"","parse-names":false,"suffix":""},{"dropping-particle":"","family":"Manzanilla-López","given":"Rosa","non-dropping-particle":"","parse-names":false,"suffix":""},{"dropping-particle":"","family":"Palomares-Rius","given":"Juan E.","non-dropping-particle":"","parse-names":false,"suffix":""},{"dropping-particle":"","family":"Wesemael","given":"Wim M.L.","non-dropping-particle":"","parse-names":false,"suffix":""},{"dropping-particle":"","family":"Perry","given":"Roland N.","non-dropping-particle":"","parse-names":false,"suffix":""}],"container-title":"Molecular Plant Pathology","id":"ITEM-1","issue":"9","issued":{"date-parts":[["2013"]]},"page":"946-961","title":"Top 10 plant-parasitic nematodes in molecular plant pathology","type":"article-journal","volume":"14"},"uris":["http://www.mendeley.com/documents/?uuid=b4524ed5-f346-49f4-a840-d5e06ce13e28"]},{"id":"ITEM-2","itemData":{"DOI":"10.1094/PHP-RS-16-0066","ISSN":"15351025","abstract":"Annual decreases in soybean (Glycine max L. Merrill) yield caused by diseases were estimated by surveying university-affiliated plant pathologists in 28 soybean-producing states in theUnitedStates and in Ontario, Canada, from 2010 through 2014. Estimated yield losses from each disease varied greatly by state or province and year. Over the duration of this survey, soybean cyst nematode (SCN) (Heterodera glycines Ichinohe) was estimated to have caused more than twice as much yield loss than any other disease. Seedling diseases (caused by various pathogens), charcoal rot (caused by Macrophomina phaseolina (Tassi) Goid), and sudden death syndrome (SDS) (caused by Fusarium virguliforme O'Donnell &amp; T. Aoki) caused the next greatest estimated yield losses, in descending order. The estimated mean economic loss due to all soybean diseases, averaged across U.S. states and Ontario from 2010 to 2014, was $60.66 USD per acre. Results from this survey will provide scientists, breeders, governments, and educators with soybean yield-loss estimates to help inform and prioritize research, policy, and educational efforts in soybean pathology and disease management.","author":[{"dropping-particle":"","family":"Allen","given":"Tom W.","non-dropping-particle":"","parse-names":false,"suffix":""},{"dropping-particle":"","family":"Bradley","given":"Carl A.","non-dropping-particle":"","parse-names":false,"suffix":""},{"dropping-particle":"","family":"Sisson","given":"Adam J.","non-dropping-particle":"","parse-names":false,"suffix":""},{"dropping-particle":"","family":"Byamukama","given":"Emmanuel","non-dropping-particle":"","parse-names":false,"suffix":""},{"dropping-particle":"","family":"Chilvers","given":"Martin I.","non-dropping-particle":"","parse-names":false,"suffix":""},{"dropping-particle":"","family":"Coker","given":"Cliff M.","non-dropping-particle":"","parse-names":false,"suffix":""},{"dropping-particle":"","family":"Collins","given":"Alyssa A.","non-dropping-particle":"","parse-names":false,"suffix":""},{"dropping-particle":"","family":"Damicone","given":"John P.","non-dropping-particle":"","parse-names":false,"suffix":""},{"dropping-particle":"","family":"Dorrance","given":"Anne E.","non-dropping-particle":"","parse-names":false,"suffix":""},{"dropping-particle":"","family":"Dufault","given":"Nicholas S.","non-dropping-particle":"","parse-names":false,"suffix":""},{"dropping-particle":"","family":"Esker","given":"Paul D.","non-dropping-particle":"","parse-names":false,"suffix":""},{"dropping-particle":"","family":"Faske","given":"Travis R.","non-dropping-particle":"","parse-names":false,"suffix":""},{"dropping-particle":"","family":"Giesler","given":"Loren J.","non-dropping-particle":"","parse-names":false,"suffix":""},{"dropping-particle":"","family":"Grybauskas","given":"Arvydas P.","non-dropping-particle":"","parse-names":false,"suffix":""},{"dropping-particle":"","family":"Hershman","given":"Donald E.","non-dropping-particle":"","parse-names":false,"suffix":""},{"dropping-particle":"","family":"Hollier","given":"Clayton A.","non-dropping-particle":"","parse-names":false,"suffix":""},{"dropping-particle":"","family":"Isakeit","given":"Tom","non-dropping-particle":"","parse-names":false,"suffix":""},{"dropping-particle":"","family":"Jardine","given":"Douglas J.","non-dropping-particle":"","parse-names":false,"suffix":""},{"dropping-particle":"","family":"Kelly","given":"Heather M.","non-dropping-particle":"","parse-names":false,"suffix":""},{"dropping-particle":"","family":"Kemerait","given":"Robert C.","non-dropping-particle":"","parse-names":false,"suffix":""},{"dropping-particle":"","family":"Kleczewski","given":"Nathan M.","non-dropping-particle":"","parse-names":false,"suffix":""},{"dropping-particle":"","family":"Koenning","given":"Steve R.","non-dropping-particle":"","parse-names":false,"suffix":""},{"dropping-particle":"","family":"Kurle","given":"James E.","non-dropping-particle":"","parse-names":false,"suffix":""},{"dropping-particle":"","family":"Malvick","given":"Dean K.","non-dropping-particle":"","parse-names":false,"suffix":""},{"dropping-particle":"","family":"Markell","given":"Samuel G.","non-dropping-particle":"","parse-names":false,"suffix":""},{"dropping-particle":"","family":"Mehl","given":"Hillary L.","non-dropping-particle":"","parse-names":false,"suffix":""},{"dropping-particle":"","family":"Mueller","given":"Daren S.","non-dropping-particle":"","parse-names":false,"suffix":""},{"dropping-particle":"","family":"Mueller","given":"John D.","non-dropping-particle":"","parse-names":false,"suffix":""},{"dropping-particle":"","family":"Mulrooney","given":"Robert P.","non-dropping-particle":"","parse-names":false,"suffix":""},{"dropping-particle":"","family":"Nelson","given":"Berlin D.","non-dropping-particle":"","parse-names":false,"suffix":""},{"dropping-particle":"","family":"Newman","given":"Melvin A.","non-dropping-particle":"","parse-names":false,"suffix":""},{"dropping-particle":"","family":"Osborne","given":"Larry","non-dropping-particle":"","parse-names":false,"suffix":""},{"dropping-particle":"","family":"Overstreet","given":"Charles","non-dropping-particle":"","parse-names":false,"suffix":""},{"dropping-particle":"","family":"Padgett","given":"Guy B.","non-dropping-particle":"","parse-names":false,"suffix":""},{"dropping-particle":"","family":"Phipps","given":"Patrick M.","non-dropping-particle":"","parse-names":false,"suffix":""},{"dropping-particle":"","family":"Price","given":"Paul P.","non-dropping-particle":"","parse-names":false,"suffix":""},{"dropping-particle":"","family":"Sikora","given":"Edward J.","non-dropping-particle":"","parse-names":false,"suffix":""},{"dropping-particle":"","family":"Smith","given":"Damon L.","non-dropping-particle":"","parse-names":false,"suffix":""},{"dropping-particle":"","family":"Spurlock","given":"Terry N.","non-dropping-particle":"","parse-names":false,"suffix":""},{"dropping-particle":"","family":"Tande","given":"Connie A.","non-dropping-particle":"","parse-names":false,"suffix":""},{"dropping-particle":"","family":"Tenuta","given":"Albert U.","non-dropping-particle":"","parse-names":false,"suffix":""},{"dropping-particle":"","family":"A.Wise","given":"Kiersten","non-dropping-particle":"","parse-names":false,"suffix":""},{"dropping-particle":"","family":"Allen Wrather","given":"J.","non-dropping-particle":"","parse-names":false,"suffix":""}],"container-title":"Plant Health Progress","id":"ITEM-2","issue":"1","issued":{"date-parts":[["2017"]]},"page":"19-27","title":"Soybean yield loss estimates due to diseases in the United States and Ontario, Canada, from 2010 to 2014","type":"article-journal","volume":"18"},"uris":["http://www.mendeley.com/documents/?uuid=3e6570c1-ff89-4d5a-ae79-cc2b2f2e2d09"]}],"mendeley":{"formattedCitation":"(Allen et al., 2017; Jones et al., 2013)","plainTextFormattedCitation":"(Allen et al., 2017; Jones et al., 2013)","previouslyFormattedCitation":"(Allen et al., 2017; Jones et al., 2013)"},"properties":{"noteIndex":0},"schema":"https://github.com/citation-style-language/schema/raw/master/csl-citation.json"}</w:instrText>
      </w:r>
      <w:r w:rsidRPr="00D40FF8">
        <w:rPr>
          <w:rFonts w:cs="Times New Roman"/>
          <w:szCs w:val="24"/>
          <w:shd w:val="clear" w:color="auto" w:fill="FFFFFF"/>
        </w:rPr>
        <w:fldChar w:fldCharType="separate"/>
      </w:r>
      <w:r w:rsidRPr="00D40FF8">
        <w:rPr>
          <w:rFonts w:cs="Times New Roman"/>
          <w:noProof/>
          <w:szCs w:val="24"/>
          <w:shd w:val="clear" w:color="auto" w:fill="FFFFFF"/>
        </w:rPr>
        <w:t>(Allen et al., 2017; Jones et al., 2013)</w:t>
      </w:r>
      <w:r w:rsidRPr="00D40FF8">
        <w:rPr>
          <w:rFonts w:cs="Times New Roman"/>
          <w:szCs w:val="24"/>
          <w:shd w:val="clear" w:color="auto" w:fill="FFFFFF"/>
        </w:rPr>
        <w:fldChar w:fldCharType="end"/>
      </w:r>
      <w:r w:rsidRPr="00D40FF8">
        <w:rPr>
          <w:rFonts w:cs="Times New Roman"/>
          <w:szCs w:val="24"/>
          <w:shd w:val="clear" w:color="auto" w:fill="FFFFFF"/>
        </w:rPr>
        <w:t xml:space="preserve">. It is a migratory endoparasite capable of attacking more than 400 plant species </w:t>
      </w:r>
      <w:r w:rsidRPr="00D40FF8">
        <w:rPr>
          <w:rFonts w:cs="Times New Roman"/>
          <w:szCs w:val="24"/>
          <w:shd w:val="clear" w:color="auto" w:fill="FFFFFF"/>
        </w:rPr>
        <w:fldChar w:fldCharType="begin" w:fldLock="1"/>
      </w:r>
      <w:r w:rsidRPr="00D40FF8">
        <w:rPr>
          <w:rFonts w:cs="Times New Roman"/>
          <w:szCs w:val="24"/>
          <w:shd w:val="clear" w:color="auto" w:fill="FFFFFF"/>
        </w:rPr>
        <w:instrText>ADDIN CSL_CITATION {"citationItems":[{"id":"ITEM-1","itemData":{"author":[{"dropping-particle":"","family":"Davis","given":"Eric L","non-dropping-particle":"","parse-names":false,"suffix":""},{"dropping-particle":"","family":"Carolina","given":"North","non-dropping-particle":"","parse-names":false,"suffix":""},{"dropping-particle":"","family":"Hussey","given":"Richard S","non-dropping-particle":"","parse-names":false,"suffix":""},{"dropping-particle":"","family":"Baum","given":"Thomas J","non-dropping-particle":"","parse-names":false,"suffix":""},{"dropping-particle":"","family":"Abad","given":"Pierre","non-dropping-particle":"","parse-names":false,"suffix":""}],"id":"ITEM-1","issued":{"date-parts":[["2000"]]},"title":"CONTENTS","type":"article-journal"},"uris":["http://www.mendeley.com/documents/?uuid=b68ac0b1-8139-42a2-a5b5-8ee772e0e9cc"]}],"mendeley":{"formattedCitation":"(Eric L Davis et al., 2000)","manualFormatting":"(Davis &amp; MacGuidwin, 2000)","plainTextFormattedCitation":"(Eric L Davis et al., 2000)","previouslyFormattedCitation":"(Eric L Davis et al., 2000)"},"properties":{"noteIndex":0},"schema":"https://github.com/citation-style-language/schema/raw/master/csl-citation.json"}</w:instrText>
      </w:r>
      <w:r w:rsidRPr="00D40FF8">
        <w:rPr>
          <w:rFonts w:cs="Times New Roman"/>
          <w:szCs w:val="24"/>
          <w:shd w:val="clear" w:color="auto" w:fill="FFFFFF"/>
        </w:rPr>
        <w:fldChar w:fldCharType="separate"/>
      </w:r>
      <w:r w:rsidRPr="00D40FF8">
        <w:rPr>
          <w:rFonts w:cs="Times New Roman"/>
          <w:noProof/>
          <w:szCs w:val="24"/>
          <w:shd w:val="clear" w:color="auto" w:fill="FFFFFF"/>
        </w:rPr>
        <w:t>(Davis &amp; MacGuidwin, 2000)</w:t>
      </w:r>
      <w:r w:rsidRPr="00D40FF8">
        <w:rPr>
          <w:rFonts w:cs="Times New Roman"/>
          <w:szCs w:val="24"/>
          <w:shd w:val="clear" w:color="auto" w:fill="FFFFFF"/>
        </w:rPr>
        <w:fldChar w:fldCharType="end"/>
      </w:r>
      <w:r w:rsidRPr="00D40FF8">
        <w:rPr>
          <w:rFonts w:cs="Times New Roman"/>
          <w:szCs w:val="24"/>
          <w:shd w:val="clear" w:color="auto" w:fill="FFFFFF"/>
        </w:rPr>
        <w:t>. Results showed that lesion nematodes occurred at low incidences across fields with 23% of samples containing them, but were present in most counties, with 76% occurrence. Most of the populations were generally low (&lt;20 nematodes/100 cm</w:t>
      </w:r>
      <w:r w:rsidRPr="00D40FF8">
        <w:rPr>
          <w:rFonts w:cs="Times New Roman"/>
          <w:szCs w:val="24"/>
          <w:shd w:val="clear" w:color="auto" w:fill="FFFFFF"/>
          <w:vertAlign w:val="superscript"/>
        </w:rPr>
        <w:t>3</w:t>
      </w:r>
      <w:r>
        <w:rPr>
          <w:rFonts w:cs="Times New Roman"/>
          <w:szCs w:val="24"/>
          <w:shd w:val="clear" w:color="auto" w:fill="FFFFFF"/>
        </w:rPr>
        <w:t xml:space="preserve">). Up to </w:t>
      </w:r>
      <w:r w:rsidRPr="00D40FF8">
        <w:rPr>
          <w:rFonts w:cs="Times New Roman"/>
          <w:szCs w:val="24"/>
          <w:shd w:val="clear" w:color="auto" w:fill="FFFFFF"/>
        </w:rPr>
        <w:t xml:space="preserve">34% of the populations </w:t>
      </w:r>
      <w:r>
        <w:rPr>
          <w:rFonts w:cs="Times New Roman"/>
          <w:szCs w:val="24"/>
          <w:shd w:val="clear" w:color="auto" w:fill="FFFFFF"/>
        </w:rPr>
        <w:t>were</w:t>
      </w:r>
      <w:r w:rsidRPr="00D40FF8">
        <w:rPr>
          <w:rFonts w:cs="Times New Roman"/>
          <w:szCs w:val="24"/>
          <w:shd w:val="clear" w:color="auto" w:fill="FFFFFF"/>
        </w:rPr>
        <w:t xml:space="preserve"> greater than 20 </w:t>
      </w:r>
      <w:r w:rsidRPr="00D40FF8">
        <w:rPr>
          <w:rFonts w:cs="Times New Roman"/>
          <w:szCs w:val="24"/>
        </w:rPr>
        <w:t>nematodes/100 cm</w:t>
      </w:r>
      <w:r w:rsidRPr="00D40FF8">
        <w:rPr>
          <w:rFonts w:cs="Times New Roman"/>
          <w:szCs w:val="24"/>
          <w:vertAlign w:val="superscript"/>
        </w:rPr>
        <w:t xml:space="preserve">3 </w:t>
      </w:r>
      <w:r w:rsidRPr="00D40FF8">
        <w:rPr>
          <w:rFonts w:cs="Times New Roman"/>
          <w:szCs w:val="24"/>
          <w:shd w:val="clear" w:color="auto" w:fill="FFFFFF"/>
        </w:rPr>
        <w:t xml:space="preserve">of soil in density, which is the lowest damage threshold for soybean </w:t>
      </w:r>
      <w:r w:rsidRPr="00D40FF8">
        <w:rPr>
          <w:rFonts w:cs="Times New Roman"/>
          <w:szCs w:val="24"/>
        </w:rPr>
        <w:fldChar w:fldCharType="begin" w:fldLock="1"/>
      </w:r>
      <w:r w:rsidRPr="00D40FF8">
        <w:rPr>
          <w:rFonts w:cs="Times New Roman"/>
          <w:szCs w:val="24"/>
        </w:rPr>
        <w:instrText>ADDIN CSL_CITATION {"citationItems":[{"id":"ITEM-1","itemData":{"author":[{"dropping-particle":"","family":"Mehl","given":"Hillary L","non-dropping-particle":"","parse-names":false,"suffix":""},{"dropping-particle":"","family":"Pathologist","given":"Extension Plant","non-dropping-particle":"","parse-names":false,"suffix":""},{"dropping-particle":"","family":"Tech","given":"Virginia","non-dropping-particle":"","parse-names":false,"suffix":""},{"dropping-particle":"","family":"Arec","given":"Tidewater","non-dropping-particle":"","parse-names":false,"suffix":""}],"id":"ITEM-1","issued":{"date-parts":[["2018"]]},"title":"Nematode Management in Field Crops","type":"article-journal"},"uris":["http://www.mendeley.com/documents/?uuid=66e5b816-5f09-438e-a458-8a5f70f2bf90"]}],"mendeley":{"formattedCitation":"(Mehl et al., 2018)","plainTextFormattedCitation":"(Mehl et al., 2018)","previouslyFormattedCitation":"(Mehl et al., 2018)"},"properties":{"noteIndex":0},"schema":"https://github.com/citation-style-language/schema/raw/master/csl-citation.json"}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(Mehl et al., 2018)</w:t>
      </w:r>
      <w:r w:rsidRPr="00D40FF8">
        <w:rPr>
          <w:rFonts w:cs="Times New Roman"/>
          <w:szCs w:val="24"/>
        </w:rPr>
        <w:fldChar w:fldCharType="end"/>
      </w:r>
      <w:r w:rsidRPr="00D40FF8">
        <w:rPr>
          <w:rFonts w:cs="Times New Roman"/>
          <w:szCs w:val="24"/>
        </w:rPr>
        <w:t xml:space="preserve">. </w:t>
      </w:r>
      <w:r w:rsidRPr="00D40FF8">
        <w:rPr>
          <w:rFonts w:cs="Times New Roman"/>
          <w:szCs w:val="24"/>
          <w:shd w:val="clear" w:color="auto" w:fill="FFFFFF"/>
        </w:rPr>
        <w:t>It is unclear why lesion population densities are low in this survey. Resistance and non-host crops are very limited, but some cotton cultivars with moderate re</w:t>
      </w:r>
      <w:r>
        <w:rPr>
          <w:rFonts w:cs="Times New Roman"/>
          <w:szCs w:val="24"/>
          <w:shd w:val="clear" w:color="auto" w:fill="FFFFFF"/>
        </w:rPr>
        <w:t>s</w:t>
      </w:r>
      <w:r w:rsidRPr="00D40FF8">
        <w:rPr>
          <w:rFonts w:cs="Times New Roman"/>
          <w:szCs w:val="24"/>
          <w:shd w:val="clear" w:color="auto" w:fill="FFFFFF"/>
        </w:rPr>
        <w:t xml:space="preserve">istance to some lesion nematode species have been reported </w:t>
      </w:r>
      <w:r w:rsidRPr="00D40FF8">
        <w:rPr>
          <w:rFonts w:cs="Times New Roman"/>
          <w:szCs w:val="24"/>
          <w:shd w:val="clear" w:color="auto" w:fill="FFFFFF"/>
        </w:rPr>
        <w:fldChar w:fldCharType="begin" w:fldLock="1"/>
      </w:r>
      <w:r w:rsidRPr="00D40FF8">
        <w:rPr>
          <w:rFonts w:cs="Times New Roman"/>
          <w:szCs w:val="24"/>
          <w:shd w:val="clear" w:color="auto" w:fill="FFFFFF"/>
        </w:rPr>
        <w:instrText>ADDIN CSL_CITATION {"citationItems":[{"id":"ITEM-1","itemData":{"author":[{"dropping-particle":"","family":"Chowdhury, I., Yan, G., Kandel, H., &amp; Plaisance","given":"A.","non-dropping-particle":"","parse-names":false,"suffix":""}],"container-title":"Plant Disease","id":"ITEM-1","issued":{"date-parts":[["2022"]]},"page":"1-24","title":"Population Development of the Root-lesion Nematode","type":"article-journal"},"uris":["http://www.mendeley.com/documents/?uuid=7fffdb97-b47c-43d5-a395-4bbab8176af6"]}],"mendeley":{"formattedCitation":"(Chowdhury, I., Yan, G., Kandel, H., &amp; Plaisance, 2022)","manualFormatting":"(Chowdhury et al., 2022)","plainTextFormattedCitation":"(Chowdhury, I., Yan, G., Kandel, H., &amp; Plaisance, 2022)","previouslyFormattedCitation":"(Chowdhury, I., Yan, G., Kandel, H., &amp; Plaisance, 2022)"},"properties":{"noteIndex":0},"schema":"https://github.com/citation-style-language/schema/raw/master/csl-citation.json"}</w:instrText>
      </w:r>
      <w:r w:rsidRPr="00D40FF8">
        <w:rPr>
          <w:rFonts w:cs="Times New Roman"/>
          <w:szCs w:val="24"/>
          <w:shd w:val="clear" w:color="auto" w:fill="FFFFFF"/>
        </w:rPr>
        <w:fldChar w:fldCharType="separate"/>
      </w:r>
      <w:r w:rsidRPr="00D40FF8">
        <w:rPr>
          <w:rFonts w:cs="Times New Roman"/>
          <w:noProof/>
          <w:szCs w:val="24"/>
          <w:shd w:val="clear" w:color="auto" w:fill="FFFFFF"/>
        </w:rPr>
        <w:t>(Chowdhury et al., 2022)</w:t>
      </w:r>
      <w:r w:rsidRPr="00D40FF8">
        <w:rPr>
          <w:rFonts w:cs="Times New Roman"/>
          <w:szCs w:val="24"/>
          <w:shd w:val="clear" w:color="auto" w:fill="FFFFFF"/>
        </w:rPr>
        <w:fldChar w:fldCharType="end"/>
      </w:r>
      <w:r w:rsidRPr="00D40FF8">
        <w:rPr>
          <w:rFonts w:cs="Times New Roman"/>
          <w:szCs w:val="24"/>
          <w:shd w:val="clear" w:color="auto" w:fill="FFFFFF"/>
        </w:rPr>
        <w:t xml:space="preserve">. There are suggestions that soil microbial antagonists, certain weather conditions, and weed management can contribute to reducing lesion nematode densities in fields </w:t>
      </w:r>
      <w:r w:rsidRPr="00D40FF8">
        <w:rPr>
          <w:rFonts w:cs="Times New Roman"/>
          <w:szCs w:val="24"/>
          <w:shd w:val="clear" w:color="auto" w:fill="FFFFFF"/>
        </w:rPr>
        <w:fldChar w:fldCharType="begin" w:fldLock="1"/>
      </w:r>
      <w:r w:rsidRPr="00D40FF8">
        <w:rPr>
          <w:rFonts w:cs="Times New Roman"/>
          <w:szCs w:val="24"/>
          <w:shd w:val="clear" w:color="auto" w:fill="FFFFFF"/>
        </w:rPr>
        <w:instrText>ADDIN CSL_CITATION {"citationItems":[{"id":"ITEM-1","itemData":{"ISSN":"0022-300X","PMID":"19294069","abstract":"Bacillus penetrans inhibited penetration by Meloidogyne incognita second-stage juveniles (J2) into tomato roots in the laboratory and greenhouse. Spores from this Florida population of B. penetrans attached to J2 of M. javanica, M. incognita, and M. arenaria. A greater proportion of J2 of M. javanica were infected than were J2 of either M. incognita or M. arenaria, and a greater number of spores attached to M. incognita than to M. arenaria. Key words: bacterial spore parasite, biological control, root-knot nematode.","author":[{"dropping-particle":"","family":"Brown","given":"Stephen M","non-dropping-particle":"","parse-names":false,"suffix":""},{"dropping-particle":"","family":"Smart","given":"Grover C","non-dropping-particle":"","parse-names":false,"suffix":""}],"container-title":"Journal of Nematology","id":"ITEM-1","issue":"2","issued":{"date-parts":[["1985"]]},"page":"123-125","title":"Root penetration by Meloidogyne incognita juveniles infected with Bacillus penetrans","type":"article-journal","volume":"17"},"uris":["http://www.mendeley.com/documents/?uuid=ba3e2d31-afd2-4fbc-b69f-b5eef2a19bea"]},{"id":"ITEM-2","itemData":{"DOI":"10.1094/phi-i-2000-1030-02","author":[{"dropping-particle":"","family":"Davis","given":"E. L.","non-dropping-particle":"","parse-names":false,"suffix":""},{"dropping-particle":"","family":"MacGuidwin","given":"A. E.","non-dropping-particle":"","parse-names":false,"suffix":""}],"container-title":"The Plant Health Instructor","id":"ITEM-2","issue":"Figure 1","issued":{"date-parts":[["2000"]]},"page":"1-12","title":"Lesion nematode disease","type":"article-journal"},"uris":["http://www.mendeley.com/documents/?uuid=bcb56856-4a0d-4933-8ebb-810dca221853"]},{"id":"ITEM-3","itemData":{"DOI":"10.1094/PDIS-11-12-1060-RE","ISSN":"01912917","abstract":"Field surveys were conducted by collecting soil samples to estimate nematode densities in soil from winter wheat, spring wheat, spring barley, and spring legumes (lentil, chickpea, and pea) fields during 2010 and 2011. Pratylenchus spp. were observed in 60% of sampled fields. However, nematodes were detected in nearly all of the survey fields in high numbers where crops were grown every year. To identify climatic variables associated with density of Pratylenchus spp. in soil, correlation and regression analyses were performed using climate data of survey sites from 1979 to 2010. Fifty-seven climate variables were significantly correlated with densities of Pratylenchus spp. All precipitation variables were significantly positively correlated with nematode abundance. Summer maximum air temperature was negatively correlated and winter minimum air temperature was positively correlated with nematode densities. In addition, both years' nematode densities were significantly correlated with cropping intensity. Five multivariate regression models for 2010 and seven models for 2011 nematode abundance levels were developed. The majority of the climate variables selected in the models were related to precipitation. Knowledge of root-lesion nematode distribution in the dryland region of eastern Washington and associated climate variables may be helpful to determine risk and apply management practices to minimize crop damage.","author":[{"dropping-particle":"","family":"Kandel","given":"Shyam L.","non-dropping-particle":"","parse-names":false,"suffix":""},{"dropping-particle":"","family":"Smiley","given":"Richard W.","non-dropping-particle":"","parse-names":false,"suffix":""},{"dropping-particle":"","family":"Garland-Campbell","given":"Kimberly","non-dropping-particle":"","parse-names":false,"suffix":""},{"dropping-particle":"","family":"Elling","given":"Axel A.","non-dropping-particle":"","parse-names":false,"suffix":""},{"dropping-particle":"","family":"Abatzoglou","given":"John","non-dropping-particle":"","parse-names":false,"suffix":""},{"dropping-particle":"","family":"Huggins","given":"David","non-dropping-particle":"","parse-names":false,"suffix":""},{"dropping-particle":"","family":"Rupp","given":"Richard","non-dropping-particle":"","parse-names":false,"suffix":""},{"dropping-particle":"","family":"Paulitz","given":"Timothy C.","non-dropping-particle":"","parse-names":false,"suffix":""}],"container-title":"Plant Disease","id":"ITEM-3","issue":"11","issued":{"date-parts":[["2013"]]},"page":"1448-1456","title":"Relationship between climatic factors and distribution of pratylenchus spp. in the dryland wheat-production areas of Eastern Washington","type":"article-journal","volume":"97"},"uris":["http://www.mendeley.com/documents/?uuid=1015a015-9832-471a-b6d5-9f60b9de6e0d"]}],"mendeley":{"formattedCitation":"(Brown &amp; Smart, 1985; E. L. Davis &amp; MacGuidwin, 2000; Kandel et al., 2013)","manualFormatting":"(Brown &amp; Smart, 1985; Davis &amp; MacGuidwin, 2000; Kandel et al., 2013)","plainTextFormattedCitation":"(Brown &amp; Smart, 1985; E. L. Davis &amp; MacGuidwin, 2000; Kandel et al., 2013)","previouslyFormattedCitation":"(Brown &amp; Smart, 1985; E. L. Davis &amp; MacGuidwin, 2000; Kandel et al., 2013)"},"properties":{"noteIndex":0},"schema":"https://github.com/citation-style-language/schema/raw/master/csl-citation.json"}</w:instrText>
      </w:r>
      <w:r w:rsidRPr="00D40FF8">
        <w:rPr>
          <w:rFonts w:cs="Times New Roman"/>
          <w:szCs w:val="24"/>
          <w:shd w:val="clear" w:color="auto" w:fill="FFFFFF"/>
        </w:rPr>
        <w:fldChar w:fldCharType="separate"/>
      </w:r>
      <w:r w:rsidRPr="00D40FF8">
        <w:rPr>
          <w:rFonts w:cs="Times New Roman"/>
          <w:noProof/>
          <w:szCs w:val="24"/>
          <w:shd w:val="clear" w:color="auto" w:fill="FFFFFF"/>
        </w:rPr>
        <w:t>(Brown &amp; Smart, 1985; Davis &amp; MacGuidwin, 2000; Kandel et al., 2013)</w:t>
      </w:r>
      <w:r w:rsidRPr="00D40FF8">
        <w:rPr>
          <w:rFonts w:cs="Times New Roman"/>
          <w:szCs w:val="24"/>
          <w:shd w:val="clear" w:color="auto" w:fill="FFFFFF"/>
        </w:rPr>
        <w:fldChar w:fldCharType="end"/>
      </w:r>
      <w:r w:rsidRPr="00D40FF8">
        <w:rPr>
          <w:rFonts w:cs="Times New Roman"/>
          <w:szCs w:val="24"/>
          <w:shd w:val="clear" w:color="auto" w:fill="FFFFFF"/>
        </w:rPr>
        <w:t xml:space="preserve">. </w:t>
      </w:r>
      <w:r>
        <w:rPr>
          <w:rFonts w:cs="Times New Roman"/>
          <w:szCs w:val="24"/>
          <w:shd w:val="clear" w:color="auto" w:fill="FFFFFF"/>
        </w:rPr>
        <w:t>T</w:t>
      </w:r>
      <w:r w:rsidRPr="00D40FF8">
        <w:rPr>
          <w:rFonts w:cs="Times New Roman"/>
          <w:szCs w:val="24"/>
          <w:shd w:val="clear" w:color="auto" w:fill="FFFFFF"/>
        </w:rPr>
        <w:t xml:space="preserve">hese </w:t>
      </w:r>
      <w:r>
        <w:rPr>
          <w:rFonts w:cs="Times New Roman"/>
          <w:szCs w:val="24"/>
          <w:shd w:val="clear" w:color="auto" w:fill="FFFFFF"/>
        </w:rPr>
        <w:t>factors</w:t>
      </w:r>
      <w:r w:rsidRPr="00D40FF8">
        <w:rPr>
          <w:rFonts w:cs="Times New Roman"/>
          <w:szCs w:val="24"/>
          <w:shd w:val="clear" w:color="auto" w:fill="FFFFFF"/>
        </w:rPr>
        <w:t xml:space="preserve"> may have contributed to the low density observed in this survey. </w:t>
      </w:r>
    </w:p>
    <w:p w14:paraId="084D0FEF" w14:textId="77777777" w:rsidR="00D20476" w:rsidRDefault="00D20476" w:rsidP="00D20476">
      <w:pPr>
        <w:spacing w:line="360" w:lineRule="auto"/>
        <w:ind w:left="720" w:firstLine="720"/>
        <w:rPr>
          <w:rFonts w:cs="Times New Roman"/>
          <w:szCs w:val="24"/>
        </w:rPr>
      </w:pPr>
      <w:r>
        <w:rPr>
          <w:rFonts w:cs="Times New Roman"/>
          <w:szCs w:val="24"/>
          <w:shd w:val="clear" w:color="auto" w:fill="FFFFFF"/>
        </w:rPr>
        <w:t>M</w:t>
      </w:r>
      <w:r w:rsidRPr="00D40FF8">
        <w:rPr>
          <w:rFonts w:cs="Times New Roman"/>
          <w:szCs w:val="24"/>
          <w:shd w:val="clear" w:color="auto" w:fill="FFFFFF"/>
        </w:rPr>
        <w:t>ore than 300 plant species</w:t>
      </w:r>
      <w:r>
        <w:rPr>
          <w:rFonts w:cs="Times New Roman"/>
          <w:szCs w:val="24"/>
          <w:shd w:val="clear" w:color="auto" w:fill="FFFFFF"/>
        </w:rPr>
        <w:t xml:space="preserve"> can host r</w:t>
      </w:r>
      <w:r w:rsidRPr="00D40FF8">
        <w:rPr>
          <w:rFonts w:cs="Times New Roman"/>
          <w:szCs w:val="24"/>
          <w:shd w:val="clear" w:color="auto" w:fill="FFFFFF"/>
        </w:rPr>
        <w:t>eniform nematode (</w:t>
      </w:r>
      <w:r w:rsidRPr="00D40FF8">
        <w:rPr>
          <w:rFonts w:cs="Times New Roman"/>
          <w:i/>
          <w:iCs/>
          <w:szCs w:val="24"/>
          <w:shd w:val="clear" w:color="auto" w:fill="FFFFFF"/>
        </w:rPr>
        <w:t>Rotylenchulus)</w:t>
      </w:r>
      <w:r>
        <w:rPr>
          <w:rFonts w:cs="Times New Roman"/>
          <w:szCs w:val="24"/>
          <w:shd w:val="clear" w:color="auto" w:fill="FFFFFF"/>
        </w:rPr>
        <w:t>, but c</w:t>
      </w:r>
      <w:r w:rsidRPr="00D40FF8">
        <w:rPr>
          <w:rFonts w:cs="Times New Roman"/>
          <w:szCs w:val="24"/>
          <w:shd w:val="clear" w:color="auto" w:fill="FFFFFF"/>
        </w:rPr>
        <w:t>otton, soybean, sweet potato, and vegetables are major hosts</w:t>
      </w:r>
      <w:r>
        <w:rPr>
          <w:rFonts w:cs="Times New Roman"/>
          <w:szCs w:val="24"/>
          <w:shd w:val="clear" w:color="auto" w:fill="FFFFFF"/>
        </w:rPr>
        <w:t xml:space="preserve"> </w:t>
      </w:r>
      <w:r w:rsidRPr="00D40FF8">
        <w:rPr>
          <w:rFonts w:cs="Times New Roman"/>
          <w:szCs w:val="24"/>
          <w:shd w:val="clear" w:color="auto" w:fill="FFFFFF"/>
        </w:rPr>
        <w:fldChar w:fldCharType="begin" w:fldLock="1"/>
      </w:r>
      <w:r w:rsidRPr="00D40FF8">
        <w:rPr>
          <w:rFonts w:cs="Times New Roman"/>
          <w:szCs w:val="24"/>
          <w:shd w:val="clear" w:color="auto" w:fill="FFFFFF"/>
        </w:rPr>
        <w:instrText>ADDIN CSL_CITATION {"citationItems":[{"id":"ITEM-1","itemData":{"DOI":"10.46429/jaupr.v48i2.12985","ISSN":"0041-994X","abstract":"The reniform nematode which comprises five described and several undescribed species has been recognized as a dangerous plant parasite. It is undoubtedly one of the most common nematode types in our soils and its populations are usually very high. It has been found associated with most of our agricultural crops including pineapple, coffee, pigeonpea, tobacco, sugarcane, ornamentals, and vegetables. Increasing interest in the study of this parasite has suggested the existence of several other species which still remain undescribed. In Puerto Rico, it is now evident that several species are present. This statement is based on differences observed in relation to morphological and pathogenic characteristics among different populations. A list of 201 different host plants from 15 countries, including Puerto Rico and Caja de Muertos, an adjacent Island south of Puerto Rico, is given. Most of them are the result of field observations, but in many cases the susceptibility of the host has been corroborated on greenhouse inoculation trials. Eighty-nine host plants were found in Puerto Rico, 15 of which are new hosts to Rotylenchulus spp., and 74 to R. reniformis. Differences in degrees of susceptibility have been recognized, pigeonpea being the most susceptible, and ornamental crotalaria only a carrier. In Puerto Rico, the nematode has been located in 40 localities in some of which several plants have been found to be hosts. Humidity, elevation, temperature, and soil pH do not seem to be limiting factors in relation to the occurrence and distribution of the nematode. It occurs more in loamic soils but clay or sandy soils with little organic matter harbor large numbers if a suitable host plant is present. A general list of publications regarding this nematode citing 89 papers is also included.","author":[{"dropping-particle":"","family":"Ayala","given":"Alejandro","non-dropping-particle":"","parse-names":false,"suffix":""},{"dropping-particle":"","family":"Ramírez","given":"Carmen T.","non-dropping-particle":"","parse-names":false,"suffix":""}],"container-title":"The Journal of Agriculture of the University of Puerto Rico","id":"ITEM-1","issue":"2","issued":{"date-parts":[["1964"]]},"page":"140-161","title":"Host-Range, Distribution, and Bibliography of the Reniform Nematode, Rotylenchulus reniformis, with Special Reference to Puerto Rico","type":"article-journal","volume":"48"},"uris":["http://www.mendeley.com/documents/?uuid=a785e116-3a8b-4e58-b5a5-ed478a5a6e5c"]}],"mendeley":{"formattedCitation":"(Ayala &amp; Ramírez, 1964)","plainTextFormattedCitation":"(Ayala &amp; Ramírez, 1964)","previouslyFormattedCitation":"(Ayala &amp; Ramírez, 1964)"},"properties":{"noteIndex":0},"schema":"https://github.com/citation-style-language/schema/raw/master/csl-citation.json"}</w:instrText>
      </w:r>
      <w:r w:rsidRPr="00D40FF8">
        <w:rPr>
          <w:rFonts w:cs="Times New Roman"/>
          <w:szCs w:val="24"/>
          <w:shd w:val="clear" w:color="auto" w:fill="FFFFFF"/>
        </w:rPr>
        <w:fldChar w:fldCharType="separate"/>
      </w:r>
      <w:r w:rsidRPr="00D40FF8">
        <w:rPr>
          <w:rFonts w:cs="Times New Roman"/>
          <w:noProof/>
          <w:szCs w:val="24"/>
          <w:shd w:val="clear" w:color="auto" w:fill="FFFFFF"/>
        </w:rPr>
        <w:t>(Ayala &amp; Ramírez, 1964)</w:t>
      </w:r>
      <w:r w:rsidRPr="00D40FF8">
        <w:rPr>
          <w:rFonts w:cs="Times New Roman"/>
          <w:szCs w:val="24"/>
          <w:shd w:val="clear" w:color="auto" w:fill="FFFFFF"/>
        </w:rPr>
        <w:fldChar w:fldCharType="end"/>
      </w:r>
      <w:r w:rsidRPr="00D40FF8">
        <w:rPr>
          <w:rFonts w:cs="Times New Roman"/>
          <w:szCs w:val="24"/>
          <w:shd w:val="clear" w:color="auto" w:fill="FFFFFF"/>
        </w:rPr>
        <w:t xml:space="preserve">. Our results suggested that reniform nematode occurrence is low in Tennessee, occurring in 20% of all samples; although this is an increase in prevalence, as previous studies found it in 5% of samples (Newman 1998). Similarly, the population density in the current study averaged 1,764 </w:t>
      </w:r>
      <w:r w:rsidRPr="00D40FF8">
        <w:rPr>
          <w:rFonts w:cs="Times New Roman"/>
          <w:szCs w:val="24"/>
        </w:rPr>
        <w:t>nematodes/100 cm</w:t>
      </w:r>
      <w:r w:rsidRPr="00D40FF8">
        <w:rPr>
          <w:rFonts w:cs="Times New Roman"/>
          <w:szCs w:val="24"/>
          <w:vertAlign w:val="superscript"/>
        </w:rPr>
        <w:t>3</w:t>
      </w:r>
      <w:r w:rsidRPr="00D40FF8">
        <w:rPr>
          <w:rFonts w:cs="Times New Roman"/>
          <w:szCs w:val="24"/>
          <w:shd w:val="clear" w:color="auto" w:fill="FFFFFF"/>
        </w:rPr>
        <w:t xml:space="preserve"> whereas the previously reported population density was only as high as 268 nematodes/200 cm</w:t>
      </w:r>
      <w:r w:rsidRPr="00D40FF8">
        <w:rPr>
          <w:rFonts w:cs="Times New Roman"/>
          <w:szCs w:val="24"/>
          <w:shd w:val="clear" w:color="auto" w:fill="FFFFFF"/>
          <w:vertAlign w:val="superscript"/>
        </w:rPr>
        <w:t xml:space="preserve">3 </w:t>
      </w:r>
      <w:r w:rsidRPr="00D40FF8">
        <w:rPr>
          <w:rFonts w:cs="Times New Roman"/>
          <w:szCs w:val="24"/>
          <w:shd w:val="clear" w:color="auto" w:fill="FFFFFF"/>
        </w:rPr>
        <w:t>of soil for a survey conducted in 1997 (Newman 1998). In a subsequent survey</w:t>
      </w:r>
      <w:r>
        <w:rPr>
          <w:rFonts w:cs="Times New Roman"/>
          <w:szCs w:val="24"/>
          <w:shd w:val="clear" w:color="auto" w:fill="FFFFFF"/>
        </w:rPr>
        <w:t xml:space="preserve"> done in </w:t>
      </w:r>
      <w:r w:rsidRPr="00D40FF8">
        <w:rPr>
          <w:rFonts w:cs="Times New Roman"/>
          <w:szCs w:val="24"/>
          <w:shd w:val="clear" w:color="auto" w:fill="FFFFFF"/>
        </w:rPr>
        <w:t>2014-2015, the nematode densities were as high as 5,000/100 cm</w:t>
      </w:r>
      <w:r w:rsidRPr="00D40FF8">
        <w:rPr>
          <w:rFonts w:cs="Times New Roman"/>
          <w:szCs w:val="24"/>
          <w:shd w:val="clear" w:color="auto" w:fill="FFFFFF"/>
          <w:vertAlign w:val="superscript"/>
        </w:rPr>
        <w:t>3</w:t>
      </w:r>
      <w:r w:rsidRPr="00D40FF8">
        <w:rPr>
          <w:rFonts w:cs="Times New Roman"/>
          <w:szCs w:val="24"/>
          <w:shd w:val="clear" w:color="auto" w:fill="FFFFFF"/>
        </w:rPr>
        <w:t xml:space="preserve"> of soil in several samples (Bernard, 2018). Economic thresholds for reniform nematode for cotton in Tennessee were 210 juveniles/100 cm</w:t>
      </w:r>
      <w:r w:rsidRPr="00D40FF8">
        <w:rPr>
          <w:rFonts w:cs="Times New Roman"/>
          <w:szCs w:val="24"/>
          <w:shd w:val="clear" w:color="auto" w:fill="FFFFFF"/>
          <w:vertAlign w:val="superscript"/>
        </w:rPr>
        <w:t xml:space="preserve">3 </w:t>
      </w:r>
      <w:r w:rsidRPr="00D40FF8">
        <w:rPr>
          <w:rFonts w:cs="Times New Roman"/>
          <w:szCs w:val="24"/>
          <w:shd w:val="clear" w:color="auto" w:fill="FFFFFF"/>
        </w:rPr>
        <w:t>at planting or 1,050 adults + juveniles / 100 cm</w:t>
      </w:r>
      <w:r w:rsidRPr="00D40FF8">
        <w:rPr>
          <w:rFonts w:cs="Times New Roman"/>
          <w:szCs w:val="24"/>
          <w:shd w:val="clear" w:color="auto" w:fill="FFFFFF"/>
          <w:vertAlign w:val="superscript"/>
        </w:rPr>
        <w:t>3</w:t>
      </w:r>
      <w:r w:rsidRPr="00D40FF8">
        <w:rPr>
          <w:rFonts w:cs="Times New Roman"/>
          <w:szCs w:val="24"/>
          <w:shd w:val="clear" w:color="auto" w:fill="FFFFFF"/>
        </w:rPr>
        <w:t xml:space="preserve"> at harvest (Newman 1998; Bernard, 2018). The thresholds for soybean in Arkansas ranged between 500 to 1,000 nematodes/100cm</w:t>
      </w:r>
      <w:r w:rsidRPr="00D40FF8">
        <w:rPr>
          <w:rFonts w:cs="Times New Roman"/>
          <w:szCs w:val="24"/>
          <w:shd w:val="clear" w:color="auto" w:fill="FFFFFF"/>
          <w:vertAlign w:val="superscript"/>
        </w:rPr>
        <w:t xml:space="preserve">3 </w:t>
      </w:r>
      <w:r w:rsidRPr="00D40FF8">
        <w:rPr>
          <w:rFonts w:cs="Times New Roman"/>
          <w:szCs w:val="24"/>
          <w:shd w:val="clear" w:color="auto" w:fill="FFFFFF"/>
          <w:vertAlign w:val="superscript"/>
        </w:rPr>
        <w:fldChar w:fldCharType="begin" w:fldLock="1"/>
      </w:r>
      <w:r w:rsidRPr="00D40FF8">
        <w:rPr>
          <w:rFonts w:cs="Times New Roman"/>
          <w:szCs w:val="24"/>
          <w:shd w:val="clear" w:color="auto" w:fill="FFFFFF"/>
          <w:vertAlign w:val="superscript"/>
        </w:rPr>
        <w:instrText>ADDIN CSL_CITATION {"citationItems":[{"id":"ITEM-1","itemData":{"author":[{"dropping-particle":"","family":"Kirkpatrick","given":"Terry","non-dropping-particle":"","parse-names":false,"suffix":""},{"dropping-particle":"","family":"Faske","given":"Travis","non-dropping-particle":"","parse-names":false,"suffix":""},{"dropping-particle":"","family":"Robbins","given":"Bob","non-dropping-particle":"","parse-names":false,"suffix":""}],"id":"ITEM-1","issued":{"date-parts":[["2014"]]},"page":"1-6","title":"10","type":"article-journal"},"uris":["http://www.mendeley.com/documents/?uuid=83d8f06b-905c-4637-934f-317fbc22d636"]}],"mendeley":{"formattedCitation":"(Kirkpatrick et al., 2014)","plainTextFormattedCitation":"(Kirkpatrick et al., 2014)","previouslyFormattedCitation":"(Kirkpatrick et al., 2014)"},"properties":{"noteIndex":0},"schema":"https://github.com/citation-style-language/schema/raw/master/csl-citation.json"}</w:instrText>
      </w:r>
      <w:r w:rsidRPr="00D40FF8">
        <w:rPr>
          <w:rFonts w:cs="Times New Roman"/>
          <w:szCs w:val="24"/>
          <w:shd w:val="clear" w:color="auto" w:fill="FFFFFF"/>
          <w:vertAlign w:val="superscript"/>
        </w:rPr>
        <w:fldChar w:fldCharType="separate"/>
      </w:r>
      <w:r w:rsidRPr="00D40FF8">
        <w:rPr>
          <w:rFonts w:cs="Times New Roman"/>
          <w:noProof/>
          <w:szCs w:val="24"/>
          <w:shd w:val="clear" w:color="auto" w:fill="FFFFFF"/>
        </w:rPr>
        <w:t>(Kirkpatrick et al., 2014)</w:t>
      </w:r>
      <w:r w:rsidRPr="00D40FF8">
        <w:rPr>
          <w:rFonts w:cs="Times New Roman"/>
          <w:szCs w:val="24"/>
          <w:shd w:val="clear" w:color="auto" w:fill="FFFFFF"/>
          <w:vertAlign w:val="superscript"/>
        </w:rPr>
        <w:fldChar w:fldCharType="end"/>
      </w:r>
      <w:r w:rsidRPr="00D40FF8">
        <w:rPr>
          <w:rFonts w:cs="Times New Roman"/>
          <w:szCs w:val="24"/>
          <w:shd w:val="clear" w:color="auto" w:fill="FFFFFF"/>
        </w:rPr>
        <w:t>. Current results showed that reniform nematodes are in the economic thresholds for cotton and soybean in a few fields. The average densities were 1,764 (across 74 positive samples) and 913 (across two positive counties) nematodes/100 cm</w:t>
      </w:r>
      <w:r w:rsidRPr="00D40FF8">
        <w:rPr>
          <w:rFonts w:cs="Times New Roman"/>
          <w:szCs w:val="24"/>
          <w:shd w:val="clear" w:color="auto" w:fill="FFFFFF"/>
          <w:vertAlign w:val="superscript"/>
        </w:rPr>
        <w:t>3</w:t>
      </w:r>
      <w:r w:rsidRPr="00D40FF8">
        <w:rPr>
          <w:rFonts w:cs="Times New Roman"/>
          <w:szCs w:val="24"/>
          <w:shd w:val="clear" w:color="auto" w:fill="FFFFFF"/>
        </w:rPr>
        <w:t>, and the greatest density detected was 16,669/100 cm</w:t>
      </w:r>
      <w:r w:rsidRPr="00D40FF8">
        <w:rPr>
          <w:rFonts w:cs="Times New Roman"/>
          <w:szCs w:val="24"/>
          <w:shd w:val="clear" w:color="auto" w:fill="FFFFFF"/>
          <w:vertAlign w:val="superscript"/>
        </w:rPr>
        <w:t>3</w:t>
      </w:r>
      <w:r w:rsidRPr="00D40FF8">
        <w:rPr>
          <w:rFonts w:cs="Times New Roman"/>
          <w:szCs w:val="24"/>
          <w:shd w:val="clear" w:color="auto" w:fill="FFFFFF"/>
        </w:rPr>
        <w:t xml:space="preserve">. However, this density occurred less frequently, in only 20% of samples and 8% of tested counties. Specifically, the samples with reniform were mostly from cotton and soybean fields. This is most likely because of the rotation of the two crops. Rotation to corn or grain sorghum has been recommended to reduce high reniform populations. </w:t>
      </w:r>
      <w:r w:rsidRPr="00D40FF8">
        <w:rPr>
          <w:rFonts w:cs="Times New Roman"/>
          <w:szCs w:val="24"/>
        </w:rPr>
        <w:t xml:space="preserve">Other control options include nematicides and seed treatments (e.g. Abamectin, Thiodicarb, or </w:t>
      </w:r>
      <w:r w:rsidRPr="00D40FF8">
        <w:rPr>
          <w:rFonts w:cs="Times New Roman"/>
          <w:i/>
          <w:iCs/>
          <w:szCs w:val="24"/>
        </w:rPr>
        <w:t>Bacillus firmus</w:t>
      </w:r>
      <w:r w:rsidRPr="001E06B7">
        <w:rPr>
          <w:rFonts w:cs="Times New Roman"/>
          <w:iCs/>
          <w:szCs w:val="24"/>
        </w:rPr>
        <w:t>)</w:t>
      </w:r>
      <w:r w:rsidRPr="00D40FF8">
        <w:rPr>
          <w:rFonts w:cs="Times New Roman"/>
          <w:i/>
          <w:iCs/>
          <w:szCs w:val="24"/>
        </w:rPr>
        <w:t xml:space="preserve">. </w:t>
      </w:r>
      <w:r w:rsidRPr="00D40FF8">
        <w:rPr>
          <w:rFonts w:cs="Times New Roman"/>
          <w:iCs/>
          <w:szCs w:val="24"/>
        </w:rPr>
        <w:t xml:space="preserve">Foliar </w:t>
      </w:r>
      <w:r w:rsidRPr="00D40FF8">
        <w:rPr>
          <w:rFonts w:cs="Times New Roman"/>
          <w:szCs w:val="24"/>
        </w:rPr>
        <w:t xml:space="preserve">applications of Vydate combined with nematicide seed treatments are also found to suppress nematode populations (Mueller et al., 2012). </w:t>
      </w:r>
    </w:p>
    <w:p w14:paraId="0F690BE9" w14:textId="77777777" w:rsidR="00D20476" w:rsidRDefault="00D20476" w:rsidP="00D20476">
      <w:pPr>
        <w:spacing w:line="360" w:lineRule="auto"/>
        <w:ind w:left="720" w:firstLine="720"/>
        <w:rPr>
          <w:rFonts w:cs="Times New Roman"/>
          <w:szCs w:val="24"/>
        </w:rPr>
      </w:pPr>
      <w:r w:rsidRPr="00D40FF8">
        <w:rPr>
          <w:rFonts w:cs="Times New Roman"/>
          <w:szCs w:val="24"/>
        </w:rPr>
        <w:t>Stunt nematodes (</w:t>
      </w:r>
      <w:r w:rsidRPr="00D40FF8">
        <w:rPr>
          <w:rFonts w:cs="Times New Roman"/>
          <w:i/>
          <w:szCs w:val="24"/>
          <w:shd w:val="clear" w:color="auto" w:fill="FFFFFF"/>
        </w:rPr>
        <w:t xml:space="preserve">Tylenchorhynchus </w:t>
      </w:r>
      <w:r w:rsidRPr="005C3F11">
        <w:rPr>
          <w:shd w:val="clear" w:color="auto" w:fill="FFFFFF"/>
        </w:rPr>
        <w:t>spp</w:t>
      </w:r>
      <w:r w:rsidRPr="00D40FF8">
        <w:rPr>
          <w:rFonts w:cs="Times New Roman"/>
          <w:i/>
          <w:szCs w:val="24"/>
          <w:shd w:val="clear" w:color="auto" w:fill="FFFFFF"/>
        </w:rPr>
        <w:t>.</w:t>
      </w:r>
      <w:r w:rsidRPr="00D40FF8">
        <w:rPr>
          <w:rFonts w:cs="Times New Roman"/>
          <w:i/>
          <w:szCs w:val="24"/>
        </w:rPr>
        <w:t>)</w:t>
      </w:r>
      <w:r w:rsidRPr="00D40FF8">
        <w:rPr>
          <w:rFonts w:cs="Times New Roman"/>
          <w:szCs w:val="24"/>
        </w:rPr>
        <w:t xml:space="preserve"> are obligate migratory ectoparasites of many plants including field crops, forage, turf, and vegetables (Bernard 1980; </w:t>
      </w:r>
      <w:r w:rsidRPr="00D40FF8">
        <w:rPr>
          <w:rFonts w:cs="Times New Roman"/>
          <w:noProof/>
          <w:szCs w:val="24"/>
        </w:rPr>
        <w:t>Niblack &amp; Bernard, 1985</w:t>
      </w:r>
      <w:r w:rsidRPr="00D40FF8">
        <w:rPr>
          <w:rFonts w:cs="Times New Roman"/>
          <w:szCs w:val="24"/>
        </w:rPr>
        <w:t xml:space="preserve">). Legumes are major hosts of stunt nematode while corn, cotton, and peanut are poor hosts </w:t>
      </w:r>
      <w:r w:rsidRPr="00D40FF8">
        <w:rPr>
          <w:rFonts w:cs="Times New Roman"/>
          <w:szCs w:val="24"/>
        </w:rPr>
        <w:fldChar w:fldCharType="begin" w:fldLock="1"/>
      </w:r>
      <w:r w:rsidRPr="00D40FF8">
        <w:rPr>
          <w:rFonts w:cs="Times New Roman"/>
          <w:szCs w:val="24"/>
        </w:rPr>
        <w:instrText>ADDIN CSL_CITATION {"citationItems":[{"id":"ITEM-1","itemData":{"author":[{"dropping-particle":"","family":"Mehl","given":"Hillary L","non-dropping-particle":"","parse-names":false,"suffix":""},{"dropping-particle":"","family":"Pathologist","given":"Extension Plant","non-dropping-particle":"","parse-names":false,"suffix":""},{"dropping-particle":"","family":"Tech","given":"Virginia","non-dropping-particle":"","parse-names":false,"suffix":""},{"dropping-particle":"","family":"Arec","given":"Tidewater","non-dropping-particle":"","parse-names":false,"suffix":""}],"id":"ITEM-1","issued":{"date-parts":[["2018"]]},"title":"Nematode Management in Field Crops","type":"article-journal"},"uris":["http://www.mendeley.com/documents/?uuid=66e5b816-5f09-438e-a458-8a5f70f2bf90"]}],"mendeley":{"formattedCitation":"(Mehl et al., 2018)","plainTextFormattedCitation":"(Mehl et al., 2018)","previouslyFormattedCitation":"(Mehl et al., 2018)"},"properties":{"noteIndex":0},"schema":"https://github.com/citation-style-language/schema/raw/master/csl-citation.json"}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(Mehl et al., 2018)</w:t>
      </w:r>
      <w:r w:rsidRPr="00D40FF8">
        <w:rPr>
          <w:rFonts w:cs="Times New Roman"/>
          <w:szCs w:val="24"/>
        </w:rPr>
        <w:fldChar w:fldCharType="end"/>
      </w:r>
      <w:r w:rsidRPr="00D40FF8">
        <w:rPr>
          <w:rFonts w:cs="Times New Roman"/>
          <w:szCs w:val="24"/>
        </w:rPr>
        <w:t>. As low as 200 and 400 nematodes /100 cm</w:t>
      </w:r>
      <w:r w:rsidRPr="00D40FF8">
        <w:rPr>
          <w:rFonts w:cs="Times New Roman"/>
          <w:szCs w:val="24"/>
          <w:vertAlign w:val="superscript"/>
        </w:rPr>
        <w:t xml:space="preserve">3 </w:t>
      </w:r>
      <w:r w:rsidRPr="00D40FF8">
        <w:rPr>
          <w:rFonts w:cs="Times New Roman"/>
          <w:szCs w:val="24"/>
        </w:rPr>
        <w:t xml:space="preserve">of </w:t>
      </w:r>
      <w:r w:rsidRPr="00D40FF8">
        <w:rPr>
          <w:rFonts w:cs="Times New Roman"/>
          <w:i/>
          <w:szCs w:val="24"/>
        </w:rPr>
        <w:t>Tylenchorhynchus claytoni</w:t>
      </w:r>
      <w:r w:rsidRPr="00D40FF8">
        <w:rPr>
          <w:rFonts w:cs="Times New Roman"/>
          <w:szCs w:val="24"/>
        </w:rPr>
        <w:t xml:space="preserve"> can cause damage to corn and soybean, respectively </w:t>
      </w:r>
      <w:r w:rsidRPr="00D40FF8">
        <w:rPr>
          <w:rFonts w:cs="Times New Roman"/>
          <w:szCs w:val="24"/>
        </w:rPr>
        <w:fldChar w:fldCharType="begin" w:fldLock="1"/>
      </w:r>
      <w:r w:rsidRPr="00D40FF8">
        <w:rPr>
          <w:rFonts w:cs="Times New Roman"/>
          <w:szCs w:val="24"/>
        </w:rPr>
        <w:instrText>ADDIN CSL_CITATION {"citationItems":[{"id":"ITEM-1","itemData":{"DOI":"10.1146/annurev.py.14.090176.001551","ISSN":"0066-4286","author":[{"dropping-particle":"","family":"Barker","given":"K R","non-dropping-particle":"","parse-names":false,"suffix":""},{"dropping-particle":"","family":"Olthof","given":"T H A","non-dropping-particle":"","parse-names":false,"suffix":""}],"container-title":"Annual Review of Phytopathology","id":"ITEM-1","issue":"1","issued":{"date-parts":[["1976"]]},"page":"327-353","title":"Relationships Between Nematode Population Densities and Crop Responses","type":"article-journal","volume":"14"},"uris":["http://www.mendeley.com/documents/?uuid=9ce15280-35fa-4d12-bad1-c4b04fcc59c4"]}],"mendeley":{"formattedCitation":"(Barker &amp; Olthof, 1976)","plainTextFormattedCitation":"(Barker &amp; Olthof, 1976)","previouslyFormattedCitation":"(Barker &amp; Olthof, 1976)"},"properties":{"noteIndex":0},"schema":"https://github.com/citation-style-language/schema/raw/master/csl-citation.json"}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(Barker &amp; Olthof, 1976)</w:t>
      </w:r>
      <w:r w:rsidRPr="00D40FF8">
        <w:rPr>
          <w:rFonts w:cs="Times New Roman"/>
          <w:szCs w:val="24"/>
        </w:rPr>
        <w:fldChar w:fldCharType="end"/>
      </w:r>
      <w:r w:rsidRPr="00D40FF8">
        <w:rPr>
          <w:rFonts w:cs="Times New Roman"/>
          <w:szCs w:val="24"/>
        </w:rPr>
        <w:t xml:space="preserve">. Several genera and species have been identified, so hosts may respond differently depending on the genera or species </w:t>
      </w:r>
      <w:r w:rsidRPr="00D40FF8">
        <w:rPr>
          <w:rFonts w:cs="Times New Roman"/>
          <w:szCs w:val="24"/>
        </w:rPr>
        <w:fldChar w:fldCharType="begin" w:fldLock="1"/>
      </w:r>
      <w:r w:rsidRPr="00D40FF8">
        <w:rPr>
          <w:rFonts w:cs="Times New Roman"/>
          <w:szCs w:val="24"/>
        </w:rPr>
        <w:instrText>ADDIN CSL_CITATION {"citationItems":[{"id":"ITEM-1","itemData":{"DOI":"10.1146/annurev.py.14.090176.001551","ISSN":"0066-4286","author":[{"dropping-particle":"","family":"Barker","given":"K R","non-dropping-particle":"","parse-names":false,"suffix":""},{"dropping-particle":"","family":"Olthof","given":"T H A","non-dropping-particle":"","parse-names":false,"suffix":""}],"container-title":"Annual Review of Phytopathology","id":"ITEM-1","issue":"1","issued":{"date-parts":[["1976"]]},"page":"327-353","title":"Relationships Between Nematode Population Densities and Crop Responses","type":"article-journal","volume":"14"},"uris":["http://www.mendeley.com/documents/?uuid=9ce15280-35fa-4d12-bad1-c4b04fcc59c4"]},{"id":"ITEM-2","itemData":{"ISSN":"0022-300X","abstract":"Nursery blocks (48 dogwood, 27 red maple, and 17 peach) distributed among 20 Tennessee nurseries were sampled for nematodes in March, July, and October 1981. Plant-parasitic nematodes were extracted from soil, counted by genera, and identified to species after fixation. A total of 57 species in 24 genera were found, with 1-16 species occurring in a site. The species most commonly detected were Paratylenchus projectus and Xiphinema americanum, which were found in 88% and 78% of the sites, respectively. Relationships existed between distribution and densities of some species present in more than 10% of the sites and certain soil factors (pH, bulk density, texture, and organic matter content). Plant-parasitic nematode community diversity was related to tree age, percentage of weed ground cover, and number of weed species. Site similarities in community ordinations were dependent on the individual nurseries sampled, tree age, and soil type, but clusters of sites of similar tree ages and soil types were not exclusive.","author":[{"dropping-particle":"","family":"Niblack","given":"T L","non-dropping-particle":"","parse-names":false,"suffix":""},{"dropping-particle":"","family":"Bernard","given":"E C","non-dropping-particle":"","parse-names":false,"suffix":""}],"container-title":"Journal of nematology","id":"ITEM-2","issue":"2","issued":{"date-parts":[["1985"]]},"page":"132-139","title":"Plant-parasitic nematode communities in dogwood, maple, and peach nurseries in tennessee.","type":"article-journal","volume":"17"},"uris":["http://www.mendeley.com/documents/?uuid=3c6c1e11-5bb6-4d1c-9e26-5e57e594377d"]}],"mendeley":{"formattedCitation":"(Barker &amp; Olthof, 1976; Niblack &amp; Bernard, 1985)","plainTextFormattedCitation":"(Barker &amp; Olthof, 1976; Niblack &amp; Bernard, 1985)","previouslyFormattedCitation":"(Barker &amp; Olthof, 1976; Niblack &amp; Bernard, 1985)"},"properties":{"noteIndex":0},"schema":"https://github.com/citation-style-language/schema/raw/master/csl-citation.json"}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(Barker &amp; Olthof, 1976; Niblack &amp; Bernard, 1985)</w:t>
      </w:r>
      <w:r w:rsidRPr="00D40FF8">
        <w:rPr>
          <w:rFonts w:cs="Times New Roman"/>
          <w:szCs w:val="24"/>
        </w:rPr>
        <w:fldChar w:fldCharType="end"/>
      </w:r>
      <w:r w:rsidRPr="00D40FF8">
        <w:rPr>
          <w:rFonts w:cs="Times New Roman"/>
          <w:szCs w:val="24"/>
        </w:rPr>
        <w:t>. From this survey, stunt nematode occurrence was very low, being found in only 19% of samples at an average density of 24 nematodes/ 100 cm</w:t>
      </w:r>
      <w:r w:rsidRPr="00D40FF8">
        <w:rPr>
          <w:rFonts w:cs="Times New Roman"/>
          <w:szCs w:val="24"/>
          <w:vertAlign w:val="superscript"/>
        </w:rPr>
        <w:t>3</w:t>
      </w:r>
      <w:r w:rsidRPr="00D40FF8">
        <w:rPr>
          <w:rFonts w:cs="Times New Roman"/>
          <w:szCs w:val="24"/>
        </w:rPr>
        <w:t xml:space="preserve"> of soil and the greatest density detected was 92 nematodes/100 cm</w:t>
      </w:r>
      <w:r w:rsidRPr="00D40FF8">
        <w:rPr>
          <w:rFonts w:cs="Times New Roman"/>
          <w:szCs w:val="24"/>
          <w:vertAlign w:val="superscript"/>
        </w:rPr>
        <w:t>3</w:t>
      </w:r>
      <w:r w:rsidRPr="00D40FF8">
        <w:rPr>
          <w:rFonts w:cs="Times New Roman"/>
          <w:szCs w:val="24"/>
        </w:rPr>
        <w:t xml:space="preserve">. However, the nematode occurred more frequently (64%, 16 counties) across counties, showing a slight increase based on previous survey studies where seven species of </w:t>
      </w:r>
      <w:r w:rsidRPr="00D40FF8">
        <w:rPr>
          <w:rFonts w:cs="Times New Roman"/>
          <w:i/>
          <w:iCs/>
          <w:szCs w:val="24"/>
        </w:rPr>
        <w:t>Tylenchorhynchus</w:t>
      </w:r>
      <w:r w:rsidRPr="00D40FF8">
        <w:rPr>
          <w:rFonts w:cs="Times New Roman"/>
          <w:szCs w:val="24"/>
        </w:rPr>
        <w:t xml:space="preserve"> were isolated from fields across 12 counties in Tennessee </w:t>
      </w:r>
      <w:r w:rsidRPr="00D40FF8">
        <w:rPr>
          <w:rFonts w:cs="Times New Roman"/>
          <w:szCs w:val="24"/>
        </w:rPr>
        <w:fldChar w:fldCharType="begin" w:fldLock="1"/>
      </w:r>
      <w:r w:rsidRPr="00D40FF8">
        <w:rPr>
          <w:rFonts w:cs="Times New Roman"/>
          <w:szCs w:val="24"/>
        </w:rPr>
        <w:instrText>ADDIN CSL_CITATION {"citationItems":[{"id":"ITEM-1","itemData":{"DOI":"10.1146/annurev.py.14.090176.001551","ISSN":"0066-4286","author":[{"dropping-particle":"","family":"Barker","given":"K R","non-dropping-particle":"","parse-names":false,"suffix":""},{"dropping-particle":"","family":"Olthof","given":"T H A","non-dropping-particle":"","parse-names":false,"suffix":""}],"container-title":"Annual Review of Phytopathology","id":"ITEM-1","issue":"1","issued":{"date-parts":[["1976"]]},"page":"327-353","title":"Relationships Between Nematode Population Densities and Crop Responses","type":"article-journal","volume":"14"},"uris":["http://www.mendeley.com/documents/?uuid=9ce15280-35fa-4d12-bad1-c4b04fcc59c4"]},{"id":"ITEM-2","itemData":{"ISSN":"0022-300X","abstract":"Nursery blocks (48 dogwood, 27 red maple, and 17 peach) distributed among 20 Tennessee nurseries were sampled for nematodes in March, July, and October 1981. Plant-parasitic nematodes were extracted from soil, counted by genera, and identified to species after fixation. A total of 57 species in 24 genera were found, with 1-16 species occurring in a site. The species most commonly detected were Paratylenchus projectus and Xiphinema americanum, which were found in 88% and 78% of the sites, respectively. Relationships existed between distribution and densities of some species present in more than 10% of the sites and certain soil factors (pH, bulk density, texture, and organic matter content). Plant-parasitic nematode community diversity was related to tree age, percentage of weed ground cover, and number of weed species. Site similarities in community ordinations were dependent on the individual nurseries sampled, tree age, and soil type, but clusters of sites of similar tree ages and soil types were not exclusive.","author":[{"dropping-particle":"","family":"Niblack","given":"T L","non-dropping-particle":"","parse-names":false,"suffix":""},{"dropping-particle":"","family":"Bernard","given":"E C","non-dropping-particle":"","parse-names":false,"suffix":""}],"container-title":"Journal of nematology","id":"ITEM-2","issue":"2","issued":{"date-parts":[["1985"]]},"page":"132-139","title":"Plant-parasitic nematode communities in dogwood, maple, and peach nurseries in tennessee.","type":"article-journal","volume":"17"},"uris":["http://www.mendeley.com/documents/?uuid=3c6c1e11-5bb6-4d1c-9e26-5e57e594377d"]}],"mendeley":{"formattedCitation":"(Barker &amp; Olthof, 1976; Niblack &amp; Bernard, 1985)","manualFormatting":"(Niblack &amp; Bernard, 1985","plainTextFormattedCitation":"(Barker &amp; Olthof, 1976; Niblack &amp; Bernard, 1985)","previouslyFormattedCitation":"(Barker &amp; Olthof, 1976; Niblack &amp; Bernard, 1985)"},"properties":{"noteIndex":0},"schema":"https://github.com/citation-style-language/schema/raw/master/csl-citation.json"}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(Niblack &amp; Bernard, 1985</w:t>
      </w:r>
      <w:r w:rsidRPr="00D40FF8">
        <w:rPr>
          <w:rFonts w:cs="Times New Roman"/>
          <w:szCs w:val="24"/>
        </w:rPr>
        <w:fldChar w:fldCharType="end"/>
      </w:r>
      <w:r w:rsidRPr="00D40FF8">
        <w:rPr>
          <w:rFonts w:cs="Times New Roman"/>
          <w:szCs w:val="24"/>
        </w:rPr>
        <w:t>; Bernard 1980). Notably, the nematode’s density and occurrence in Tennessee in our study are lower than that of other states. In a North Carolina state survey, stunt nematodes were found in 83% of samples at an average density of 343 nematodes/500 cm</w:t>
      </w:r>
      <w:r w:rsidRPr="00D40FF8">
        <w:rPr>
          <w:rFonts w:cs="Times New Roman"/>
          <w:szCs w:val="24"/>
          <w:vertAlign w:val="superscript"/>
        </w:rPr>
        <w:t>3</w:t>
      </w:r>
      <w:r w:rsidRPr="00D40FF8">
        <w:rPr>
          <w:rFonts w:cs="Times New Roman"/>
          <w:szCs w:val="24"/>
        </w:rPr>
        <w:t xml:space="preserve"> of soil </w:t>
      </w:r>
      <w:r w:rsidRPr="00D40FF8">
        <w:rPr>
          <w:rFonts w:cs="Times New Roman"/>
          <w:szCs w:val="24"/>
        </w:rPr>
        <w:fldChar w:fldCharType="begin" w:fldLock="1"/>
      </w:r>
      <w:r w:rsidRPr="00D40FF8">
        <w:rPr>
          <w:rFonts w:cs="Times New Roman"/>
          <w:szCs w:val="24"/>
        </w:rPr>
        <w:instrText>ADDIN CSL_CITATION {"citationItems":[{"id":"ITEM-1","itemData":{"DOI":"10.1094/pd-72-0107","ISSN":"0191-2917","abstract":"Incidence of Plant-Parasitic Nematodes in the Coastal Plain of North Carolina. D. P. Schmitt, Associate Professor, Department of Plant Pathology, P.O. Box 7616, North Carolina State University, Raleigh 27695-7616. K. R. Barker, Professor, Department of Plant Pathology, P.O. Box 7616, North Carolina State University, Raleigh 27695-7616. Plant Dis. 72:107-110. Accepted for publication 21 September 1987. Copyright 1988 The American Phytopathological Society. DOI: 10.1094/PD-72-0107. Fields (800) in the coastal plain of North Carolina were systematically selected and sampled. Corn and soybeans were the dominant crops. Nematode genera occurring in about 50% or more of the fields were Criconemella, Helicotylenchus, Meloidogyne, Pratylenchus, and Tylenchorhynchus. Of the Meloidogyne spp. coming from 401 fields, 31% reproduced on NC-95 tobacco (M. arenaria, M. javanica, races 2 and 4 of M. incognita, and M. hapla), 17% reproduced on peanut (M. arenaria race 1 and M. hapla), and 15% reproduced on cotton (races 3 and 4 of M. incognita). Heterodera glycines was present in 25% of the fields sampled. This nematode was detected in 34% of the soybean fields and in 16% of fields planted with nonhosts. Sixty percent of the infested fields contained H. glycines races that could not be managed with resistant cultivars. The specific geographic spatial patterns of nematodes were associated with cropping patterns. Keyword(s): crop loss, distribution, ecology. ","author":[{"dropping-particle":"","family":"Schmitt","given":"D. P.","non-dropping-particle":"","parse-names":false,"suffix":""}],"container-title":"Plant Disease","id":"ITEM-1","issue":"2","issued":{"date-parts":[["1988"]]},"page":"107","title":"Incidence of Plant-Parasitic Nematodes in the Coastal Plain of North Carolina","type":"article","volume":"72"},"uris":["http://www.mendeley.com/documents/?uuid=b28f4061-d4c1-4556-bc7b-8537e685a5cf"]}],"mendeley":{"formattedCitation":"(Schmitt, 1988)","plainTextFormattedCitation":"(Schmitt, 1988)","previouslyFormattedCitation":"(Schmitt, 1988)"},"properties":{"noteIndex":0},"schema":"https://github.com/citation-style-language/schema/raw/master/csl-citation.json"}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(Schmitt, 1988)</w:t>
      </w:r>
      <w:r w:rsidRPr="00D40FF8">
        <w:rPr>
          <w:rFonts w:cs="Times New Roman"/>
          <w:szCs w:val="24"/>
        </w:rPr>
        <w:fldChar w:fldCharType="end"/>
      </w:r>
      <w:r w:rsidRPr="00D40FF8">
        <w:rPr>
          <w:rFonts w:cs="Times New Roman"/>
          <w:szCs w:val="24"/>
        </w:rPr>
        <w:t xml:space="preserve">. Overall, the present results indicate that no immediate drastic management effort is required for stunt nematodes, other than continued monitoring before or after planting each season. Nevertheless, a study is needed to understand the host preference among stunt nematode species in Tennessee. </w:t>
      </w:r>
    </w:p>
    <w:p w14:paraId="4BFA9314" w14:textId="77777777" w:rsidR="00D20476" w:rsidRDefault="00D20476" w:rsidP="00D20476">
      <w:pPr>
        <w:spacing w:line="360" w:lineRule="auto"/>
        <w:ind w:left="720" w:firstLine="720"/>
        <w:rPr>
          <w:rFonts w:cs="Times New Roman"/>
          <w:szCs w:val="24"/>
        </w:rPr>
      </w:pPr>
      <w:r w:rsidRPr="00D40FF8">
        <w:rPr>
          <w:rFonts w:cs="Times New Roman"/>
          <w:szCs w:val="24"/>
        </w:rPr>
        <w:t>Four species of root-knot nematodes (</w:t>
      </w:r>
      <w:r w:rsidRPr="00D40FF8">
        <w:rPr>
          <w:rFonts w:cs="Times New Roman"/>
          <w:i/>
          <w:szCs w:val="24"/>
        </w:rPr>
        <w:t>Meloidogyne graminis</w:t>
      </w:r>
      <w:r w:rsidRPr="00D40FF8">
        <w:rPr>
          <w:rFonts w:cs="Times New Roman"/>
          <w:szCs w:val="24"/>
        </w:rPr>
        <w:t xml:space="preserve">, </w:t>
      </w:r>
      <w:r w:rsidRPr="00D40FF8">
        <w:rPr>
          <w:rFonts w:cs="Times New Roman"/>
          <w:i/>
          <w:szCs w:val="24"/>
        </w:rPr>
        <w:t>M. hapla</w:t>
      </w:r>
      <w:r w:rsidRPr="00D40FF8">
        <w:rPr>
          <w:rFonts w:cs="Times New Roman"/>
          <w:szCs w:val="24"/>
        </w:rPr>
        <w:t xml:space="preserve">, </w:t>
      </w:r>
      <w:r w:rsidRPr="00D40FF8">
        <w:rPr>
          <w:rFonts w:cs="Times New Roman"/>
          <w:i/>
          <w:szCs w:val="24"/>
        </w:rPr>
        <w:t>M. incognita</w:t>
      </w:r>
      <w:r w:rsidRPr="00D40FF8">
        <w:rPr>
          <w:rFonts w:cs="Times New Roman"/>
          <w:szCs w:val="24"/>
        </w:rPr>
        <w:t xml:space="preserve">, and </w:t>
      </w:r>
      <w:r w:rsidRPr="00D40FF8">
        <w:rPr>
          <w:rFonts w:cs="Times New Roman"/>
          <w:i/>
          <w:szCs w:val="24"/>
        </w:rPr>
        <w:t>M. javanica</w:t>
      </w:r>
      <w:r w:rsidRPr="005C3F11">
        <w:rPr>
          <w:rFonts w:cs="Times New Roman"/>
          <w:iCs/>
          <w:szCs w:val="24"/>
        </w:rPr>
        <w:t>)</w:t>
      </w:r>
      <w:r w:rsidRPr="00C33D2C">
        <w:rPr>
          <w:rFonts w:cs="Times New Roman"/>
          <w:iCs/>
          <w:szCs w:val="24"/>
        </w:rPr>
        <w:t xml:space="preserve"> </w:t>
      </w:r>
      <w:r w:rsidRPr="00D40FF8">
        <w:rPr>
          <w:rFonts w:cs="Times New Roman"/>
          <w:szCs w:val="24"/>
        </w:rPr>
        <w:t xml:space="preserve">were previously </w:t>
      </w:r>
      <w:r>
        <w:rPr>
          <w:rFonts w:cs="Times New Roman"/>
          <w:szCs w:val="24"/>
        </w:rPr>
        <w:t>identified</w:t>
      </w:r>
      <w:r w:rsidRPr="00D40FF8">
        <w:rPr>
          <w:rFonts w:cs="Times New Roman"/>
          <w:szCs w:val="24"/>
        </w:rPr>
        <w:t xml:space="preserve"> in Tennessee (Bernard 1980). In the past, root-knot nematodes have rarely been a major pest of field crops in Tennes</w:t>
      </w:r>
      <w:r>
        <w:rPr>
          <w:rFonts w:cs="Times New Roman"/>
          <w:szCs w:val="24"/>
        </w:rPr>
        <w:t>s</w:t>
      </w:r>
      <w:r w:rsidRPr="00D40FF8">
        <w:rPr>
          <w:rFonts w:cs="Times New Roman"/>
          <w:szCs w:val="24"/>
        </w:rPr>
        <w:t xml:space="preserve">ee. Root-knot nematodes mostly cause damage in sandy soils (Mueller et al., 2012) and the majority of the soils tested in this survey were silt loam. Regardless, recently root-knot nematodes have been devastating in two soybean fields in Tennessee, cutting yield by about 50% in the past 5 years (Heather Kelly, </w:t>
      </w:r>
      <w:r w:rsidRPr="00D40FF8">
        <w:rPr>
          <w:rFonts w:cs="Times New Roman"/>
          <w:i/>
          <w:szCs w:val="24"/>
        </w:rPr>
        <w:t>Personal communication</w:t>
      </w:r>
      <w:r w:rsidRPr="00D40FF8">
        <w:rPr>
          <w:rFonts w:cs="Times New Roman"/>
          <w:szCs w:val="24"/>
        </w:rPr>
        <w:t>). They can also become a major problem in vegetable crops. Root-knot nematode was found in 94% of samples collected from commercial tomato fields at high densities, over 5,000 nematodes/100 cm</w:t>
      </w:r>
      <w:r w:rsidRPr="00D40FF8">
        <w:rPr>
          <w:rFonts w:cs="Times New Roman"/>
          <w:szCs w:val="24"/>
          <w:vertAlign w:val="superscript"/>
        </w:rPr>
        <w:t>3</w:t>
      </w:r>
      <w:r w:rsidRPr="00D40FF8">
        <w:rPr>
          <w:rFonts w:cs="Times New Roman"/>
          <w:szCs w:val="24"/>
        </w:rPr>
        <w:t xml:space="preserve"> (Bernard 1980; 1981; Stockdale,1985). A previous Tennessee survey reported that only 41% of samples from diverse sources including field crops and others, had root-knot nematodes (Bernard 1980); but in the present survey, only 13% of samples had root-knot nematodes, indicating that root-knot nematodes were not predominantly associated with Tennessee field crops. </w:t>
      </w:r>
    </w:p>
    <w:p w14:paraId="66E95143"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However, the root-knot nematodes densities in this study are at levels that can elicit damage to crops. The highest density found was 562 nematodes/100 cm</w:t>
      </w:r>
      <w:r w:rsidRPr="00D40FF8">
        <w:rPr>
          <w:rFonts w:cs="Times New Roman"/>
          <w:szCs w:val="24"/>
          <w:vertAlign w:val="superscript"/>
        </w:rPr>
        <w:t xml:space="preserve">3 </w:t>
      </w:r>
      <w:r w:rsidRPr="00D40FF8">
        <w:rPr>
          <w:rFonts w:cs="Times New Roman"/>
          <w:szCs w:val="24"/>
        </w:rPr>
        <w:t>of soil. As low as approximately 10 root-knot nematodes/100 cm</w:t>
      </w:r>
      <w:r w:rsidRPr="00D40FF8">
        <w:rPr>
          <w:rFonts w:cs="Times New Roman"/>
          <w:szCs w:val="24"/>
          <w:vertAlign w:val="superscript"/>
        </w:rPr>
        <w:t xml:space="preserve">3 </w:t>
      </w:r>
      <w:r w:rsidRPr="00D40FF8">
        <w:rPr>
          <w:rFonts w:cs="Times New Roman"/>
          <w:szCs w:val="24"/>
        </w:rPr>
        <w:t xml:space="preserve">can cause damage </w:t>
      </w:r>
      <w:r>
        <w:rPr>
          <w:rFonts w:cs="Times New Roman"/>
          <w:szCs w:val="24"/>
        </w:rPr>
        <w:t>to</w:t>
      </w:r>
      <w:r w:rsidRPr="00D40FF8">
        <w:rPr>
          <w:rFonts w:cs="Times New Roman"/>
          <w:szCs w:val="24"/>
        </w:rPr>
        <w:t xml:space="preserve"> soybean </w:t>
      </w:r>
      <w:r>
        <w:rPr>
          <w:rFonts w:cs="Times New Roman"/>
          <w:szCs w:val="24"/>
        </w:rPr>
        <w:t>(Mehl, 2018).</w:t>
      </w:r>
      <w:r w:rsidRPr="00D40FF8">
        <w:rPr>
          <w:rFonts w:cs="Times New Roman"/>
          <w:szCs w:val="24"/>
        </w:rPr>
        <w:t>, and as low as 40 nematodes/100 cm</w:t>
      </w:r>
      <w:r w:rsidRPr="00D40FF8">
        <w:rPr>
          <w:rFonts w:cs="Times New Roman"/>
          <w:szCs w:val="24"/>
          <w:vertAlign w:val="superscript"/>
        </w:rPr>
        <w:t>3</w:t>
      </w:r>
      <w:r w:rsidRPr="00D40FF8">
        <w:rPr>
          <w:rFonts w:cs="Times New Roman"/>
          <w:szCs w:val="24"/>
        </w:rPr>
        <w:t xml:space="preserve"> </w:t>
      </w:r>
      <w:r>
        <w:rPr>
          <w:rFonts w:cs="Times New Roman"/>
          <w:szCs w:val="24"/>
        </w:rPr>
        <w:t>in</w:t>
      </w:r>
      <w:r w:rsidRPr="00D40FF8">
        <w:rPr>
          <w:rFonts w:cs="Times New Roman"/>
          <w:szCs w:val="24"/>
        </w:rPr>
        <w:t xml:space="preserve"> pre-plant soil can cause damage </w:t>
      </w:r>
      <w:r>
        <w:rPr>
          <w:rFonts w:cs="Times New Roman"/>
          <w:szCs w:val="24"/>
        </w:rPr>
        <w:t>to</w:t>
      </w:r>
      <w:r w:rsidRPr="00D40FF8">
        <w:rPr>
          <w:rFonts w:cs="Times New Roman"/>
          <w:szCs w:val="24"/>
        </w:rPr>
        <w:t xml:space="preserve"> cotton in sand</w:t>
      </w:r>
      <w:r>
        <w:rPr>
          <w:rFonts w:cs="Times New Roman"/>
          <w:szCs w:val="24"/>
        </w:rPr>
        <w:t>s</w:t>
      </w:r>
      <w:r w:rsidRPr="00D40FF8">
        <w:rPr>
          <w:rFonts w:cs="Times New Roman"/>
          <w:szCs w:val="24"/>
        </w:rPr>
        <w:t xml:space="preserve"> to sandy-loam soil (</w:t>
      </w:r>
      <w:r w:rsidRPr="00D40FF8">
        <w:rPr>
          <w:rFonts w:cs="Times New Roman"/>
          <w:szCs w:val="24"/>
          <w:shd w:val="clear" w:color="auto" w:fill="FFFFFF"/>
        </w:rPr>
        <w:t xml:space="preserve">Mueller et al., 2012).  Nearly </w:t>
      </w:r>
      <w:r w:rsidRPr="00D40FF8">
        <w:rPr>
          <w:rFonts w:cs="Times New Roman"/>
          <w:szCs w:val="24"/>
        </w:rPr>
        <w:t>86% of the densities found in the present survey were greater than 10 nematodes/100 cm</w:t>
      </w:r>
      <w:r w:rsidRPr="00D40FF8">
        <w:rPr>
          <w:rFonts w:cs="Times New Roman"/>
          <w:szCs w:val="24"/>
          <w:vertAlign w:val="superscript"/>
        </w:rPr>
        <w:t>3</w:t>
      </w:r>
      <w:r w:rsidRPr="00D40FF8">
        <w:rPr>
          <w:rFonts w:cs="Times New Roman"/>
          <w:szCs w:val="24"/>
        </w:rPr>
        <w:t xml:space="preserve">, indicating the need for immediate management strategies to prevent crop loss. </w:t>
      </w:r>
      <w:r w:rsidRPr="00D40FF8">
        <w:rPr>
          <w:rFonts w:cs="Times New Roman"/>
          <w:bCs/>
          <w:szCs w:val="24"/>
          <w:shd w:val="clear" w:color="auto" w:fill="FFFFFF"/>
        </w:rPr>
        <w:t>Suggested rotation crops for RKN include grain sorghum, peanut, and rice. These crops can effectively lower populations below economic levels</w:t>
      </w:r>
      <w:r>
        <w:rPr>
          <w:rFonts w:cs="Times New Roman"/>
          <w:bCs/>
          <w:szCs w:val="24"/>
          <w:shd w:val="clear" w:color="auto" w:fill="FFFFFF"/>
        </w:rPr>
        <w:t xml:space="preserve"> of</w:t>
      </w:r>
      <w:r w:rsidRPr="00D40FF8">
        <w:rPr>
          <w:rFonts w:cs="Times New Roman"/>
          <w:bCs/>
          <w:szCs w:val="24"/>
          <w:shd w:val="clear" w:color="auto" w:fill="FFFFFF"/>
        </w:rPr>
        <w:t xml:space="preserve"> less than 60 nematodes/100cm</w:t>
      </w:r>
      <w:r w:rsidRPr="00D40FF8">
        <w:rPr>
          <w:rFonts w:cs="Times New Roman"/>
          <w:bCs/>
          <w:szCs w:val="24"/>
          <w:shd w:val="clear" w:color="auto" w:fill="FFFFFF"/>
          <w:vertAlign w:val="superscript"/>
        </w:rPr>
        <w:t>3</w:t>
      </w:r>
      <w:r w:rsidRPr="00D40FF8">
        <w:rPr>
          <w:rFonts w:cs="Times New Roman"/>
          <w:bCs/>
          <w:szCs w:val="24"/>
          <w:shd w:val="clear" w:color="auto" w:fill="FFFFFF"/>
        </w:rPr>
        <w:t xml:space="preserve"> for soybean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{"citationItems":[{"id":"ITEM-1","itemData":{"abstract":"Plant Pathologist/Nematologist Rotylenchulus reniformis (RN), reniform nematode is one of the three most important nematode species that affect soybean production in Arkansas. Detection of RN in the field is more difficult that with either root-knot nematode (RKN) or soybean cyst nematode (SCN) because they do not cause root galling produce cysts. Life Cycle: RN overwinter as eggs in egg masses attached to root pieces or as juveniles or immature adults free in the soil. In the spring, immature adult females partially enter roots and establish a feeding site. As the females mature, they become reniform-or kidney-shaped and can sometimes be seen with a hand lens protruding from the root surface (Fig. 1). The life cycle of RN is slightly shorter than for RKN or SCN, and is completed in 17-23 days at favorable temperatures (81 to 86 ºC). Figure 1. Mature female reniform nematodes protruding from the surface of a soybean root. Symptoms: As with SCN, symptoms of RN damage are general stunting and chlorosis of infected plants. RN are less widely distributed in Arkansas than RKN or SCN, and are much more common in southeastern Arkansas than in production areas in the northeastern part of the state. RN has not been detected in Southwest Arkansas or in the Arkansas River Valley. RN is generally more uniformly distributed within fields than either RKN or SCN, so patches or \"hot spots\" of stunted plants are not usually obvious. Root systems of infected plants may be smaller than normal with fewer feeder roots, and foliage may exhibit nutrient deficiency symptoms or a general chlorosis. However, the only accurate method for determining RN presence is through a soil assay for nematodes conducted by a nematology laboratory.","author":[{"dropping-particle":"","family":"Kirkpatrick","given":"Terry","non-dropping-particle":"","parse-names":false,"suffix":""},{"dropping-particle":"","family":"Faske","given":"Travis","non-dropping-particle":"","parse-names":false,"suffix":""}],"id":"ITEM-1","issued":{"date-parts":[["2010"]]},"title":"Reniform Nematodes","type":"article-journal"},"uris":["http://www.mendeley.com/documents/?uuid=a78fbe06-10c2-442b-a22f-d972fe816c8d"]},{"id":"ITEM-2","itemData":{"author":[{"dropping-particle":"","family":"Kirkpatrick","given":"Terry","non-dropping-particle":"","parse-names":false,"suffix":""},{"dropping-particle":"","family":"Faske","given":"Travis","non-dropping-particle":"","parse-names":false,"suffix":""},{"dropping-particle":"","family":"Robbins","given":"Bob","non-dropping-particle":"","parse-names":false,"suffix":""}],"id":"ITEM-2","issued":{"date-parts":[["2014"]]},"page":"1-6","title":"10","type":"article-journal"},"uris":["http://www.mendeley.com/documents/?uuid=83d8f06b-905c-4637-934f-317fbc22d636"]}],"mendeley":{"formattedCitation":"(Kirkpatrick et al., 2014; Kirkpatrick &amp; Faske, 2010)","manualFormatting":"(Kirkpatrick et al., 2014)","plainTextFormattedCitation":"(Kirkpatrick et al., 2014; Kirkpatrick &amp; Faske, 2010)","previouslyFormattedCitation":"(Kirkpatrick et al., 2014; Kirkpatrick &amp; Faske, 2010)"},"properties":{"noteIndex":0},"schema":"https://github.com/citation-style-language/schema/raw/master/csl-citation.json"}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(Kirkpatrick et al., 2014)</w:t>
      </w:r>
      <w:r w:rsidRPr="00D40FF8">
        <w:rPr>
          <w:rFonts w:cs="Times New Roman"/>
          <w:bCs/>
          <w:szCs w:val="24"/>
          <w:shd w:val="clear" w:color="auto" w:fill="FFFFFF"/>
        </w:rPr>
        <w:fldChar w:fldCharType="end"/>
      </w:r>
      <w:r w:rsidRPr="00D40FF8">
        <w:rPr>
          <w:rFonts w:cs="Times New Roman"/>
          <w:bCs/>
          <w:szCs w:val="24"/>
          <w:shd w:val="clear" w:color="auto" w:fill="FFFFFF"/>
        </w:rPr>
        <w:t xml:space="preserve"> or about 100 nematodes/100cm</w:t>
      </w:r>
      <w:r w:rsidRPr="00D40FF8">
        <w:rPr>
          <w:rFonts w:cs="Times New Roman"/>
          <w:bCs/>
          <w:szCs w:val="24"/>
          <w:shd w:val="clear" w:color="auto" w:fill="FFFFFF"/>
          <w:vertAlign w:val="superscript"/>
        </w:rPr>
        <w:t>3</w:t>
      </w:r>
      <w:r w:rsidRPr="00D40FF8">
        <w:rPr>
          <w:rFonts w:cs="Times New Roman"/>
          <w:bCs/>
          <w:szCs w:val="24"/>
          <w:shd w:val="clear" w:color="auto" w:fill="FFFFFF"/>
        </w:rPr>
        <w:t xml:space="preserve"> for cotton </w:t>
      </w:r>
      <w:r w:rsidRPr="00D40FF8">
        <w:rPr>
          <w:rFonts w:cs="Times New Roman"/>
          <w:bCs/>
          <w:szCs w:val="24"/>
          <w:shd w:val="clear" w:color="auto" w:fill="FFFFFF"/>
        </w:rPr>
        <w:fldChar w:fldCharType="begin" w:fldLock="1"/>
      </w:r>
      <w:r w:rsidRPr="00D40FF8">
        <w:rPr>
          <w:rFonts w:cs="Times New Roman"/>
          <w:bCs/>
          <w:szCs w:val="24"/>
          <w:shd w:val="clear" w:color="auto" w:fill="FFFFFF"/>
        </w:rPr>
        <w:instrText>ADDIN CSL_CITATION {"citationItems":[{"id":"ITEM-1","itemData":{"abstract":"The starting point for all nematode management programs is knowledge of the nematode species present in each field and their population levels. This information can only be obtained by thoroughly sampling each field shortly after harvest and sending the sample to a nematology laboratory for assay. Only then can a grower select the most cost-effective management program for each field and for the farm as a whole.","author":[{"dropping-particle":"","family":"Mueller","given":"John","non-dropping-particle":"","parse-names":false,"suffix":""}],"id":"ITEM-1","issued":{"date-parts":[["2012"]]},"title":"Managing Nematodes in Cotton-Based Cropping Systems","type":"article-journal"},"uris":["http://www.mendeley.com/documents/?uuid=de158521-e06c-4d69-adcb-0b7580eb83b7"]}],"mendeley":{"formattedCitation":"(Mueller, 2012)","manualFormatting":"(Mueller et al., 2012)","plainTextFormattedCitation":"(Mueller, 2012)","previouslyFormattedCitation":"(Mueller, 2012)"},"properties":{"noteIndex":0},"schema":"https://github.com/citation-style-language/schema/raw/master/csl-citation.json"}</w:instrText>
      </w:r>
      <w:r w:rsidRPr="00D40FF8">
        <w:rPr>
          <w:rFonts w:cs="Times New Roman"/>
          <w:bCs/>
          <w:szCs w:val="24"/>
          <w:shd w:val="clear" w:color="auto" w:fill="FFFFFF"/>
        </w:rPr>
        <w:fldChar w:fldCharType="separate"/>
      </w:r>
      <w:r w:rsidRPr="00D40FF8">
        <w:rPr>
          <w:rFonts w:cs="Times New Roman"/>
          <w:bCs/>
          <w:noProof/>
          <w:szCs w:val="24"/>
          <w:shd w:val="clear" w:color="auto" w:fill="FFFFFF"/>
        </w:rPr>
        <w:t>(Mueller et al., 2012)</w:t>
      </w:r>
      <w:r w:rsidRPr="00D40FF8">
        <w:rPr>
          <w:rFonts w:cs="Times New Roman"/>
          <w:bCs/>
          <w:szCs w:val="24"/>
          <w:shd w:val="clear" w:color="auto" w:fill="FFFFFF"/>
        </w:rPr>
        <w:fldChar w:fldCharType="end"/>
      </w:r>
      <w:r w:rsidRPr="00D40FF8">
        <w:rPr>
          <w:rFonts w:cs="Times New Roman"/>
          <w:bCs/>
          <w:szCs w:val="24"/>
          <w:shd w:val="clear" w:color="auto" w:fill="FFFFFF"/>
        </w:rPr>
        <w:t xml:space="preserve">. </w:t>
      </w:r>
      <w:r w:rsidRPr="00D40FF8">
        <w:rPr>
          <w:rFonts w:cs="Times New Roman"/>
          <w:szCs w:val="24"/>
        </w:rPr>
        <w:t xml:space="preserve"> Chopped hay residues such as alfalfa, oat, lespedeza, and flax have been used to suppress </w:t>
      </w:r>
      <w:r w:rsidRPr="00D40FF8">
        <w:rPr>
          <w:rFonts w:cs="Times New Roman"/>
          <w:i/>
          <w:szCs w:val="24"/>
        </w:rPr>
        <w:t xml:space="preserve">M. </w:t>
      </w:r>
      <w:r w:rsidRPr="00AB65D6">
        <w:rPr>
          <w:rFonts w:cs="Times New Roman"/>
          <w:i/>
          <w:szCs w:val="24"/>
        </w:rPr>
        <w:t>incognita</w:t>
      </w:r>
      <w:r w:rsidRPr="00AB65D6">
        <w:rPr>
          <w:rFonts w:cs="Times New Roman"/>
          <w:szCs w:val="24"/>
        </w:rPr>
        <w:t xml:space="preserve"> in commercial tomato fields, and nematicides can be effective at protecting yield. Other recommended non-nematicidal methods for commercial field operators and home gardens include biological control, solarization, and biofumigation (Bernard, 2018). Additional studies are needed to understand the population dynamics and host preference of root-knot </w:t>
      </w:r>
      <w:r w:rsidRPr="00D40FF8">
        <w:rPr>
          <w:rFonts w:cs="Times New Roman"/>
          <w:szCs w:val="24"/>
        </w:rPr>
        <w:t xml:space="preserve">nematode species that are associated with field crops in Tennessee.  </w:t>
      </w:r>
    </w:p>
    <w:p w14:paraId="1FDF5FDE" w14:textId="77777777" w:rsidR="00D20476" w:rsidRDefault="00D20476" w:rsidP="00D20476">
      <w:pPr>
        <w:spacing w:line="360" w:lineRule="auto"/>
        <w:ind w:left="720" w:firstLine="720"/>
        <w:rPr>
          <w:rFonts w:cs="Times New Roman"/>
          <w:szCs w:val="24"/>
        </w:rPr>
      </w:pPr>
      <w:r w:rsidRPr="00D40FF8">
        <w:rPr>
          <w:rFonts w:cs="Times New Roman"/>
          <w:szCs w:val="24"/>
        </w:rPr>
        <w:t>Results suggested that dagger (</w:t>
      </w:r>
      <w:r w:rsidRPr="00D40FF8">
        <w:rPr>
          <w:rFonts w:cs="Times New Roman"/>
          <w:i/>
          <w:szCs w:val="24"/>
        </w:rPr>
        <w:t>Xiphinema</w:t>
      </w:r>
      <w:r w:rsidRPr="00D40FF8">
        <w:rPr>
          <w:rFonts w:cs="Times New Roman"/>
          <w:szCs w:val="24"/>
        </w:rPr>
        <w:t xml:space="preserve"> sp.), pin, sheath, stubby-root (</w:t>
      </w:r>
      <w:r w:rsidRPr="00D40FF8">
        <w:rPr>
          <w:rFonts w:cs="Times New Roman"/>
          <w:i/>
          <w:szCs w:val="24"/>
        </w:rPr>
        <w:t>Trichodorus</w:t>
      </w:r>
      <w:r w:rsidRPr="00D40FF8">
        <w:rPr>
          <w:rFonts w:cs="Times New Roman"/>
          <w:szCs w:val="24"/>
        </w:rPr>
        <w:t xml:space="preserve"> sp</w:t>
      </w:r>
      <w:r>
        <w:rPr>
          <w:rFonts w:cs="Times New Roman"/>
          <w:szCs w:val="24"/>
        </w:rPr>
        <w:t>p</w:t>
      </w:r>
      <w:r w:rsidRPr="00D40FF8">
        <w:rPr>
          <w:rFonts w:cs="Times New Roman"/>
          <w:szCs w:val="24"/>
        </w:rPr>
        <w:t>. [syn </w:t>
      </w:r>
      <w:r w:rsidRPr="00D40FF8">
        <w:rPr>
          <w:rFonts w:cs="Times New Roman"/>
          <w:i/>
          <w:szCs w:val="24"/>
        </w:rPr>
        <w:t>Trichodorus</w:t>
      </w:r>
      <w:r w:rsidRPr="00D40FF8">
        <w:rPr>
          <w:rFonts w:cs="Times New Roman"/>
          <w:szCs w:val="24"/>
        </w:rPr>
        <w:t> sp</w:t>
      </w:r>
      <w:r>
        <w:rPr>
          <w:rFonts w:cs="Times New Roman"/>
          <w:szCs w:val="24"/>
        </w:rPr>
        <w:t>p</w:t>
      </w:r>
      <w:r w:rsidRPr="00D40FF8">
        <w:rPr>
          <w:rFonts w:cs="Times New Roman"/>
          <w:szCs w:val="24"/>
        </w:rPr>
        <w:t xml:space="preserve">.]), sting, needle, and ring nematodes are the least frequent nematodes, occurring only in 1 to 7% and 12 to 40% of samples and counties, respectively. Dagger nematodes are ectoparasites that can feed on the roots of multiple host plants using their long stylet </w:t>
      </w:r>
      <w:r w:rsidRPr="00D40FF8">
        <w:rPr>
          <w:rFonts w:cs="Times New Roman"/>
          <w:szCs w:val="24"/>
        </w:rPr>
        <w:fldChar w:fldCharType="begin" w:fldLock="1"/>
      </w:r>
      <w:r w:rsidRPr="00D40FF8">
        <w:rPr>
          <w:rFonts w:cs="Times New Roman"/>
          <w:szCs w:val="24"/>
        </w:rPr>
        <w:instrText>ADDIN CSL_CITATION {"citationItems":[{"id":"ITEM-1","itemData":{"author":[{"dropping-particle":"","family":"William K. Heve, William T. Crow","given":"and Tesfamarian Mengistu2","non-dropping-particle":"","parse-names":false,"suffix":""}],"id":"ITEM-1","issue":"August 2017","issued":{"date-parts":[["2015"]]},"page":"1-7","title":"Dagger Nematode Xiphinema spp . ( Cobb , 1913 ) Inglis , 1983 ( Nematoda : Enoplea : Dorylaimia : Dorylaimina : Xiphinematinae ) 1","type":"article-journal","volume":"1983"},"uris":["http://www.mendeley.com/documents/?uuid=9c4cd671-0a44-4d63-86ea-543cb1e27898"]}],"mendeley":{"formattedCitation":"(William K. Heve, William T. Crow, 2015)","manualFormatting":"(William et al.,2015)","plainTextFormattedCitation":"(William K. Heve, William T. Crow, 2015)","previouslyFormattedCitation":"(William K. Heve, William T. Crow, 2015)"},"properties":{"noteIndex":0},"schema":"https://github.com/citation-style-language/schema/raw/master/csl-citation.json"}</w:instrText>
      </w:r>
      <w:r w:rsidRPr="00D40FF8">
        <w:rPr>
          <w:rFonts w:cs="Times New Roman"/>
          <w:szCs w:val="24"/>
        </w:rPr>
        <w:fldChar w:fldCharType="separate"/>
      </w:r>
      <w:r>
        <w:rPr>
          <w:rFonts w:cs="Times New Roman"/>
          <w:noProof/>
          <w:szCs w:val="24"/>
        </w:rPr>
        <w:t>(Heve</w:t>
      </w:r>
      <w:r w:rsidRPr="00D40FF8">
        <w:rPr>
          <w:rFonts w:cs="Times New Roman"/>
          <w:noProof/>
          <w:szCs w:val="24"/>
        </w:rPr>
        <w:t xml:space="preserve"> et al.,</w:t>
      </w:r>
      <w:r>
        <w:rPr>
          <w:rFonts w:cs="Times New Roman"/>
          <w:noProof/>
          <w:szCs w:val="24"/>
        </w:rPr>
        <w:t xml:space="preserve"> </w:t>
      </w:r>
      <w:r w:rsidRPr="00D40FF8">
        <w:rPr>
          <w:rFonts w:cs="Times New Roman"/>
          <w:noProof/>
          <w:szCs w:val="24"/>
        </w:rPr>
        <w:t>2015)</w:t>
      </w:r>
      <w:r w:rsidRPr="00D40FF8">
        <w:rPr>
          <w:rFonts w:cs="Times New Roman"/>
          <w:szCs w:val="24"/>
        </w:rPr>
        <w:fldChar w:fldCharType="end"/>
      </w:r>
      <w:r w:rsidRPr="00D40FF8">
        <w:rPr>
          <w:rFonts w:cs="Times New Roman"/>
          <w:szCs w:val="24"/>
        </w:rPr>
        <w:t xml:space="preserve">. Dagger nematodes can damage or kill their hosts, especially by feeding on the roots, and/or infecting susceptible hosts with viral and wilting diseases </w:t>
      </w:r>
      <w:r w:rsidRPr="00D40FF8">
        <w:rPr>
          <w:rFonts w:cs="Times New Roman"/>
          <w:szCs w:val="24"/>
        </w:rPr>
        <w:fldChar w:fldCharType="begin" w:fldLock="1"/>
      </w:r>
      <w:r w:rsidRPr="00D40FF8">
        <w:rPr>
          <w:rFonts w:cs="Times New Roman"/>
          <w:szCs w:val="24"/>
        </w:rPr>
        <w:instrText>ADDIN CSL_CITATION {"citationItems":[{"id":"ITEM-1","itemData":{"DOI":"10.1094/PDIS-91-2-0216","ISSN":"01912917","abstract":"Soybean severe stunt (SSS), caused by the Soybean severe stunt virus (SSSV), is a soilborne virus disease affecting soybean (Glycine max) first described in Delaware in 1988. Lack of breeding programs directed at incorporating resistance to SSSV in new cultivar releases necessitated alternative methods of SSS control. The effect of crops in 2-year rotations on the dagger nematode (Xiphinema americanum), the putative nematode vector of SSSV, and SSS severity were examined. Two years of continuous corn or grain sorghum, wheat followed by 'HT-5203' soybean, or 2-year fallow, reduced both dagger nematode density in the soil and SSS severity. Crop rotation to the SSSV-tolerant HT-5203 soybean as a single crop for 2 years increased dagger nematode populations and SSS severity. Greenhouse studies indicated that corn, wheat, marigold, castor, and fallow treatments reduced dagger nematodes the most after 14 weeks compared with 'Essex' and HT 5203 soybean. © 2007 The American Phytopathological Society.","author":[{"dropping-particle":"","family":"Evans","given":"T. A.","non-dropping-particle":"","parse-names":false,"suffix":""},{"dropping-particle":"","family":"Miller","given":"L. C.","non-dropping-particle":"","parse-names":false,"suffix":""},{"dropping-particle":"","family":"Vasilas","given":"B. L.","non-dropping-particle":"","parse-names":false,"suffix":""},{"dropping-particle":"","family":"Taylor","given":"R. W.","non-dropping-particle":"","parse-names":false,"suffix":""},{"dropping-particle":"","family":"Mulrooney","given":"R. P.","non-dropping-particle":"","parse-names":false,"suffix":""}],"container-title":"Plant Disease","id":"ITEM-1","issue":"2","issued":{"date-parts":[["2007"]]},"page":"216-219","title":"Management of Xiphinema americanum and soybean severe stunt in soybean using crop rotation","type":"article-journal","volume":"91"},"uris":["http://www.mendeley.com/documents/?uuid=fe27a30a-32b4-4f32-acc3-5fde6425dbcb"]}],"mendeley":{"formattedCitation":"(Evans et al., 2007)","plainTextFormattedCitation":"(Evans et al., 2007)","previouslyFormattedCitation":"(Evans et al., 2007)"},"properties":{"noteIndex":0},"schema":"https://github.com/citation-style-language/schema/raw/master/csl-citation.json"}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(Evans et al., 2007)</w:t>
      </w:r>
      <w:r w:rsidRPr="00D40FF8">
        <w:rPr>
          <w:rFonts w:cs="Times New Roman"/>
          <w:szCs w:val="24"/>
        </w:rPr>
        <w:fldChar w:fldCharType="end"/>
      </w:r>
      <w:r w:rsidRPr="00D40FF8">
        <w:rPr>
          <w:rFonts w:cs="Times New Roman"/>
          <w:szCs w:val="24"/>
        </w:rPr>
        <w:t xml:space="preserve">. This ability to transfer viruses to plants during feeding is a major concern. Dagger nematode species have been isolated from multiple crops in Tennessee including field crops, forage, pasture, trees, turf, and vegetables. A previous survey identified that dagger nematodes occurred in 32% of samples across 18 counties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The present study suggests that dagger nematodes continue to be a non-significant threat to field crops in Tennessee. </w:t>
      </w:r>
    </w:p>
    <w:p w14:paraId="576D8A09" w14:textId="77777777" w:rsidR="00D20476" w:rsidRPr="00D40FF8" w:rsidRDefault="00D20476" w:rsidP="00D20476">
      <w:pPr>
        <w:spacing w:line="360" w:lineRule="auto"/>
        <w:ind w:left="720" w:firstLine="720"/>
        <w:rPr>
          <w:rFonts w:cs="Times New Roman"/>
          <w:szCs w:val="24"/>
        </w:rPr>
      </w:pPr>
      <w:r w:rsidRPr="00D40FF8">
        <w:rPr>
          <w:rFonts w:cs="Times New Roman"/>
          <w:szCs w:val="24"/>
        </w:rPr>
        <w:t xml:space="preserve">Likewise, pin nematodes are ectoparasites that are capable of shifting to an endoparasitic feeding mode. They are known to have multiple hosts and can cause root injury, poor development, or yield loss in some hosts </w:t>
      </w:r>
      <w:r w:rsidRPr="00D40FF8">
        <w:rPr>
          <w:rFonts w:cs="Times New Roman"/>
          <w:szCs w:val="24"/>
        </w:rPr>
        <w:fldChar w:fldCharType="begin" w:fldLock="1"/>
      </w:r>
      <w:r w:rsidRPr="00D40FF8">
        <w:rPr>
          <w:rFonts w:cs="Times New Roman"/>
          <w:szCs w:val="24"/>
        </w:rPr>
        <w:instrText>ADDIN CSL_CITATION {"citationItems":[{"id":"ITEM-1","itemData":{"DOI":"10.3390/plants10020188","ISSN":"22237747","abstract":"Pin nematodes (Paratylenchus spp.) are polyphagous parasitic species with a wide host range and geographical distribution; their diversity is unknown in the potato growing region of Alberta, Canada. The present study aims to provide morphological and molecular characterization of three pin nematode species, namely P. neoprojectus, P. tateae, and a new species, Paratylenchus enigmaticus sp. nov. All of them were recovered from the potato growing region of southern Alberta. The nematodes were isolated using the sieving and flotation-centrifugation method, and their morphology was assessed by light microscopy. Molecular characterization was performed using partial 18S, D2–D3 expansion domains of the 28S and ITS ribosomal genes. This study is the first report of molecular characterization of P. tateae and P. neoprojectus, being new records from southern Alberta, and two Spanish populations of P. tateae comprising the first report of this species in Europe. The phylogenetic analysis of the 18S, D2–D3 expansion domains of the 28S and ITS ribosomal DNA regions underscores the importance of using molecular data for accurate species identification and clarifies the status of P. nanus type B and P. sheri. Moreover, our findings will be useful to determine the impact of pin nematodes on potato production in future field research.","author":[{"dropping-particle":"","family":"Munawar","given":"Maria","non-dropping-particle":"","parse-names":false,"suffix":""},{"dropping-particle":"","family":"Yevtushenko","given":"Dmytro P.","non-dropping-particle":"","parse-names":false,"suffix":""},{"dropping-particle":"","family":"Palomares-Rius","given":"Juan E.","non-dropping-particle":"","parse-names":false,"suffix":""},{"dropping-particle":"","family":"Castillo","given":"Pablo","non-dropping-particle":"","parse-names":false,"suffix":""}],"container-title":"Plants","id":"ITEM-1","issue":"2","issued":{"date-parts":[["2021"]]},"page":"1-25","title":"Species diversity of pin nematodes (Paratylenchus spp.) from potato growing regions of Southern Alberta, Canada","type":"article-journal","volume":"10"},"uris":["http://www.mendeley.com/documents/?uuid=b809dfa9-433c-45ef-b930-bdf1c778544b"]},{"id":"ITEM-2","itemData":{"DOI":"10.1094/PDIS-07-15-0777-RE","ISSN":"01912917","abstract":"High population densities of the plant-parasitic nematode Paratylenchus shenzhenensis have been observed in association with stunted anthurium in Shenzhen, Guangdong Province, China. P. shenzhenensis is now recognized as a new pathogen that causes severe damage to anthurium. Commercial fields of anthurium infected by P. shenzhenensis present a patchy distribution of plants that are usually stunted and in decline and have yellowing leaves. Roots that are heavily infected by this nematode present brown, dark-brown, or black rot, and the entire root mass is often destroyed. In this study, a method of culturing P. shenzhenensis on carrot disks was established, and the effects of temperature and time on the reproduction rate (Rr = final number of nematodes/initial number of nematodes) of this nematode were assessed. The optimum temperature for culturing P. shenzhenensis on carrot disks is 25°C and, after inoculation with 20 females and 10 males at 25°C for 10 weeks, Rr reached 3,834. At the optimum temperature, a suitable extension culture time or an increase in initial inoculum density will improve the reproductive efficiency of P. shenzhenensis. Koch’s postulates were fulfilled by inoculating P. shenzhenensis on the roots of anthurium and demonstrating the pathogenicity of the nematode. Histological analyses showed that P. shenzhenensis feed endoparasiti-cally on the roots of anthurium; whole nematode bodies were observed in the outermost epidermal cells and root hairs, and the cell walls and middle lamellae were partially dissolved because of nematode migration and feeding.","author":[{"dropping-particle":"","family":"Wang","given":"Ke","non-dropping-particle":"","parse-names":false,"suffix":""},{"dropping-particle":"","family":"Li","given":"Yu","non-dropping-particle":"","parse-names":false,"suffix":""},{"dropping-particle":"","family":"Xie","given":"Hui","non-dropping-particle":"","parse-names":false,"suffix":""},{"dropping-particle":"","family":"Wu","given":"Wen Jia","non-dropping-particle":"","parse-names":false,"suffix":""},{"dropping-particle":"","family":"Xu","given":"Chun Ling","non-dropping-particle":"","parse-names":false,"suffix":""}],"container-title":"Plant Disease","id":"ITEM-2","issue":"5","issued":{"date-parts":[["2016"]]},"page":"940-945","title":"Pin nematode slow decline of anthurium andraeanum, a new disease caused by the pin nematode paratylenchus shenzhenensis","type":"article-journal","volume":"100"},"uris":["http://www.mendeley.com/documents/?uuid=514a23e1-6c6e-49c6-8753-6a008628b154"]}],"mendeley":{"formattedCitation":"(Munawar et al., 2021; Wang et al., 2016)","manualFormatting":"(Munawar et al., 2021","plainTextFormattedCitation":"(Munawar et al., 2021; Wang et al., 2016)","previouslyFormattedCitation":"(Munawar et al., 2021; Wang et al., 2016)"},"properties":{"noteIndex":0},"schema":"https://github.com/citation-style-language/schema/raw/master/csl-citation.json"}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(Munawar et al., 2021</w:t>
      </w:r>
      <w:r w:rsidRPr="00D40FF8">
        <w:rPr>
          <w:rFonts w:cs="Times New Roman"/>
          <w:szCs w:val="24"/>
        </w:rPr>
        <w:fldChar w:fldCharType="end"/>
      </w:r>
      <w:r w:rsidRPr="00D40FF8">
        <w:rPr>
          <w:rFonts w:cs="Times New Roman"/>
          <w:szCs w:val="24"/>
        </w:rPr>
        <w:t xml:space="preserve">; </w:t>
      </w:r>
      <w:r w:rsidRPr="00D40FF8">
        <w:rPr>
          <w:rFonts w:cs="Times New Roman"/>
          <w:szCs w:val="24"/>
        </w:rPr>
        <w:fldChar w:fldCharType="begin" w:fldLock="1"/>
      </w:r>
      <w:r w:rsidRPr="00D40FF8">
        <w:rPr>
          <w:rFonts w:cs="Times New Roman"/>
          <w:szCs w:val="24"/>
        </w:rPr>
        <w:instrText>ADDIN CSL_CITATION {"citationItems":[{"id":"ITEM-1","itemData":{"DOI":"10.1094/PDIS-07-15-0777-RE","ISSN":"01912917","abstract":"High population densities of the plant-parasitic nematode Paratylenchus shenzhenensis have been observed in association with stunted anthurium in Shenzhen, Guangdong Province, China. P. shenzhenensis is now recognized as a new pathogen that causes severe damage to anthurium. Commercial fields of anthurium infected by P. shenzhenensis present a patchy distribution of plants that are usually stunted and in decline and have yellowing leaves. Roots that are heavily infected by this nematode present brown, dark-brown, or black rot, and the entire root mass is often destroyed. In this study, a method of culturing P. shenzhenensis on carrot disks was established, and the effects of temperature and time on the reproduction rate (Rr = final number of nematodes/initial number of nematodes) of this nematode were assessed. The optimum temperature for culturing P. shenzhenensis on carrot disks is 25°C and, after inoculation with 20 females and 10 males at 25°C for 10 weeks, Rr reached 3,834. At the optimum temperature, a suitable extension culture time or an increase in initial inoculum density will improve the reproductive efficiency of P. shenzhenensis. Koch’s postulates were fulfilled by inoculating P. shenzhenensis on the roots of anthurium and demonstrating the pathogenicity of the nematode. Histological analyses showed that P. shenzhenensis feed endoparasiti-cally on the roots of anthurium; whole nematode bodies were observed in the outermost epidermal cells and root hairs, and the cell walls and middle lamellae were partially dissolved because of nematode migration and feeding.","author":[{"dropping-particle":"","family":"Wang","given":"Ke","non-dropping-particle":"","parse-names":false,"suffix":""},{"dropping-particle":"","family":"Li","given":"Yu","non-dropping-particle":"","parse-names":false,"suffix":""},{"dropping-particle":"","family":"Xie","given":"Hui","non-dropping-particle":"","parse-names":false,"suffix":""},{"dropping-particle":"","family":"Wu","given":"Wen Jia","non-dropping-particle":"","parse-names":false,"suffix":""},{"dropping-particle":"","family":"Xu","given":"Chun Ling","non-dropping-particle":"","parse-names":false,"suffix":""}],"container-title":"Plant Disease","id":"ITEM-1","issue":"5","issued":{"date-parts":[["2016"]]},"page":"940-945","title":"Pin nematode slow decline of anthurium andraeanum, a new disease caused by the pin nematode paratylenchus shenzhenensis","type":"article-journal","volume":"100"},"uris":["http://www.mendeley.com/documents/?uuid=514a23e1-6c6e-49c6-8753-6a008628b154"]}],"mendeley":{"formattedCitation":"(Wang et al., 2016)","manualFormatting":"Wang et al., 2016)","plainTextFormattedCitation":"(Wang et al., 2016)","previouslyFormattedCitation":"(Wang et al., 2016)"},"properties":{"noteIndex":0},"schema":"https://github.com/citation-style-language/schema/raw/master/csl-citation.json"}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Wang et al., 2016)</w:t>
      </w:r>
      <w:r w:rsidRPr="00D40FF8">
        <w:rPr>
          <w:rFonts w:cs="Times New Roman"/>
          <w:szCs w:val="24"/>
        </w:rPr>
        <w:fldChar w:fldCharType="end"/>
      </w:r>
      <w:r w:rsidRPr="00D40FF8">
        <w:rPr>
          <w:rFonts w:cs="Times New Roman"/>
          <w:szCs w:val="24"/>
        </w:rPr>
        <w:t xml:space="preserve">. Pin nematode has been previously found in Tennessee in 51% of samples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Tennessee","type":"article-journal","volume":"594"},"uris":["http://www.mendeley.com/documents/?uuid=7d34a316-22b5-438f-875f-8b98249753aa"]},{"id":"ITEM-2","itemData":{"ISSN":"0022-300X","abstract":"Nursery blocks (48 dogwood, 27 red maple, and 17 peach) distributed among 20 Tennessee nurseries were sampled for nematodes in March, July, and October 1981. Plant-parasitic nematodes were extracted from soil, counted by genera, and identified to species after fixation. A total of 57 species in 24 genera were found, with 1-16 species occurring in a site. The species most commonly detected were Paratylenchus projectus and Xiphinema americanum, which were found in 88% and 78% of the sites, respectively. Relationships existed between distribution and densities of some species present in more than 10% of the sites and certain soil factors (pH, bulk density, texture, and organic matter content). Plant-parasitic nematode community diversity was related to tree age, percentage of weed ground cover, and number of weed species. Site similarities in community ordinations were dependent on the individual nurseries sampled, tree age, and soil type, but clusters of sites of similar tree ages and soil types were not exclusive.","author":[{"dropping-particle":"","family":"Niblack","given":"T L","non-dropping-particle":"","parse-names":false,"suffix":""},{"dropping-particle":"","family":"Bernard","given":"E C","non-dropping-particle":"","parse-names":false,"suffix":""}],"container-title":"Journal of nematology","id":"ITEM-2","issue":"2","issued":{"date-parts":[["1985"]]},"page":"132-139","title":"Plant-parasitic nematode communities in dogwood, maple, and peach nurseries in tennessee.","type":"article-journal","volume":"17"},"uris":["http://www.mendeley.com/documents/?uuid=3c6c1e11-5bb6-4d1c-9e26-5e57e594377d"]}],"mendeley":{"formattedCitation":"(Bernard EC., 1980; Niblack &amp; Bernard, 1985)","manualFormatting":"(Bernard, 1980; Niblack &amp; Bernard, 1985)","plainTextFormattedCitation":"(Bernard EC., 1980; Niblack &amp; Bernard, 1985)","previouslyFormattedCitation":"(Bernard EC., 1980; Niblack &amp; Bernard, 1985)"},"properties":{"noteIndex":0},"schema":"https://github.com/citation-style-language/schema/raw/master/csl-citation.json"}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 Niblack &amp; Bernard, 1985)</w:t>
      </w:r>
      <w:r w:rsidRPr="00D40FF8">
        <w:rPr>
          <w:rFonts w:cs="Times New Roman"/>
          <w:szCs w:val="24"/>
        </w:rPr>
        <w:fldChar w:fldCharType="end"/>
      </w:r>
      <w:r w:rsidRPr="00D40FF8">
        <w:rPr>
          <w:rFonts w:cs="Times New Roman"/>
          <w:szCs w:val="24"/>
        </w:rPr>
        <w:t xml:space="preserve">. There </w:t>
      </w:r>
      <w:r>
        <w:rPr>
          <w:rFonts w:cs="Times New Roman"/>
          <w:szCs w:val="24"/>
        </w:rPr>
        <w:t>were</w:t>
      </w:r>
      <w:r w:rsidRPr="00D40FF8">
        <w:rPr>
          <w:rFonts w:cs="Times New Roman"/>
          <w:szCs w:val="24"/>
        </w:rPr>
        <w:t xml:space="preserve"> no data that indicated any harmful concern about the nematode. The 2% occurrence and density of 16 nematodes/100 cm</w:t>
      </w:r>
      <w:r w:rsidRPr="00D40FF8">
        <w:rPr>
          <w:rFonts w:cs="Times New Roman"/>
          <w:szCs w:val="24"/>
          <w:vertAlign w:val="superscript"/>
        </w:rPr>
        <w:t>3</w:t>
      </w:r>
      <w:r w:rsidRPr="00D40FF8">
        <w:rPr>
          <w:rFonts w:cs="Times New Roman"/>
          <w:szCs w:val="24"/>
        </w:rPr>
        <w:t xml:space="preserve"> in the present study further suggest that there is no concern for the nematode in Tennessee. Sheath nematode was previously found in less than 1% of samples in Tennessee </w:t>
      </w:r>
      <w:r w:rsidRPr="00D40FF8">
        <w:rPr>
          <w:rFonts w:cs="Times New Roman"/>
          <w:noProof/>
          <w:szCs w:val="24"/>
        </w:rPr>
        <w:t>(Bernard, 1980). In the present study, it was found at a similar occurrence (1%), with an average density of 13 nematodes/</w:t>
      </w:r>
      <w:r w:rsidRPr="00D40FF8">
        <w:rPr>
          <w:rFonts w:cs="Times New Roman"/>
          <w:szCs w:val="24"/>
        </w:rPr>
        <w:t>100 cm</w:t>
      </w:r>
      <w:r w:rsidRPr="00D40FF8">
        <w:rPr>
          <w:rFonts w:cs="Times New Roman"/>
          <w:szCs w:val="24"/>
          <w:vertAlign w:val="superscript"/>
        </w:rPr>
        <w:t>3</w:t>
      </w:r>
      <w:r w:rsidRPr="00D40FF8">
        <w:rPr>
          <w:rFonts w:cs="Times New Roman"/>
          <w:szCs w:val="24"/>
        </w:rPr>
        <w:t xml:space="preserve">. This nematode is known to have a wide host range including crops, fruits, and trees. Some known hosts include celery, cabbage, cowpea, bean, okra, lettuce, tomato, cucurbits, grapefruit, and tobacco </w:t>
      </w:r>
      <w:r w:rsidRPr="00D40FF8">
        <w:rPr>
          <w:rFonts w:cs="Times New Roman"/>
          <w:szCs w:val="24"/>
        </w:rPr>
        <w:fldChar w:fldCharType="begin" w:fldLock="1"/>
      </w:r>
      <w:r w:rsidRPr="00D40FF8">
        <w:rPr>
          <w:rFonts w:cs="Times New Roman"/>
          <w:szCs w:val="24"/>
        </w:rPr>
        <w:instrText>ADDIN CSL_CITATION {"citationItems":[{"id":"ITEM-1","itemData":{"DOI":"10.2478/helm-2021-0033","ISSN":"13369083","abstract":"Summary: Several species of the sheat nematodes, Hemicycliophora spp., have been known to cause significant damage to agricultural crops, including Hemicycliophora arenaria, H. conida, H. parvana, H. poranga, H. similis, and H. typica. Remarkably, our study reported on the presence of H. poranga for the first time in Vietnam. This species was found on 83.33% of the total samples with an average density of 270 individuals/100ml of soil (positive samples). In this study, the Vietnamese population of H. poranga was characterized based on both morphology and molecular characterization of D2-D3 expansion segment of 28S rRNA sequence. Besides, a molecular phylogenetic tree of the genus Hemicycliophora was also provided.","author":[{"dropping-particle":"","family":"Nguyen","given":"T. D.","non-dropping-particle":"","parse-names":false,"suffix":""},{"dropping-particle":"","family":"Trinh","given":"Q. P.","non-dropping-particle":"","parse-names":false,"suffix":""}],"container-title":"Helminthologia (Poland)","id":"ITEM-1","issue":"3","issued":{"date-parts":[["2021"]]},"page":"333-338","title":"First report of an important sheat nematode, Hemicycliophora poranga, associated with sugar beet (Beta vulgaris L.) in Vietnam","type":"article-journal","volume":"58"},"uris":["http://www.mendeley.com/documents/?uuid=360e1381-d9c1-482e-b4f1-0bd7e9f37060"]}],"mendeley":{"formattedCitation":"(Nguyen &amp; Trinh, 2021)","plainTextFormattedCitation":"(Nguyen &amp; Trinh, 2021)","previouslyFormattedCitation":"(Nguyen &amp; Trinh, 2021)"},"properties":{"noteIndex":0},"schema":"https://github.com/citation-style-language/schema/raw/master/csl-citation.json"}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(Nguyen &amp; Trinh, 2021)</w:t>
      </w:r>
      <w:r w:rsidRPr="00D40FF8">
        <w:rPr>
          <w:rFonts w:cs="Times New Roman"/>
          <w:szCs w:val="24"/>
        </w:rPr>
        <w:fldChar w:fldCharType="end"/>
      </w:r>
      <w:r w:rsidRPr="00D40FF8">
        <w:rPr>
          <w:rFonts w:cs="Times New Roman"/>
          <w:szCs w:val="24"/>
        </w:rPr>
        <w:t xml:space="preserve">. On a tomato host, 5,000 nematodes per plant resulted in growth reduction </w:t>
      </w:r>
      <w:r w:rsidRPr="00D40FF8">
        <w:rPr>
          <w:rFonts w:cs="Times New Roman"/>
          <w:szCs w:val="24"/>
        </w:rPr>
        <w:fldChar w:fldCharType="begin" w:fldLock="1"/>
      </w:r>
      <w:r w:rsidRPr="00D40FF8">
        <w:rPr>
          <w:rFonts w:cs="Times New Roman"/>
          <w:szCs w:val="24"/>
        </w:rPr>
        <w:instrText>ADDIN CSL_CITATION {"citationItems":[{"id":"ITEM-1","itemData":{"ISSN":"11645571","author":[{"dropping-particle":"","family":"Chitambar","given":"J. J.","non-dropping-particle":"","parse-names":false,"suffix":""}],"container-title":"Fundamental and Applied Nematology","id":"ITEM-1","issue":"6","issued":{"date-parts":[["1993"]]},"page":"557-561","title":"Host range of Hemicycliophora poranga and its pathogenicity on tomato","type":"article-journal","volume":"16"},"uris":["http://www.mendeley.com/documents/?uuid=203bdc02-0ad5-4ce2-a164-79499518c123"]}],"mendeley":{"formattedCitation":"(Chitambar, 1993)","plainTextFormattedCitation":"(Chitambar, 1993)","previouslyFormattedCitation":"(Chitambar, 1993)"},"properties":{"noteIndex":0},"schema":"https://github.com/citation-style-language/schema/raw/master/csl-citation.json"}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(Chitambar, 1993)</w:t>
      </w:r>
      <w:r w:rsidRPr="00D40FF8">
        <w:rPr>
          <w:rFonts w:cs="Times New Roman"/>
          <w:szCs w:val="24"/>
        </w:rPr>
        <w:fldChar w:fldCharType="end"/>
      </w:r>
      <w:r w:rsidRPr="00D40FF8">
        <w:rPr>
          <w:rFonts w:cs="Times New Roman"/>
          <w:szCs w:val="24"/>
        </w:rPr>
        <w:t xml:space="preserve">. The present result shows no implication for any concern for sheath nematode in Tennessee field crops. </w:t>
      </w:r>
    </w:p>
    <w:p w14:paraId="20555290" w14:textId="77777777" w:rsidR="00D20476" w:rsidRDefault="00D20476" w:rsidP="00D20476">
      <w:pPr>
        <w:spacing w:line="360" w:lineRule="auto"/>
        <w:ind w:left="720" w:firstLine="720"/>
        <w:rPr>
          <w:rFonts w:cs="Times New Roman"/>
          <w:szCs w:val="24"/>
        </w:rPr>
      </w:pPr>
      <w:r w:rsidRPr="00D40FF8">
        <w:rPr>
          <w:rFonts w:cs="Times New Roman"/>
          <w:szCs w:val="24"/>
        </w:rPr>
        <w:t>Stubby-root</w:t>
      </w:r>
      <w:r>
        <w:rPr>
          <w:rFonts w:cs="Times New Roman"/>
          <w:szCs w:val="24"/>
        </w:rPr>
        <w:t xml:space="preserve"> nematodes</w:t>
      </w:r>
      <w:r w:rsidRPr="00D40FF8">
        <w:rPr>
          <w:rFonts w:cs="Times New Roman"/>
          <w:szCs w:val="24"/>
        </w:rPr>
        <w:t xml:space="preserve">, </w:t>
      </w:r>
      <w:r w:rsidRPr="00777972">
        <w:rPr>
          <w:rFonts w:cs="Times New Roman"/>
          <w:iCs/>
          <w:szCs w:val="24"/>
        </w:rPr>
        <w:t>(</w:t>
      </w:r>
      <w:r w:rsidRPr="00D40FF8">
        <w:rPr>
          <w:rFonts w:cs="Times New Roman"/>
          <w:i/>
          <w:szCs w:val="24"/>
        </w:rPr>
        <w:t>Trichodorus</w:t>
      </w:r>
      <w:r>
        <w:rPr>
          <w:rFonts w:cs="Times New Roman"/>
          <w:iCs/>
          <w:szCs w:val="24"/>
        </w:rPr>
        <w:t>,</w:t>
      </w:r>
      <w:r w:rsidRPr="00D40FF8">
        <w:rPr>
          <w:rFonts w:cs="Times New Roman"/>
          <w:i/>
          <w:szCs w:val="24"/>
        </w:rPr>
        <w:t xml:space="preserve"> Paratrichodorus</w:t>
      </w:r>
      <w:r w:rsidRPr="00D40FF8">
        <w:rPr>
          <w:rFonts w:cs="Times New Roman"/>
          <w:szCs w:val="24"/>
        </w:rPr>
        <w:t xml:space="preserve"> spp</w:t>
      </w:r>
      <w:r>
        <w:rPr>
          <w:rFonts w:cs="Times New Roman"/>
          <w:szCs w:val="24"/>
        </w:rPr>
        <w:t>.</w:t>
      </w:r>
      <w:r w:rsidRPr="00D40FF8">
        <w:rPr>
          <w:rFonts w:cs="Times New Roman"/>
          <w:szCs w:val="24"/>
        </w:rPr>
        <w:t xml:space="preserve">) are ectoparasites that can feed on multiple host crops including corn, sorghum, turfgrass, cabbage, mustard, tomato, eggplant, sugarcane, peanut, and soybean. </w:t>
      </w:r>
      <w:r>
        <w:rPr>
          <w:rFonts w:cs="Times New Roman"/>
          <w:szCs w:val="24"/>
        </w:rPr>
        <w:t>H</w:t>
      </w:r>
      <w:r w:rsidRPr="00D40FF8">
        <w:rPr>
          <w:rFonts w:cs="Times New Roman"/>
          <w:szCs w:val="24"/>
        </w:rPr>
        <w:t>ost root</w:t>
      </w:r>
      <w:r>
        <w:rPr>
          <w:rFonts w:cs="Times New Roman"/>
          <w:szCs w:val="24"/>
        </w:rPr>
        <w:t>s</w:t>
      </w:r>
      <w:r w:rsidRPr="00D40FF8">
        <w:rPr>
          <w:rFonts w:cs="Times New Roman"/>
          <w:szCs w:val="24"/>
        </w:rPr>
        <w:t xml:space="preserve"> </w:t>
      </w:r>
      <w:r>
        <w:rPr>
          <w:rFonts w:cs="Times New Roman"/>
          <w:szCs w:val="24"/>
        </w:rPr>
        <w:t>frequently</w:t>
      </w:r>
      <w:r w:rsidRPr="00D40FF8">
        <w:rPr>
          <w:rFonts w:cs="Times New Roman"/>
          <w:szCs w:val="24"/>
        </w:rPr>
        <w:t xml:space="preserve"> become stunted or stubby-like in appearance. Also, they can transfer viruses to the infected host </w:t>
      </w:r>
      <w:r w:rsidRPr="00D40FF8">
        <w:rPr>
          <w:rFonts w:cs="Times New Roman"/>
          <w:szCs w:val="24"/>
        </w:rPr>
        <w:fldChar w:fldCharType="begin" w:fldLock="1"/>
      </w:r>
      <w:r w:rsidRPr="00D40FF8">
        <w:rPr>
          <w:rFonts w:cs="Times New Roman"/>
          <w:szCs w:val="24"/>
        </w:rPr>
        <w:instrText>ADDIN CSL_CITATION {"citationItems":[{"id":"ITEM-1","itemData":{"author":[{"dropping-particle":"","family":"Crow","given":"W T","non-dropping-particle":"","parse-names":false,"suffix":""}],"id":"ITEM-1","issued":{"date-parts":[["2004"]]},"page":"1-4","title":"Adenophorea : Triplonchida : Diphtherophorina : Trichodoridea : Trichodoridae ) 1","type":"article-journal"},"uris":["http://www.mendeley.com/documents/?uuid=c7ee2087-178d-4960-937b-293dbade4450"]}],"mendeley":{"formattedCitation":"(W T Crow, 2004)","manualFormatting":"(Crow, 2004)","plainTextFormattedCitation":"(W T Crow, 2004)","previouslyFormattedCitation":"(W T Crow, 2004)"},"properties":{"noteIndex":0},"schema":"https://github.com/citation-style-language/schema/raw/master/csl-citation.json"}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(Crow, 2004)</w:t>
      </w:r>
      <w:r w:rsidRPr="00D40FF8">
        <w:rPr>
          <w:rFonts w:cs="Times New Roman"/>
          <w:szCs w:val="24"/>
        </w:rPr>
        <w:fldChar w:fldCharType="end"/>
      </w:r>
      <w:r w:rsidRPr="00D40FF8">
        <w:rPr>
          <w:rFonts w:cs="Times New Roman"/>
          <w:szCs w:val="24"/>
        </w:rPr>
        <w:t xml:space="preserve">. A previous survey in Tennessee isolated stubby root nematodes from 6% of samples and five counties, but none were found in field crop samples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xml:space="preserve">. The results of this study indicated that stubby root nematodes are not a concern to field crops. </w:t>
      </w:r>
    </w:p>
    <w:p w14:paraId="044D293F" w14:textId="77777777" w:rsidR="00D20476" w:rsidRDefault="00D20476" w:rsidP="00D20476">
      <w:pPr>
        <w:spacing w:line="360" w:lineRule="auto"/>
        <w:ind w:left="720" w:firstLine="720"/>
        <w:rPr>
          <w:rFonts w:cs="Times New Roman"/>
          <w:szCs w:val="24"/>
        </w:rPr>
      </w:pPr>
      <w:r w:rsidRPr="00D40FF8">
        <w:rPr>
          <w:rFonts w:cs="Times New Roman"/>
          <w:szCs w:val="24"/>
        </w:rPr>
        <w:t>Needle (</w:t>
      </w:r>
      <w:r w:rsidRPr="00D40FF8">
        <w:rPr>
          <w:rFonts w:cs="Times New Roman"/>
          <w:i/>
          <w:szCs w:val="24"/>
        </w:rPr>
        <w:t>Longidorus</w:t>
      </w:r>
      <w:r w:rsidRPr="00D40FF8">
        <w:rPr>
          <w:rFonts w:cs="Times New Roman"/>
          <w:szCs w:val="24"/>
        </w:rPr>
        <w:t xml:space="preserve"> sp.) and sting (</w:t>
      </w:r>
      <w:r w:rsidRPr="00D40FF8">
        <w:rPr>
          <w:rFonts w:cs="Times New Roman"/>
          <w:i/>
          <w:szCs w:val="24"/>
        </w:rPr>
        <w:t xml:space="preserve">Belonolaimus </w:t>
      </w:r>
      <w:r w:rsidRPr="00D40FF8">
        <w:rPr>
          <w:rFonts w:cs="Times New Roman"/>
          <w:szCs w:val="24"/>
        </w:rPr>
        <w:t xml:space="preserve">sp.) nematodes are among the most economically important ectoparasites. The nematodes prune the lateral roots of the host seedlings, which then become stunted and necrotic. Needle nematodes have been associated with corn, turf, mint, sorghum, cottonwood, and grape </w:t>
      </w:r>
      <w:r w:rsidRPr="00D40FF8">
        <w:rPr>
          <w:rFonts w:cs="Times New Roman"/>
          <w:szCs w:val="24"/>
        </w:rPr>
        <w:fldChar w:fldCharType="begin" w:fldLock="1"/>
      </w:r>
      <w:r w:rsidRPr="00D40FF8">
        <w:rPr>
          <w:rFonts w:cs="Times New Roman"/>
          <w:szCs w:val="24"/>
        </w:rPr>
        <w:instrText>ADDIN CSL_CITATION {"citationItems":[{"id":"ITEM-1","itemData":{"ISSN":"0022300X","abstract":"In a survey of ecotypes for longidorids, primarily from the rhizosphere hardwood trees growing in sandy soil along stream banks, 828 soil samples were collected from 37 Arkansas counties in 1999-2001. Eight populations of Longidorus breviannulatus were identified from the Arkansas survey samples. A total of 19 populations from California, Illinois, Iowa, Kansas, Michigan, Nebraska, New Jersey, New York, and Wisconsin were identified from the collection of the second author. A few males were found in New York and Nebraska populations and are described herein. Seven populations of L. fragilis were identified in the Arkansas survey samples, and one population was found from Indiana. Four juvenile stages of L. fragilis are present, and data are given for them herein.","author":[{"dropping-particle":"","family":"Ye","given":"Weimin","non-dropping-particle":"","parse-names":false,"suffix":""},{"dropping-particle":"","family":"Robbins","given":"R. T.","non-dropping-particle":"","parse-names":false,"suffix":""}],"container-title":"Journal of Nematology","id":"ITEM-1","issue":"3","issued":{"date-parts":[["2004"]]},"page":"220-231","title":"Distribution and morphology of Longidorus breviannulatus Norton &amp; Hoffman, 1975 and Longidorus fragilis Thorne, 1974 (Nematoda: Longidoridae) from North America","type":"article-journal","volume":"36"},"uris":["http://www.mendeley.com/documents/?uuid=e50d3f55-822a-4563-bd79-4ae4bdcc9365"]}],"mendeley":{"formattedCitation":"(Ye &amp; Robbins, 2004)","plainTextFormattedCitation":"(Ye &amp; Robbins, 2004)","previouslyFormattedCitation":"(Ye &amp; Robbins, 2004)"},"properties":{"noteIndex":0},"schema":"https://github.com/citation-style-language/schema/raw/master/csl-citation.json"}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(Ye &amp; Robbins, 2004)</w:t>
      </w:r>
      <w:r w:rsidRPr="00D40FF8">
        <w:rPr>
          <w:rFonts w:cs="Times New Roman"/>
          <w:szCs w:val="24"/>
        </w:rPr>
        <w:fldChar w:fldCharType="end"/>
      </w:r>
      <w:r w:rsidRPr="00D40FF8">
        <w:rPr>
          <w:rFonts w:cs="Times New Roman"/>
          <w:szCs w:val="24"/>
        </w:rPr>
        <w:t xml:space="preserve">. A needle nematode species, </w:t>
      </w:r>
      <w:r w:rsidRPr="00D40FF8">
        <w:rPr>
          <w:rFonts w:cs="Times New Roman"/>
          <w:i/>
          <w:szCs w:val="24"/>
        </w:rPr>
        <w:t>Longidorus breviannulatus</w:t>
      </w:r>
      <w:r w:rsidRPr="00D40FF8">
        <w:rPr>
          <w:rFonts w:cs="Times New Roman"/>
          <w:szCs w:val="24"/>
        </w:rPr>
        <w:t>, corn needle nematode, is very destructive to corn in sandy soils. As low as 100 nematodes/100 cm</w:t>
      </w:r>
      <w:r w:rsidRPr="00D40FF8">
        <w:rPr>
          <w:rFonts w:cs="Times New Roman"/>
          <w:szCs w:val="24"/>
          <w:vertAlign w:val="superscript"/>
        </w:rPr>
        <w:t xml:space="preserve">3 </w:t>
      </w:r>
      <w:r w:rsidRPr="00D40FF8">
        <w:rPr>
          <w:rFonts w:cs="Times New Roman"/>
          <w:szCs w:val="24"/>
        </w:rPr>
        <w:t>can kill corn seedlings. Likewise</w:t>
      </w:r>
      <w:r>
        <w:rPr>
          <w:rFonts w:cs="Times New Roman"/>
          <w:szCs w:val="24"/>
        </w:rPr>
        <w:t>,</w:t>
      </w:r>
      <w:r w:rsidRPr="00D40FF8">
        <w:rPr>
          <w:rFonts w:cs="Times New Roman"/>
          <w:szCs w:val="24"/>
        </w:rPr>
        <w:t xml:space="preserve"> the sting nematode, </w:t>
      </w:r>
      <w:r w:rsidRPr="00D40FF8">
        <w:rPr>
          <w:rFonts w:cs="Times New Roman"/>
          <w:i/>
          <w:szCs w:val="24"/>
        </w:rPr>
        <w:t xml:space="preserve">Belonolaimus </w:t>
      </w:r>
      <w:r w:rsidRPr="005C3F11">
        <w:t>spp.</w:t>
      </w:r>
      <w:r w:rsidRPr="00D40FF8">
        <w:rPr>
          <w:rFonts w:cs="Times New Roman"/>
          <w:i/>
          <w:szCs w:val="24"/>
        </w:rPr>
        <w:t>,</w:t>
      </w:r>
      <w:r w:rsidRPr="005C3F11">
        <w:t xml:space="preserve"> </w:t>
      </w:r>
      <w:r w:rsidRPr="00D40FF8">
        <w:rPr>
          <w:rFonts w:cs="Times New Roman"/>
          <w:szCs w:val="24"/>
        </w:rPr>
        <w:t>can cause total corn yield loss with</w:t>
      </w:r>
      <w:r w:rsidRPr="00D40FF8">
        <w:rPr>
          <w:rFonts w:cs="Times New Roman"/>
          <w:i/>
          <w:szCs w:val="24"/>
        </w:rPr>
        <w:t xml:space="preserve"> </w:t>
      </w:r>
      <w:r w:rsidRPr="00D40FF8">
        <w:rPr>
          <w:rFonts w:cs="Times New Roman"/>
          <w:szCs w:val="24"/>
        </w:rPr>
        <w:t>30 nematodes/100 cm</w:t>
      </w:r>
      <w:r w:rsidRPr="005C3F11">
        <w:rPr>
          <w:vertAlign w:val="superscript"/>
        </w:rPr>
        <w:t>3</w:t>
      </w:r>
      <w:r w:rsidRPr="00D40FF8">
        <w:rPr>
          <w:rFonts w:cs="Times New Roman"/>
          <w:szCs w:val="24"/>
        </w:rPr>
        <w:t xml:space="preserve"> </w:t>
      </w:r>
      <w:r w:rsidRPr="00D40FF8">
        <w:rPr>
          <w:rFonts w:cs="Times New Roman"/>
          <w:szCs w:val="24"/>
        </w:rPr>
        <w:fldChar w:fldCharType="begin" w:fldLock="1"/>
      </w:r>
      <w:r w:rsidRPr="00D40FF8">
        <w:rPr>
          <w:rFonts w:cs="Times New Roman"/>
          <w:szCs w:val="24"/>
        </w:rPr>
        <w:instrText>ADDIN CSL_CITATION {"citationItems":[{"id":"ITEM-1","itemData":{"DOI":"10.31274/icm-180809-891","author":[{"dropping-particle":"","family":"Tylka","given":"Gregory L.","non-dropping-particle":"","parse-names":false,"suffix":""}],"id":"ITEM-1","issued":{"date-parts":[["2018"]]},"title":"Plant-Parasitic Nematodes on Corn: Old Foes and a Possible New Nemesis","type":"article-journal"},"uris":["http://www.mendeley.com/documents/?uuid=b4412b4d-cd74-4d19-a334-71eaa2a94db0"]}],"mendeley":{"formattedCitation":"(Tylka, 2018)","plainTextFormattedCitation":"(Tylka, 2018)","previouslyFormattedCitation":"(Tylka, 2018)"},"properties":{"noteIndex":0},"schema":"https://github.com/citation-style-language/schema/raw/master/csl-citation.json"}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(Tylka, 2018)</w:t>
      </w:r>
      <w:r w:rsidRPr="00D40FF8">
        <w:rPr>
          <w:rFonts w:cs="Times New Roman"/>
          <w:szCs w:val="24"/>
        </w:rPr>
        <w:fldChar w:fldCharType="end"/>
      </w:r>
      <w:r w:rsidRPr="00D40FF8">
        <w:rPr>
          <w:rFonts w:cs="Times New Roman"/>
          <w:szCs w:val="24"/>
        </w:rPr>
        <w:t xml:space="preserve">. </w:t>
      </w:r>
      <w:r w:rsidRPr="00D40FF8">
        <w:rPr>
          <w:rFonts w:cs="Times New Roman"/>
          <w:i/>
          <w:szCs w:val="24"/>
        </w:rPr>
        <w:t>Longidorus elongatus</w:t>
      </w:r>
      <w:r w:rsidRPr="00D40FF8">
        <w:rPr>
          <w:rFonts w:cs="Times New Roman"/>
          <w:szCs w:val="24"/>
        </w:rPr>
        <w:t xml:space="preserve"> was previously reported in Madison </w:t>
      </w:r>
      <w:r>
        <w:rPr>
          <w:rFonts w:cs="Times New Roman"/>
          <w:szCs w:val="24"/>
        </w:rPr>
        <w:t>C</w:t>
      </w:r>
      <w:r w:rsidRPr="00D40FF8">
        <w:rPr>
          <w:rFonts w:cs="Times New Roman"/>
          <w:szCs w:val="24"/>
        </w:rPr>
        <w:t xml:space="preserve">ounty, but no sting nematode has been reported in Tennessee </w:t>
      </w:r>
      <w:r w:rsidRPr="00D40FF8">
        <w:rPr>
          <w:rFonts w:cs="Times New Roman"/>
          <w:szCs w:val="24"/>
        </w:rPr>
        <w:fldChar w:fldCharType="begin" w:fldLock="1"/>
      </w:r>
      <w:r w:rsidRPr="00D40FF8">
        <w:rPr>
          <w:rFonts w:cs="Times New Roman"/>
          <w:szCs w:val="24"/>
        </w:rPr>
        <w:instrText>ADDIN CSL_CITATION {"citationItems":[{"id":"ITEM-1","itemData":{"author":[{"dropping-particle":"","family":"Bernard EC.","given":"","non-dropping-particle":"","parse-names":false,"suffix":""}],"container-title":"University of Tennessee Agricultural Experiment Station Bulletin","id":"ITEM-1","issued":{"date-parts":[["1980"]]},"page":"1–18","title":"Identification, distribution, and plant associations of plant-parasitic nematodes in Tennessee","type":"article-journal","volume":"594"},"uris":["http://www.mendeley.com/documents/?uuid=7d34a316-22b5-438f-875f-8b98249753aa"]}],"mendeley":{"formattedCitation":"(Bernard EC., 1980)","manualFormatting":"(Bernard, 1980)","plainTextFormattedCitation":"(Bernard EC., 1980)","previouslyFormattedCitation":"(Bernard EC., 1980)"},"properties":{"noteIndex":0},"schema":"https://github.com/citation-style-language/schema/raw/master/csl-citation.json"}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(Bernard, 1980)</w:t>
      </w:r>
      <w:r w:rsidRPr="00D40FF8">
        <w:rPr>
          <w:rFonts w:cs="Times New Roman"/>
          <w:szCs w:val="24"/>
        </w:rPr>
        <w:fldChar w:fldCharType="end"/>
      </w:r>
      <w:r w:rsidRPr="00D40FF8">
        <w:rPr>
          <w:rFonts w:cs="Times New Roman"/>
          <w:szCs w:val="24"/>
        </w:rPr>
        <w:t>. In the present study, needle nematode</w:t>
      </w:r>
      <w:r>
        <w:rPr>
          <w:rFonts w:cs="Times New Roman"/>
          <w:szCs w:val="24"/>
        </w:rPr>
        <w:t>s</w:t>
      </w:r>
      <w:r w:rsidRPr="00D40FF8">
        <w:rPr>
          <w:rFonts w:cs="Times New Roman"/>
          <w:szCs w:val="24"/>
        </w:rPr>
        <w:t xml:space="preserve"> w</w:t>
      </w:r>
      <w:r>
        <w:rPr>
          <w:rFonts w:cs="Times New Roman"/>
          <w:szCs w:val="24"/>
        </w:rPr>
        <w:t>ere</w:t>
      </w:r>
      <w:r w:rsidRPr="00D40FF8">
        <w:rPr>
          <w:rFonts w:cs="Times New Roman"/>
          <w:szCs w:val="24"/>
        </w:rPr>
        <w:t xml:space="preserve"> found in Cannon, Gibson, and Haywood counties at an average density of 8 nematodes/100 cm</w:t>
      </w:r>
      <w:r w:rsidRPr="00D40FF8">
        <w:rPr>
          <w:rFonts w:cs="Times New Roman"/>
          <w:szCs w:val="24"/>
          <w:vertAlign w:val="superscript"/>
        </w:rPr>
        <w:t>3</w:t>
      </w:r>
      <w:r>
        <w:rPr>
          <w:rFonts w:cs="Times New Roman"/>
          <w:szCs w:val="24"/>
        </w:rPr>
        <w:t>, but</w:t>
      </w:r>
      <w:r w:rsidRPr="00D40FF8">
        <w:rPr>
          <w:rFonts w:cs="Times New Roman"/>
          <w:szCs w:val="24"/>
        </w:rPr>
        <w:t xml:space="preserve"> the populations were not associated with corn. This implied that needle nematode was locally present in some fields in the state, and continuous monitoring is needed to prevent yield loss from the nematode. </w:t>
      </w:r>
      <w:r w:rsidRPr="00777972">
        <w:rPr>
          <w:rFonts w:cs="Times New Roman"/>
          <w:szCs w:val="24"/>
        </w:rPr>
        <w:t>Sting</w:t>
      </w:r>
      <w:r w:rsidRPr="00D40FF8">
        <w:rPr>
          <w:rFonts w:cs="Times New Roman"/>
          <w:szCs w:val="24"/>
        </w:rPr>
        <w:t xml:space="preserve"> nematode was found in six counties at low densities (≤15/100 cm3) and frequency (2%), indicating that the nematode does not pose any immediate threat at present. Continued monitoring of the nematode </w:t>
      </w:r>
      <w:r>
        <w:rPr>
          <w:rFonts w:cs="Times New Roman"/>
          <w:szCs w:val="24"/>
        </w:rPr>
        <w:t>is</w:t>
      </w:r>
      <w:r w:rsidRPr="00D40FF8">
        <w:rPr>
          <w:rFonts w:cs="Times New Roman"/>
          <w:szCs w:val="24"/>
        </w:rPr>
        <w:t xml:space="preserve"> recommended since the populations were detected in corn, soybean, and wheat fields. </w:t>
      </w:r>
    </w:p>
    <w:p w14:paraId="1F33FB94" w14:textId="77777777" w:rsidR="00D20476" w:rsidRDefault="00D20476" w:rsidP="00D20476">
      <w:pPr>
        <w:spacing w:line="360" w:lineRule="auto"/>
        <w:ind w:left="720" w:firstLine="720"/>
        <w:rPr>
          <w:rFonts w:cs="Times New Roman"/>
          <w:szCs w:val="24"/>
        </w:rPr>
      </w:pPr>
      <w:r w:rsidRPr="00D40FF8">
        <w:rPr>
          <w:rFonts w:cs="Times New Roman"/>
          <w:szCs w:val="24"/>
        </w:rPr>
        <w:t>Ring nematodes (</w:t>
      </w:r>
      <w:r w:rsidRPr="00D40FF8">
        <w:rPr>
          <w:rFonts w:cs="Times New Roman"/>
          <w:i/>
          <w:szCs w:val="24"/>
        </w:rPr>
        <w:t>Criconemella</w:t>
      </w:r>
      <w:r w:rsidRPr="00D40FF8">
        <w:rPr>
          <w:rFonts w:cs="Times New Roman"/>
          <w:szCs w:val="24"/>
        </w:rPr>
        <w:t xml:space="preserve"> spp.) are not considered an important pest to Tennessee agriculture. Certain species of the nematodes are frequently associated with crops like blueberry, corn, cotton, peanut, soybean, vegetables, grapes, and peaches in other states (</w:t>
      </w:r>
      <w:r w:rsidRPr="00D40FF8">
        <w:rPr>
          <w:rFonts w:cs="Times New Roman"/>
          <w:szCs w:val="24"/>
          <w:shd w:val="clear" w:color="auto" w:fill="FFFFFF"/>
        </w:rPr>
        <w:t>Hajihassani et al., 2018)</w:t>
      </w:r>
      <w:r w:rsidRPr="00D40FF8">
        <w:rPr>
          <w:rFonts w:cs="Times New Roman"/>
          <w:szCs w:val="24"/>
        </w:rPr>
        <w:t xml:space="preserve">. The results of our study showed that ring nematodes are not prevalent in Tennessee </w:t>
      </w:r>
      <w:r>
        <w:rPr>
          <w:rFonts w:cs="Times New Roman"/>
          <w:szCs w:val="24"/>
        </w:rPr>
        <w:t xml:space="preserve">field crops </w:t>
      </w:r>
      <w:r w:rsidRPr="00D40FF8">
        <w:rPr>
          <w:rFonts w:cs="Times New Roman"/>
          <w:szCs w:val="24"/>
        </w:rPr>
        <w:t xml:space="preserve">presently. We encourage growers to continue to monitor their fields to track any potential population increases. </w:t>
      </w:r>
    </w:p>
    <w:p w14:paraId="28471E41" w14:textId="0A87EA89" w:rsidR="00D20476" w:rsidRDefault="00D20476" w:rsidP="00D20476">
      <w:pPr>
        <w:spacing w:line="360" w:lineRule="auto"/>
        <w:ind w:left="720" w:firstLine="720"/>
        <w:rPr>
          <w:rFonts w:cs="Times New Roman"/>
          <w:sz w:val="20"/>
          <w:szCs w:val="20"/>
        </w:rPr>
      </w:pPr>
      <w:r w:rsidRPr="005C3F11">
        <w:rPr>
          <w:rFonts w:cs="Times New Roman"/>
          <w:i/>
          <w:szCs w:val="24"/>
        </w:rPr>
        <w:t>Heterodera glycines</w:t>
      </w:r>
      <w:r w:rsidRPr="005C3F11">
        <w:rPr>
          <w:rFonts w:cs="Times New Roman"/>
          <w:szCs w:val="24"/>
        </w:rPr>
        <w:t xml:space="preserve"> biotypes or  HG type designation and female index of SCN populations provide insights into the aggressiveness or the parasitic ability of the populations on SCN resistant indicators and cultivars </w:t>
      </w:r>
      <w:r w:rsidRPr="005C3F11">
        <w:rPr>
          <w:rFonts w:cs="Times New Roman"/>
          <w:szCs w:val="24"/>
        </w:rPr>
        <w:fldChar w:fldCharType="begin" w:fldLock="1"/>
      </w:r>
      <w:r w:rsidRPr="005C3F11">
        <w:rPr>
          <w:rFonts w:cs="Times New Roman"/>
          <w:szCs w:val="24"/>
        </w:rPr>
        <w:instrText>ADDIN CSL_CITATION {"citationItems":[{"id":"ITEM-1","itemData":{"DOI":"10.1094/PHP-PS-16-0615","ISSN":"15351025","author":[{"dropping-particle":"","family":"Tylka","given":"Gregory L.","non-dropping-particle":"","parse-names":false,"suffix":""}],"container-title":"Plant Health Progress","id":"ITEM-1","issue":"2","issued":{"date-parts":[["2016"]]},"page":"149-151","title":"Understanding soybean cyst nematode HG types and races","type":"article-journal","volume":"17"},"uris":["http://www.mendeley.com/documents/?uuid=cdda463b-ff46-4d35-a7df-84d57e911b93"]},{"id":"ITEM-2","itemData":{"ISSN":"0022300X","PMID":"19265945","abstract":"Heterodera glycines, the soybean cyst nematode, is a major yield-limiting pathogen in most soybean production areas worldwide. Field populations of H. glycines exhibit diversity in their ability to develop on resistant soybean cultivars. Since 1970, this diversity has been characterized by a bioassay used to assign a race classification to a population. The value of the race scheme is reflected in the number and quality of resistant soybean cultivars that have been developed and released by soybean breeders and nematologists working in concert. However, the race scheme also has been misapplied as a means of studying H. glycines genotypes, in part due to the use of the term \"race.\" For fungal and bacterial pathogen species, \"race\" can theoretically be applied to individuals of a population, thus allowing inference of individual genotypes. Application of a race designation to an individual egg or second-stage juvenile (J2) of H. glycines is not possible because a single J2 cannot be tested on multiple hosts. For other nematode species, \"race\" is defined by host ranges involving different plant species, whereas the H. glycines race test involves a set of lines of the same plant species. Nonetheless, because H. glycines populations vary in genetic diversity, and this variation has implications for management strategies, a mechanism is needed for documenting and discussing population differences. The HG Type scheme described herein avoids the implication of genetic uniformity or predictability in contrast to the way the race scheme has been used.","author":[{"dropping-particle":"","family":"Niblack","given":"T. L.","non-dropping-particle":"","parse-names":false,"suffix":""},{"dropping-particle":"","family":"Arelli","given":"P. R.","non-dropping-particle":"","parse-names":false,"suffix":""},{"dropping-particle":"","family":"Noel","given":"G. R.","non-dropping-particle":"","parse-names":false,"suffix":""},{"dropping-particle":"","family":"Opperman","given":"C. H.","non-dropping-particle":"","parse-names":false,"suffix":""},{"dropping-particle":"","family":"Orf","given":"J. H.","non-dropping-particle":"","parse-names":false,"suffix":""},{"dropping-particle":"","family":"Schmitt","given":"D. P.","non-dropping-particle":"","parse-names":false,"suffix":""},{"dropping-particle":"","family":"Shannon","given":"J. G.","non-dropping-particle":"","parse-names":false,"suffix":""},{"dropping-particle":"","family":"Tylka","given":"G. L.","non-dropping-particle":"","parse-names":false,"suffix":""}],"container-title":"Journal of Nematology","id":"ITEM-2","issue":"4","issued":{"date-parts":[["2002"]]},"page":"279-288","title":"A revised classification scheme for genetically diverse populations of Heterodera glycines","type":"article-journal","volume":"34"},"uris":["http://www.mendeley.com/documents/?uuid=a1fbd69e-f7b7-4bf0-abc1-8bbedd7a785f"]}],"mendeley":{"formattedCitation":"(Niblack et al., 2002; Tylka, 2016)","plainTextFormattedCitation":"(Niblack et al., 2002; Tylka, 2016)","previouslyFormattedCitation":"(Niblack et al., 2002; Tylka, 2016)"},"properties":{"noteIndex":0},"schema":"https://github.com/citation-style-language/schema/raw/master/csl-citation.json"}</w:instrText>
      </w:r>
      <w:r w:rsidRPr="005C3F11">
        <w:rPr>
          <w:rFonts w:cs="Times New Roman"/>
          <w:szCs w:val="24"/>
        </w:rPr>
        <w:fldChar w:fldCharType="separate"/>
      </w:r>
      <w:r w:rsidRPr="005C3F11">
        <w:rPr>
          <w:rFonts w:cs="Times New Roman"/>
          <w:noProof/>
          <w:szCs w:val="24"/>
        </w:rPr>
        <w:t>(Niblack et al., 2002; Tylka, 2016)</w:t>
      </w:r>
      <w:r w:rsidRPr="005C3F11">
        <w:rPr>
          <w:rFonts w:cs="Times New Roman"/>
          <w:szCs w:val="24"/>
        </w:rPr>
        <w:fldChar w:fldCharType="end"/>
      </w:r>
      <w:r w:rsidRPr="005C3F11">
        <w:rPr>
          <w:rFonts w:cs="Times New Roman"/>
          <w:szCs w:val="24"/>
        </w:rPr>
        <w:t xml:space="preserve">. Our study shows that most of </w:t>
      </w:r>
      <w:r>
        <w:rPr>
          <w:rFonts w:cs="Times New Roman"/>
          <w:szCs w:val="24"/>
        </w:rPr>
        <w:t xml:space="preserve">the </w:t>
      </w:r>
      <w:r w:rsidRPr="005C3F11">
        <w:rPr>
          <w:rFonts w:cs="Times New Roman"/>
          <w:szCs w:val="24"/>
        </w:rPr>
        <w:t xml:space="preserve">tested SCN populations reproduced more than 10% of their population on the susceptible soybean on the indicator lines Peking (PI 548402), PI 88788, PI 209332, and PI 548316. Six populations (67%) reproduced successfully on PI 548402 (Peking), eight populations (89%) successfully reproduced on PI 88788 and PI 209332, and all nine populations (100%) reproduced on  PI 548316 (Cloud). This indicates that growing cultivars derived from these resistance lines in the infested fields would result in increased SCN density and possible yield loss. </w:t>
      </w:r>
      <w:r w:rsidRPr="00D40FF8">
        <w:rPr>
          <w:rFonts w:cs="Times New Roman"/>
          <w:szCs w:val="24"/>
        </w:rPr>
        <w:t xml:space="preserve">Similar results </w:t>
      </w:r>
      <w:r>
        <w:rPr>
          <w:rFonts w:cs="Times New Roman"/>
          <w:szCs w:val="24"/>
        </w:rPr>
        <w:t xml:space="preserve">have been </w:t>
      </w:r>
      <w:r w:rsidRPr="00D40FF8">
        <w:rPr>
          <w:rFonts w:cs="Times New Roman"/>
          <w:szCs w:val="24"/>
        </w:rPr>
        <w:t>reported from several states in the United States</w:t>
      </w:r>
      <w:r>
        <w:rPr>
          <w:rFonts w:cs="Times New Roman"/>
          <w:szCs w:val="24"/>
        </w:rPr>
        <w:t xml:space="preserve"> (Table 2.4)</w:t>
      </w:r>
      <w:r w:rsidRPr="00D40FF8">
        <w:rPr>
          <w:rFonts w:cs="Times New Roman"/>
          <w:szCs w:val="24"/>
        </w:rPr>
        <w:t xml:space="preserve">. In a </w:t>
      </w:r>
      <w:r>
        <w:rPr>
          <w:rFonts w:cs="Times New Roman"/>
          <w:szCs w:val="24"/>
        </w:rPr>
        <w:t xml:space="preserve">Missouri survey </w:t>
      </w:r>
      <w:r w:rsidRPr="00D40FF8">
        <w:rPr>
          <w:rFonts w:cs="Times New Roman"/>
          <w:szCs w:val="24"/>
        </w:rPr>
        <w:t>in 2005</w:t>
      </w:r>
      <w:r>
        <w:rPr>
          <w:rFonts w:cs="Times New Roman"/>
          <w:szCs w:val="24"/>
        </w:rPr>
        <w:t xml:space="preserve">, </w:t>
      </w:r>
      <w:r w:rsidRPr="00D40FF8">
        <w:rPr>
          <w:rFonts w:cs="Times New Roman"/>
          <w:szCs w:val="24"/>
        </w:rPr>
        <w:t>80% of SCN populations successfully reproduced on PI 88788</w:t>
      </w:r>
      <w:r>
        <w:rPr>
          <w:rFonts w:cs="Times New Roman"/>
          <w:szCs w:val="24"/>
        </w:rPr>
        <w:t xml:space="preserve"> and 70% </w:t>
      </w:r>
      <w:r w:rsidRPr="00D40FF8">
        <w:rPr>
          <w:rFonts w:cs="Times New Roman"/>
          <w:szCs w:val="24"/>
        </w:rPr>
        <w:t>reproduce</w:t>
      </w:r>
      <w:r>
        <w:rPr>
          <w:rFonts w:cs="Times New Roman"/>
          <w:szCs w:val="24"/>
        </w:rPr>
        <w:t>d</w:t>
      </w:r>
      <w:r w:rsidRPr="00D40FF8">
        <w:rPr>
          <w:rFonts w:cs="Times New Roman"/>
          <w:szCs w:val="24"/>
        </w:rPr>
        <w:t xml:space="preserve"> on PI 209332</w:t>
      </w:r>
      <w:r>
        <w:rPr>
          <w:rFonts w:cs="Times New Roman"/>
          <w:szCs w:val="24"/>
        </w:rPr>
        <w:t xml:space="preserve"> </w:t>
      </w:r>
      <w:r w:rsidRPr="00D40FF8">
        <w:rPr>
          <w:rFonts w:cs="Times New Roman"/>
          <w:szCs w:val="24"/>
        </w:rPr>
        <w:t xml:space="preserve">and PI 548316 (Cloud) </w:t>
      </w:r>
      <w:r w:rsidRPr="00D40FF8">
        <w:rPr>
          <w:rFonts w:cs="Times New Roman"/>
          <w:szCs w:val="24"/>
        </w:rPr>
        <w:fldChar w:fldCharType="begin" w:fldLock="1"/>
      </w:r>
      <w:r w:rsidRPr="00D40FF8">
        <w:rPr>
          <w:rFonts w:cs="Times New Roman"/>
          <w:szCs w:val="24"/>
        </w:rPr>
        <w:instrText>ADDIN CSL_CITATION {"citationItems":[{"id":"ITEM-1","itemData":{"DOI":"10.1094/PDIS-91-11-1473","ISSN":"01912917","abstract":"The soybean cyst nematode, Heterodera glycines, is a serious economic threat to soybean producers in Missouri. Periodic monitoring for the presence, population densities, and virulence phenotypes of H. glycines is essential for determining crop losses and devising management strategies implementing the use of resistant cultivars. A survey using area-frame sampling was conducted to determine the distribution and virulence phenotypes of H. glycines in Missouri during 2005. Two samples from each of 125 fields representing eight geographical regions of Missouri were collected; 243 samples were processed for extraction of cysts and eggs. In all, 49% of samples had detectable cyst nematode populations, which ranged from 138 to 85,250 eggs per 250 cm 3 of soil. Race and H. glycines type tests were conducted on populations from 45 samples. Nearly 80% of the populations that were tested, irrespective of the region, were virulent on the indicator line plant introduction (PI) 88788, which is the source of resistance for most H. glycines-resistant cultivars. More than 70% of populations could reproduce on the indicator lines PI 88788, PI 209332, and PI 548316 (Cloud), indicating that soybean cultivars with resistance derived from these sources need to be carefully monitored and used only in rotation with nonhost crops and soybean cultivars with resistance from other sources. Approximately one-third of the populations, primarily in the southern regions of Missouri, could reproduce on PI 548402 (Peking), another common source of resistance. Fewer than 10% of the populations could reproduce on PI 90763, PI 437654, PI 89772, or PI 438489B, suggesting that these sources of resistance should be used in soybean breeding programs to develop H. glycines-resistant soybean cultivars. © 2007 The American Phytopathological Society.","author":[{"dropping-particle":"","family":"Mitchum","given":"Melissa G.","non-dropping-particle":"","parse-names":false,"suffix":""},{"dropping-particle":"","family":"Wrather","given":"J. Allen","non-dropping-particle":"","parse-names":false,"suffix":""},{"dropping-particle":"","family":"Heinz","given":"Robert D.","non-dropping-particle":"","parse-names":false,"suffix":""},{"dropping-particle":"","family":"Shannon","given":"J. Grover","non-dropping-particle":"","parse-names":false,"suffix":""},{"dropping-particle":"","family":"Danekas","given":"Gene","non-dropping-particle":"","parse-names":false,"suffix":""}],"container-title":"Plant Disease","id":"ITEM-1","issue":"11","issued":{"date-parts":[["2007"]]},"page":"1473-1476","title":"Variability in distribution and virulence phenotypes of Heterodera glycines in Missouri during 2005","type":"article-journal","volume":"91"},"uris":["http://www.mendeley.com/documents/?uuid=ba3d42bf-f384-4ed7-aa86-4b5feb9c74ae"]}],"mendeley":{"formattedCitation":"(Mitchum et al., 2007)","plainTextFormattedCitation":"(Mitchum et al., 2007)","previouslyFormattedCitation":"(Mitchum et al., 2007)"},"properties":{"noteIndex":0},"schema":"https://github.com/citation-style-language/schema/raw/master/csl-citation.json"}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(Mitchum et al., 2007)</w:t>
      </w:r>
      <w:r w:rsidRPr="00D40FF8">
        <w:rPr>
          <w:rFonts w:cs="Times New Roman"/>
          <w:szCs w:val="24"/>
        </w:rPr>
        <w:fldChar w:fldCharType="end"/>
      </w:r>
      <w:r w:rsidRPr="00D40FF8">
        <w:rPr>
          <w:rFonts w:cs="Times New Roman"/>
          <w:szCs w:val="24"/>
        </w:rPr>
        <w:t xml:space="preserve">. </w:t>
      </w:r>
      <w:r>
        <w:rPr>
          <w:rFonts w:cs="Times New Roman"/>
          <w:szCs w:val="24"/>
        </w:rPr>
        <w:t xml:space="preserve">Likewise, </w:t>
      </w:r>
      <w:r w:rsidRPr="00D40FF8">
        <w:rPr>
          <w:rFonts w:cs="Times New Roman"/>
          <w:szCs w:val="24"/>
        </w:rPr>
        <w:t xml:space="preserve">in </w:t>
      </w:r>
      <w:r>
        <w:rPr>
          <w:rFonts w:cs="Times New Roman"/>
          <w:szCs w:val="24"/>
        </w:rPr>
        <w:t xml:space="preserve">a </w:t>
      </w:r>
      <w:r w:rsidRPr="00D40FF8">
        <w:rPr>
          <w:rFonts w:cs="Times New Roman"/>
          <w:szCs w:val="24"/>
        </w:rPr>
        <w:t>Nebraska</w:t>
      </w:r>
      <w:r>
        <w:rPr>
          <w:rFonts w:cs="Times New Roman"/>
          <w:szCs w:val="24"/>
        </w:rPr>
        <w:t xml:space="preserve"> survey between 2008 and 2014,  </w:t>
      </w:r>
      <w:r w:rsidRPr="00D40FF8">
        <w:rPr>
          <w:rFonts w:cs="Times New Roman"/>
          <w:szCs w:val="24"/>
        </w:rPr>
        <w:t>47%</w:t>
      </w:r>
      <w:r>
        <w:rPr>
          <w:rFonts w:cs="Times New Roman"/>
          <w:szCs w:val="24"/>
        </w:rPr>
        <w:t xml:space="preserve"> reproduced </w:t>
      </w:r>
      <w:r w:rsidRPr="00D40FF8">
        <w:rPr>
          <w:rFonts w:cs="Times New Roman"/>
          <w:szCs w:val="24"/>
        </w:rPr>
        <w:t>on PI 88788, 30%</w:t>
      </w:r>
      <w:r>
        <w:rPr>
          <w:rFonts w:cs="Times New Roman"/>
          <w:szCs w:val="24"/>
        </w:rPr>
        <w:t xml:space="preserve"> reproduced on </w:t>
      </w:r>
      <w:r w:rsidRPr="00D40FF8">
        <w:rPr>
          <w:rFonts w:cs="Times New Roman"/>
          <w:szCs w:val="24"/>
        </w:rPr>
        <w:t>Peking,</w:t>
      </w:r>
      <w:r>
        <w:rPr>
          <w:rFonts w:cs="Times New Roman"/>
          <w:szCs w:val="24"/>
        </w:rPr>
        <w:t xml:space="preserve"> </w:t>
      </w:r>
      <w:r w:rsidRPr="00D40FF8">
        <w:rPr>
          <w:rFonts w:cs="Times New Roman"/>
          <w:szCs w:val="24"/>
        </w:rPr>
        <w:t>and 88%</w:t>
      </w:r>
      <w:r>
        <w:rPr>
          <w:rFonts w:cs="Times New Roman"/>
          <w:szCs w:val="24"/>
        </w:rPr>
        <w:t xml:space="preserve"> of populations reproduced PI 548316</w:t>
      </w:r>
      <w:r w:rsidRPr="00D40FF8">
        <w:rPr>
          <w:rFonts w:cs="Times New Roman"/>
          <w:szCs w:val="24"/>
        </w:rPr>
        <w:t xml:space="preserve"> </w:t>
      </w:r>
      <w:r w:rsidRPr="00D40FF8">
        <w:rPr>
          <w:rFonts w:cs="Times New Roman"/>
          <w:szCs w:val="24"/>
        </w:rPr>
        <w:fldChar w:fldCharType="begin" w:fldLock="1"/>
      </w:r>
      <w:r w:rsidRPr="00D40FF8">
        <w:rPr>
          <w:rFonts w:cs="Times New Roman"/>
          <w:szCs w:val="24"/>
        </w:rPr>
        <w:instrText>ADDIN CSL_CITATION {"citationItems":[{"id":"ITEM-1","itemData":{"author":[{"dropping-particle":"","family":"Broderick","given":"Kyle C","non-dropping-particle":"","parse-names":false,"suffix":""}],"id":"ITEM-1","issued":{"date-parts":[["2016"]]},"title":"DIVERSITY AND VIRULENCE OF SOYBEAN CYST NEMATODE ( Heterodera glycines Ichinohe ) IN NEBRASKA","type":"article-journal"},"uris":["http://www.mendeley.com/documents/?uuid=9b0223a0-ade8-46db-a4f7-3ee19bb3c60b"]}],"mendeley":{"formattedCitation":"(Broderick, 2016)","plainTextFormattedCitation":"(Broderick, 2016)","previouslyFormattedCitation":"(Broderick, 2016)"},"properties":{"noteIndex":0},"schema":"https://github.com/citation-style-language/schema/raw/master/csl-citation.json"}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(Broderick, 2016)</w:t>
      </w:r>
      <w:r w:rsidRPr="00D40FF8">
        <w:rPr>
          <w:rFonts w:cs="Times New Roman"/>
          <w:szCs w:val="24"/>
        </w:rPr>
        <w:fldChar w:fldCharType="end"/>
      </w:r>
      <w:r>
        <w:rPr>
          <w:rFonts w:cs="Times New Roman"/>
          <w:szCs w:val="24"/>
        </w:rPr>
        <w:t xml:space="preserve">. In </w:t>
      </w:r>
      <w:r w:rsidRPr="00D40FF8">
        <w:rPr>
          <w:rFonts w:cs="Times New Roman"/>
          <w:szCs w:val="24"/>
        </w:rPr>
        <w:t>South Dakota</w:t>
      </w:r>
      <w:r>
        <w:rPr>
          <w:rFonts w:cs="Times New Roman"/>
          <w:szCs w:val="24"/>
        </w:rPr>
        <w:t xml:space="preserve">, </w:t>
      </w:r>
      <w:r w:rsidRPr="00D40FF8">
        <w:rPr>
          <w:rFonts w:cs="Times New Roman"/>
          <w:szCs w:val="24"/>
        </w:rPr>
        <w:t xml:space="preserve">7%, 19%, 25%, and 75% of populations reproduced successfully on Peking, PI 209332, PI 88788, and PI 548316, respectively </w:t>
      </w:r>
      <w:r w:rsidRPr="00D40FF8">
        <w:rPr>
          <w:rFonts w:cs="Times New Roman"/>
          <w:szCs w:val="24"/>
        </w:rPr>
        <w:fldChar w:fldCharType="begin" w:fldLock="1"/>
      </w:r>
      <w:r w:rsidRPr="00D40FF8">
        <w:rPr>
          <w:rFonts w:cs="Times New Roman"/>
          <w:szCs w:val="24"/>
        </w:rPr>
        <w:instrText>ADDIN CSL_CITATION {"citationItems":[{"id":"ITEM-1","itemData":{"DOI":"10.1094/PDIS-04-16-0572-RE","ISSN":"01912917","abstract":"The soybean cyst nematode (SCN), Heterodera glycines, is the most important yield-limiting pathogen of soybean in the United States. In South Dakota, SCN has been found in 29 counties, as of 2016, and continues to spread. Determining the virulence phenotypes (HG types) of the SCN populations can reveal the diversity of the SCN populations and the sources of resistance that would be most effective for SCN management. To determine the HG types prevalent in South Dakota, 250 soil samples were collected from at least three arbitrarily selected fields in each of the 28 counties with fields previously found to be infested with SCN. SCN was detected in 82 fields (33%), and combined egg and juvenile counts ranged from 200 to 65,200 per 100 cm3 of soil. Eggs and juveniles were extracted from each soil sample and were used to infest seven SCN HG type test indicator soybean lines and ‘Williams 82’ as the susceptible check. A female index (FI) was calculated based on the number of females found on each indicator line relative to those on the susceptible check. A FI equal to or greater than 10% in any line was assigned as that HG type. Out of 73 SCN populations for which HG type tests were done, 63% had FI ≥10% on PI 548316 (indicator line #7), 25% on PI 88788 (#2), 19% on PI 209332 (#5), 7% on PI 548402 (#1), 4% on PI 90736 (#3), and 4% on PI 89722 (#6). None of the SCN populations had FI ≥10% on PI 437654 (indicator line #4). The most prevalent HG types were 0, 2.5.7, and 7. These accounted for 81% of all the HG types determined for the samples tested. HG types with ≥10% reproduction on indicator lines PI 88788, PI 209332, and PI 548317 were most prevalent in the soil samples tested, suggesting that the use of these sources of resistance for developing SCN resistant cultivars should be avoided. For sustainable SCN management, use of resistant cultivars should be rotated with nonhost crops and cultivars with different sources of resistance.","author":[{"dropping-particle":"","family":"Acharya","given":"K.","non-dropping-particle":"","parse-names":false,"suffix":""},{"dropping-particle":"","family":"Tande","given":"C.","non-dropping-particle":"","parse-names":false,"suffix":""},{"dropping-particle":"","family":"Byamukama","given":"E.","non-dropping-particle":"","parse-names":false,"suffix":""}],"container-title":"Plant Disease","id":"ITEM-1","issue":"11","issued":{"date-parts":[["2016"]]},"page":"2281-2286","title":"Determination of heterodera glycines virulence phenotypes occurring in South Dakota","type":"article-journal","volume":"100"},"uris":["http://www.mendeley.com/documents/?uuid=4db46b6b-d1ca-4973-bb8d-c030156c32ce"]}],"mendeley":{"formattedCitation":"(Acharya et al., 2016)","plainTextFormattedCitation":"(Acharya et al., 2016)","previouslyFormattedCitation":"(Acharya et al., 2016)"},"properties":{"noteIndex":0},"schema":"https://github.com/citation-style-language/schema/raw/master/csl-citation.json"}</w:instrText>
      </w:r>
      <w:r w:rsidRPr="00D40FF8">
        <w:rPr>
          <w:rFonts w:cs="Times New Roman"/>
          <w:szCs w:val="24"/>
        </w:rPr>
        <w:fldChar w:fldCharType="separate"/>
      </w:r>
      <w:r w:rsidRPr="00D40FF8">
        <w:rPr>
          <w:rFonts w:cs="Times New Roman"/>
          <w:noProof/>
          <w:szCs w:val="24"/>
        </w:rPr>
        <w:t>(Acharya et al., 2016)</w:t>
      </w:r>
      <w:r w:rsidRPr="00D40FF8">
        <w:rPr>
          <w:rFonts w:cs="Times New Roman"/>
          <w:szCs w:val="24"/>
        </w:rPr>
        <w:fldChar w:fldCharType="end"/>
      </w:r>
      <w:r w:rsidRPr="00D40FF8">
        <w:rPr>
          <w:rFonts w:cs="Times New Roman"/>
          <w:szCs w:val="24"/>
        </w:rPr>
        <w:t>.</w:t>
      </w:r>
      <w:r>
        <w:rPr>
          <w:rFonts w:cs="Times New Roman"/>
          <w:szCs w:val="24"/>
        </w:rPr>
        <w:t xml:space="preserve"> These values are relatively low compared to the 67% (Peking) 89% (P</w:t>
      </w:r>
      <w:r w:rsidRPr="009706F9">
        <w:rPr>
          <w:rFonts w:cs="Times New Roman"/>
          <w:sz w:val="20"/>
          <w:szCs w:val="20"/>
        </w:rPr>
        <w:t>I 88788</w:t>
      </w:r>
      <w:r>
        <w:rPr>
          <w:rFonts w:cs="Times New Roman"/>
          <w:sz w:val="20"/>
          <w:szCs w:val="20"/>
        </w:rPr>
        <w:t xml:space="preserve"> and </w:t>
      </w:r>
      <w:r w:rsidRPr="009706F9">
        <w:rPr>
          <w:rFonts w:cs="Times New Roman"/>
          <w:sz w:val="20"/>
          <w:szCs w:val="20"/>
        </w:rPr>
        <w:t>PI 209332</w:t>
      </w:r>
      <w:r>
        <w:rPr>
          <w:rFonts w:cs="Times New Roman"/>
          <w:sz w:val="20"/>
          <w:szCs w:val="20"/>
        </w:rPr>
        <w:t>), and 1</w:t>
      </w:r>
      <w:r>
        <w:rPr>
          <w:rFonts w:cs="Times New Roman"/>
          <w:szCs w:val="24"/>
        </w:rPr>
        <w:t>00% (PI 548316) in the present study (Table 2.4)</w:t>
      </w:r>
      <w:r w:rsidRPr="00D40FF8">
        <w:rPr>
          <w:rFonts w:cs="Times New Roman"/>
          <w:szCs w:val="24"/>
        </w:rPr>
        <w:t>.</w:t>
      </w:r>
      <w:r>
        <w:rPr>
          <w:rFonts w:cs="Times New Roman"/>
          <w:szCs w:val="24"/>
        </w:rPr>
        <w:t xml:space="preserve"> </w:t>
      </w:r>
      <w:r w:rsidRPr="00D40FF8">
        <w:rPr>
          <w:rFonts w:cs="Times New Roman"/>
          <w:szCs w:val="24"/>
        </w:rPr>
        <w:t xml:space="preserve">These results indicated that SCN populations have adapted to the most commonly used resistance sources in every place they have been consistently grown, which is the PI88788 source that is now cited to be in over 90% of commercial cultivars </w:t>
      </w:r>
      <w:r w:rsidRPr="00D40FF8">
        <w:rPr>
          <w:rFonts w:cs="Times New Roman"/>
          <w:szCs w:val="24"/>
        </w:rPr>
        <w:fldChar w:fldCharType="begin" w:fldLock="1"/>
      </w:r>
      <w:r>
        <w:rPr>
          <w:rFonts w:cs="Times New Roman"/>
          <w:szCs w:val="24"/>
        </w:rPr>
        <w:instrText>ADDIN CSL_CITATION {"citationItems":[{"id":"ITEM-1","itemData":{"DOI":"10.1126/science.1228746","ISSN":"10959203","abstract":"The rhg1-b allele of soybean is widely used for resistance against soybean cyst nematode (SCN), the most economically damaging pathogen of soybeans in the United States. Gene silencing showed that genes in a 31-kilobase segment at rhg1-b, encoding an amino acid transporter, an α-SNAP protein, and a WI12 (wound-inducible domain) protein, each contribute to resistance. There is one copy of the 31-kilobase segment per haploid genome in susceptible varieties, but 10 tandem copies are present in an rhg1-b haplotype. Overexpression of the individual genes in roots was ineffective, but overexpression of the genes together conferred enhanced SCN resistance. Hence, SCN resistance mediated by the soybean quantitative trait locus Rhg1 is conferred by copy number variation that increases the expression of a set of dissimilar genes in a repeated multigene segment.","author":[{"dropping-particle":"","family":"Cook","given":"David E.","non-dropping-particle":"","parse-names":false,"suffix":""},{"dropping-particle":"","family":"Lee","given":"Tong Geon","non-dropping-particle":"","parse-names":false,"suffix":""},{"dropping-particle":"","family":"Guo","given":"Xiaoli","non-dropping-particle":"","parse-names":false,"suffix":""},{"dropping-particle":"","family":"Melito","given":"Sara","non-dropping-particle":"","parse-names":false,"suffix":""},{"dropping-particle":"","family":"Wang","given":"Kai","non-dropping-particle":"","parse-names":false,"suffix":""},{"dropping-particle":"","family":"Bayless","given":"Adam M.","non-dropping-particle":"","parse-names":false,"suffix":""},{"dropping-particle":"","family":"Wang","given":"Jianping","non-dropping-particle":"","parse-names":false,"suffix":""},{"dropping-particle":"","family":"Hughes","given":"Teresa J.","non-dropping-particle":"","parse-names":false,"suffix":""},{"dropping-particle":"","family":"Willis","given":"David K.","non-dropping-particle":"","parse-names":false,"suffix":""},{"dropping-particle":"","family":"Clemente","given":"Thomas E.","non-dropping-particle":"","parse-names":false,"suffix":""},{"dropping-particle":"","family":"Diers","given":"Brian W.","non-dropping-particle":"","parse-names":false,"suffix":""},{"dropping-particle":"","family":"Jiang","given":"Jiming","non-dropping-particle":"","parse-names":false,"suffix":""},{"dropping-particle":"","family":"Hudson","given":"Matthew E.","non-dropping-particle":"","parse-names":false,"suffix":""},{"dropping-particle":"","family":"Bent","given":"Andrew F.","non-dropping-particle":"","parse-names":false,"suffix":""}],"container-title":"Science","id":"ITEM-1","issue":"6111","issued":{"date-parts":[["2012"]]},"page":"1206-1209","title":"Copy number variation of multiple genes at Rhg1 mediates nematode resistance in soybean","type":"article-journal","volume":"338"},"uris":["http://www.mendeley.com/documents/?uuid=a3f16c06-1eca-4707-a0b5-413a6033e413"]},{"id":"ITEM-2","itemData":{"DOI":"10.1007/s00122-016-2816-x","ISSN":"00405752","abstract":"Key message: Integration of genetic analysis, molecular biology, and genomic approaches drastically enhanced our understanding of genetic control of nematode resistance and provided effective breeding strategies in soybeans. Abstract: Three nematode species, including soybean cyst (SCN, Heterodera glycine), root-knot (RKN, Meloidogyne incognita), and reniform (RN, Rotylenchulus reniformis), are the most destructive pests and have spread to soybean growing areas worldwide. Host plant resistance has played an important role in their control. This review focuses on genetic, genomic studies, and breeding efforts over the past two decades to identify and improve host resistance to these three nematode species. Advancements in genetics, genomics, and bioinformatics have improved our understanding of the molecular and genetic mechanisms of nematode resistance and enabled researchers to generate large-scale genomic resources and marker-trait associations. Whole-genome resequencing, genotyping-by-sequencing, genome-wide association studies, and haplotype analyses have been employed to map and dissect genomic locations for nematode resistance. Recently, two major SCN-resistant loci, Rhg1 and Rhg4, were cloned and other novel resistance quantitative trait loci (QTL) have been discovered. Based on these discoveries, gene-specific DNA markers have been developed for both Rhg1 and Rhg4 loci, which were useful for marker-assisted selection. With RKN resistance QTL being mapped, candidate genes responsible for RKN resistance were identified, leading to the development of functional single nucleotide polymorphism markers. So far, three resistances QTL have been genetically mapped for RN resistance. With nematode species overcoming the host plant resistance, continuous efforts in the identification and deployment of new resistance genes are required to support the development of soybean cultivars with multiple and durable resistance to these pests.","author":[{"dropping-particle":"","family":"Kim","given":"Ki Seung","non-dropping-particle":"","parse-names":false,"suffix":""},{"dropping-particle":"","family":"Vuong","given":"Tri D.","non-dropping-particle":"","parse-names":false,"suffix":""},{"dropping-particle":"","family":"Qiu","given":"Dan","non-dropping-particle":"","parse-names":false,"suffix":""},{"dropping-particle":"","family":"Robbins","given":"Robert T.","non-dropping-particle":"","parse-names":false,"suffix":""},{"dropping-particle":"","family":"Grover Shannon","given":"J.","non-dropping-particle":"","parse-names":false,"suffix":""},{"dropping-particle":"","family":"Li","given":"Zenglu","non-dropping-particle":"","parse-names":false,"suffix":""},{"dropping-particle":"","family":"Nguyen","given":"Henry T.","non-dropping-particle":"","parse-names":false,"suffix":""}],"container-title":"Theoretical and Applied Genetics","id":"ITEM-2","issue":"12","issued":{"date-parts":[["2016"]]},"page":"2295-2311","publisher":"Springer Berlin Heidelberg","title":"Advancements in breeding, genetics, and genomics for resistance to three nematode species in soybean","type":"article-journal","volume":"129"},"uris":["http://www.mendeley.com/documents/?uuid=1b712f60-b488-4672-8bb8-fa310060ab62"]},{"id":"ITEM-3","itemData":{"DOI":"10.1094/PHYTO-06-16-0227-RVW","ISSN":"0031949X","abstract":"Mitchum, M. G. 2016. Soybean resistance to the soybean cyst nematode Heterodera glycines: An update. Phytopathology 106:1444-1450. The soybean cyst nematode (SCN), Heterodera glycines, remains a serious threat to soybean production throughout the world. A lack of genetic diversity in resistant soybean cultivars has led to a widespread shift toward virulence in SCN populations, leaving farmers with few proven options other than nonhost rotation to manage this nematode. Recent advances in our understanding of the genes controlling resistance to the nematode have led to improved molecular markers, which are, in turn, increasing the efficiency and precision of the breeding pipeline. A better understanding of the molecular and biochemical basis of SCN resistance and nematode virulence will provide information useful for the development of a long-term strategic plan for diversification and the deployment of cultivars that protect current sources of natural resistance while identifying new targets for engineering novel resistance.","author":[{"dropping-particle":"","family":"Mitchum","given":"Melissa G.","non-dropping-particle":"","parse-names":false,"suffix":""}],"container-title":"Phytopathology","id":"ITEM-3","issue":"12","issued":{"date-parts":[["2016"]]},"page":"1444-1450","title":"Soybean resistance to the soybean cyst nematode heterodera glycines: An update","type":"article-journal","volume":"106"},"uris":["http://www.mendeley.com/documents/?uuid=7e379c9f-e9f6-45a9-aa1d-efff9d97c69c"]},{"id":"ITEM-4","itemData":{"DOI":"10.1094/php-2008-0118-01-rs","ISBN":"2008011801","ISSN":"1535-1025","abstract":"Circadian rhythms in physiology and behavior are temporally synchronized to the day/night cycle through the action of light on the circadian clock. In mammals, transduction of the photic signal reaching the circadian oscillator in the suprachiasmatic nucleus (SCN) occurs through the release of glutamate and pituitary adenylate cyclase-activating peptide (PACAP). The authors' study aimed at clarifying the role played by PACAP in photic resetting and entrainment. They investigated the circadian response to light of PACAPnullmice lacking the 5th exon of the PACAP coding sequence. Specifically, they examined free-running rhythms, entrainment to 12-h light:12-h dark (LD)cycles, the phase-response curve (PRC) to single light pulses, entrainment to a23-h T-cycle, re-entrainment to 6-h phase shifts in LD cycles, and light-induced c-Fos expression. PACAP-null and wild-type mice show similar free-running periods and similar entrainment to 12:12 LD cycles. However, the PRC of PACAP-null mice lacks a phase-advance portion. Surprisingly, despite the absence of phase advance to single light pulses, PACAP-null mice are able to entrain to a 23-h T-cycle, but with a significantly longer phase angle of entrainment than wild types. In addition, PACAP-null mice re-entrain more slowly to a 6-h phase advance of the LD cycle. Nevertheless, induction of c-Fos by light in late night is normal. In all experiments, PACAP-null mice show specific behavioral impairments in response to phase-advancing photic stimuli. These results suggest that PACAP is required for the normal integration of the phase advancing light signal by the SCN","author":[{"dropping-particle":"","family":"Niblack","given":"T. L.","non-dropping-particle":"","parse-names":false,"suffix":""},{"dropping-particle":"","family":"Colgrove","given":"A. L.","non-dropping-particle":"","parse-names":false,"suffix":""},{"dropping-particle":"","family":"Colgrove","given":"K.","non-dropping-particle":"","parse-names":false,"suffix":""},{"dropping-particle":"","family":"Bond","given":"J. P.","non-dropping-particle":"","parse-names":false,"suffix":""}],"container-title":"Plant Health Progress","id":"ITEM-4","issue":"1","issued":{"date-parts":[["2008"]]},"page":"29","title":"Shift in Virulence of Soybean Cyst Nematode is Associated with Use of Resistance from PI 88788","type":"article-journal","volume":"9"},"uris":["http://www.mendeley.com/documents/?uuid=9c335980-21ce-44d4-a7f8-d57d4c2a0907"]}],"mendeley":{"formattedCitation":"(Cook et al., 2012; K. S. Kim et al., 2016; Mitchum, 2016; Niblack et al., 2008b)","plainTextFormattedCitation":"(Cook et al., 2012; K. S. Kim et al., 2016; Mitchum, 2016; Niblack et al., 2008b)","previouslyFormattedCitation":"(Cook et al., 2012; Kim et al., 2016; Mitchum, 2016; Niblack et al., 2008b)"},"properties":{"noteIndex":0},"schema":"https://github.com/citation-style-language/schema/raw/master/csl-citation.json"}</w:instrText>
      </w:r>
      <w:r w:rsidRPr="00D40FF8">
        <w:rPr>
          <w:rFonts w:cs="Times New Roman"/>
          <w:szCs w:val="24"/>
        </w:rPr>
        <w:fldChar w:fldCharType="separate"/>
      </w:r>
      <w:r>
        <w:rPr>
          <w:rFonts w:cs="Times New Roman"/>
          <w:noProof/>
          <w:szCs w:val="24"/>
        </w:rPr>
        <w:t xml:space="preserve">(Cook et al., 2012; </w:t>
      </w:r>
      <w:r w:rsidRPr="00FB5B67">
        <w:rPr>
          <w:rFonts w:cs="Times New Roman"/>
          <w:noProof/>
          <w:szCs w:val="24"/>
        </w:rPr>
        <w:t>Kim et al., 2016; Mitchum, 2016; Niblack et al., 2008)</w:t>
      </w:r>
      <w:r w:rsidRPr="00D40FF8">
        <w:rPr>
          <w:rFonts w:cs="Times New Roman"/>
          <w:szCs w:val="24"/>
        </w:rPr>
        <w:fldChar w:fldCharType="end"/>
      </w:r>
      <w:r w:rsidRPr="00D40FF8">
        <w:rPr>
          <w:rFonts w:cs="Times New Roman"/>
          <w:szCs w:val="24"/>
        </w:rPr>
        <w:t>.</w:t>
      </w:r>
      <w:r>
        <w:rPr>
          <w:rFonts w:cs="Times New Roman"/>
          <w:szCs w:val="24"/>
        </w:rPr>
        <w:t xml:space="preserve"> </w:t>
      </w:r>
      <w:r w:rsidRPr="005C3F11">
        <w:rPr>
          <w:rFonts w:cs="Times New Roman"/>
          <w:szCs w:val="24"/>
        </w:rPr>
        <w:t xml:space="preserve">Additionally, it is not surprising that all but one </w:t>
      </w:r>
      <w:r>
        <w:rPr>
          <w:rFonts w:cs="Times New Roman"/>
          <w:szCs w:val="24"/>
        </w:rPr>
        <w:t xml:space="preserve">and all </w:t>
      </w:r>
      <w:r w:rsidRPr="005C3F11">
        <w:rPr>
          <w:rFonts w:cs="Times New Roman"/>
          <w:szCs w:val="24"/>
        </w:rPr>
        <w:t>popu</w:t>
      </w:r>
      <w:r>
        <w:rPr>
          <w:rFonts w:cs="Times New Roman"/>
          <w:szCs w:val="24"/>
        </w:rPr>
        <w:t xml:space="preserve">lations had female indices ≥10 on PI88788 and PI209332 </w:t>
      </w:r>
      <w:r w:rsidRPr="005C3F11">
        <w:rPr>
          <w:rFonts w:cs="Times New Roman"/>
          <w:szCs w:val="24"/>
        </w:rPr>
        <w:t>and PI1548316 (HG Type 2</w:t>
      </w:r>
      <w:r w:rsidRPr="00D40FF8">
        <w:rPr>
          <w:rFonts w:cs="Times New Roman"/>
          <w:szCs w:val="24"/>
        </w:rPr>
        <w:t xml:space="preserve">.5.7), </w:t>
      </w:r>
      <w:r>
        <w:rPr>
          <w:rFonts w:cs="Times New Roman"/>
          <w:szCs w:val="24"/>
        </w:rPr>
        <w:t xml:space="preserve">respectively, </w:t>
      </w:r>
      <w:r w:rsidRPr="00D40FF8">
        <w:rPr>
          <w:rFonts w:cs="Times New Roman"/>
          <w:szCs w:val="24"/>
        </w:rPr>
        <w:t xml:space="preserve">due to these lines all deriving their SCN resistance from the same gene </w:t>
      </w:r>
      <w:r w:rsidRPr="00D40FF8">
        <w:rPr>
          <w:rFonts w:cs="Times New Roman"/>
          <w:szCs w:val="24"/>
        </w:rPr>
        <w:fldChar w:fldCharType="begin" w:fldLock="1"/>
      </w:r>
      <w:r>
        <w:rPr>
          <w:rFonts w:cs="Times New Roman"/>
          <w:szCs w:val="24"/>
        </w:rPr>
        <w:instrText>ADDIN CSL_CITATION {"citationItems":[{"id":"ITEM-1","itemData":{"DOI":"10.1126/science.1228746","ISSN":"10959203","abstract":"The rhg1-b allele of soybean is widely used for resistance against soybean cyst nematode (SCN), the most economically damaging pathogen of soybeans in the United States. Gene silencing showed that genes in a 31-kilobase segment at rhg1-b, encoding an amino acid transporter, an α-SNAP protein, and a WI12 (wound-inducible domain) protein, each contribute to resistance. There is one copy of the 31-kilobase segment per haploid genome in susceptible varieties, but 10 tandem copies are present in an rhg1-b haplotype. Overexpression of the individual genes in roots was ineffective, but overexpression of the genes together conferred enhanced SCN resistance. Hence, SCN resistance mediated by the soybean quantitative trait locus Rhg1 is conferred by copy number variation that increases the expression of a set of dissimilar genes in a repeated multigene segment.","author":[{"dropping-particle":"","family":"Cook","given":"David E.","non-dropping-particle":"","parse-names":false,"suffix":""},{"dropping-particle":"","family":"Lee","given":"Tong Geon","non-dropping-particle":"","parse-names":false,"suffix":""},{"dropping-particle":"","family":"Guo","given":"Xiaoli","non-dropping-particle":"","parse-names":false,"suffix":""},{"dropping-particle":"","family":"Melito","given":"Sara","non-dropping-particle":"","parse-names":false,"suffix":""},{"dropping-particle":"","family":"Wang","given":"Kai","non-dropping-particle":"","parse-names":false,"suffix":""},{"dropping-particle":"","family":"Bayless","given":"Adam M.","non-dropping-particle":"","parse-names":false,"suffix":""},{"dropping-particle":"","family":"Wang","given":"Jianping","non-dropping-particle":"","parse-names":false,"suffix":""},{"dropping-particle":"","family":"Hughes","given":"Teresa J.","non-dropping-particle":"","parse-names":false,"suffix":""},{"dropping-particle":"","family":"Willis","given":"David K.","non-dropping-particle":"","parse-names":false,"suffix":""},{"dropping-particle":"","family":"Clemente","given":"Thomas E.","non-dropping-particle":"","parse-names":false,"suffix":""},{"dropping-particle":"","family":"Diers","given":"Brian W.","non-dropping-particle":"","parse-names":false,"suffix":""},{"dropping-particle":"","family":"Jiang","given":"Jiming","non-dropping-particle":"","parse-names":false,"suffix":""},{"dropping-particle":"","family":"Hudson","given":"Matthew E.","non-dropping-particle":"","parse-names":false,"suffix":""},{"dropping-particle":"","family":"Bent","given":"Andrew F.","non-dropping-particle":"","parse-names":false,"suffix":""}],"container-title":"Science","id":"ITEM-1","issue":"6111","issued":{"date-parts":[["2012"]]},"page":"1206-1209","title":"Copy number variation of multiple genes at Rhg1 mediates nematode resistance in soybean","type":"article-journal","volume":"338"},"uris":["http://www.mendeley.com/documents/?uuid=a3f16c06-1eca-4707-a0b5-413a6033e413"]},{"id":"ITEM-2","itemData":{"DOI":"10.1007/s00122-016-2816-x","ISSN":"00405752","abstract":"Key message: Integration of genetic analysis, molecular biology, and genomic approaches drastically enhanced our understanding of genetic control of nematode resistance and provided effective breeding strategies in soybeans. Abstract: Three nematode species, including soybean cyst (SCN, Heterodera glycine), root-knot (RKN, Meloidogyne incognita), and reniform (RN, Rotylenchulus reniformis), are the most destructive pests and have spread to soybean growing areas worldwide. Host plant resistance has played an important role in their control. This review focuses on genetic, genomic studies, and breeding efforts over the past two decades to identify and improve host resistance to these three nematode species. Advancements in genetics, genomics, and bioinformatics have improved our understanding of the molecular and genetic mechanisms of nematode resistance and enabled researchers to generate large-scale genomic resources and marker-trait associations. Whole-genome resequencing, genotyping-by-sequencing, genome-wide association studies, and haplotype analyses have been employed to map and dissect genomic locations for nematode resistance. Recently, two major SCN-resistant loci, Rhg1 and Rhg4, were cloned and other novel resistance quantitative trait loci (QTL) have been discovered. Based on these discoveries, gene-specific DNA markers have been developed for both Rhg1 and Rhg4 loci, which were useful for marker-assisted selection. With RKN resistance QTL being mapped, candidate genes responsible for RKN resistance were identified, leading to the development of functional single nucleotide polymorphism markers. So far, three resistances QTL have been genetically mapped for RN resistance. With nematode species overcoming the host plant resistance, continuous efforts in the identification and deployment of new resistance genes are required to support the development of soybean cultivars with multiple and durable resistance to these pests.","author":[{"dropping-particle":"","family":"Kim","given":"Ki Seung","non-dropping-particle":"","parse-names":false,"suffix":""},{"dropping-particle":"","family":"Vuong","given":"Tri D.","non-dropping-particle":"","parse-names":false,"suffix":""},{"dropping-particle":"","family":"Qiu","given":"Dan","non-dropping-particle":"","parse-names":false,"suffix":""},{"dropping-particle":"","family":"Robbins","given":"Robert T.","non-dropping-particle":"","parse-names":false,"suffix":""},{"dropping-particle":"","family":"Grover Shannon","given":"J.","non-dropping-particle":"","parse-names":false,"suffix":""},{"dropping-particle":"","family":"Li","given":"Zenglu","non-dropping-particle":"","parse-names":false,"suffix":""},{"dropping-particle":"","family":"Nguyen","given":"Henry T.","non-dropping-particle":"","parse-names":false,"suffix":""}],"container-title":"Theoretical and Applied Genetics","id":"ITEM-2","issue":"12","issued":{"date-parts":[["2016"]]},"page":"2295-2311","publisher":"Springer Berlin Heidelberg","title":"Advancements in breeding, genetics, and genomics for resistance to three nematode species in soybean","type":"article-journal","volume":"129"},"uris":["http://www.mendeley.com/documents/?uuid=1b712f60-b488-4672-8bb8-fa310060ab62"]},{"id":"ITEM-3","itemData":{"DOI":"10.1094/PHYTO-06-16-0227-RVW","ISSN":"0031949X","abstract":"Mitchum, M. G. 2016. Soybean resistance to the soybean cyst nematode Heterodera glycines: An update. Phytopathology 106:1444-1450. The soybean cyst nematode (SCN), Heterodera glycines, remains a serious threat to soybean production throughout the world. A lack of genetic diversity in resistant soybean cultivars has led to a widespread shift toward virulence in SCN populations, leaving farmers with few proven options other than nonhost rotation to manage this nematode. Recent advances in our understanding of the genes controlling resistance to the nematode have led to improved molecular markers, which are, in turn, increasing the efficiency and precision of the breeding pipeline. A better understanding of the molecular and biochemical basis of SCN resistance and nematode virulence will provide information useful for the development of a long-term strategic plan for diversification and the deployment of cultivars that protect current sources of natural resistance while identifying new targets for engineering novel resistance.","author":[{"dropping-particle":"","family":"Mitchum","given":"Melissa G.","non-dropping-particle":"","parse-names":false,"suffix":""}],"container-title":"Phytopathology","id":"ITEM-3","issue":"12","issued":{"date-parts":[["2016"]]},"page":"1444-1450","title":"Soybean resistance to the soybean cyst nematode heterodera glycines: An update","type":"article-journal","volume":"106"},"uris":["http://www.mendeley.com/documents/?uuid=7e379c9f-e9f6-45a9-aa1d-efff9d97c69c"]},{"id":"ITEM-4","itemData":{"DOI":"10.1094/php-2008-0118-01-rs","ISBN":"2008011801","ISSN":"1535-1025","abstract":"Circadian rhythms in physiology and behavior are temporally synchronized to the day/night cycle through the action of light on the circadian clock. In mammals, transduction of the photic signal reaching the circadian oscillator in the suprachiasmatic nucleus (SCN) occurs through the release of glutamate and pituitary adenylate cyclase-activating peptide (PACAP). The authors' study aimed at clarifying the role played by PACAP in photic resetting and entrainment. They investigated the circadian response to light of PACAPnullmice lacking the 5th exon of the PACAP coding sequence. Specifically, they examined free-running rhythms, entrainment to 12-h light:12-h dark (LD)cycles, the phase-response curve (PRC) to single light pulses, entrainment to a23-h T-cycle, re-entrainment to 6-h phase shifts in LD cycles, and light-induced c-Fos expression. PACAP-null and wild-type mice show similar free-running periods and similar entrainment to 12:12 LD cycles. However, the PRC of PACAP-null mice lacks a phase-advance portion. Surprisingly, despite the absence of phase advance to single light pulses, PACAP-null mice are able to entrain to a 23-h T-cycle, but with a significantly longer phase angle of entrainment than wild types. In addition, PACAP-null mice re-entrain more slowly to a 6-h phase advance of the LD cycle. Nevertheless, induction of c-Fos by light in late night is normal. In all experiments, PACAP-null mice show specific behavioral impairments in response to phase-advancing photic stimuli. These results suggest that PACAP is required for the normal integration of the phase advancing light signal by the SCN","author":[{"dropping-particle":"","family":"Niblack","given":"T. L.","non-dropping-particle":"","parse-names":false,"suffix":""},{"dropping-particle":"","family":"Colgrove","given":"A. L.","non-dropping-particle":"","parse-names":false,"suffix":""},{"dropping-particle":"","family":"Colgrove","given":"K.","non-dropping-particle":"","parse-names":false,"suffix":""},{"dropping-particle":"","family":"Bond","given":"J. P.","non-dropping-particle":"","parse-names":false,"suffix":""}],"container-title":"Plant Health Progress","id":"ITEM-4","issue":"1","issued":{"date-parts":[["2008"]]},"page":"29","title":"Shift in Virulence of Soybean Cyst Nematode is Associated with Use of Resistance from PI 88788","type":"article-journal","volume":"9"},"uris":["http://www.mendeley.com/documents/?uuid=9c335980-21ce-44d4-a7f8-d57d4c2a0907"]}],"mendeley":{"formattedCitation":"(Cook et al., 2012; K. S. Kim et al., 2016; Mitchum, 2016; Niblack et al., 2008b)","plainTextFormattedCitation":"(Cook et al., 2012; K. S. Kim et al., 2016; Mitchum, 2016; Niblack et al., 2008b)","previouslyFormattedCitation":"(Cook et al., 2012; Kim et al., 2016; Mitchum, 2016; Niblack et al., 2008b)"},"properties":{"noteIndex":0},"schema":"https://github.com/citation-style-language/schema/raw/master/csl-citation.json"}</w:instrText>
      </w:r>
      <w:r w:rsidRPr="00D40FF8">
        <w:rPr>
          <w:rFonts w:cs="Times New Roman"/>
          <w:szCs w:val="24"/>
        </w:rPr>
        <w:fldChar w:fldCharType="separate"/>
      </w:r>
      <w:r>
        <w:rPr>
          <w:rFonts w:cs="Times New Roman"/>
          <w:noProof/>
          <w:szCs w:val="24"/>
        </w:rPr>
        <w:t xml:space="preserve">(Cook et al., 2012; </w:t>
      </w:r>
      <w:r w:rsidRPr="00FB5B67">
        <w:rPr>
          <w:rFonts w:cs="Times New Roman"/>
          <w:noProof/>
          <w:szCs w:val="24"/>
        </w:rPr>
        <w:t>Kim et al., 2016; Mitc</w:t>
      </w:r>
      <w:r w:rsidR="00870FD4">
        <w:rPr>
          <w:rFonts w:cs="Times New Roman"/>
          <w:noProof/>
          <w:szCs w:val="24"/>
        </w:rPr>
        <w:t>hum, 2016; Niblack et al., 2008</w:t>
      </w:r>
      <w:r w:rsidRPr="00FB5B67">
        <w:rPr>
          <w:rFonts w:cs="Times New Roman"/>
          <w:noProof/>
          <w:szCs w:val="24"/>
        </w:rPr>
        <w:t>)</w:t>
      </w:r>
      <w:r w:rsidRPr="00D40FF8">
        <w:rPr>
          <w:rFonts w:cs="Times New Roman"/>
          <w:szCs w:val="24"/>
        </w:rPr>
        <w:fldChar w:fldCharType="end"/>
      </w:r>
      <w:r w:rsidRPr="00D40FF8">
        <w:rPr>
          <w:rFonts w:cs="Times New Roman"/>
          <w:szCs w:val="24"/>
        </w:rPr>
        <w:t>.</w:t>
      </w:r>
      <w:r>
        <w:rPr>
          <w:rFonts w:cs="Times New Roman"/>
          <w:sz w:val="20"/>
          <w:szCs w:val="20"/>
        </w:rPr>
        <w:t xml:space="preserve"> </w:t>
      </w:r>
      <w:r>
        <w:rPr>
          <w:rFonts w:cs="Times New Roman"/>
          <w:szCs w:val="24"/>
        </w:rPr>
        <w:t>However, i</w:t>
      </w:r>
      <w:r w:rsidRPr="005C3F11">
        <w:rPr>
          <w:rFonts w:cs="Times New Roman"/>
          <w:szCs w:val="24"/>
        </w:rPr>
        <w:t>t should be noted</w:t>
      </w:r>
      <w:r>
        <w:rPr>
          <w:rFonts w:cs="Times New Roman"/>
          <w:szCs w:val="24"/>
        </w:rPr>
        <w:t xml:space="preserve"> that there are differences in reproduction potentials among SCN </w:t>
      </w:r>
      <w:r w:rsidRPr="005C3F11">
        <w:rPr>
          <w:rFonts w:cs="Times New Roman"/>
          <w:szCs w:val="24"/>
        </w:rPr>
        <w:t>po</w:t>
      </w:r>
      <w:r>
        <w:rPr>
          <w:rFonts w:cs="Times New Roman"/>
          <w:szCs w:val="24"/>
        </w:rPr>
        <w:t>pulations with the same HG type. For example, f</w:t>
      </w:r>
      <w:r w:rsidRPr="005C3F11">
        <w:rPr>
          <w:rFonts w:cs="Times New Roman"/>
          <w:szCs w:val="24"/>
        </w:rPr>
        <w:t xml:space="preserve">emale indices </w:t>
      </w:r>
      <w:r>
        <w:rPr>
          <w:rFonts w:cs="Times New Roman"/>
          <w:szCs w:val="24"/>
        </w:rPr>
        <w:t xml:space="preserve">of the populations </w:t>
      </w:r>
      <w:r w:rsidRPr="005C3F11">
        <w:rPr>
          <w:rFonts w:cs="Times New Roman"/>
          <w:szCs w:val="24"/>
        </w:rPr>
        <w:t>ranged from 10 to 28</w:t>
      </w:r>
      <w:r>
        <w:rPr>
          <w:rFonts w:cs="Times New Roman"/>
          <w:szCs w:val="24"/>
        </w:rPr>
        <w:t xml:space="preserve"> on PI548402, from 23 to 106 on PI88788, from 22 to 62 on </w:t>
      </w:r>
      <w:r w:rsidRPr="005C3F11">
        <w:rPr>
          <w:rFonts w:cs="Times New Roman"/>
          <w:szCs w:val="24"/>
        </w:rPr>
        <w:t xml:space="preserve">PI209332, and </w:t>
      </w:r>
      <w:r>
        <w:rPr>
          <w:rFonts w:cs="Times New Roman"/>
          <w:szCs w:val="24"/>
        </w:rPr>
        <w:t xml:space="preserve">from 13 to 191 on PI548316 (Table 2.3). Likewise, </w:t>
      </w:r>
      <w:r w:rsidRPr="00D40FF8">
        <w:rPr>
          <w:rFonts w:cs="Times New Roman"/>
          <w:szCs w:val="24"/>
        </w:rPr>
        <w:t xml:space="preserve">our results also showed that other sources of resistance including PI 90763, PI 437654, and PI 89772 still maintain their capability to suppress SCN populations and prevent yield loss. None of the tested populations were able </w:t>
      </w:r>
      <w:r>
        <w:rPr>
          <w:rFonts w:cs="Times New Roman"/>
          <w:szCs w:val="24"/>
        </w:rPr>
        <w:t>to successfully reproduce on the</w:t>
      </w:r>
      <w:r w:rsidRPr="00D40FF8">
        <w:rPr>
          <w:rFonts w:cs="Times New Roman"/>
          <w:szCs w:val="24"/>
        </w:rPr>
        <w:t xml:space="preserve"> lines (FI&lt;10).</w:t>
      </w:r>
    </w:p>
    <w:p w14:paraId="4B607403" w14:textId="77777777" w:rsidR="00D20476" w:rsidRPr="00DA6E40" w:rsidRDefault="00D20476" w:rsidP="00D20476">
      <w:pPr>
        <w:spacing w:line="360" w:lineRule="auto"/>
        <w:ind w:left="720" w:firstLine="720"/>
        <w:rPr>
          <w:rFonts w:cs="Times New Roman"/>
          <w:sz w:val="20"/>
          <w:szCs w:val="20"/>
        </w:rPr>
      </w:pPr>
      <w:r w:rsidRPr="00D40FF8">
        <w:rPr>
          <w:rFonts w:cs="Times New Roman"/>
          <w:szCs w:val="24"/>
        </w:rPr>
        <w:t>In conclusion, this study identified the occurrence and density of fourteen plant</w:t>
      </w:r>
      <w:r>
        <w:rPr>
          <w:rFonts w:cs="Times New Roman"/>
          <w:szCs w:val="24"/>
        </w:rPr>
        <w:t>-</w:t>
      </w:r>
      <w:r w:rsidRPr="00D40FF8">
        <w:rPr>
          <w:rFonts w:cs="Times New Roman"/>
          <w:szCs w:val="24"/>
        </w:rPr>
        <w:t xml:space="preserve">parasitic nematodes that can become a threat to field crop production in Tennessee. Among them, spiral, lance, SCN, and root-knot nematode populations demand close attention as these nematodes were either present in increasing predominance or density. Also, the HG type testing identified that 100% of SCN populations tested had developed the capability to feed on PI 88788–derived resistance cultivars. This information will support Tennessee growers in managing plant-parasitic nematode populations and preventing yield loss. </w:t>
      </w:r>
    </w:p>
    <w:p w14:paraId="4E4F6D1B" w14:textId="77777777" w:rsidR="00D20476" w:rsidRDefault="00D20476" w:rsidP="00D20476">
      <w:pPr>
        <w:pStyle w:val="Heading1"/>
        <w:ind w:left="720"/>
        <w:jc w:val="center"/>
      </w:pPr>
    </w:p>
    <w:p w14:paraId="581992BA" w14:textId="77777777" w:rsidR="00D20476" w:rsidRDefault="00D20476" w:rsidP="00D20476">
      <w:pPr>
        <w:rPr>
          <w:rFonts w:cs="Times New Roman"/>
          <w:b/>
          <w:bCs/>
          <w:sz w:val="28"/>
          <w:szCs w:val="28"/>
        </w:rPr>
      </w:pPr>
      <w:r>
        <w:br w:type="page"/>
      </w:r>
    </w:p>
    <w:p w14:paraId="681ED551" w14:textId="77777777" w:rsidR="00D20476" w:rsidRDefault="00D20476" w:rsidP="004E11C2">
      <w:pPr>
        <w:pStyle w:val="Heading1"/>
        <w:spacing w:line="360" w:lineRule="auto"/>
        <w:ind w:left="720"/>
        <w:jc w:val="center"/>
      </w:pPr>
      <w:bookmarkStart w:id="251" w:name="_Toc101048129"/>
      <w:r w:rsidRPr="008E2CD0">
        <w:t>References</w:t>
      </w:r>
      <w:bookmarkEnd w:id="248"/>
      <w:bookmarkEnd w:id="249"/>
      <w:bookmarkEnd w:id="250"/>
      <w:bookmarkEnd w:id="251"/>
    </w:p>
    <w:p w14:paraId="01EA65E9" w14:textId="77777777" w:rsidR="00D20476" w:rsidRDefault="00D20476" w:rsidP="004E11C2">
      <w:pPr>
        <w:pStyle w:val="Heading1"/>
        <w:spacing w:line="360" w:lineRule="auto"/>
        <w:ind w:left="720"/>
        <w:jc w:val="center"/>
      </w:pPr>
    </w:p>
    <w:p w14:paraId="18545B30"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Acedo, J. R., Dropkin, V. H., &amp; Luedders, V. D. (1984). Nematode population attrition and histopathology of </w:t>
      </w:r>
      <w:r w:rsidRPr="007A39B7">
        <w:rPr>
          <w:rFonts w:cs="Times New Roman"/>
          <w:i/>
          <w:szCs w:val="24"/>
        </w:rPr>
        <w:t>Heterodera glycines</w:t>
      </w:r>
      <w:r w:rsidRPr="007A39B7">
        <w:rPr>
          <w:rFonts w:cs="Times New Roman"/>
          <w:szCs w:val="24"/>
        </w:rPr>
        <w:t xml:space="preserve">-soybean associations. </w:t>
      </w:r>
      <w:r w:rsidRPr="007A39B7">
        <w:rPr>
          <w:rFonts w:cs="Times New Roman"/>
          <w:i/>
          <w:szCs w:val="24"/>
        </w:rPr>
        <w:t>Journal of Nematology</w:t>
      </w:r>
      <w:r w:rsidRPr="007A39B7">
        <w:rPr>
          <w:rFonts w:cs="Times New Roman"/>
          <w:szCs w:val="24"/>
        </w:rPr>
        <w:t>, 16(1), 48–56.</w:t>
      </w:r>
    </w:p>
    <w:p w14:paraId="773AF51D"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Acharya, K., Tande, C., &amp; Byamukama, E. (2016). Determination of </w:t>
      </w:r>
      <w:r w:rsidRPr="007A39B7">
        <w:rPr>
          <w:rFonts w:cs="Times New Roman"/>
          <w:i/>
          <w:szCs w:val="24"/>
        </w:rPr>
        <w:t>Heterodera glycines</w:t>
      </w:r>
      <w:r w:rsidRPr="007A39B7">
        <w:rPr>
          <w:rFonts w:cs="Times New Roman"/>
          <w:szCs w:val="24"/>
        </w:rPr>
        <w:t xml:space="preserve"> virulence phenotypes occurring in South Dakota. </w:t>
      </w:r>
      <w:r w:rsidRPr="007A39B7">
        <w:rPr>
          <w:rFonts w:cs="Times New Roman"/>
          <w:i/>
          <w:szCs w:val="24"/>
        </w:rPr>
        <w:t>Plant Disease</w:t>
      </w:r>
      <w:r w:rsidRPr="007A39B7">
        <w:rPr>
          <w:rFonts w:cs="Times New Roman"/>
          <w:szCs w:val="24"/>
        </w:rPr>
        <w:t>, 100(11), 2281–2286. https://doi.org/10.1094/PDIS-04-16-0572-RE</w:t>
      </w:r>
    </w:p>
    <w:p w14:paraId="2BDA3E9D"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Allen, T. W., Bradley, C. A., Sisson, A. J., Byamukama, E., Chilvers, M. I., Coker, C. M., Collins, A. A., Damicone, J. P., Dorrance, A. E., Dufault, N. S., Esker, P. D., Faske, T. R., Giesler, L. J., Grybauskas, A. P., Hershman, D. E., Hollier, C. A., Isakeit, T., Jardine, D. J., Kelly, H. M., … Allen Wrather, J. (2017). Soybean yield loss estimates due to diseases in the United States and Ontario, Canada, from 2010 to 2014. </w:t>
      </w:r>
      <w:r w:rsidRPr="007A39B7">
        <w:rPr>
          <w:rFonts w:cs="Times New Roman"/>
          <w:i/>
          <w:szCs w:val="24"/>
        </w:rPr>
        <w:t>Plant Health Progress</w:t>
      </w:r>
      <w:r w:rsidRPr="007A39B7">
        <w:rPr>
          <w:rFonts w:cs="Times New Roman"/>
          <w:szCs w:val="24"/>
        </w:rPr>
        <w:t>, 18(1), 19–27. https://doi.org/10.1094/PHP-RS-16-0066</w:t>
      </w:r>
    </w:p>
    <w:p w14:paraId="6EA0E838"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Ayala, A., &amp; Ramírez, C. T. (1964). Host-range, distribution, and bibliography of the reniform nematode, </w:t>
      </w:r>
      <w:r w:rsidRPr="007A39B7">
        <w:rPr>
          <w:rFonts w:cs="Times New Roman"/>
          <w:i/>
          <w:szCs w:val="24"/>
        </w:rPr>
        <w:t>Rotylenchulus reniformis</w:t>
      </w:r>
      <w:r w:rsidRPr="007A39B7">
        <w:rPr>
          <w:rFonts w:cs="Times New Roman"/>
          <w:szCs w:val="24"/>
        </w:rPr>
        <w:t xml:space="preserve">, with Special Reference to Puerto Rico. </w:t>
      </w:r>
      <w:r w:rsidRPr="007A39B7">
        <w:rPr>
          <w:rFonts w:cs="Times New Roman"/>
          <w:i/>
          <w:szCs w:val="24"/>
        </w:rPr>
        <w:t>The Journal of Agriculture of the University of Puerto Rico</w:t>
      </w:r>
      <w:r w:rsidRPr="007A39B7">
        <w:rPr>
          <w:rFonts w:cs="Times New Roman"/>
          <w:szCs w:val="24"/>
        </w:rPr>
        <w:t>, 48(2), 140–161. https://doi.org/10.46429/jaupr.v48i2.12985</w:t>
      </w:r>
    </w:p>
    <w:p w14:paraId="2DF9AEB8"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Barker, K. R., &amp; Olthof, T. H. A. (1976). Relationships between nematode population densities and crop responses. </w:t>
      </w:r>
      <w:r w:rsidRPr="007A39B7">
        <w:rPr>
          <w:rFonts w:cs="Times New Roman"/>
          <w:i/>
          <w:szCs w:val="24"/>
        </w:rPr>
        <w:t>Annual Review of Phytopathology</w:t>
      </w:r>
      <w:r w:rsidRPr="007A39B7">
        <w:rPr>
          <w:rFonts w:cs="Times New Roman"/>
          <w:szCs w:val="24"/>
        </w:rPr>
        <w:t>, 14(1), 327–353. https://doi.org/10.1146/annurev.py.14.090176.001551</w:t>
      </w:r>
    </w:p>
    <w:p w14:paraId="5EB0A4C7"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Bernard EC. (1980). Identification, distribution, and plant associations of plant-parasitic nematodes in Tennessee. </w:t>
      </w:r>
      <w:r w:rsidRPr="007A39B7">
        <w:rPr>
          <w:rFonts w:cs="Times New Roman"/>
          <w:i/>
          <w:szCs w:val="24"/>
        </w:rPr>
        <w:t>University of Tennessee Agricultural Experiment Station Bulletin</w:t>
      </w:r>
      <w:r w:rsidRPr="007A39B7">
        <w:rPr>
          <w:rFonts w:cs="Times New Roman"/>
          <w:szCs w:val="24"/>
        </w:rPr>
        <w:t>, 594, 1–18.</w:t>
      </w:r>
    </w:p>
    <w:p w14:paraId="39AE61A0" w14:textId="77777777" w:rsidR="00D20476" w:rsidRPr="007A39B7" w:rsidRDefault="00D20476" w:rsidP="004E11C2">
      <w:pPr>
        <w:spacing w:line="360" w:lineRule="auto"/>
        <w:ind w:left="720" w:hanging="540"/>
        <w:rPr>
          <w:rFonts w:cs="Times New Roman"/>
          <w:szCs w:val="24"/>
        </w:rPr>
      </w:pPr>
      <w:r w:rsidRPr="007A39B7">
        <w:rPr>
          <w:rFonts w:cs="Times New Roman"/>
          <w:szCs w:val="24"/>
        </w:rPr>
        <w:t>Bernard, E. C., &amp; Montgomery-Dee, M. E. (1993). Reproduction of plant-parasitic nematodes on winter rapeseed (</w:t>
      </w:r>
      <w:r w:rsidRPr="007A39B7">
        <w:rPr>
          <w:rFonts w:cs="Times New Roman"/>
          <w:i/>
          <w:szCs w:val="24"/>
        </w:rPr>
        <w:t>Brassica napus</w:t>
      </w:r>
      <w:r w:rsidRPr="007A39B7">
        <w:rPr>
          <w:rFonts w:cs="Times New Roman"/>
          <w:szCs w:val="24"/>
        </w:rPr>
        <w:t xml:space="preserve"> ssp. oleifera). </w:t>
      </w:r>
      <w:r w:rsidRPr="007A39B7">
        <w:rPr>
          <w:rFonts w:cs="Times New Roman"/>
          <w:i/>
          <w:szCs w:val="24"/>
        </w:rPr>
        <w:t>Journal of Nematology</w:t>
      </w:r>
      <w:r w:rsidRPr="007A39B7">
        <w:rPr>
          <w:rFonts w:cs="Times New Roman"/>
          <w:szCs w:val="24"/>
        </w:rPr>
        <w:t>, 25(4 Supp.), 863–868.</w:t>
      </w:r>
    </w:p>
    <w:p w14:paraId="71E41036"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Bernard, R. L., &amp; Cremeens, C. R. (1988). Registration of ‘Williams 82’ Soybean. </w:t>
      </w:r>
      <w:r w:rsidRPr="007A39B7">
        <w:rPr>
          <w:rFonts w:cs="Times New Roman"/>
          <w:i/>
          <w:szCs w:val="24"/>
        </w:rPr>
        <w:t>Crop Science</w:t>
      </w:r>
      <w:r w:rsidRPr="007A39B7">
        <w:rPr>
          <w:rFonts w:cs="Times New Roman"/>
          <w:szCs w:val="24"/>
        </w:rPr>
        <w:t>, 28(6), 1027–1028. https://doi.org/10.2135/cropsci1988.0011183x002800060049x</w:t>
      </w:r>
    </w:p>
    <w:p w14:paraId="554EE6B2" w14:textId="77777777" w:rsidR="00D20476" w:rsidRPr="007A39B7" w:rsidRDefault="00D20476" w:rsidP="004E11C2">
      <w:pPr>
        <w:spacing w:line="360" w:lineRule="auto"/>
        <w:ind w:left="720" w:hanging="540"/>
        <w:rPr>
          <w:rFonts w:cs="Times New Roman"/>
          <w:szCs w:val="24"/>
        </w:rPr>
      </w:pPr>
      <w:r w:rsidRPr="007A39B7">
        <w:rPr>
          <w:rFonts w:cs="Times New Roman"/>
          <w:szCs w:val="24"/>
        </w:rPr>
        <w:t>Broderick, K. C. (2016). Diversity and virulence of soybean cyst nematode (</w:t>
      </w:r>
      <w:r w:rsidRPr="007A39B7">
        <w:rPr>
          <w:rFonts w:cs="Times New Roman"/>
          <w:i/>
          <w:szCs w:val="24"/>
        </w:rPr>
        <w:t>Heterodera glycines</w:t>
      </w:r>
      <w:r w:rsidRPr="007A39B7">
        <w:rPr>
          <w:rFonts w:cs="Times New Roman"/>
          <w:szCs w:val="24"/>
        </w:rPr>
        <w:t xml:space="preserve"> Ichinohe) in Nebraska.</w:t>
      </w:r>
    </w:p>
    <w:p w14:paraId="4EF516E6"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Brown, S. M., &amp; Smart, G. C. (1985). Root penetration by </w:t>
      </w:r>
      <w:r w:rsidRPr="007A39B7">
        <w:rPr>
          <w:rFonts w:cs="Times New Roman"/>
          <w:i/>
          <w:szCs w:val="24"/>
        </w:rPr>
        <w:t>Meloidogyne incognita</w:t>
      </w:r>
      <w:r w:rsidRPr="007A39B7">
        <w:rPr>
          <w:rFonts w:cs="Times New Roman"/>
          <w:szCs w:val="24"/>
        </w:rPr>
        <w:t xml:space="preserve"> juveniles infected with </w:t>
      </w:r>
      <w:r w:rsidRPr="007A39B7">
        <w:rPr>
          <w:rFonts w:cs="Times New Roman"/>
          <w:i/>
          <w:szCs w:val="24"/>
        </w:rPr>
        <w:t>Bacillus penetrans</w:t>
      </w:r>
      <w:r w:rsidRPr="007A39B7">
        <w:rPr>
          <w:rFonts w:cs="Times New Roman"/>
          <w:szCs w:val="24"/>
        </w:rPr>
        <w:t>. Journal of Nematology, 17(2), 123–125. http://journals.fcla.edu/jon/article/view/65628%5Cnhttp://www.ncbi.nlm.nih.gov/pmc/articles/PMC2618436</w:t>
      </w:r>
    </w:p>
    <w:p w14:paraId="2B7C6666"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Chen, J., Abawi, G. S., &amp; Zuckerman, B. M. (2000). Efficacy of </w:t>
      </w:r>
      <w:r w:rsidRPr="007A39B7">
        <w:rPr>
          <w:rFonts w:cs="Times New Roman"/>
          <w:i/>
          <w:szCs w:val="24"/>
        </w:rPr>
        <w:t>Bacillus thuringiensis</w:t>
      </w:r>
      <w:r w:rsidRPr="007A39B7">
        <w:rPr>
          <w:rFonts w:cs="Times New Roman"/>
          <w:szCs w:val="24"/>
        </w:rPr>
        <w:t xml:space="preserve">, </w:t>
      </w:r>
      <w:r w:rsidRPr="007A39B7">
        <w:rPr>
          <w:rFonts w:cs="Times New Roman"/>
          <w:i/>
          <w:szCs w:val="24"/>
        </w:rPr>
        <w:t>Paecilomyces marquandii</w:t>
      </w:r>
      <w:r w:rsidRPr="007A39B7">
        <w:rPr>
          <w:rFonts w:cs="Times New Roman"/>
          <w:szCs w:val="24"/>
        </w:rPr>
        <w:t xml:space="preserve">, and </w:t>
      </w:r>
      <w:r w:rsidRPr="007A39B7">
        <w:rPr>
          <w:rFonts w:cs="Times New Roman"/>
          <w:i/>
          <w:szCs w:val="24"/>
        </w:rPr>
        <w:t>Streptomyces costaricanus</w:t>
      </w:r>
      <w:r w:rsidRPr="007A39B7">
        <w:rPr>
          <w:rFonts w:cs="Times New Roman"/>
          <w:szCs w:val="24"/>
        </w:rPr>
        <w:t xml:space="preserve"> with and without organic amendments against </w:t>
      </w:r>
      <w:r w:rsidRPr="007A39B7">
        <w:rPr>
          <w:rFonts w:cs="Times New Roman"/>
          <w:i/>
          <w:szCs w:val="24"/>
        </w:rPr>
        <w:t>Meloidogyne hapla</w:t>
      </w:r>
      <w:r w:rsidRPr="007A39B7">
        <w:rPr>
          <w:rFonts w:cs="Times New Roman"/>
          <w:szCs w:val="24"/>
        </w:rPr>
        <w:t xml:space="preserve"> infecting lettuce. </w:t>
      </w:r>
      <w:r w:rsidRPr="007A39B7">
        <w:rPr>
          <w:rFonts w:cs="Times New Roman"/>
          <w:i/>
          <w:szCs w:val="24"/>
        </w:rPr>
        <w:t>Journal of Nematology</w:t>
      </w:r>
      <w:r w:rsidRPr="007A39B7">
        <w:rPr>
          <w:rFonts w:cs="Times New Roman"/>
          <w:szCs w:val="24"/>
        </w:rPr>
        <w:t>, 32(1), 70–77.</w:t>
      </w:r>
    </w:p>
    <w:p w14:paraId="5E711FA9"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Chen, S., &amp; Grabau, Z. J. (2018). Biology, ecology and management of plant-parasitic nematodes in Minnesota. In </w:t>
      </w:r>
      <w:r w:rsidRPr="007A39B7">
        <w:rPr>
          <w:rFonts w:cs="Times New Roman"/>
          <w:i/>
          <w:iCs/>
          <w:szCs w:val="24"/>
          <w:shd w:val="clear" w:color="auto" w:fill="FFFFFF"/>
        </w:rPr>
        <w:t>Plant Parasitic Nematodes in Sustainable Agriculture of North America</w:t>
      </w:r>
      <w:r w:rsidRPr="007A39B7">
        <w:rPr>
          <w:rFonts w:cs="Times New Roman"/>
          <w:szCs w:val="24"/>
          <w:shd w:val="clear" w:color="auto" w:fill="FFFFFF"/>
        </w:rPr>
        <w:t> (pp. 125-155). Springer, Cham.</w:t>
      </w:r>
    </w:p>
    <w:p w14:paraId="34D8709C"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Chitambar, J. J. (1993). Host range of </w:t>
      </w:r>
      <w:r w:rsidRPr="007A39B7">
        <w:rPr>
          <w:rFonts w:cs="Times New Roman"/>
          <w:i/>
          <w:szCs w:val="24"/>
        </w:rPr>
        <w:t>Hemicycliophora poranga</w:t>
      </w:r>
      <w:r w:rsidRPr="007A39B7">
        <w:rPr>
          <w:rFonts w:cs="Times New Roman"/>
          <w:szCs w:val="24"/>
        </w:rPr>
        <w:t xml:space="preserve"> and its pathogenicity on tomato. Fundamental and Applied Nematology, 16(6), 557–561.</w:t>
      </w:r>
    </w:p>
    <w:p w14:paraId="6E64DED2" w14:textId="77777777" w:rsidR="00D20476" w:rsidRPr="007A39B7" w:rsidRDefault="00D20476" w:rsidP="004E11C2">
      <w:pPr>
        <w:spacing w:line="360" w:lineRule="auto"/>
        <w:ind w:left="720" w:hanging="540"/>
        <w:rPr>
          <w:rFonts w:cs="Times New Roman"/>
          <w:szCs w:val="24"/>
        </w:rPr>
      </w:pPr>
      <w:r w:rsidRPr="007A39B7">
        <w:rPr>
          <w:rFonts w:cs="Times New Roman"/>
          <w:szCs w:val="24"/>
        </w:rPr>
        <w:t>Chowdhury, I., Yan, G., Kandel, H., &amp; Plaisance, A. (2022). Population Development of the Root-lesion Nematode. Plant Disease, 1–24.</w:t>
      </w:r>
    </w:p>
    <w:p w14:paraId="2EC50970" w14:textId="77777777" w:rsidR="00D20476" w:rsidRPr="007A39B7" w:rsidRDefault="00D20476" w:rsidP="004E11C2">
      <w:pPr>
        <w:spacing w:line="360" w:lineRule="auto"/>
        <w:ind w:left="720" w:hanging="540"/>
        <w:rPr>
          <w:rFonts w:cs="Times New Roman"/>
          <w:szCs w:val="24"/>
        </w:rPr>
      </w:pPr>
      <w:r w:rsidRPr="007A39B7">
        <w:rPr>
          <w:rFonts w:cs="Times New Roman"/>
          <w:szCs w:val="24"/>
        </w:rPr>
        <w:t>Cook, D. E., Lee, T. G., Guo, X., Melito, S., Wang, K., Bayless, A. M., Wang, J., Hughes, T. J., Willis, D. K., Clemente, T. E., Diers, B. W., Jiang, J., Hudson, M. E., &amp; Bent, A. F. (2012). Copy number variation of multiple genes at Rhg1 mediates nematode resistance in soybean. Science, 338(6111), 1206–1209. https://doi.org/10.1126/science.1228746</w:t>
      </w:r>
    </w:p>
    <w:p w14:paraId="5807DDEF"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Crow, W. T. (2004). Stubby-Root Nematode, Paratrichodorus minor (Colbran) Siddiqi (Nematoda: Adenophorea: Triplonchida: Diphtherophorina: Trichodoridae: Trichodoridae). </w:t>
      </w:r>
      <w:r w:rsidRPr="007A39B7">
        <w:rPr>
          <w:rFonts w:cs="Times New Roman"/>
          <w:i/>
          <w:iCs/>
          <w:szCs w:val="24"/>
          <w:shd w:val="clear" w:color="auto" w:fill="FFFFFF"/>
        </w:rPr>
        <w:t>Publication No. EENY-339. Gainesville (FL): University of Florida Cooperative Extension Service</w:t>
      </w:r>
      <w:r w:rsidRPr="007A39B7">
        <w:rPr>
          <w:rFonts w:cs="Times New Roman"/>
          <w:szCs w:val="24"/>
          <w:shd w:val="clear" w:color="auto" w:fill="FFFFFF"/>
        </w:rPr>
        <w:t>.</w:t>
      </w:r>
    </w:p>
    <w:p w14:paraId="40DA0845"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 xml:space="preserve">Crow, W. T. (2013). Spiral Nematode, </w:t>
      </w:r>
      <w:r w:rsidRPr="007A39B7">
        <w:rPr>
          <w:rFonts w:cs="Times New Roman"/>
          <w:i/>
          <w:szCs w:val="24"/>
          <w:shd w:val="clear" w:color="auto" w:fill="FFFFFF"/>
        </w:rPr>
        <w:t>Helicotylenchus pseudorobustus</w:t>
      </w:r>
      <w:r w:rsidRPr="007A39B7">
        <w:rPr>
          <w:rFonts w:cs="Times New Roman"/>
          <w:szCs w:val="24"/>
          <w:shd w:val="clear" w:color="auto" w:fill="FFFFFF"/>
        </w:rPr>
        <w:t xml:space="preserve"> (Steiner, 1941) Golden, 1956 (Nematoda: </w:t>
      </w:r>
      <w:r w:rsidRPr="007A39B7">
        <w:rPr>
          <w:rFonts w:cs="Times New Roman"/>
          <w:i/>
          <w:szCs w:val="24"/>
          <w:shd w:val="clear" w:color="auto" w:fill="FFFFFF"/>
        </w:rPr>
        <w:t>Tylenchida: Hoplolaimidae</w:t>
      </w:r>
      <w:r w:rsidRPr="007A39B7">
        <w:rPr>
          <w:rFonts w:cs="Times New Roman"/>
          <w:szCs w:val="24"/>
          <w:shd w:val="clear" w:color="auto" w:fill="FFFFFF"/>
        </w:rPr>
        <w:t>). </w:t>
      </w:r>
      <w:r w:rsidRPr="007A39B7">
        <w:rPr>
          <w:rFonts w:cs="Times New Roman"/>
          <w:i/>
          <w:iCs/>
          <w:szCs w:val="24"/>
          <w:shd w:val="clear" w:color="auto" w:fill="FFFFFF"/>
        </w:rPr>
        <w:t>EDIS website at http://edis. ifas. ufl. edu</w:t>
      </w:r>
      <w:r w:rsidRPr="007A39B7">
        <w:rPr>
          <w:rFonts w:cs="Times New Roman"/>
          <w:szCs w:val="24"/>
          <w:shd w:val="clear" w:color="auto" w:fill="FFFFFF"/>
        </w:rPr>
        <w:t>.</w:t>
      </w:r>
    </w:p>
    <w:p w14:paraId="077C0EDE" w14:textId="77777777" w:rsidR="00D20476" w:rsidRPr="007A39B7" w:rsidRDefault="00D20476" w:rsidP="004E11C2">
      <w:pPr>
        <w:spacing w:line="360" w:lineRule="auto"/>
        <w:ind w:left="720" w:hanging="540"/>
        <w:rPr>
          <w:rFonts w:cs="Times New Roman"/>
          <w:szCs w:val="24"/>
        </w:rPr>
      </w:pPr>
      <w:r w:rsidRPr="007A39B7">
        <w:rPr>
          <w:rFonts w:cs="Times New Roman"/>
          <w:szCs w:val="24"/>
        </w:rPr>
        <w:t>Crow, William T. (2005). Plant-parasitic nematodes on golf course turf. Outlooks on Pest Management, 16(1), 10–15. https://doi.org/10.1564/16feb04</w:t>
      </w:r>
    </w:p>
    <w:p w14:paraId="3D531F49"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Crow, William T., &amp; Brammer, A. S. (1969). Lance Nematode, </w:t>
      </w:r>
      <w:r w:rsidRPr="007A39B7">
        <w:rPr>
          <w:rFonts w:cs="Times New Roman"/>
          <w:i/>
          <w:szCs w:val="24"/>
        </w:rPr>
        <w:t>Hoplolaimus galeatus</w:t>
      </w:r>
      <w:r w:rsidRPr="007A39B7">
        <w:rPr>
          <w:rFonts w:cs="Times New Roman"/>
          <w:szCs w:val="24"/>
        </w:rPr>
        <w:t xml:space="preserve"> (Cobb, 1913) Thorne, 1935 (Nematoda: S</w:t>
      </w:r>
      <w:r w:rsidRPr="007A39B7">
        <w:rPr>
          <w:rFonts w:cs="Times New Roman"/>
          <w:i/>
          <w:szCs w:val="24"/>
        </w:rPr>
        <w:t>ecernentea: Tylenchida: Tylenchoidea: Hoplolaimidae</w:t>
      </w:r>
      <w:r w:rsidRPr="007A39B7">
        <w:rPr>
          <w:rFonts w:cs="Times New Roman"/>
          <w:szCs w:val="24"/>
        </w:rPr>
        <w:t>). Edis, 2002(9), 1–3. https://doi.org/10.32473/edis-in390-2001</w:t>
      </w:r>
    </w:p>
    <w:p w14:paraId="38E3F5AF"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Davis, E. L., &amp; MacGuidwin, A. E. (2000). Lesion nematode disease. </w:t>
      </w:r>
      <w:r w:rsidRPr="007A39B7">
        <w:rPr>
          <w:rFonts w:cs="Times New Roman"/>
          <w:i/>
          <w:szCs w:val="24"/>
        </w:rPr>
        <w:t>The Plant Health Instructor</w:t>
      </w:r>
      <w:r w:rsidRPr="007A39B7">
        <w:rPr>
          <w:rFonts w:cs="Times New Roman"/>
          <w:szCs w:val="24"/>
        </w:rPr>
        <w:t>, Figure 1, 1–12. https://doi.org/10.1094/phi-i-2000-1030-02</w:t>
      </w:r>
    </w:p>
    <w:p w14:paraId="1C54FCF7"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Elhady, A., Hallmann, J., &amp; Heuer, H. (2020). Symbiosis of soybean with nitrogen-fixing bacteria affected by root-lesion nematodes in a density-dependent manner. </w:t>
      </w:r>
      <w:r w:rsidRPr="007A39B7">
        <w:rPr>
          <w:rFonts w:cs="Times New Roman"/>
          <w:i/>
          <w:szCs w:val="24"/>
        </w:rPr>
        <w:t>Scientific Reports,</w:t>
      </w:r>
      <w:r w:rsidRPr="007A39B7">
        <w:rPr>
          <w:rFonts w:cs="Times New Roman"/>
          <w:szCs w:val="24"/>
        </w:rPr>
        <w:t xml:space="preserve"> 10(1), 1–12. https://doi.org/10.1038/s41598-020-58546-x</w:t>
      </w:r>
    </w:p>
    <w:p w14:paraId="037940AA"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Evans, T. A., Miller, L. C., Vasilas, B. L., Taylor, R. W., &amp; Mulrooney, R. P. (2007). Management of </w:t>
      </w:r>
      <w:r w:rsidRPr="007A39B7">
        <w:rPr>
          <w:rFonts w:cs="Times New Roman"/>
          <w:i/>
          <w:szCs w:val="24"/>
        </w:rPr>
        <w:t>Xiphinema americanum</w:t>
      </w:r>
      <w:r w:rsidRPr="007A39B7">
        <w:rPr>
          <w:rFonts w:cs="Times New Roman"/>
          <w:szCs w:val="24"/>
        </w:rPr>
        <w:t xml:space="preserve"> and soybean severe stunt in soybean using crop rotation. Plant Disease, 91(2), 216–219. https://doi.org/10.1094/PDIS-91-2-0216</w:t>
      </w:r>
    </w:p>
    <w:p w14:paraId="5DB25E52"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 xml:space="preserve">Heve, W. K., Crow, W. T., &amp; Mengistu, T. (2015). Dagger Nematode </w:t>
      </w:r>
      <w:r w:rsidRPr="007A39B7">
        <w:rPr>
          <w:rFonts w:cs="Times New Roman"/>
          <w:i/>
          <w:szCs w:val="24"/>
          <w:shd w:val="clear" w:color="auto" w:fill="FFFFFF"/>
        </w:rPr>
        <w:t>Xiphinema</w:t>
      </w:r>
      <w:r w:rsidRPr="007A39B7">
        <w:rPr>
          <w:rFonts w:cs="Times New Roman"/>
          <w:szCs w:val="24"/>
          <w:shd w:val="clear" w:color="auto" w:fill="FFFFFF"/>
        </w:rPr>
        <w:t xml:space="preserve"> spp.(Cobb, 1913) Inglis, 1983 (Nematoda: Enoplea: Dorylaimia: Dorylaimina: Xiphinematinae).</w:t>
      </w:r>
    </w:p>
    <w:p w14:paraId="1ED96235" w14:textId="77777777" w:rsidR="00D20476" w:rsidRPr="007A39B7" w:rsidRDefault="00D20476" w:rsidP="004E11C2">
      <w:pPr>
        <w:spacing w:line="360" w:lineRule="auto"/>
        <w:ind w:left="720" w:hanging="540"/>
        <w:rPr>
          <w:rFonts w:cs="Times New Roman"/>
          <w:szCs w:val="24"/>
        </w:rPr>
      </w:pPr>
      <w:r w:rsidRPr="007A39B7">
        <w:rPr>
          <w:rFonts w:cs="Times New Roman"/>
          <w:szCs w:val="24"/>
        </w:rPr>
        <w:t>Holguin, C. M., Ma, X., Mueller, J. D., &amp; Agudelo, P. (2016). Distribution of Hoplolaimus species in soybean fields in South Carolina and North Carolina. Plant Disease, 100(1), 149–153. https://doi.org/10.1094/PDIS-12-14-1332-RE</w:t>
      </w:r>
    </w:p>
    <w:p w14:paraId="14994CBF" w14:textId="77777777" w:rsidR="00D20476" w:rsidRPr="007A39B7" w:rsidRDefault="00D20476" w:rsidP="004E11C2">
      <w:pPr>
        <w:spacing w:line="360" w:lineRule="auto"/>
        <w:ind w:left="720" w:hanging="540"/>
        <w:rPr>
          <w:rFonts w:cs="Times New Roman"/>
          <w:szCs w:val="24"/>
        </w:rPr>
      </w:pPr>
      <w:r w:rsidRPr="007A39B7">
        <w:rPr>
          <w:rFonts w:cs="Times New Roman"/>
          <w:szCs w:val="24"/>
        </w:rPr>
        <w:t>Holguin, C. M., Mueller, J. D., Khalilian, A., &amp; Agudelo, P. (2015). Population dynamics and spatial distribution of Columbia lance nematode in cotton. Applied Soil Ecology, 95, 107–114. https://doi.org/10.1016/j.apsoil.2015.06.004</w:t>
      </w:r>
    </w:p>
    <w:p w14:paraId="5821E56C" w14:textId="77777777" w:rsidR="00D20476" w:rsidRPr="007A39B7" w:rsidRDefault="00D20476" w:rsidP="004E11C2">
      <w:pPr>
        <w:spacing w:line="360" w:lineRule="auto"/>
        <w:ind w:left="720" w:hanging="540"/>
        <w:rPr>
          <w:rFonts w:cs="Times New Roman"/>
          <w:szCs w:val="24"/>
        </w:rPr>
      </w:pPr>
      <w:r w:rsidRPr="007A39B7">
        <w:rPr>
          <w:rFonts w:cs="Times New Roman"/>
          <w:szCs w:val="24"/>
          <w:shd w:val="clear" w:color="auto" w:fill="FFFFFF"/>
        </w:rPr>
        <w:t>Jenkins, W. R. (1964). A rapid centrifugal-flotation technique for separating nematodes from soil. </w:t>
      </w:r>
      <w:r w:rsidRPr="007A39B7">
        <w:rPr>
          <w:rFonts w:cs="Times New Roman"/>
          <w:i/>
          <w:iCs/>
          <w:szCs w:val="24"/>
          <w:shd w:val="clear" w:color="auto" w:fill="FFFFFF"/>
        </w:rPr>
        <w:t>Plant disease reporter</w:t>
      </w:r>
      <w:r w:rsidRPr="007A39B7">
        <w:rPr>
          <w:rFonts w:cs="Times New Roman"/>
          <w:szCs w:val="24"/>
          <w:shd w:val="clear" w:color="auto" w:fill="FFFFFF"/>
        </w:rPr>
        <w:t>, </w:t>
      </w:r>
      <w:r w:rsidRPr="007A39B7">
        <w:rPr>
          <w:rFonts w:cs="Times New Roman"/>
          <w:i/>
          <w:iCs/>
          <w:szCs w:val="24"/>
          <w:shd w:val="clear" w:color="auto" w:fill="FFFFFF"/>
        </w:rPr>
        <w:t>48</w:t>
      </w:r>
      <w:r w:rsidRPr="007A39B7">
        <w:rPr>
          <w:rFonts w:cs="Times New Roman"/>
          <w:szCs w:val="24"/>
          <w:shd w:val="clear" w:color="auto" w:fill="FFFFFF"/>
        </w:rPr>
        <w:t>(9).</w:t>
      </w:r>
    </w:p>
    <w:p w14:paraId="276B3641" w14:textId="77777777" w:rsidR="00D20476" w:rsidRPr="007A39B7" w:rsidRDefault="00D20476" w:rsidP="004E11C2">
      <w:pPr>
        <w:spacing w:line="360" w:lineRule="auto"/>
        <w:ind w:left="720" w:hanging="540"/>
        <w:rPr>
          <w:rFonts w:cs="Times New Roman"/>
          <w:szCs w:val="24"/>
        </w:rPr>
      </w:pPr>
      <w:r w:rsidRPr="007A39B7">
        <w:rPr>
          <w:rFonts w:cs="Times New Roman"/>
          <w:szCs w:val="24"/>
        </w:rPr>
        <w:t>Jenkins, W. R. (1983). A rapid centrifugal-flotation technique for separating nematodes from soil. Plant Disease Reporter.</w:t>
      </w:r>
    </w:p>
    <w:p w14:paraId="570D232B"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Jones, J. T., Haegeman, A., Danchin, E. G. J., Gaur, H. S., Helder, J., Jones, M. G. K., Kikuchi, T., Manzanilla-López, R., Palomares-Rius, J. E., Wesemael, W. M. L., &amp; Perry, R. N. (2013). Top 10 plant-parasitic nematodes in molecular plant pathology. </w:t>
      </w:r>
      <w:r w:rsidRPr="007A39B7">
        <w:rPr>
          <w:rFonts w:cs="Times New Roman"/>
          <w:i/>
          <w:szCs w:val="24"/>
        </w:rPr>
        <w:t>Molecular Plant Pathology,</w:t>
      </w:r>
      <w:r w:rsidRPr="007A39B7">
        <w:rPr>
          <w:rFonts w:cs="Times New Roman"/>
          <w:szCs w:val="24"/>
        </w:rPr>
        <w:t xml:space="preserve"> 14(9), 946–961. https://doi.org/10.1111/mpp.12057</w:t>
      </w:r>
    </w:p>
    <w:p w14:paraId="2E0B145F"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Kandel, S. L., Smiley, R. W., Garland-Campbell, K., Elling, A. A., Abatzoglou, J., Huggins, D., Rupp, R., &amp; Paulitz, T. C. (2013). Relationship between climatic factors and distribution of </w:t>
      </w:r>
      <w:r w:rsidRPr="007A39B7">
        <w:rPr>
          <w:rFonts w:cs="Times New Roman"/>
          <w:i/>
          <w:szCs w:val="24"/>
        </w:rPr>
        <w:t>Pratylenchus</w:t>
      </w:r>
      <w:r w:rsidRPr="007A39B7">
        <w:rPr>
          <w:rFonts w:cs="Times New Roman"/>
          <w:szCs w:val="24"/>
        </w:rPr>
        <w:t xml:space="preserve"> spp. in the dryland wheat-production areas of Eastern Washington. Plant Disease, 97(11), 1448–1456. https://doi.org/10.1094/PDIS-11-12-1060-RE</w:t>
      </w:r>
    </w:p>
    <w:p w14:paraId="7A193BA0" w14:textId="77777777" w:rsidR="00D20476" w:rsidRPr="007A39B7" w:rsidRDefault="00D20476" w:rsidP="004E11C2">
      <w:pPr>
        <w:spacing w:line="360" w:lineRule="auto"/>
        <w:ind w:left="720" w:hanging="540"/>
        <w:rPr>
          <w:rFonts w:cs="Times New Roman"/>
          <w:szCs w:val="24"/>
        </w:rPr>
      </w:pPr>
      <w:r w:rsidRPr="007A39B7">
        <w:rPr>
          <w:rFonts w:cs="Times New Roman"/>
          <w:szCs w:val="24"/>
        </w:rPr>
        <w:t>Kim, K. S., Vuong, T. D., Qiu, D., Robbins, R. T., Grover Shannon, J., Li, Z., &amp; Nguyen, H. T. (2016). Advancements in breeding, genetics, and genomics for resistance to three nematode species in soybean. Theoretical and Applied Genetics, 129(12), 2295–2311. https://doi.org/10.1007/s00122-016-2816-x</w:t>
      </w:r>
    </w:p>
    <w:p w14:paraId="35117564" w14:textId="77777777" w:rsidR="00D20476" w:rsidRPr="007A39B7" w:rsidRDefault="00D20476" w:rsidP="004E11C2">
      <w:pPr>
        <w:spacing w:line="360" w:lineRule="auto"/>
        <w:ind w:left="720" w:hanging="540"/>
        <w:rPr>
          <w:rFonts w:cs="Times New Roman"/>
          <w:b/>
          <w:szCs w:val="24"/>
        </w:rPr>
      </w:pPr>
      <w:r w:rsidRPr="007A39B7">
        <w:rPr>
          <w:rFonts w:cs="Times New Roman"/>
          <w:szCs w:val="24"/>
        </w:rPr>
        <w:t xml:space="preserve">Kirkpatrick, T., Faske, T., &amp; Robbins, B. (2014). Nematode management. In </w:t>
      </w:r>
      <w:r w:rsidRPr="007A39B7">
        <w:t xml:space="preserve">Arkansas Soybean Production Handbook, </w:t>
      </w:r>
      <w:r w:rsidRPr="007A39B7">
        <w:rPr>
          <w:rFonts w:cs="Times New Roman"/>
          <w:szCs w:val="24"/>
        </w:rPr>
        <w:t xml:space="preserve">10. 1–6. </w:t>
      </w:r>
      <w:r w:rsidRPr="007A39B7">
        <w:t>University of Arkansas. https://www.uaex.uada.edu/publications/pdf/mp197/chapter10.pdf</w:t>
      </w:r>
    </w:p>
    <w:p w14:paraId="79D1585D"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Ko, M. P., Barker, K. R., &amp; Huang, J. S. (1984). Nodulation of soybeans as affected by half-root infection with </w:t>
      </w:r>
      <w:r w:rsidRPr="007A39B7">
        <w:rPr>
          <w:rFonts w:cs="Times New Roman"/>
          <w:i/>
          <w:szCs w:val="24"/>
        </w:rPr>
        <w:t>Heterodera glycines</w:t>
      </w:r>
      <w:r w:rsidRPr="007A39B7">
        <w:rPr>
          <w:rFonts w:cs="Times New Roman"/>
          <w:szCs w:val="24"/>
        </w:rPr>
        <w:t xml:space="preserve">. </w:t>
      </w:r>
      <w:r w:rsidRPr="007A39B7">
        <w:rPr>
          <w:rFonts w:cs="Times New Roman"/>
          <w:i/>
          <w:szCs w:val="24"/>
        </w:rPr>
        <w:t>Journal of Nematology</w:t>
      </w:r>
      <w:r w:rsidRPr="007A39B7">
        <w:rPr>
          <w:rFonts w:cs="Times New Roman"/>
          <w:szCs w:val="24"/>
        </w:rPr>
        <w:t>, 16(1), 97–105.</w:t>
      </w:r>
    </w:p>
    <w:p w14:paraId="6F37DC39"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Koenning, S. R., Wrather, J. A., Kirkpatrick, T. L., Walker, N. R., Starr, J. L., &amp; Mueller, J. D. (2004). Plant-parasitic nematodes attacking cotton in the United States: Old and emerging production challenges. </w:t>
      </w:r>
      <w:r w:rsidRPr="007A39B7">
        <w:rPr>
          <w:rFonts w:cs="Times New Roman"/>
          <w:i/>
          <w:szCs w:val="24"/>
        </w:rPr>
        <w:t>Plant Disease</w:t>
      </w:r>
      <w:r w:rsidRPr="007A39B7">
        <w:rPr>
          <w:rFonts w:cs="Times New Roman"/>
          <w:szCs w:val="24"/>
        </w:rPr>
        <w:t>, 88(2), 100–113. https://doi.org/10.1094/PDIS.2004.88.2.100</w:t>
      </w:r>
    </w:p>
    <w:p w14:paraId="4D085B09"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Lambert, K., &amp; Bekal, S. (2002). Introduction to Plant-Parasitic Nematodes. </w:t>
      </w:r>
      <w:r w:rsidRPr="007A39B7">
        <w:rPr>
          <w:rFonts w:cs="Times New Roman"/>
          <w:i/>
          <w:szCs w:val="24"/>
        </w:rPr>
        <w:t>The Plant Health Instructor, Poinar</w:t>
      </w:r>
      <w:r w:rsidRPr="007A39B7">
        <w:rPr>
          <w:rFonts w:cs="Times New Roman"/>
          <w:szCs w:val="24"/>
        </w:rPr>
        <w:t xml:space="preserve"> 1983, 1–23. https://doi.org/10.1094/phi-i-2002-1218-01</w:t>
      </w:r>
    </w:p>
    <w:p w14:paraId="54994A80" w14:textId="77777777" w:rsidR="00D20476" w:rsidRPr="007A39B7" w:rsidRDefault="00D20476" w:rsidP="004E11C2">
      <w:pPr>
        <w:spacing w:line="360" w:lineRule="auto"/>
        <w:ind w:left="720" w:hanging="540"/>
        <w:rPr>
          <w:rFonts w:ascii="Arial" w:hAnsi="Arial"/>
          <w:sz w:val="20"/>
          <w:szCs w:val="20"/>
          <w:shd w:val="clear" w:color="auto" w:fill="FFFFFF"/>
        </w:rPr>
      </w:pPr>
      <w:r w:rsidRPr="007A39B7">
        <w:t xml:space="preserve">Mehl, H. L. (2018). </w:t>
      </w:r>
      <w:r w:rsidRPr="007A39B7">
        <w:rPr>
          <w:i/>
          <w:iCs/>
        </w:rPr>
        <w:t>Nematode Management in Field Crops</w:t>
      </w:r>
      <w:r w:rsidRPr="007A39B7">
        <w:t>. Virginia Cooperative and Extension. https://vtechworks.lib.vt.edu/bitstream/handle/10919/84289/SPES-15.pdf?sequence=1</w:t>
      </w:r>
    </w:p>
    <w:p w14:paraId="17CBEF5D"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Mitchum, M. G. (2016). Soybean resistance to the soybean cyst nematode </w:t>
      </w:r>
      <w:r w:rsidRPr="007A39B7">
        <w:rPr>
          <w:rFonts w:cs="Times New Roman"/>
          <w:i/>
          <w:szCs w:val="24"/>
        </w:rPr>
        <w:t>Heterodera glycines</w:t>
      </w:r>
      <w:r w:rsidRPr="007A39B7">
        <w:rPr>
          <w:rFonts w:cs="Times New Roman"/>
          <w:szCs w:val="24"/>
        </w:rPr>
        <w:t xml:space="preserve">: An update. </w:t>
      </w:r>
      <w:r w:rsidRPr="007A39B7">
        <w:rPr>
          <w:rFonts w:cs="Times New Roman"/>
          <w:i/>
          <w:szCs w:val="24"/>
        </w:rPr>
        <w:t>Phytopathology</w:t>
      </w:r>
      <w:r w:rsidRPr="007A39B7">
        <w:rPr>
          <w:rFonts w:cs="Times New Roman"/>
          <w:szCs w:val="24"/>
        </w:rPr>
        <w:t>, 106(12), 1444–1450. https://doi.org/10.1094/PHYTO-06-16-0227-RVW</w:t>
      </w:r>
    </w:p>
    <w:p w14:paraId="05AA749E"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Mitchum, M. G., Wrather, J. A., Heinz, R. D., Shannon, J. G., &amp; Danekas, G. (2007). Variability in distribution and virulence phenotypes of </w:t>
      </w:r>
      <w:r w:rsidRPr="007A39B7">
        <w:rPr>
          <w:rFonts w:cs="Times New Roman"/>
          <w:i/>
          <w:szCs w:val="24"/>
        </w:rPr>
        <w:t>Heterodera glycines</w:t>
      </w:r>
      <w:r w:rsidRPr="007A39B7">
        <w:rPr>
          <w:rFonts w:cs="Times New Roman"/>
          <w:szCs w:val="24"/>
        </w:rPr>
        <w:t xml:space="preserve"> in Missouri during 2005. </w:t>
      </w:r>
      <w:r w:rsidRPr="007A39B7">
        <w:rPr>
          <w:rFonts w:cs="Times New Roman"/>
          <w:i/>
          <w:szCs w:val="24"/>
        </w:rPr>
        <w:t>Plant Disease</w:t>
      </w:r>
      <w:r w:rsidRPr="007A39B7">
        <w:rPr>
          <w:rFonts w:cs="Times New Roman"/>
          <w:szCs w:val="24"/>
        </w:rPr>
        <w:t>, 91(11), 1473–1476. https://doi.org/10.1094/PDIS-91-11-1473</w:t>
      </w:r>
    </w:p>
    <w:p w14:paraId="77487CDB"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Mitkowski, N. A., &amp; Abawi, G. S. (2003). </w:t>
      </w:r>
      <w:r w:rsidRPr="007A39B7">
        <w:rPr>
          <w:rFonts w:cs="Times New Roman"/>
          <w:iCs/>
          <w:szCs w:val="24"/>
          <w:shd w:val="clear" w:color="auto" w:fill="FFFFFF"/>
        </w:rPr>
        <w:t>Root-knot nematodes</w:t>
      </w:r>
      <w:r w:rsidRPr="007A39B7">
        <w:rPr>
          <w:rFonts w:cs="Times New Roman"/>
          <w:i/>
          <w:iCs/>
          <w:szCs w:val="24"/>
          <w:shd w:val="clear" w:color="auto" w:fill="FFFFFF"/>
        </w:rPr>
        <w:t>. The Plant Health Instructor. DOI: 10.1094</w:t>
      </w:r>
      <w:r w:rsidRPr="007A39B7">
        <w:rPr>
          <w:rFonts w:cs="Times New Roman"/>
          <w:szCs w:val="24"/>
          <w:shd w:val="clear" w:color="auto" w:fill="FFFFFF"/>
        </w:rPr>
        <w:t>. PHI-I-2003-0917-01.</w:t>
      </w:r>
    </w:p>
    <w:p w14:paraId="32EAC4E3" w14:textId="77777777" w:rsidR="00D20476" w:rsidRPr="007A39B7" w:rsidRDefault="00D20476" w:rsidP="004E11C2">
      <w:pPr>
        <w:spacing w:line="360" w:lineRule="auto"/>
        <w:ind w:left="720" w:hanging="540"/>
        <w:rPr>
          <w:rFonts w:cs="Times New Roman"/>
          <w:szCs w:val="24"/>
        </w:rPr>
      </w:pPr>
      <w:r w:rsidRPr="007A39B7">
        <w:rPr>
          <w:rFonts w:cs="Times New Roman"/>
          <w:szCs w:val="24"/>
        </w:rPr>
        <w:t>Mueller, J. (2012). Managing Nematodes in Cotton-Based Cropping Systems. https://cottoncultivated.cottoninc.com/wp-content/uploads/2015/03/Managing-Nematodes.pdf</w:t>
      </w:r>
    </w:p>
    <w:p w14:paraId="738FFE85" w14:textId="77777777" w:rsidR="00D20476" w:rsidRPr="007A39B7" w:rsidRDefault="00D20476" w:rsidP="004E11C2">
      <w:pPr>
        <w:spacing w:line="360" w:lineRule="auto"/>
        <w:ind w:left="720" w:hanging="540"/>
        <w:rPr>
          <w:rFonts w:cs="Times New Roman"/>
          <w:szCs w:val="24"/>
        </w:rPr>
      </w:pPr>
      <w:r w:rsidRPr="007A39B7">
        <w:rPr>
          <w:rFonts w:cs="Times New Roman"/>
          <w:szCs w:val="24"/>
        </w:rPr>
        <w:t>Munawar, M., Yevtushenko, D. P., Palomares-Rius, J. E., &amp; Castillo, P. (2021). Species diversity of pin nematodes (</w:t>
      </w:r>
      <w:r w:rsidRPr="007A39B7">
        <w:rPr>
          <w:rFonts w:cs="Times New Roman"/>
          <w:i/>
          <w:szCs w:val="24"/>
        </w:rPr>
        <w:t>Paratylenchus</w:t>
      </w:r>
      <w:r w:rsidRPr="007A39B7">
        <w:rPr>
          <w:rFonts w:cs="Times New Roman"/>
          <w:szCs w:val="24"/>
        </w:rPr>
        <w:t xml:space="preserve"> spp.) from potato growing regions of Southern Alberta, Canada. </w:t>
      </w:r>
      <w:r w:rsidRPr="007A39B7">
        <w:rPr>
          <w:rFonts w:cs="Times New Roman"/>
          <w:i/>
          <w:szCs w:val="24"/>
        </w:rPr>
        <w:t>Plants</w:t>
      </w:r>
      <w:r w:rsidRPr="007A39B7">
        <w:rPr>
          <w:rFonts w:cs="Times New Roman"/>
          <w:szCs w:val="24"/>
        </w:rPr>
        <w:t>, 10(2), 1–25. https://doi.org/10.3390/plants10020188</w:t>
      </w:r>
    </w:p>
    <w:p w14:paraId="76242E26"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Nguyen, T. D., &amp; Trinh, Q. P. (2021). First report of an important sheath nematode, </w:t>
      </w:r>
      <w:r w:rsidRPr="007A39B7">
        <w:rPr>
          <w:rFonts w:cs="Times New Roman"/>
          <w:i/>
          <w:szCs w:val="24"/>
        </w:rPr>
        <w:t>Hemicycliophora poranga</w:t>
      </w:r>
      <w:r w:rsidRPr="007A39B7">
        <w:rPr>
          <w:rFonts w:cs="Times New Roman"/>
          <w:szCs w:val="24"/>
        </w:rPr>
        <w:t>, associated with sugar beet (</w:t>
      </w:r>
      <w:r w:rsidRPr="007A39B7">
        <w:rPr>
          <w:rFonts w:cs="Times New Roman"/>
          <w:i/>
          <w:szCs w:val="24"/>
        </w:rPr>
        <w:t>Beta vulgaris</w:t>
      </w:r>
      <w:r w:rsidRPr="007A39B7">
        <w:rPr>
          <w:rFonts w:cs="Times New Roman"/>
          <w:szCs w:val="24"/>
        </w:rPr>
        <w:t xml:space="preserve"> L.) in Vietnam. </w:t>
      </w:r>
      <w:r w:rsidRPr="007A39B7">
        <w:rPr>
          <w:rFonts w:cs="Times New Roman"/>
          <w:i/>
          <w:szCs w:val="24"/>
        </w:rPr>
        <w:t xml:space="preserve">Helminthologia </w:t>
      </w:r>
      <w:r w:rsidRPr="007A39B7">
        <w:rPr>
          <w:rFonts w:cs="Times New Roman"/>
          <w:szCs w:val="24"/>
        </w:rPr>
        <w:t>(Poland), 58(3), 333–338. https://doi.org/10.2478/helm-2021-0033</w:t>
      </w:r>
    </w:p>
    <w:p w14:paraId="650B4F21"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Niblack, T. L., &amp; Bernard, E. C. (1985). Plant-parasitic nematode communities in dogwood, maple, and peach nurseries in Tennessee. </w:t>
      </w:r>
      <w:r w:rsidRPr="007A39B7">
        <w:rPr>
          <w:rFonts w:cs="Times New Roman"/>
          <w:i/>
          <w:szCs w:val="24"/>
        </w:rPr>
        <w:t>Journal of Nematology</w:t>
      </w:r>
      <w:r w:rsidRPr="007A39B7">
        <w:rPr>
          <w:rFonts w:cs="Times New Roman"/>
          <w:szCs w:val="24"/>
        </w:rPr>
        <w:t>, 17(2), 132–139.</w:t>
      </w:r>
    </w:p>
    <w:p w14:paraId="7DE79168"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Niblack, T. L., Arelli, P. R., Noel, G. R., Opperman, C. H., Orf, J. H., Schmitt, D. P., Shannon, J. G., &amp; Tylka, G. L. (2002). A revised classification scheme for genetically diverse populations of </w:t>
      </w:r>
      <w:r w:rsidRPr="007A39B7">
        <w:rPr>
          <w:rFonts w:cs="Times New Roman"/>
          <w:i/>
          <w:szCs w:val="24"/>
        </w:rPr>
        <w:t>Heterodera glycines</w:t>
      </w:r>
      <w:r w:rsidRPr="007A39B7">
        <w:rPr>
          <w:rFonts w:cs="Times New Roman"/>
          <w:szCs w:val="24"/>
        </w:rPr>
        <w:t xml:space="preserve">. </w:t>
      </w:r>
      <w:r w:rsidRPr="007A39B7">
        <w:rPr>
          <w:rFonts w:cs="Times New Roman"/>
          <w:i/>
          <w:szCs w:val="24"/>
        </w:rPr>
        <w:t>Journal of Nematology</w:t>
      </w:r>
      <w:r w:rsidRPr="007A39B7">
        <w:rPr>
          <w:rFonts w:cs="Times New Roman"/>
          <w:szCs w:val="24"/>
        </w:rPr>
        <w:t>, 34(4), 279–288.</w:t>
      </w:r>
    </w:p>
    <w:p w14:paraId="319C3A5D" w14:textId="5D8CA27C" w:rsidR="00D20476" w:rsidRPr="007A39B7" w:rsidRDefault="00D20476" w:rsidP="004E11C2">
      <w:pPr>
        <w:spacing w:line="360" w:lineRule="auto"/>
        <w:ind w:left="720" w:hanging="540"/>
        <w:rPr>
          <w:rFonts w:cs="Times New Roman"/>
          <w:szCs w:val="24"/>
        </w:rPr>
      </w:pPr>
      <w:r w:rsidRPr="007A39B7">
        <w:rPr>
          <w:rFonts w:cs="Times New Roman"/>
          <w:szCs w:val="24"/>
        </w:rPr>
        <w:t xml:space="preserve">Niblack, T. L., Colgrove, A. L., Colgrove, K., &amp; Bond, J. P. (2008). Shift in Virulence of Soybean Cyst Nematode is Associated with Use of Resistance from PI 88788. </w:t>
      </w:r>
      <w:r w:rsidRPr="007A39B7">
        <w:rPr>
          <w:rFonts w:cs="Times New Roman"/>
          <w:i/>
          <w:szCs w:val="24"/>
        </w:rPr>
        <w:t>Plant Health Progress</w:t>
      </w:r>
      <w:r w:rsidRPr="007A39B7">
        <w:rPr>
          <w:rFonts w:cs="Times New Roman"/>
          <w:szCs w:val="24"/>
        </w:rPr>
        <w:t>, 9(1), 29. https://doi.org/10.1094/php-2008-0118-01-rs</w:t>
      </w:r>
    </w:p>
    <w:p w14:paraId="5177C7C4"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Niblack, T. L., Tylka, G. L., Arelli, P., Bond, J., Diers, B., Donald, P., Faghihi, J., Gallo, K., Heinz, R. D., Lopez-Nicora, H., Von Qualen, R., Welacky, T., &amp; Wilcox, J. (2009). A Standard Greenhouse Method for Assessing Soybean Cyst Nematode Resistance in Soybean: SCE08 (Standardized Cyst Evaluation 2008). </w:t>
      </w:r>
      <w:r w:rsidRPr="007A39B7">
        <w:rPr>
          <w:rFonts w:cs="Times New Roman"/>
          <w:i/>
          <w:szCs w:val="24"/>
        </w:rPr>
        <w:t>Plant Health Progress</w:t>
      </w:r>
      <w:r w:rsidRPr="007A39B7">
        <w:rPr>
          <w:rFonts w:cs="Times New Roman"/>
          <w:szCs w:val="24"/>
        </w:rPr>
        <w:t>, 10(1), 33. https://doi.org/10.1094/php-2009-0513-01-rv</w:t>
      </w:r>
    </w:p>
    <w:p w14:paraId="7B379D11" w14:textId="77777777" w:rsidR="00D20476" w:rsidRPr="007A39B7" w:rsidRDefault="00D20476" w:rsidP="004E11C2">
      <w:pPr>
        <w:spacing w:line="360" w:lineRule="auto"/>
        <w:ind w:left="720" w:hanging="540"/>
        <w:rPr>
          <w:rFonts w:cs="Times New Roman"/>
          <w:szCs w:val="24"/>
        </w:rPr>
      </w:pPr>
      <w:r w:rsidRPr="007A39B7">
        <w:rPr>
          <w:rFonts w:cs="Times New Roman"/>
          <w:szCs w:val="24"/>
        </w:rPr>
        <w:t>Niblack, T. L., Wrather, J. A., Heinz, R. D., &amp; Donald, P. A. (2003). Distribution and virulence phenotypes of Heterodera glycines in Missouri. Plant Disease, 87(8), 929–932. https://doi.org/10.1094/PDIS.2003.87.8.929</w:t>
      </w:r>
    </w:p>
    <w:p w14:paraId="1F91807A"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Nigh, E. A. (1980).  Identification and Distribution of Fungal Parasites of </w:t>
      </w:r>
      <w:r w:rsidRPr="007A39B7">
        <w:rPr>
          <w:rFonts w:cs="Times New Roman"/>
          <w:i/>
          <w:szCs w:val="24"/>
        </w:rPr>
        <w:t>Heterodera schachtii</w:t>
      </w:r>
      <w:r w:rsidRPr="007A39B7">
        <w:rPr>
          <w:rFonts w:cs="Times New Roman"/>
          <w:szCs w:val="24"/>
        </w:rPr>
        <w:t xml:space="preserve"> Eggs in California. </w:t>
      </w:r>
      <w:r w:rsidRPr="007A39B7">
        <w:rPr>
          <w:rFonts w:cs="Times New Roman"/>
          <w:i/>
          <w:szCs w:val="24"/>
        </w:rPr>
        <w:t>In Phytopathology</w:t>
      </w:r>
      <w:r w:rsidRPr="007A39B7">
        <w:rPr>
          <w:rFonts w:cs="Times New Roman"/>
          <w:szCs w:val="24"/>
        </w:rPr>
        <w:t xml:space="preserve"> (Vol. 70, Issue 9, p. 884). https://doi.org/10.1094/phyto-70-884</w:t>
      </w:r>
    </w:p>
    <w:p w14:paraId="2BFA7FFE"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Salahi Ardakani, A., Tanha Mafi, Z., Mokaram Hesar, A., &amp; Mohammadi Goltappeh, E. (2014). Relationship between soil properties and abundance of </w:t>
      </w:r>
      <w:r w:rsidRPr="007A39B7">
        <w:rPr>
          <w:rFonts w:cs="Times New Roman"/>
          <w:i/>
          <w:szCs w:val="24"/>
        </w:rPr>
        <w:t>Tylenchulus semipenetrans</w:t>
      </w:r>
      <w:r w:rsidRPr="007A39B7">
        <w:rPr>
          <w:rFonts w:cs="Times New Roman"/>
          <w:szCs w:val="24"/>
        </w:rPr>
        <w:t xml:space="preserve"> in citrus orchards, Kohgilouyeh va Boyerahmad Province</w:t>
      </w:r>
      <w:r w:rsidRPr="007A39B7">
        <w:rPr>
          <w:rFonts w:cs="Times New Roman"/>
          <w:i/>
          <w:szCs w:val="24"/>
        </w:rPr>
        <w:t>. Journal of Agricultural Science and Technology</w:t>
      </w:r>
      <w:r w:rsidRPr="007A39B7">
        <w:rPr>
          <w:rFonts w:cs="Times New Roman"/>
          <w:szCs w:val="24"/>
        </w:rPr>
        <w:t>, 16(March 2015), 1699–1710.</w:t>
      </w:r>
    </w:p>
    <w:p w14:paraId="440D0B8A"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Schmitt, D. P. (1988). Incidence of Plant-Parasitic Nematodes in the Coastal Plain of North Carolina. </w:t>
      </w:r>
      <w:r w:rsidRPr="007A39B7">
        <w:rPr>
          <w:rFonts w:cs="Times New Roman"/>
          <w:i/>
          <w:szCs w:val="24"/>
        </w:rPr>
        <w:t>In Plant Disease</w:t>
      </w:r>
      <w:r w:rsidRPr="007A39B7">
        <w:rPr>
          <w:rFonts w:cs="Times New Roman"/>
          <w:szCs w:val="24"/>
        </w:rPr>
        <w:t xml:space="preserve"> (Vol. 72, Issue 2, p. 107). https://doi.org/10.1094/pd-72-0107</w:t>
      </w:r>
    </w:p>
    <w:p w14:paraId="438085EC" w14:textId="77777777" w:rsidR="00D20476" w:rsidRPr="007A39B7" w:rsidRDefault="00D20476" w:rsidP="004E11C2">
      <w:pPr>
        <w:spacing w:line="360" w:lineRule="auto"/>
        <w:ind w:left="720" w:hanging="540"/>
        <w:rPr>
          <w:rFonts w:cs="Times New Roman"/>
          <w:szCs w:val="24"/>
        </w:rPr>
      </w:pPr>
      <w:r w:rsidRPr="007A39B7">
        <w:rPr>
          <w:rFonts w:cs="Times New Roman"/>
          <w:szCs w:val="24"/>
        </w:rPr>
        <w:t>Schmitt, D. P., Wrather, J. A., &amp; Riggs, R. D. (1992). Biology and Management of Soybean Cyst Nematode. 17.</w:t>
      </w:r>
    </w:p>
    <w:p w14:paraId="349E91F1"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Schumacher-Lott, L. A. (2011). Bionomics of </w:t>
      </w:r>
      <w:r w:rsidRPr="007A39B7">
        <w:rPr>
          <w:rFonts w:cs="Times New Roman"/>
          <w:i/>
          <w:szCs w:val="24"/>
        </w:rPr>
        <w:t>Heterodera glycines</w:t>
      </w:r>
      <w:r w:rsidRPr="007A39B7">
        <w:rPr>
          <w:rFonts w:cs="Times New Roman"/>
          <w:szCs w:val="24"/>
        </w:rPr>
        <w:t xml:space="preserve"> and </w:t>
      </w:r>
      <w:r w:rsidRPr="007A39B7">
        <w:rPr>
          <w:rFonts w:cs="Times New Roman"/>
          <w:i/>
          <w:szCs w:val="24"/>
        </w:rPr>
        <w:t>Pratylenchus penetrans</w:t>
      </w:r>
      <w:r w:rsidRPr="007A39B7">
        <w:rPr>
          <w:rFonts w:cs="Times New Roman"/>
          <w:szCs w:val="24"/>
        </w:rPr>
        <w:t xml:space="preserve"> associated with Michigan soybean production. Michigan State University. Entomology.</w:t>
      </w:r>
    </w:p>
    <w:p w14:paraId="425190E9" w14:textId="77777777" w:rsidR="00D20476" w:rsidRPr="007A39B7" w:rsidRDefault="00D20476" w:rsidP="004E11C2">
      <w:pPr>
        <w:spacing w:line="360" w:lineRule="auto"/>
        <w:ind w:left="720" w:hanging="540"/>
        <w:rPr>
          <w:rFonts w:cs="Times New Roman"/>
          <w:szCs w:val="24"/>
        </w:rPr>
      </w:pPr>
      <w:r w:rsidRPr="007A39B7">
        <w:rPr>
          <w:rFonts w:cs="Times New Roman"/>
          <w:szCs w:val="24"/>
        </w:rPr>
        <w:t>Sikora, R. A., Desaeger, J., &amp; Molendijk, L. (2021). Integrated Nematode Management: State-of-the-art and visions for the future.</w:t>
      </w:r>
    </w:p>
    <w:p w14:paraId="4E3103A0"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Supramana, S., Lewis, S. A., Mueller, J. D., Fortnum, B. A., &amp; Ballard, R. E. (2001). Biology of Columbia lance nematode (</w:t>
      </w:r>
      <w:r w:rsidRPr="007A39B7">
        <w:rPr>
          <w:rFonts w:cs="Times New Roman"/>
          <w:i/>
          <w:szCs w:val="24"/>
          <w:shd w:val="clear" w:color="auto" w:fill="FFFFFF"/>
        </w:rPr>
        <w:t>Hoplolaimus columbus</w:t>
      </w:r>
      <w:r w:rsidRPr="007A39B7">
        <w:rPr>
          <w:rFonts w:cs="Times New Roman"/>
          <w:szCs w:val="24"/>
          <w:shd w:val="clear" w:color="auto" w:fill="FFFFFF"/>
        </w:rPr>
        <w:t xml:space="preserve"> Sher) on soybean excised root culture. </w:t>
      </w:r>
      <w:r w:rsidRPr="007A39B7">
        <w:rPr>
          <w:rFonts w:cs="Times New Roman"/>
          <w:i/>
          <w:iCs/>
          <w:szCs w:val="24"/>
          <w:shd w:val="clear" w:color="auto" w:fill="FFFFFF"/>
        </w:rPr>
        <w:t>Nematropica</w:t>
      </w:r>
      <w:r w:rsidRPr="007A39B7">
        <w:rPr>
          <w:rFonts w:cs="Times New Roman"/>
          <w:szCs w:val="24"/>
          <w:shd w:val="clear" w:color="auto" w:fill="FFFFFF"/>
        </w:rPr>
        <w:t>, 281-288.</w:t>
      </w:r>
    </w:p>
    <w:p w14:paraId="4964E7D1"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Tylka, G. L. (2016). Understanding soybean cyst nematode HG types and races. </w:t>
      </w:r>
      <w:r w:rsidRPr="007A39B7">
        <w:rPr>
          <w:rFonts w:cs="Times New Roman"/>
          <w:i/>
          <w:szCs w:val="24"/>
        </w:rPr>
        <w:t>Plant Health Progress,</w:t>
      </w:r>
      <w:r w:rsidRPr="007A39B7">
        <w:rPr>
          <w:rFonts w:cs="Times New Roman"/>
          <w:szCs w:val="24"/>
        </w:rPr>
        <w:t xml:space="preserve"> 17(2), 149–151. https://doi.org/10.1094/PHP-PS-16-0615</w:t>
      </w:r>
    </w:p>
    <w:p w14:paraId="3F1E1CD6" w14:textId="77777777" w:rsidR="00D20476" w:rsidRPr="007A39B7" w:rsidRDefault="00D20476" w:rsidP="004E11C2">
      <w:pPr>
        <w:spacing w:line="360" w:lineRule="auto"/>
        <w:ind w:left="720" w:hanging="540"/>
        <w:rPr>
          <w:rFonts w:cs="Times New Roman"/>
          <w:szCs w:val="24"/>
        </w:rPr>
      </w:pPr>
      <w:r w:rsidRPr="007A39B7">
        <w:rPr>
          <w:rFonts w:cs="Times New Roman"/>
          <w:szCs w:val="24"/>
        </w:rPr>
        <w:t>Tylka, G. L. (2018). Plant-Parasitic Nematodes on Corn: Old Foes and a Possible New Nemesis. https://doi.org/10.31274/icm-180809-891</w:t>
      </w:r>
    </w:p>
    <w:p w14:paraId="01450467"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Tylka, G. L., Sisson, A. J., Jesse, L. C., Kennicker, J., &amp; Marett, C. C. (2011). Testing for plant-parasitic nematodes that feed on corn in Iowa 2000-2010. </w:t>
      </w:r>
      <w:r w:rsidRPr="007A39B7">
        <w:rPr>
          <w:rFonts w:cs="Times New Roman"/>
          <w:i/>
          <w:szCs w:val="24"/>
        </w:rPr>
        <w:t>Plant Health Progress</w:t>
      </w:r>
      <w:r w:rsidRPr="007A39B7">
        <w:rPr>
          <w:rFonts w:cs="Times New Roman"/>
          <w:szCs w:val="24"/>
        </w:rPr>
        <w:t xml:space="preserve">, 12(1). </w:t>
      </w:r>
      <w:hyperlink r:id="rId84" w:history="1">
        <w:r w:rsidRPr="007A39B7">
          <w:rPr>
            <w:rStyle w:val="Hyperlink"/>
            <w:rFonts w:cs="Times New Roman"/>
            <w:color w:val="auto"/>
            <w:szCs w:val="24"/>
            <w:u w:val="none"/>
          </w:rPr>
          <w:t>https://doi.org/10.1094/php-2011-1205-01-rs</w:t>
        </w:r>
      </w:hyperlink>
    </w:p>
    <w:p w14:paraId="4FC6A1E8" w14:textId="26CB4DC2" w:rsidR="00D20476" w:rsidRPr="007A39B7" w:rsidRDefault="00D20476" w:rsidP="004E11C2">
      <w:pPr>
        <w:spacing w:line="360" w:lineRule="auto"/>
        <w:ind w:left="720" w:hanging="540"/>
      </w:pPr>
      <w:r w:rsidRPr="007A39B7">
        <w:rPr>
          <w:rFonts w:cs="Times New Roman"/>
          <w:szCs w:val="24"/>
        </w:rPr>
        <w:t>U.S Department of Agricul</w:t>
      </w:r>
      <w:r w:rsidR="00003D95" w:rsidRPr="007A39B7">
        <w:rPr>
          <w:rFonts w:cs="Times New Roman"/>
          <w:szCs w:val="24"/>
        </w:rPr>
        <w:t>tu</w:t>
      </w:r>
      <w:r w:rsidRPr="007A39B7">
        <w:rPr>
          <w:rFonts w:cs="Times New Roman"/>
          <w:szCs w:val="24"/>
        </w:rPr>
        <w:t>re Nation</w:t>
      </w:r>
      <w:r w:rsidR="00003D95" w:rsidRPr="007A39B7">
        <w:rPr>
          <w:rFonts w:cs="Times New Roman"/>
          <w:szCs w:val="24"/>
        </w:rPr>
        <w:t>a</w:t>
      </w:r>
      <w:r w:rsidRPr="007A39B7">
        <w:rPr>
          <w:rFonts w:cs="Times New Roman"/>
          <w:szCs w:val="24"/>
        </w:rPr>
        <w:t>l Agricultural Stat</w:t>
      </w:r>
      <w:r w:rsidR="00003D95" w:rsidRPr="007A39B7">
        <w:rPr>
          <w:rFonts w:cs="Times New Roman"/>
          <w:szCs w:val="24"/>
        </w:rPr>
        <w:t>i</w:t>
      </w:r>
      <w:r w:rsidRPr="007A39B7">
        <w:rPr>
          <w:rFonts w:cs="Times New Roman"/>
          <w:szCs w:val="24"/>
        </w:rPr>
        <w:t xml:space="preserve">stics Service (2022, March). </w:t>
      </w:r>
      <w:r w:rsidRPr="007A39B7">
        <w:t xml:space="preserve">2021 State Agriculture Overview – Tennessee. </w:t>
      </w:r>
      <w:hyperlink r:id="rId85" w:history="1">
        <w:r w:rsidRPr="007A39B7">
          <w:rPr>
            <w:rStyle w:val="Hyperlink"/>
            <w:color w:val="auto"/>
            <w:u w:val="none"/>
          </w:rPr>
          <w:t>https://www.nass.usda.gov/Quick_Stats/Ag_Overview/stateOverview.php?state=TENNESSEE</w:t>
        </w:r>
      </w:hyperlink>
    </w:p>
    <w:p w14:paraId="123E2DDB"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Van Bezooijen, J. (2006). Methods and Techniques for Nematology (Wageningen University, Wageningen, The Netherlands). </w:t>
      </w:r>
      <w:r w:rsidRPr="007A39B7">
        <w:rPr>
          <w:rFonts w:cs="Times New Roman"/>
          <w:i/>
          <w:iCs/>
          <w:szCs w:val="24"/>
          <w:shd w:val="clear" w:color="auto" w:fill="FFFFFF"/>
        </w:rPr>
        <w:t>Van Bezooijen J</w:t>
      </w:r>
      <w:r w:rsidRPr="007A39B7">
        <w:rPr>
          <w:rFonts w:cs="Times New Roman"/>
          <w:szCs w:val="24"/>
          <w:shd w:val="clear" w:color="auto" w:fill="FFFFFF"/>
        </w:rPr>
        <w:t>.</w:t>
      </w:r>
    </w:p>
    <w:p w14:paraId="7671F110"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Wang, K., Li, Y., Xie, H., Wu, W. J., &amp; Xu, C. L. (2016). Pin nematode slow decline of </w:t>
      </w:r>
      <w:r w:rsidRPr="007A39B7">
        <w:rPr>
          <w:rFonts w:cs="Times New Roman"/>
          <w:i/>
          <w:szCs w:val="24"/>
        </w:rPr>
        <w:t>Anthurium andraeanum</w:t>
      </w:r>
      <w:r w:rsidRPr="007A39B7">
        <w:rPr>
          <w:rFonts w:cs="Times New Roman"/>
          <w:szCs w:val="24"/>
        </w:rPr>
        <w:t xml:space="preserve">, a new disease caused by the pin nematode </w:t>
      </w:r>
      <w:r w:rsidRPr="007A39B7">
        <w:rPr>
          <w:rFonts w:cs="Times New Roman"/>
          <w:i/>
          <w:szCs w:val="24"/>
        </w:rPr>
        <w:t>Paratylenchus shenzhenensis</w:t>
      </w:r>
      <w:r w:rsidRPr="007A39B7">
        <w:rPr>
          <w:rFonts w:cs="Times New Roman"/>
          <w:szCs w:val="24"/>
        </w:rPr>
        <w:t xml:space="preserve">. </w:t>
      </w:r>
      <w:r w:rsidRPr="007A39B7">
        <w:rPr>
          <w:rFonts w:cs="Times New Roman"/>
          <w:i/>
          <w:szCs w:val="24"/>
        </w:rPr>
        <w:t>Plant Disease</w:t>
      </w:r>
      <w:r w:rsidRPr="007A39B7">
        <w:rPr>
          <w:rFonts w:cs="Times New Roman"/>
          <w:szCs w:val="24"/>
        </w:rPr>
        <w:t>, 100(5), 940–945. https://doi.org/10.1094/PDIS-07-15-0777-RE</w:t>
      </w:r>
    </w:p>
    <w:p w14:paraId="0C39F019"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Wesemael, W. M. L., Moens, M., Viaene, N., &amp; Taning, L. M. (2014). Life cycle and damage of the root-knot nematode </w:t>
      </w:r>
      <w:r w:rsidRPr="007A39B7">
        <w:rPr>
          <w:rFonts w:cs="Times New Roman"/>
          <w:i/>
          <w:szCs w:val="24"/>
        </w:rPr>
        <w:t>Meloidogyne minor</w:t>
      </w:r>
      <w:r w:rsidRPr="007A39B7">
        <w:rPr>
          <w:rFonts w:cs="Times New Roman"/>
          <w:szCs w:val="24"/>
        </w:rPr>
        <w:t xml:space="preserve"> on potato, </w:t>
      </w:r>
      <w:r w:rsidRPr="007A39B7">
        <w:rPr>
          <w:rFonts w:cs="Times New Roman"/>
          <w:i/>
          <w:szCs w:val="24"/>
        </w:rPr>
        <w:t>Solanum tuberosum</w:t>
      </w:r>
      <w:r w:rsidRPr="007A39B7">
        <w:rPr>
          <w:rFonts w:cs="Times New Roman"/>
          <w:szCs w:val="24"/>
        </w:rPr>
        <w:t xml:space="preserve">. </w:t>
      </w:r>
      <w:r w:rsidRPr="007A39B7">
        <w:rPr>
          <w:rFonts w:cs="Times New Roman"/>
          <w:i/>
          <w:szCs w:val="24"/>
        </w:rPr>
        <w:t>Nematology</w:t>
      </w:r>
      <w:r w:rsidRPr="007A39B7">
        <w:rPr>
          <w:rFonts w:cs="Times New Roman"/>
          <w:szCs w:val="24"/>
        </w:rPr>
        <w:t>, 16(2), 185–192. https://doi.org/10.1163/15685411-00002756</w:t>
      </w:r>
    </w:p>
    <w:p w14:paraId="25BC972C"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Wilson, J. D., &amp; Walker, J. T. (1961). An inventory of stylet-bearing nematodes in Ohio. https://kb.osu.edu/bitstream/handle/1811/71826/1/OARDC_special_circular_n097.pdf</w:t>
      </w:r>
    </w:p>
    <w:p w14:paraId="4F002D47"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 xml:space="preserve">Yan, G. P., Plaisance, A., Huang, D., &amp; Handoo, Z. A. (2016). First report of the lance nematode </w:t>
      </w:r>
      <w:r w:rsidRPr="007A39B7">
        <w:rPr>
          <w:rFonts w:cs="Times New Roman"/>
          <w:i/>
          <w:szCs w:val="24"/>
          <w:shd w:val="clear" w:color="auto" w:fill="FFFFFF"/>
        </w:rPr>
        <w:t>Hoplolaimus stephanus</w:t>
      </w:r>
      <w:r w:rsidRPr="007A39B7">
        <w:rPr>
          <w:rFonts w:cs="Times New Roman"/>
          <w:szCs w:val="24"/>
          <w:shd w:val="clear" w:color="auto" w:fill="FFFFFF"/>
        </w:rPr>
        <w:t xml:space="preserve"> from a soybean field in North Dakota. </w:t>
      </w:r>
      <w:r w:rsidRPr="007A39B7">
        <w:rPr>
          <w:rFonts w:cs="Times New Roman"/>
          <w:i/>
          <w:iCs/>
          <w:szCs w:val="24"/>
          <w:shd w:val="clear" w:color="auto" w:fill="FFFFFF"/>
        </w:rPr>
        <w:t>Plant Disease</w:t>
      </w:r>
      <w:r w:rsidRPr="007A39B7">
        <w:rPr>
          <w:rFonts w:cs="Times New Roman"/>
          <w:szCs w:val="24"/>
          <w:shd w:val="clear" w:color="auto" w:fill="FFFFFF"/>
        </w:rPr>
        <w:t>, </w:t>
      </w:r>
      <w:r w:rsidRPr="007A39B7">
        <w:rPr>
          <w:rFonts w:cs="Times New Roman"/>
          <w:i/>
          <w:iCs/>
          <w:szCs w:val="24"/>
          <w:shd w:val="clear" w:color="auto" w:fill="FFFFFF"/>
        </w:rPr>
        <w:t>100</w:t>
      </w:r>
      <w:r w:rsidRPr="007A39B7">
        <w:rPr>
          <w:rFonts w:cs="Times New Roman"/>
          <w:szCs w:val="24"/>
          <w:shd w:val="clear" w:color="auto" w:fill="FFFFFF"/>
        </w:rPr>
        <w:t>(12), 2536-2536.</w:t>
      </w:r>
    </w:p>
    <w:p w14:paraId="54D5E2C5"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Yan, G., &amp; Baidoo, R. (2018). Current research status of </w:t>
      </w:r>
      <w:r w:rsidRPr="007A39B7">
        <w:rPr>
          <w:rFonts w:cs="Times New Roman"/>
          <w:i/>
          <w:szCs w:val="24"/>
        </w:rPr>
        <w:t>heterodera glycines</w:t>
      </w:r>
      <w:r w:rsidRPr="007A39B7">
        <w:rPr>
          <w:rFonts w:cs="Times New Roman"/>
          <w:szCs w:val="24"/>
        </w:rPr>
        <w:t xml:space="preserve"> resistance and its implication on soybean breeding. </w:t>
      </w:r>
      <w:r w:rsidRPr="007A39B7">
        <w:rPr>
          <w:rFonts w:cs="Times New Roman"/>
          <w:i/>
          <w:szCs w:val="24"/>
        </w:rPr>
        <w:t>Engineering</w:t>
      </w:r>
      <w:r w:rsidRPr="007A39B7">
        <w:rPr>
          <w:rFonts w:cs="Times New Roman"/>
          <w:szCs w:val="24"/>
        </w:rPr>
        <w:t>, 4(4), 534–541. https://doi.org/10.1016/j.eng.2018.07.009</w:t>
      </w:r>
    </w:p>
    <w:p w14:paraId="2C698193" w14:textId="77777777" w:rsidR="00D20476" w:rsidRPr="007A39B7" w:rsidRDefault="00D20476" w:rsidP="004E11C2">
      <w:pPr>
        <w:spacing w:line="360" w:lineRule="auto"/>
        <w:ind w:left="720" w:hanging="540"/>
        <w:rPr>
          <w:rFonts w:cs="Times New Roman"/>
          <w:szCs w:val="24"/>
        </w:rPr>
      </w:pPr>
      <w:r w:rsidRPr="007A39B7">
        <w:rPr>
          <w:rFonts w:cs="Times New Roman"/>
          <w:szCs w:val="24"/>
        </w:rPr>
        <w:t xml:space="preserve">Ye, W., &amp; Robbins, R. T. (2004). Distribution and morphology of </w:t>
      </w:r>
      <w:r w:rsidRPr="007A39B7">
        <w:rPr>
          <w:rFonts w:cs="Times New Roman"/>
          <w:i/>
          <w:szCs w:val="24"/>
        </w:rPr>
        <w:t>Longidorus breviannulatus</w:t>
      </w:r>
      <w:r w:rsidRPr="007A39B7">
        <w:rPr>
          <w:rFonts w:cs="Times New Roman"/>
          <w:szCs w:val="24"/>
        </w:rPr>
        <w:t xml:space="preserve"> Norton &amp; Hoffman, 1975 and </w:t>
      </w:r>
      <w:r w:rsidRPr="007A39B7">
        <w:rPr>
          <w:rFonts w:cs="Times New Roman"/>
          <w:i/>
          <w:szCs w:val="24"/>
        </w:rPr>
        <w:t>Longidorus fragilis</w:t>
      </w:r>
      <w:r w:rsidRPr="007A39B7">
        <w:rPr>
          <w:rFonts w:cs="Times New Roman"/>
          <w:szCs w:val="24"/>
        </w:rPr>
        <w:t xml:space="preserve"> Thorne, 1974 (Nematoda: Longidoridae) from North America. </w:t>
      </w:r>
      <w:r w:rsidRPr="007A39B7">
        <w:rPr>
          <w:rFonts w:cs="Times New Roman"/>
          <w:i/>
          <w:szCs w:val="24"/>
        </w:rPr>
        <w:t>Journal of Nematology</w:t>
      </w:r>
      <w:r w:rsidRPr="007A39B7">
        <w:rPr>
          <w:rFonts w:cs="Times New Roman"/>
          <w:szCs w:val="24"/>
        </w:rPr>
        <w:t>, 36(3), 220–231.</w:t>
      </w:r>
    </w:p>
    <w:p w14:paraId="669CAE5B" w14:textId="77777777" w:rsidR="00D20476" w:rsidRPr="007A39B7" w:rsidRDefault="00D20476" w:rsidP="004E11C2">
      <w:pPr>
        <w:spacing w:line="360" w:lineRule="auto"/>
        <w:ind w:left="720" w:hanging="540"/>
        <w:rPr>
          <w:rFonts w:cs="Times New Roman"/>
          <w:szCs w:val="24"/>
          <w:shd w:val="clear" w:color="auto" w:fill="FFFFFF"/>
        </w:rPr>
      </w:pPr>
      <w:r w:rsidRPr="007A39B7">
        <w:rPr>
          <w:rFonts w:cs="Times New Roman"/>
          <w:szCs w:val="24"/>
          <w:shd w:val="clear" w:color="auto" w:fill="FFFFFF"/>
        </w:rPr>
        <w:t>Zheng, J. W., &amp; Chen, S. Y. (2011). Estimation of virulence type and level of soybean cyst nematode field populations in response to resistant cultivars. </w:t>
      </w:r>
      <w:r w:rsidRPr="007A39B7">
        <w:rPr>
          <w:rFonts w:cs="Times New Roman"/>
          <w:i/>
          <w:iCs/>
          <w:szCs w:val="24"/>
          <w:shd w:val="clear" w:color="auto" w:fill="FFFFFF"/>
        </w:rPr>
        <w:t>Journal of Entomology and Nematology</w:t>
      </w:r>
      <w:r w:rsidRPr="007A39B7">
        <w:rPr>
          <w:rFonts w:cs="Times New Roman"/>
          <w:szCs w:val="24"/>
          <w:shd w:val="clear" w:color="auto" w:fill="FFFFFF"/>
        </w:rPr>
        <w:t>, </w:t>
      </w:r>
      <w:r w:rsidRPr="007A39B7">
        <w:rPr>
          <w:rFonts w:cs="Times New Roman"/>
          <w:i/>
          <w:iCs/>
          <w:szCs w:val="24"/>
          <w:shd w:val="clear" w:color="auto" w:fill="FFFFFF"/>
        </w:rPr>
        <w:t>3</w:t>
      </w:r>
      <w:r w:rsidRPr="007A39B7">
        <w:rPr>
          <w:rFonts w:cs="Times New Roman"/>
          <w:szCs w:val="24"/>
          <w:shd w:val="clear" w:color="auto" w:fill="FFFFFF"/>
        </w:rPr>
        <w:t>(3), 37-43.</w:t>
      </w:r>
    </w:p>
    <w:p w14:paraId="23D9BD9D" w14:textId="77777777" w:rsidR="00D20476" w:rsidRPr="00102AAA" w:rsidRDefault="00D20476" w:rsidP="00D20476">
      <w:pPr>
        <w:pStyle w:val="Heading1"/>
        <w:ind w:left="720"/>
        <w:jc w:val="center"/>
      </w:pPr>
    </w:p>
    <w:p w14:paraId="734C00BB" w14:textId="77777777" w:rsidR="00D20476" w:rsidRPr="00102AAA" w:rsidRDefault="00D20476" w:rsidP="00D20476">
      <w:pPr>
        <w:adjustRightInd w:val="0"/>
        <w:spacing w:line="360" w:lineRule="auto"/>
        <w:ind w:left="480" w:hanging="480"/>
        <w:rPr>
          <w:rFonts w:cs="Times New Roman"/>
          <w:noProof/>
          <w:szCs w:val="24"/>
        </w:rPr>
        <w:sectPr w:rsidR="00D20476" w:rsidRPr="00102AAA" w:rsidSect="001C5F7A">
          <w:pgSz w:w="12240" w:h="15840" w:code="1"/>
          <w:pgMar w:top="1440" w:right="1440" w:bottom="1440" w:left="1440" w:header="720" w:footer="1440" w:gutter="0"/>
          <w:cols w:space="720"/>
          <w:docGrid w:linePitch="360"/>
        </w:sectPr>
      </w:pPr>
      <w:r w:rsidRPr="00102AAA">
        <w:rPr>
          <w:rFonts w:cs="Times New Roman"/>
          <w:b/>
        </w:rPr>
        <w:fldChar w:fldCharType="begin" w:fldLock="1"/>
      </w:r>
      <w:r w:rsidRPr="00102AAA">
        <w:rPr>
          <w:rFonts w:cs="Times New Roman"/>
          <w:b/>
        </w:rPr>
        <w:instrText xml:space="preserve">ADDIN Mendeley Bibliography CSL_BIBLIOGRAPHY </w:instrText>
      </w:r>
      <w:r w:rsidRPr="00102AAA">
        <w:rPr>
          <w:rFonts w:cs="Times New Roman"/>
          <w:b/>
        </w:rPr>
        <w:fldChar w:fldCharType="separate"/>
      </w:r>
    </w:p>
    <w:p w14:paraId="30C07219" w14:textId="77777777" w:rsidR="00121954" w:rsidRPr="00102AAA" w:rsidRDefault="00121954">
      <w:pPr>
        <w:rPr>
          <w:rFonts w:cs="Times New Roman"/>
          <w:b/>
          <w:bCs/>
          <w:noProof/>
          <w:sz w:val="28"/>
          <w:szCs w:val="28"/>
        </w:rPr>
      </w:pPr>
      <w:bookmarkStart w:id="252" w:name="_Toc101048130"/>
      <w:r w:rsidRPr="00102AAA">
        <w:rPr>
          <w:noProof/>
        </w:rPr>
        <w:br w:type="page"/>
      </w:r>
    </w:p>
    <w:bookmarkEnd w:id="252"/>
    <w:p w14:paraId="535B5544" w14:textId="77777777" w:rsidR="00121954" w:rsidRPr="005739C0" w:rsidRDefault="00D20476" w:rsidP="00D20476">
      <w:pPr>
        <w:rPr>
          <w:b/>
        </w:rPr>
      </w:pPr>
      <w:r w:rsidRPr="00102AAA">
        <w:rPr>
          <w:b/>
        </w:rPr>
        <w:fldChar w:fldCharType="end"/>
      </w:r>
    </w:p>
    <w:tbl>
      <w:tblPr>
        <w:tblStyle w:val="ListTable1Light-Accent5"/>
        <w:tblpPr w:leftFromText="180" w:rightFromText="180" w:vertAnchor="text" w:horzAnchor="margin" w:tblpY="124"/>
        <w:tblW w:w="8810" w:type="dxa"/>
        <w:tblLook w:val="04A0" w:firstRow="1" w:lastRow="0" w:firstColumn="1" w:lastColumn="0" w:noHBand="0" w:noVBand="1"/>
      </w:tblPr>
      <w:tblGrid>
        <w:gridCol w:w="8810"/>
      </w:tblGrid>
      <w:tr w:rsidR="00121954" w:rsidRPr="00893F80" w14:paraId="1C562C8F" w14:textId="77777777" w:rsidTr="00D3308B">
        <w:trPr>
          <w:cnfStyle w:val="100000000000" w:firstRow="1" w:lastRow="0" w:firstColumn="0" w:lastColumn="0" w:oddVBand="0" w:evenVBand="0" w:oddHBand="0"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8810" w:type="dxa"/>
            <w:tcBorders>
              <w:bottom w:val="none" w:sz="0" w:space="0" w:color="auto"/>
            </w:tcBorders>
            <w:shd w:val="clear" w:color="auto" w:fill="auto"/>
            <w:vAlign w:val="bottom"/>
          </w:tcPr>
          <w:p w14:paraId="32665EF8" w14:textId="3AB59DE3" w:rsidR="00121954" w:rsidRPr="00AB65D6" w:rsidRDefault="00121954" w:rsidP="00121954">
            <w:pPr>
              <w:pStyle w:val="Caption"/>
              <w:framePr w:hSpace="0" w:wrap="auto" w:vAnchor="margin" w:hAnchor="text" w:yAlign="inline"/>
              <w:rPr>
                <w:b/>
              </w:rPr>
            </w:pPr>
            <w:bookmarkStart w:id="253" w:name="_Toc101345071"/>
            <w:r w:rsidRPr="00AB65D6">
              <w:rPr>
                <w:b/>
              </w:rPr>
              <w:t xml:space="preserve">Table 2. </w:t>
            </w:r>
            <w:r w:rsidRPr="00AB65D6">
              <w:fldChar w:fldCharType="begin"/>
            </w:r>
            <w:r w:rsidRPr="00AB65D6">
              <w:rPr>
                <w:b/>
              </w:rPr>
              <w:instrText xml:space="preserve"> SEQ Table_2. \* ARABIC </w:instrText>
            </w:r>
            <w:r w:rsidRPr="00AB65D6">
              <w:fldChar w:fldCharType="separate"/>
            </w:r>
            <w:r w:rsidR="009C2EDC">
              <w:rPr>
                <w:b/>
                <w:noProof/>
              </w:rPr>
              <w:t>1</w:t>
            </w:r>
            <w:r w:rsidRPr="00AB65D6">
              <w:fldChar w:fldCharType="end"/>
            </w:r>
            <w:r w:rsidRPr="00AB65D6">
              <w:rPr>
                <w:b/>
              </w:rPr>
              <w:t>. Nematode population distribution across sample</w:t>
            </w:r>
            <w:r>
              <w:rPr>
                <w:b/>
              </w:rPr>
              <w:t>s</w:t>
            </w:r>
            <w:r w:rsidRPr="00AB65D6">
              <w:rPr>
                <w:b/>
              </w:rPr>
              <w:t xml:space="preserve"> and count</w:t>
            </w:r>
            <w:r>
              <w:rPr>
                <w:b/>
              </w:rPr>
              <w:t>ies</w:t>
            </w:r>
            <w:bookmarkEnd w:id="253"/>
          </w:p>
        </w:tc>
      </w:tr>
    </w:tbl>
    <w:p w14:paraId="1D939D7D" w14:textId="77777777" w:rsidR="00D3308B" w:rsidRDefault="00D3308B"/>
    <w:tbl>
      <w:tblPr>
        <w:tblStyle w:val="ListTable1Light-Accent5"/>
        <w:tblpPr w:leftFromText="180" w:rightFromText="180" w:vertAnchor="text" w:horzAnchor="margin" w:tblpXSpec="center" w:tblpY="168"/>
        <w:tblW w:w="9074" w:type="dxa"/>
        <w:tblLook w:val="04A0" w:firstRow="1" w:lastRow="0" w:firstColumn="1" w:lastColumn="0" w:noHBand="0" w:noVBand="1"/>
      </w:tblPr>
      <w:tblGrid>
        <w:gridCol w:w="1112"/>
        <w:gridCol w:w="1047"/>
        <w:gridCol w:w="1019"/>
        <w:gridCol w:w="1073"/>
        <w:gridCol w:w="911"/>
        <w:gridCol w:w="569"/>
        <w:gridCol w:w="1414"/>
        <w:gridCol w:w="1929"/>
      </w:tblGrid>
      <w:tr w:rsidR="00BE3C59" w:rsidRPr="00893F80" w14:paraId="5A041D53" w14:textId="77777777" w:rsidTr="00736D50">
        <w:trPr>
          <w:cnfStyle w:val="100000000000" w:firstRow="1" w:lastRow="0" w:firstColumn="0" w:lastColumn="0" w:oddVBand="0" w:evenVBand="0" w:oddHBand="0"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112" w:type="dxa"/>
            <w:vMerge w:val="restart"/>
            <w:tcBorders>
              <w:top w:val="single" w:sz="4" w:space="0" w:color="auto"/>
              <w:bottom w:val="single" w:sz="4" w:space="0" w:color="auto"/>
            </w:tcBorders>
            <w:shd w:val="clear" w:color="auto" w:fill="auto"/>
            <w:vAlign w:val="bottom"/>
          </w:tcPr>
          <w:p w14:paraId="18406C2B" w14:textId="77777777" w:rsidR="00BE3C59" w:rsidRPr="00893F80" w:rsidRDefault="00BE3C59" w:rsidP="00BE3C59">
            <w:pPr>
              <w:pStyle w:val="NoSpacing"/>
              <w:jc w:val="center"/>
              <w:rPr>
                <w:rFonts w:ascii="Times New Roman" w:hAnsi="Times New Roman" w:cs="Times New Roman"/>
                <w:b w:val="0"/>
                <w:sz w:val="20"/>
                <w:szCs w:val="20"/>
              </w:rPr>
            </w:pPr>
            <w:r w:rsidRPr="00893F80">
              <w:rPr>
                <w:rFonts w:ascii="Times New Roman" w:hAnsi="Times New Roman" w:cs="Times New Roman"/>
                <w:b w:val="0"/>
                <w:sz w:val="20"/>
                <w:szCs w:val="20"/>
              </w:rPr>
              <w:t>Nematode</w:t>
            </w:r>
          </w:p>
        </w:tc>
        <w:tc>
          <w:tcPr>
            <w:tcW w:w="3139" w:type="dxa"/>
            <w:gridSpan w:val="3"/>
            <w:tcBorders>
              <w:top w:val="single" w:sz="4" w:space="0" w:color="auto"/>
              <w:bottom w:val="single" w:sz="4" w:space="0" w:color="auto"/>
            </w:tcBorders>
            <w:shd w:val="clear" w:color="auto" w:fill="auto"/>
            <w:noWrap/>
            <w:vAlign w:val="bottom"/>
          </w:tcPr>
          <w:p w14:paraId="7A82751A" w14:textId="18FC3A03" w:rsidR="00BE3C59" w:rsidRPr="00B709EA" w:rsidRDefault="00BE3C59" w:rsidP="00BE3C5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vertAlign w:val="superscript"/>
              </w:rPr>
            </w:pPr>
            <w:r>
              <w:rPr>
                <w:rFonts w:ascii="Times New Roman" w:hAnsi="Times New Roman" w:cs="Times New Roman"/>
                <w:sz w:val="20"/>
                <w:szCs w:val="20"/>
              </w:rPr>
              <w:t>Occurrence in samples</w:t>
            </w:r>
            <w:r w:rsidRPr="00893F80">
              <w:rPr>
                <w:rFonts w:ascii="Times New Roman" w:hAnsi="Times New Roman" w:cs="Times New Roman"/>
                <w:sz w:val="20"/>
                <w:szCs w:val="20"/>
              </w:rPr>
              <w:t xml:space="preserve"> (N=378)</w:t>
            </w:r>
            <w:r w:rsidR="00B709EA" w:rsidRPr="00B709EA">
              <w:rPr>
                <w:rFonts w:ascii="Times New Roman" w:hAnsi="Times New Roman" w:cs="Times New Roman"/>
                <w:b w:val="0"/>
                <w:sz w:val="20"/>
                <w:szCs w:val="20"/>
                <w:vertAlign w:val="superscript"/>
              </w:rPr>
              <w:t>a</w:t>
            </w:r>
          </w:p>
        </w:tc>
        <w:tc>
          <w:tcPr>
            <w:tcW w:w="2894" w:type="dxa"/>
            <w:gridSpan w:val="3"/>
            <w:tcBorders>
              <w:top w:val="single" w:sz="4" w:space="0" w:color="auto"/>
              <w:bottom w:val="single" w:sz="4" w:space="0" w:color="auto"/>
            </w:tcBorders>
            <w:shd w:val="clear" w:color="auto" w:fill="auto"/>
            <w:vAlign w:val="bottom"/>
          </w:tcPr>
          <w:p w14:paraId="79D356B9" w14:textId="77777777" w:rsidR="00BE3C59" w:rsidRPr="00893F80" w:rsidRDefault="00BE3C59" w:rsidP="00BE3C5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Occurrence in counties </w:t>
            </w:r>
            <w:r w:rsidRPr="00893F80">
              <w:rPr>
                <w:rFonts w:ascii="Times New Roman" w:hAnsi="Times New Roman" w:cs="Times New Roman"/>
                <w:sz w:val="20"/>
                <w:szCs w:val="20"/>
              </w:rPr>
              <w:t>(N=25)</w:t>
            </w:r>
          </w:p>
        </w:tc>
        <w:tc>
          <w:tcPr>
            <w:tcW w:w="1927" w:type="dxa"/>
            <w:vMerge w:val="restart"/>
            <w:tcBorders>
              <w:top w:val="single" w:sz="4" w:space="0" w:color="auto"/>
            </w:tcBorders>
            <w:shd w:val="clear" w:color="auto" w:fill="auto"/>
            <w:vAlign w:val="bottom"/>
          </w:tcPr>
          <w:p w14:paraId="3BB2EB92" w14:textId="77777777" w:rsidR="00BE3C59" w:rsidRPr="00893F80" w:rsidRDefault="00BE3C59" w:rsidP="00BE3C5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93F80">
              <w:rPr>
                <w:rFonts w:ascii="Times New Roman" w:hAnsi="Times New Roman" w:cs="Times New Roman"/>
                <w:sz w:val="20"/>
                <w:szCs w:val="20"/>
              </w:rPr>
              <w:t>Maximum</w:t>
            </w:r>
          </w:p>
        </w:tc>
      </w:tr>
      <w:tr w:rsidR="00BE3C59" w:rsidRPr="00893F80" w14:paraId="1C7B0DB7" w14:textId="77777777" w:rsidTr="00736D50">
        <w:trPr>
          <w:cnfStyle w:val="000000100000" w:firstRow="0" w:lastRow="0" w:firstColumn="0" w:lastColumn="0" w:oddVBand="0" w:evenVBand="0" w:oddHBand="1" w:evenHBand="0" w:firstRowFirstColumn="0" w:firstRowLastColumn="0" w:lastRowFirstColumn="0" w:lastRowLastColumn="0"/>
          <w:trHeight w:val="112"/>
        </w:trPr>
        <w:tc>
          <w:tcPr>
            <w:cnfStyle w:val="001000000000" w:firstRow="0" w:lastRow="0" w:firstColumn="1" w:lastColumn="0" w:oddVBand="0" w:evenVBand="0" w:oddHBand="0" w:evenHBand="0" w:firstRowFirstColumn="0" w:firstRowLastColumn="0" w:lastRowFirstColumn="0" w:lastRowLastColumn="0"/>
            <w:tcW w:w="1112" w:type="dxa"/>
            <w:vMerge/>
            <w:tcBorders>
              <w:top w:val="single" w:sz="4" w:space="0" w:color="auto"/>
              <w:bottom w:val="single" w:sz="4" w:space="0" w:color="auto"/>
            </w:tcBorders>
            <w:shd w:val="clear" w:color="auto" w:fill="auto"/>
          </w:tcPr>
          <w:p w14:paraId="6AE5D875" w14:textId="77777777" w:rsidR="00BE3C59" w:rsidRPr="00893F80" w:rsidRDefault="00BE3C59" w:rsidP="00BE3C59">
            <w:pPr>
              <w:pStyle w:val="NoSpacing"/>
              <w:rPr>
                <w:rFonts w:ascii="Times New Roman" w:hAnsi="Times New Roman" w:cs="Times New Roman"/>
                <w:b w:val="0"/>
                <w:sz w:val="20"/>
                <w:szCs w:val="20"/>
              </w:rPr>
            </w:pPr>
          </w:p>
        </w:tc>
        <w:tc>
          <w:tcPr>
            <w:tcW w:w="0" w:type="auto"/>
            <w:tcBorders>
              <w:top w:val="single" w:sz="4" w:space="0" w:color="auto"/>
              <w:bottom w:val="single" w:sz="4" w:space="0" w:color="auto"/>
            </w:tcBorders>
            <w:shd w:val="clear" w:color="auto" w:fill="auto"/>
            <w:noWrap/>
            <w:vAlign w:val="bottom"/>
          </w:tcPr>
          <w:p w14:paraId="0EAE0282" w14:textId="77777777" w:rsidR="00BE3C59" w:rsidRPr="00893F80"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Positive</w:t>
            </w:r>
            <w:r w:rsidRPr="005A580A">
              <w:rPr>
                <w:rFonts w:ascii="Times New Roman" w:hAnsi="Times New Roman" w:cs="Times New Roman"/>
                <w:sz w:val="20"/>
                <w:szCs w:val="20"/>
                <w:vertAlign w:val="superscript"/>
              </w:rPr>
              <w:t>b</w:t>
            </w:r>
          </w:p>
        </w:tc>
        <w:tc>
          <w:tcPr>
            <w:tcW w:w="0" w:type="auto"/>
            <w:tcBorders>
              <w:top w:val="single" w:sz="4" w:space="0" w:color="auto"/>
              <w:bottom w:val="single" w:sz="4" w:space="0" w:color="auto"/>
            </w:tcBorders>
            <w:shd w:val="clear" w:color="auto" w:fill="auto"/>
            <w:vAlign w:val="bottom"/>
          </w:tcPr>
          <w:p w14:paraId="44A2EE66" w14:textId="77777777" w:rsidR="00BE3C59" w:rsidRPr="00893F80"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c>
          <w:tcPr>
            <w:tcW w:w="1072" w:type="dxa"/>
            <w:tcBorders>
              <w:top w:val="single" w:sz="4" w:space="0" w:color="auto"/>
              <w:bottom w:val="single" w:sz="4" w:space="0" w:color="auto"/>
            </w:tcBorders>
            <w:shd w:val="clear" w:color="auto" w:fill="auto"/>
            <w:vAlign w:val="bottom"/>
          </w:tcPr>
          <w:p w14:paraId="39A0893C" w14:textId="77777777" w:rsidR="00BE3C59" w:rsidRPr="00893F80"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Pr>
                <w:rFonts w:ascii="Times New Roman" w:hAnsi="Times New Roman" w:cs="Times New Roman"/>
                <w:sz w:val="20"/>
                <w:szCs w:val="20"/>
              </w:rPr>
              <w:t>Average density</w:t>
            </w:r>
          </w:p>
        </w:tc>
        <w:tc>
          <w:tcPr>
            <w:tcW w:w="911" w:type="dxa"/>
            <w:tcBorders>
              <w:bottom w:val="single" w:sz="4" w:space="0" w:color="auto"/>
            </w:tcBorders>
            <w:shd w:val="clear" w:color="auto" w:fill="auto"/>
            <w:vAlign w:val="bottom"/>
          </w:tcPr>
          <w:p w14:paraId="5EBD95E4" w14:textId="77777777" w:rsidR="00BE3C59" w:rsidRPr="00893F80"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Positive</w:t>
            </w:r>
          </w:p>
        </w:tc>
        <w:tc>
          <w:tcPr>
            <w:tcW w:w="569" w:type="dxa"/>
            <w:tcBorders>
              <w:bottom w:val="single" w:sz="4" w:space="0" w:color="auto"/>
            </w:tcBorders>
            <w:shd w:val="clear" w:color="auto" w:fill="auto"/>
            <w:vAlign w:val="bottom"/>
          </w:tcPr>
          <w:p w14:paraId="2A2C3687" w14:textId="77777777" w:rsidR="00BE3C59" w:rsidRPr="00893F80"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c>
          <w:tcPr>
            <w:tcW w:w="1412" w:type="dxa"/>
            <w:tcBorders>
              <w:top w:val="single" w:sz="4" w:space="0" w:color="auto"/>
              <w:bottom w:val="single" w:sz="4" w:space="0" w:color="auto"/>
            </w:tcBorders>
            <w:shd w:val="clear" w:color="auto" w:fill="auto"/>
            <w:noWrap/>
            <w:vAlign w:val="bottom"/>
          </w:tcPr>
          <w:p w14:paraId="7D34A5B1" w14:textId="77777777" w:rsidR="00BE3C59" w:rsidRPr="00893F80"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Average density</w:t>
            </w:r>
          </w:p>
        </w:tc>
        <w:tc>
          <w:tcPr>
            <w:tcW w:w="1927" w:type="dxa"/>
            <w:vMerge/>
            <w:tcBorders>
              <w:bottom w:val="single" w:sz="4" w:space="0" w:color="auto"/>
            </w:tcBorders>
            <w:shd w:val="clear" w:color="auto" w:fill="auto"/>
            <w:vAlign w:val="bottom"/>
          </w:tcPr>
          <w:p w14:paraId="67C57088" w14:textId="77777777" w:rsidR="00BE3C59" w:rsidRPr="00893F80"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BE3C59" w:rsidRPr="00C20029" w14:paraId="00FF6F05" w14:textId="77777777" w:rsidTr="00736D50">
        <w:trPr>
          <w:trHeight w:val="123"/>
        </w:trPr>
        <w:tc>
          <w:tcPr>
            <w:cnfStyle w:val="001000000000" w:firstRow="0" w:lastRow="0" w:firstColumn="1" w:lastColumn="0" w:oddVBand="0" w:evenVBand="0" w:oddHBand="0" w:evenHBand="0" w:firstRowFirstColumn="0" w:firstRowLastColumn="0" w:lastRowFirstColumn="0" w:lastRowLastColumn="0"/>
            <w:tcW w:w="1112" w:type="dxa"/>
            <w:tcBorders>
              <w:top w:val="single" w:sz="4" w:space="0" w:color="auto"/>
            </w:tcBorders>
          </w:tcPr>
          <w:p w14:paraId="37C9E612"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Dagger</w:t>
            </w:r>
          </w:p>
        </w:tc>
        <w:tc>
          <w:tcPr>
            <w:tcW w:w="1047" w:type="dxa"/>
            <w:tcBorders>
              <w:top w:val="single" w:sz="4" w:space="0" w:color="auto"/>
            </w:tcBorders>
            <w:noWrap/>
          </w:tcPr>
          <w:p w14:paraId="578C0A0B"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25 </w:t>
            </w:r>
          </w:p>
        </w:tc>
        <w:tc>
          <w:tcPr>
            <w:tcW w:w="1019" w:type="dxa"/>
            <w:tcBorders>
              <w:top w:val="single" w:sz="4" w:space="0" w:color="auto"/>
            </w:tcBorders>
          </w:tcPr>
          <w:p w14:paraId="326A291B"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w:t>
            </w:r>
          </w:p>
        </w:tc>
        <w:tc>
          <w:tcPr>
            <w:tcW w:w="1072" w:type="dxa"/>
            <w:tcBorders>
              <w:top w:val="single" w:sz="4" w:space="0" w:color="auto"/>
            </w:tcBorders>
          </w:tcPr>
          <w:p w14:paraId="2DB7B3DF"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13</w:t>
            </w:r>
          </w:p>
        </w:tc>
        <w:tc>
          <w:tcPr>
            <w:tcW w:w="911" w:type="dxa"/>
            <w:tcBorders>
              <w:top w:val="single" w:sz="4" w:space="0" w:color="auto"/>
            </w:tcBorders>
          </w:tcPr>
          <w:p w14:paraId="7B7C3B4A"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10 </w:t>
            </w:r>
          </w:p>
        </w:tc>
        <w:tc>
          <w:tcPr>
            <w:tcW w:w="569" w:type="dxa"/>
            <w:tcBorders>
              <w:top w:val="single" w:sz="4" w:space="0" w:color="auto"/>
            </w:tcBorders>
          </w:tcPr>
          <w:p w14:paraId="67FB7872"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40</w:t>
            </w:r>
          </w:p>
        </w:tc>
        <w:tc>
          <w:tcPr>
            <w:tcW w:w="1412" w:type="dxa"/>
            <w:tcBorders>
              <w:top w:val="single" w:sz="4" w:space="0" w:color="auto"/>
            </w:tcBorders>
            <w:noWrap/>
            <w:vAlign w:val="center"/>
          </w:tcPr>
          <w:p w14:paraId="3548A347"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11</w:t>
            </w:r>
          </w:p>
        </w:tc>
        <w:tc>
          <w:tcPr>
            <w:tcW w:w="1927" w:type="dxa"/>
            <w:tcBorders>
              <w:top w:val="single" w:sz="4" w:space="0" w:color="auto"/>
            </w:tcBorders>
          </w:tcPr>
          <w:p w14:paraId="3EACA9EB"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38</w:t>
            </w:r>
          </w:p>
        </w:tc>
      </w:tr>
      <w:tr w:rsidR="00BE3C59" w:rsidRPr="00C20029" w14:paraId="38D74709"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112" w:type="dxa"/>
          </w:tcPr>
          <w:p w14:paraId="6252D3B4"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Lance</w:t>
            </w:r>
          </w:p>
        </w:tc>
        <w:tc>
          <w:tcPr>
            <w:tcW w:w="1047" w:type="dxa"/>
            <w:noWrap/>
          </w:tcPr>
          <w:p w14:paraId="1E9085C6"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108 </w:t>
            </w:r>
          </w:p>
        </w:tc>
        <w:tc>
          <w:tcPr>
            <w:tcW w:w="1019" w:type="dxa"/>
          </w:tcPr>
          <w:p w14:paraId="2968B2A8"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29</w:t>
            </w:r>
          </w:p>
        </w:tc>
        <w:tc>
          <w:tcPr>
            <w:tcW w:w="1072" w:type="dxa"/>
          </w:tcPr>
          <w:p w14:paraId="309A9393"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22</w:t>
            </w:r>
          </w:p>
        </w:tc>
        <w:tc>
          <w:tcPr>
            <w:tcW w:w="911" w:type="dxa"/>
          </w:tcPr>
          <w:p w14:paraId="351C3F40"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17 </w:t>
            </w:r>
          </w:p>
        </w:tc>
        <w:tc>
          <w:tcPr>
            <w:tcW w:w="569" w:type="dxa"/>
          </w:tcPr>
          <w:p w14:paraId="17B353B8"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68</w:t>
            </w:r>
          </w:p>
        </w:tc>
        <w:tc>
          <w:tcPr>
            <w:tcW w:w="1412" w:type="dxa"/>
            <w:noWrap/>
            <w:vAlign w:val="center"/>
          </w:tcPr>
          <w:p w14:paraId="559F68AC"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21</w:t>
            </w:r>
          </w:p>
        </w:tc>
        <w:tc>
          <w:tcPr>
            <w:tcW w:w="1927" w:type="dxa"/>
          </w:tcPr>
          <w:p w14:paraId="5F7F7C7A"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115</w:t>
            </w:r>
          </w:p>
        </w:tc>
      </w:tr>
      <w:tr w:rsidR="00BE3C59" w:rsidRPr="00C20029" w14:paraId="6F286487" w14:textId="77777777" w:rsidTr="00736D50">
        <w:trPr>
          <w:trHeight w:val="123"/>
        </w:trPr>
        <w:tc>
          <w:tcPr>
            <w:cnfStyle w:val="001000000000" w:firstRow="0" w:lastRow="0" w:firstColumn="1" w:lastColumn="0" w:oddVBand="0" w:evenVBand="0" w:oddHBand="0" w:evenHBand="0" w:firstRowFirstColumn="0" w:firstRowLastColumn="0" w:lastRowFirstColumn="0" w:lastRowLastColumn="0"/>
            <w:tcW w:w="1112" w:type="dxa"/>
          </w:tcPr>
          <w:p w14:paraId="35CD01A2"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Lesion</w:t>
            </w:r>
          </w:p>
        </w:tc>
        <w:tc>
          <w:tcPr>
            <w:tcW w:w="1047" w:type="dxa"/>
            <w:noWrap/>
          </w:tcPr>
          <w:p w14:paraId="14C463C5"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88 </w:t>
            </w:r>
          </w:p>
        </w:tc>
        <w:tc>
          <w:tcPr>
            <w:tcW w:w="1019" w:type="dxa"/>
          </w:tcPr>
          <w:p w14:paraId="4D342DB8"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23</w:t>
            </w:r>
          </w:p>
        </w:tc>
        <w:tc>
          <w:tcPr>
            <w:tcW w:w="1072" w:type="dxa"/>
          </w:tcPr>
          <w:p w14:paraId="65CACBAD"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20</w:t>
            </w:r>
          </w:p>
        </w:tc>
        <w:tc>
          <w:tcPr>
            <w:tcW w:w="911" w:type="dxa"/>
          </w:tcPr>
          <w:p w14:paraId="2FF491E7"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19 </w:t>
            </w:r>
          </w:p>
        </w:tc>
        <w:tc>
          <w:tcPr>
            <w:tcW w:w="569" w:type="dxa"/>
          </w:tcPr>
          <w:p w14:paraId="548E0D87"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76</w:t>
            </w:r>
          </w:p>
        </w:tc>
        <w:tc>
          <w:tcPr>
            <w:tcW w:w="1412" w:type="dxa"/>
            <w:noWrap/>
            <w:vAlign w:val="center"/>
          </w:tcPr>
          <w:p w14:paraId="68A9E03D"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22</w:t>
            </w:r>
          </w:p>
        </w:tc>
        <w:tc>
          <w:tcPr>
            <w:tcW w:w="1927" w:type="dxa"/>
          </w:tcPr>
          <w:p w14:paraId="580C6916"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115</w:t>
            </w:r>
          </w:p>
        </w:tc>
      </w:tr>
      <w:tr w:rsidR="00BE3C59" w:rsidRPr="00C20029" w14:paraId="76C3BAD2"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112" w:type="dxa"/>
          </w:tcPr>
          <w:p w14:paraId="7BA592B0"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Needle</w:t>
            </w:r>
          </w:p>
        </w:tc>
        <w:tc>
          <w:tcPr>
            <w:tcW w:w="1047" w:type="dxa"/>
            <w:noWrap/>
          </w:tcPr>
          <w:p w14:paraId="19F96FB0"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3 </w:t>
            </w:r>
          </w:p>
        </w:tc>
        <w:tc>
          <w:tcPr>
            <w:tcW w:w="1019" w:type="dxa"/>
          </w:tcPr>
          <w:p w14:paraId="113E6F42"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w:t>
            </w:r>
          </w:p>
        </w:tc>
        <w:tc>
          <w:tcPr>
            <w:tcW w:w="1072" w:type="dxa"/>
          </w:tcPr>
          <w:p w14:paraId="233EF2EC"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c>
          <w:tcPr>
            <w:tcW w:w="911" w:type="dxa"/>
          </w:tcPr>
          <w:p w14:paraId="40FA0733"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3 </w:t>
            </w:r>
          </w:p>
        </w:tc>
        <w:tc>
          <w:tcPr>
            <w:tcW w:w="569" w:type="dxa"/>
          </w:tcPr>
          <w:p w14:paraId="52F30399"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12</w:t>
            </w:r>
          </w:p>
        </w:tc>
        <w:tc>
          <w:tcPr>
            <w:tcW w:w="1412" w:type="dxa"/>
            <w:noWrap/>
            <w:vAlign w:val="center"/>
          </w:tcPr>
          <w:p w14:paraId="4FDDD6C7"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c>
          <w:tcPr>
            <w:tcW w:w="1927" w:type="dxa"/>
          </w:tcPr>
          <w:p w14:paraId="0C85741A"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r>
      <w:tr w:rsidR="00BE3C59" w:rsidRPr="00C20029" w14:paraId="6FB787D0" w14:textId="77777777" w:rsidTr="00736D50">
        <w:trPr>
          <w:trHeight w:val="123"/>
        </w:trPr>
        <w:tc>
          <w:tcPr>
            <w:cnfStyle w:val="001000000000" w:firstRow="0" w:lastRow="0" w:firstColumn="1" w:lastColumn="0" w:oddVBand="0" w:evenVBand="0" w:oddHBand="0" w:evenHBand="0" w:firstRowFirstColumn="0" w:firstRowLastColumn="0" w:lastRowFirstColumn="0" w:lastRowLastColumn="0"/>
            <w:tcW w:w="1112" w:type="dxa"/>
          </w:tcPr>
          <w:p w14:paraId="4DE2FF07"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Pin</w:t>
            </w:r>
          </w:p>
        </w:tc>
        <w:tc>
          <w:tcPr>
            <w:tcW w:w="1047" w:type="dxa"/>
            <w:noWrap/>
          </w:tcPr>
          <w:p w14:paraId="185E8962"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8 </w:t>
            </w:r>
          </w:p>
        </w:tc>
        <w:tc>
          <w:tcPr>
            <w:tcW w:w="1019" w:type="dxa"/>
          </w:tcPr>
          <w:p w14:paraId="7DC94645"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w:t>
            </w:r>
          </w:p>
        </w:tc>
        <w:tc>
          <w:tcPr>
            <w:tcW w:w="1072" w:type="dxa"/>
          </w:tcPr>
          <w:p w14:paraId="2D99C4D2"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16</w:t>
            </w:r>
          </w:p>
        </w:tc>
        <w:tc>
          <w:tcPr>
            <w:tcW w:w="911" w:type="dxa"/>
          </w:tcPr>
          <w:p w14:paraId="7F207A96"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4 </w:t>
            </w:r>
          </w:p>
        </w:tc>
        <w:tc>
          <w:tcPr>
            <w:tcW w:w="569" w:type="dxa"/>
          </w:tcPr>
          <w:p w14:paraId="1C0BC594"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16</w:t>
            </w:r>
          </w:p>
        </w:tc>
        <w:tc>
          <w:tcPr>
            <w:tcW w:w="1412" w:type="dxa"/>
            <w:noWrap/>
            <w:vAlign w:val="center"/>
          </w:tcPr>
          <w:p w14:paraId="0AA786A0"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15</w:t>
            </w:r>
          </w:p>
        </w:tc>
        <w:tc>
          <w:tcPr>
            <w:tcW w:w="1927" w:type="dxa"/>
          </w:tcPr>
          <w:p w14:paraId="57E46304"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46</w:t>
            </w:r>
          </w:p>
        </w:tc>
      </w:tr>
      <w:tr w:rsidR="00BE3C59" w:rsidRPr="00C20029" w14:paraId="068D87CB"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112" w:type="dxa"/>
          </w:tcPr>
          <w:p w14:paraId="6EE21DF6"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Reniform</w:t>
            </w:r>
          </w:p>
        </w:tc>
        <w:tc>
          <w:tcPr>
            <w:tcW w:w="1047" w:type="dxa"/>
            <w:noWrap/>
          </w:tcPr>
          <w:p w14:paraId="73A459AE"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74</w:t>
            </w:r>
          </w:p>
        </w:tc>
        <w:tc>
          <w:tcPr>
            <w:tcW w:w="1019" w:type="dxa"/>
          </w:tcPr>
          <w:p w14:paraId="03115709"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20</w:t>
            </w:r>
          </w:p>
        </w:tc>
        <w:tc>
          <w:tcPr>
            <w:tcW w:w="1072" w:type="dxa"/>
          </w:tcPr>
          <w:p w14:paraId="4B449A42"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1,764</w:t>
            </w:r>
          </w:p>
        </w:tc>
        <w:tc>
          <w:tcPr>
            <w:tcW w:w="911" w:type="dxa"/>
          </w:tcPr>
          <w:p w14:paraId="21DEB357"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2 </w:t>
            </w:r>
          </w:p>
        </w:tc>
        <w:tc>
          <w:tcPr>
            <w:tcW w:w="569" w:type="dxa"/>
          </w:tcPr>
          <w:p w14:paraId="7792E785"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c>
          <w:tcPr>
            <w:tcW w:w="1412" w:type="dxa"/>
            <w:noWrap/>
            <w:vAlign w:val="center"/>
          </w:tcPr>
          <w:p w14:paraId="59C8CE21"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913</w:t>
            </w:r>
          </w:p>
        </w:tc>
        <w:tc>
          <w:tcPr>
            <w:tcW w:w="1927" w:type="dxa"/>
          </w:tcPr>
          <w:p w14:paraId="0798A8B9"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16,669</w:t>
            </w:r>
          </w:p>
        </w:tc>
      </w:tr>
      <w:tr w:rsidR="00BE3C59" w:rsidRPr="00C20029" w14:paraId="1430C33A" w14:textId="77777777" w:rsidTr="00736D50">
        <w:trPr>
          <w:trHeight w:val="117"/>
        </w:trPr>
        <w:tc>
          <w:tcPr>
            <w:cnfStyle w:val="001000000000" w:firstRow="0" w:lastRow="0" w:firstColumn="1" w:lastColumn="0" w:oddVBand="0" w:evenVBand="0" w:oddHBand="0" w:evenHBand="0" w:firstRowFirstColumn="0" w:firstRowLastColumn="0" w:lastRowFirstColumn="0" w:lastRowLastColumn="0"/>
            <w:tcW w:w="1112" w:type="dxa"/>
          </w:tcPr>
          <w:p w14:paraId="7E9F2E44"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Ring</w:t>
            </w:r>
          </w:p>
        </w:tc>
        <w:tc>
          <w:tcPr>
            <w:tcW w:w="1047" w:type="dxa"/>
            <w:noWrap/>
          </w:tcPr>
          <w:p w14:paraId="3BBED765"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3 </w:t>
            </w:r>
          </w:p>
        </w:tc>
        <w:tc>
          <w:tcPr>
            <w:tcW w:w="1019" w:type="dxa"/>
          </w:tcPr>
          <w:p w14:paraId="235A1EBA"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w:t>
            </w:r>
          </w:p>
        </w:tc>
        <w:tc>
          <w:tcPr>
            <w:tcW w:w="1072" w:type="dxa"/>
          </w:tcPr>
          <w:p w14:paraId="535981A9"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c>
          <w:tcPr>
            <w:tcW w:w="911" w:type="dxa"/>
          </w:tcPr>
          <w:p w14:paraId="2BD02429"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3 </w:t>
            </w:r>
          </w:p>
        </w:tc>
        <w:tc>
          <w:tcPr>
            <w:tcW w:w="569" w:type="dxa"/>
          </w:tcPr>
          <w:p w14:paraId="6B0804B8"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12</w:t>
            </w:r>
          </w:p>
        </w:tc>
        <w:tc>
          <w:tcPr>
            <w:tcW w:w="1412" w:type="dxa"/>
            <w:noWrap/>
            <w:vAlign w:val="center"/>
          </w:tcPr>
          <w:p w14:paraId="2DAA0027"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c>
          <w:tcPr>
            <w:tcW w:w="1927" w:type="dxa"/>
          </w:tcPr>
          <w:p w14:paraId="6DD4B500"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r>
      <w:tr w:rsidR="00BE3C59" w:rsidRPr="00C20029" w14:paraId="062E2A69"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112" w:type="dxa"/>
          </w:tcPr>
          <w:p w14:paraId="2DBE5639"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Root-knot</w:t>
            </w:r>
          </w:p>
        </w:tc>
        <w:tc>
          <w:tcPr>
            <w:tcW w:w="1047" w:type="dxa"/>
            <w:noWrap/>
          </w:tcPr>
          <w:p w14:paraId="79FE8D7D"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51 </w:t>
            </w:r>
          </w:p>
        </w:tc>
        <w:tc>
          <w:tcPr>
            <w:tcW w:w="1019" w:type="dxa"/>
          </w:tcPr>
          <w:p w14:paraId="3586EADF"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13</w:t>
            </w:r>
          </w:p>
        </w:tc>
        <w:tc>
          <w:tcPr>
            <w:tcW w:w="1072" w:type="dxa"/>
          </w:tcPr>
          <w:p w14:paraId="13ED4D99"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78</w:t>
            </w:r>
          </w:p>
        </w:tc>
        <w:tc>
          <w:tcPr>
            <w:tcW w:w="911" w:type="dxa"/>
          </w:tcPr>
          <w:p w14:paraId="11C69F3B"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13</w:t>
            </w:r>
          </w:p>
        </w:tc>
        <w:tc>
          <w:tcPr>
            <w:tcW w:w="569" w:type="dxa"/>
          </w:tcPr>
          <w:p w14:paraId="0BD75A33"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52</w:t>
            </w:r>
          </w:p>
        </w:tc>
        <w:tc>
          <w:tcPr>
            <w:tcW w:w="1412" w:type="dxa"/>
            <w:noWrap/>
            <w:vAlign w:val="center"/>
          </w:tcPr>
          <w:p w14:paraId="5FAC201B"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89</w:t>
            </w:r>
          </w:p>
        </w:tc>
        <w:tc>
          <w:tcPr>
            <w:tcW w:w="1927" w:type="dxa"/>
          </w:tcPr>
          <w:p w14:paraId="695893E2"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562</w:t>
            </w:r>
          </w:p>
        </w:tc>
      </w:tr>
      <w:tr w:rsidR="00BE3C59" w:rsidRPr="00C20029" w14:paraId="6C2769E2" w14:textId="77777777" w:rsidTr="00736D50">
        <w:trPr>
          <w:trHeight w:val="123"/>
        </w:trPr>
        <w:tc>
          <w:tcPr>
            <w:cnfStyle w:val="001000000000" w:firstRow="0" w:lastRow="0" w:firstColumn="1" w:lastColumn="0" w:oddVBand="0" w:evenVBand="0" w:oddHBand="0" w:evenHBand="0" w:firstRowFirstColumn="0" w:firstRowLastColumn="0" w:lastRowFirstColumn="0" w:lastRowLastColumn="0"/>
            <w:tcW w:w="1112" w:type="dxa"/>
          </w:tcPr>
          <w:p w14:paraId="341DA170"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SCN Eggs</w:t>
            </w:r>
          </w:p>
        </w:tc>
        <w:tc>
          <w:tcPr>
            <w:tcW w:w="1047" w:type="dxa"/>
            <w:shd w:val="clear" w:color="auto" w:fill="auto"/>
            <w:noWrap/>
          </w:tcPr>
          <w:p w14:paraId="6FC70E5E"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82 </w:t>
            </w:r>
          </w:p>
        </w:tc>
        <w:tc>
          <w:tcPr>
            <w:tcW w:w="1019" w:type="dxa"/>
            <w:shd w:val="clear" w:color="auto" w:fill="auto"/>
          </w:tcPr>
          <w:p w14:paraId="427F0D55"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22</w:t>
            </w:r>
          </w:p>
        </w:tc>
        <w:tc>
          <w:tcPr>
            <w:tcW w:w="1072" w:type="dxa"/>
            <w:shd w:val="clear" w:color="auto" w:fill="auto"/>
          </w:tcPr>
          <w:p w14:paraId="1F2F3FFC"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799</w:t>
            </w:r>
          </w:p>
        </w:tc>
        <w:tc>
          <w:tcPr>
            <w:tcW w:w="911" w:type="dxa"/>
          </w:tcPr>
          <w:p w14:paraId="72B672AC"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18 </w:t>
            </w:r>
          </w:p>
        </w:tc>
        <w:tc>
          <w:tcPr>
            <w:tcW w:w="569" w:type="dxa"/>
          </w:tcPr>
          <w:p w14:paraId="5C5A1F4D"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72</w:t>
            </w:r>
          </w:p>
        </w:tc>
        <w:tc>
          <w:tcPr>
            <w:tcW w:w="1412" w:type="dxa"/>
            <w:noWrap/>
            <w:vAlign w:val="center"/>
          </w:tcPr>
          <w:p w14:paraId="086FBFB1"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741</w:t>
            </w:r>
          </w:p>
        </w:tc>
        <w:tc>
          <w:tcPr>
            <w:tcW w:w="1927" w:type="dxa"/>
          </w:tcPr>
          <w:p w14:paraId="4219A04C"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4,569</w:t>
            </w:r>
          </w:p>
        </w:tc>
      </w:tr>
      <w:tr w:rsidR="00BE3C59" w:rsidRPr="00C20029" w14:paraId="528AD4BF"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112" w:type="dxa"/>
          </w:tcPr>
          <w:p w14:paraId="3F1600FB"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SCN J2</w:t>
            </w:r>
          </w:p>
        </w:tc>
        <w:tc>
          <w:tcPr>
            <w:tcW w:w="1047" w:type="dxa"/>
            <w:noWrap/>
          </w:tcPr>
          <w:p w14:paraId="4A307D04"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93 </w:t>
            </w:r>
          </w:p>
        </w:tc>
        <w:tc>
          <w:tcPr>
            <w:tcW w:w="1019" w:type="dxa"/>
          </w:tcPr>
          <w:p w14:paraId="4138E881"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25</w:t>
            </w:r>
          </w:p>
        </w:tc>
        <w:tc>
          <w:tcPr>
            <w:tcW w:w="1072" w:type="dxa"/>
          </w:tcPr>
          <w:p w14:paraId="3F3C85D7"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22</w:t>
            </w:r>
          </w:p>
        </w:tc>
        <w:tc>
          <w:tcPr>
            <w:tcW w:w="911" w:type="dxa"/>
          </w:tcPr>
          <w:p w14:paraId="0FE74EF1"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20 </w:t>
            </w:r>
          </w:p>
        </w:tc>
        <w:tc>
          <w:tcPr>
            <w:tcW w:w="569" w:type="dxa"/>
          </w:tcPr>
          <w:p w14:paraId="37CC321E"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80</w:t>
            </w:r>
          </w:p>
        </w:tc>
        <w:tc>
          <w:tcPr>
            <w:tcW w:w="1412" w:type="dxa"/>
            <w:noWrap/>
            <w:vAlign w:val="center"/>
          </w:tcPr>
          <w:p w14:paraId="2FAB7613"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25</w:t>
            </w:r>
          </w:p>
        </w:tc>
        <w:tc>
          <w:tcPr>
            <w:tcW w:w="1927" w:type="dxa"/>
          </w:tcPr>
          <w:p w14:paraId="5FDD9430"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100</w:t>
            </w:r>
          </w:p>
        </w:tc>
      </w:tr>
      <w:tr w:rsidR="00BE3C59" w:rsidRPr="00C20029" w14:paraId="4C26907A" w14:textId="77777777" w:rsidTr="00736D50">
        <w:trPr>
          <w:trHeight w:val="123"/>
        </w:trPr>
        <w:tc>
          <w:tcPr>
            <w:cnfStyle w:val="001000000000" w:firstRow="0" w:lastRow="0" w:firstColumn="1" w:lastColumn="0" w:oddVBand="0" w:evenVBand="0" w:oddHBand="0" w:evenHBand="0" w:firstRowFirstColumn="0" w:firstRowLastColumn="0" w:lastRowFirstColumn="0" w:lastRowLastColumn="0"/>
            <w:tcW w:w="1112" w:type="dxa"/>
          </w:tcPr>
          <w:p w14:paraId="33107F06"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Sheath</w:t>
            </w:r>
          </w:p>
        </w:tc>
        <w:tc>
          <w:tcPr>
            <w:tcW w:w="1047" w:type="dxa"/>
            <w:noWrap/>
          </w:tcPr>
          <w:p w14:paraId="1AE5E8A4"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3 </w:t>
            </w:r>
          </w:p>
        </w:tc>
        <w:tc>
          <w:tcPr>
            <w:tcW w:w="1019" w:type="dxa"/>
          </w:tcPr>
          <w:p w14:paraId="011A9ECB"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w:t>
            </w:r>
          </w:p>
        </w:tc>
        <w:tc>
          <w:tcPr>
            <w:tcW w:w="1072" w:type="dxa"/>
          </w:tcPr>
          <w:p w14:paraId="754A8299"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13</w:t>
            </w:r>
          </w:p>
        </w:tc>
        <w:tc>
          <w:tcPr>
            <w:tcW w:w="911" w:type="dxa"/>
          </w:tcPr>
          <w:p w14:paraId="468111E8"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2 </w:t>
            </w:r>
          </w:p>
        </w:tc>
        <w:tc>
          <w:tcPr>
            <w:tcW w:w="569" w:type="dxa"/>
          </w:tcPr>
          <w:p w14:paraId="6098CD11"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w:t>
            </w:r>
          </w:p>
        </w:tc>
        <w:tc>
          <w:tcPr>
            <w:tcW w:w="1412" w:type="dxa"/>
            <w:noWrap/>
            <w:vAlign w:val="center"/>
          </w:tcPr>
          <w:p w14:paraId="60FFF292"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12</w:t>
            </w:r>
          </w:p>
        </w:tc>
        <w:tc>
          <w:tcPr>
            <w:tcW w:w="1927" w:type="dxa"/>
          </w:tcPr>
          <w:p w14:paraId="5609AC5F"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15</w:t>
            </w:r>
          </w:p>
        </w:tc>
      </w:tr>
      <w:tr w:rsidR="00BE3C59" w:rsidRPr="00C20029" w14:paraId="448EC541"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112" w:type="dxa"/>
          </w:tcPr>
          <w:p w14:paraId="7E817B99"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Spiral</w:t>
            </w:r>
          </w:p>
        </w:tc>
        <w:tc>
          <w:tcPr>
            <w:tcW w:w="1047" w:type="dxa"/>
            <w:noWrap/>
          </w:tcPr>
          <w:p w14:paraId="486F9045"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314 </w:t>
            </w:r>
          </w:p>
        </w:tc>
        <w:tc>
          <w:tcPr>
            <w:tcW w:w="1019" w:type="dxa"/>
          </w:tcPr>
          <w:p w14:paraId="7AFE9249"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83</w:t>
            </w:r>
          </w:p>
        </w:tc>
        <w:tc>
          <w:tcPr>
            <w:tcW w:w="1072" w:type="dxa"/>
          </w:tcPr>
          <w:p w14:paraId="133EF7F4"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88</w:t>
            </w:r>
          </w:p>
        </w:tc>
        <w:tc>
          <w:tcPr>
            <w:tcW w:w="911" w:type="dxa"/>
          </w:tcPr>
          <w:p w14:paraId="71BB01D0"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24 </w:t>
            </w:r>
          </w:p>
        </w:tc>
        <w:tc>
          <w:tcPr>
            <w:tcW w:w="569" w:type="dxa"/>
          </w:tcPr>
          <w:p w14:paraId="2E416EEA"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96</w:t>
            </w:r>
          </w:p>
        </w:tc>
        <w:tc>
          <w:tcPr>
            <w:tcW w:w="1412" w:type="dxa"/>
            <w:noWrap/>
            <w:vAlign w:val="center"/>
          </w:tcPr>
          <w:p w14:paraId="1F48E5A5"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90</w:t>
            </w:r>
          </w:p>
        </w:tc>
        <w:tc>
          <w:tcPr>
            <w:tcW w:w="1927" w:type="dxa"/>
          </w:tcPr>
          <w:p w14:paraId="4A9EAE3A"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931</w:t>
            </w:r>
          </w:p>
        </w:tc>
      </w:tr>
      <w:tr w:rsidR="00BE3C59" w:rsidRPr="00C20029" w14:paraId="63EC3204" w14:textId="77777777" w:rsidTr="00736D50">
        <w:trPr>
          <w:trHeight w:val="123"/>
        </w:trPr>
        <w:tc>
          <w:tcPr>
            <w:cnfStyle w:val="001000000000" w:firstRow="0" w:lastRow="0" w:firstColumn="1" w:lastColumn="0" w:oddVBand="0" w:evenVBand="0" w:oddHBand="0" w:evenHBand="0" w:firstRowFirstColumn="0" w:firstRowLastColumn="0" w:lastRowFirstColumn="0" w:lastRowLastColumn="0"/>
            <w:tcW w:w="1112" w:type="dxa"/>
          </w:tcPr>
          <w:p w14:paraId="343234D1"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Sting</w:t>
            </w:r>
          </w:p>
        </w:tc>
        <w:tc>
          <w:tcPr>
            <w:tcW w:w="1047" w:type="dxa"/>
            <w:noWrap/>
          </w:tcPr>
          <w:p w14:paraId="0521067A"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8 </w:t>
            </w:r>
          </w:p>
        </w:tc>
        <w:tc>
          <w:tcPr>
            <w:tcW w:w="1019" w:type="dxa"/>
          </w:tcPr>
          <w:p w14:paraId="5F0233E9"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w:t>
            </w:r>
          </w:p>
        </w:tc>
        <w:tc>
          <w:tcPr>
            <w:tcW w:w="1072" w:type="dxa"/>
          </w:tcPr>
          <w:p w14:paraId="728E5752"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w:t>
            </w:r>
          </w:p>
        </w:tc>
        <w:tc>
          <w:tcPr>
            <w:tcW w:w="911" w:type="dxa"/>
          </w:tcPr>
          <w:p w14:paraId="59B8D149"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6 </w:t>
            </w:r>
          </w:p>
        </w:tc>
        <w:tc>
          <w:tcPr>
            <w:tcW w:w="569" w:type="dxa"/>
          </w:tcPr>
          <w:p w14:paraId="2241B7F6"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24</w:t>
            </w:r>
          </w:p>
        </w:tc>
        <w:tc>
          <w:tcPr>
            <w:tcW w:w="1412" w:type="dxa"/>
            <w:noWrap/>
            <w:vAlign w:val="center"/>
          </w:tcPr>
          <w:p w14:paraId="4E3B150F"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7</w:t>
            </w:r>
          </w:p>
        </w:tc>
        <w:tc>
          <w:tcPr>
            <w:tcW w:w="1927" w:type="dxa"/>
          </w:tcPr>
          <w:p w14:paraId="4BA3BF3C"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15</w:t>
            </w:r>
          </w:p>
        </w:tc>
      </w:tr>
      <w:tr w:rsidR="00BE3C59" w:rsidRPr="00C20029" w14:paraId="5FF843C5"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112" w:type="dxa"/>
          </w:tcPr>
          <w:p w14:paraId="7747BFC2"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Stubby-root</w:t>
            </w:r>
          </w:p>
        </w:tc>
        <w:tc>
          <w:tcPr>
            <w:tcW w:w="1047" w:type="dxa"/>
            <w:noWrap/>
          </w:tcPr>
          <w:p w14:paraId="16945C6E"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11 </w:t>
            </w:r>
          </w:p>
        </w:tc>
        <w:tc>
          <w:tcPr>
            <w:tcW w:w="1019" w:type="dxa"/>
          </w:tcPr>
          <w:p w14:paraId="54AAB19D"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3</w:t>
            </w:r>
          </w:p>
        </w:tc>
        <w:tc>
          <w:tcPr>
            <w:tcW w:w="1072" w:type="dxa"/>
          </w:tcPr>
          <w:p w14:paraId="336CC314"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w:t>
            </w:r>
          </w:p>
        </w:tc>
        <w:tc>
          <w:tcPr>
            <w:tcW w:w="911" w:type="dxa"/>
          </w:tcPr>
          <w:p w14:paraId="6E84B772" w14:textId="77777777" w:rsidR="00BE3C59" w:rsidRPr="00C20029" w:rsidRDefault="00BE3C59" w:rsidP="00BE3C59">
            <w:pPr>
              <w:pStyle w:val="NoSpacing"/>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5 </w:t>
            </w:r>
          </w:p>
        </w:tc>
        <w:tc>
          <w:tcPr>
            <w:tcW w:w="569" w:type="dxa"/>
          </w:tcPr>
          <w:p w14:paraId="747E80CE" w14:textId="77777777" w:rsidR="00BE3C59" w:rsidRPr="00C20029" w:rsidRDefault="00BE3C59" w:rsidP="00BE3C59">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20</w:t>
            </w:r>
          </w:p>
        </w:tc>
        <w:tc>
          <w:tcPr>
            <w:tcW w:w="1412" w:type="dxa"/>
            <w:noWrap/>
            <w:vAlign w:val="center"/>
          </w:tcPr>
          <w:p w14:paraId="34204A5C"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16</w:t>
            </w:r>
          </w:p>
        </w:tc>
        <w:tc>
          <w:tcPr>
            <w:tcW w:w="1927" w:type="dxa"/>
          </w:tcPr>
          <w:p w14:paraId="55D17813" w14:textId="77777777" w:rsidR="00BE3C59" w:rsidRPr="00C20029" w:rsidRDefault="00BE3C59" w:rsidP="00BE3C59">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54</w:t>
            </w:r>
          </w:p>
        </w:tc>
      </w:tr>
      <w:tr w:rsidR="00BE3C59" w:rsidRPr="00893F80" w14:paraId="7F14D25E" w14:textId="77777777" w:rsidTr="00736D50">
        <w:trPr>
          <w:trHeight w:val="123"/>
        </w:trPr>
        <w:tc>
          <w:tcPr>
            <w:cnfStyle w:val="001000000000" w:firstRow="0" w:lastRow="0" w:firstColumn="1" w:lastColumn="0" w:oddVBand="0" w:evenVBand="0" w:oddHBand="0" w:evenHBand="0" w:firstRowFirstColumn="0" w:firstRowLastColumn="0" w:lastRowFirstColumn="0" w:lastRowLastColumn="0"/>
            <w:tcW w:w="1112" w:type="dxa"/>
            <w:tcBorders>
              <w:bottom w:val="single" w:sz="4" w:space="0" w:color="auto"/>
            </w:tcBorders>
          </w:tcPr>
          <w:p w14:paraId="524CD8B9" w14:textId="77777777" w:rsidR="00BE3C59" w:rsidRPr="00C20029" w:rsidRDefault="00BE3C59" w:rsidP="00BE3C59">
            <w:pPr>
              <w:pStyle w:val="NoSpacing"/>
              <w:rPr>
                <w:rFonts w:ascii="Times New Roman" w:hAnsi="Times New Roman" w:cs="Times New Roman"/>
                <w:b w:val="0"/>
                <w:sz w:val="20"/>
                <w:szCs w:val="20"/>
              </w:rPr>
            </w:pPr>
            <w:r w:rsidRPr="00C20029">
              <w:rPr>
                <w:rFonts w:ascii="Times New Roman" w:hAnsi="Times New Roman" w:cs="Times New Roman"/>
                <w:b w:val="0"/>
                <w:sz w:val="20"/>
                <w:szCs w:val="20"/>
              </w:rPr>
              <w:t>Stunt</w:t>
            </w:r>
          </w:p>
        </w:tc>
        <w:tc>
          <w:tcPr>
            <w:tcW w:w="1047" w:type="dxa"/>
            <w:tcBorders>
              <w:bottom w:val="single" w:sz="4" w:space="0" w:color="auto"/>
            </w:tcBorders>
            <w:noWrap/>
          </w:tcPr>
          <w:p w14:paraId="69230A38"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70 </w:t>
            </w:r>
          </w:p>
        </w:tc>
        <w:tc>
          <w:tcPr>
            <w:tcW w:w="1019" w:type="dxa"/>
            <w:tcBorders>
              <w:bottom w:val="single" w:sz="4" w:space="0" w:color="auto"/>
            </w:tcBorders>
          </w:tcPr>
          <w:p w14:paraId="004BFE75"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19</w:t>
            </w:r>
          </w:p>
        </w:tc>
        <w:tc>
          <w:tcPr>
            <w:tcW w:w="1072" w:type="dxa"/>
            <w:tcBorders>
              <w:bottom w:val="single" w:sz="4" w:space="0" w:color="auto"/>
            </w:tcBorders>
          </w:tcPr>
          <w:p w14:paraId="7E6D887F"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24</w:t>
            </w:r>
          </w:p>
        </w:tc>
        <w:tc>
          <w:tcPr>
            <w:tcW w:w="911" w:type="dxa"/>
            <w:tcBorders>
              <w:bottom w:val="single" w:sz="4" w:space="0" w:color="auto"/>
            </w:tcBorders>
          </w:tcPr>
          <w:p w14:paraId="4B1A609B" w14:textId="77777777" w:rsidR="00BE3C59" w:rsidRPr="00C20029" w:rsidRDefault="00BE3C59" w:rsidP="00BE3C59">
            <w:pPr>
              <w:pStyle w:val="NoSpacing"/>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 xml:space="preserve">16 </w:t>
            </w:r>
          </w:p>
        </w:tc>
        <w:tc>
          <w:tcPr>
            <w:tcW w:w="569" w:type="dxa"/>
            <w:tcBorders>
              <w:bottom w:val="single" w:sz="4" w:space="0" w:color="auto"/>
            </w:tcBorders>
          </w:tcPr>
          <w:p w14:paraId="4DF8F4E5" w14:textId="77777777" w:rsidR="00BE3C59" w:rsidRPr="00C20029" w:rsidRDefault="00BE3C59" w:rsidP="00BE3C59">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64</w:t>
            </w:r>
          </w:p>
        </w:tc>
        <w:tc>
          <w:tcPr>
            <w:tcW w:w="1412" w:type="dxa"/>
            <w:tcBorders>
              <w:bottom w:val="single" w:sz="4" w:space="0" w:color="auto"/>
            </w:tcBorders>
            <w:noWrap/>
            <w:vAlign w:val="center"/>
          </w:tcPr>
          <w:p w14:paraId="62D7E62E" w14:textId="77777777" w:rsidR="00BE3C59" w:rsidRPr="00C20029"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22</w:t>
            </w:r>
          </w:p>
        </w:tc>
        <w:tc>
          <w:tcPr>
            <w:tcW w:w="1927" w:type="dxa"/>
            <w:tcBorders>
              <w:bottom w:val="single" w:sz="4" w:space="0" w:color="auto"/>
            </w:tcBorders>
          </w:tcPr>
          <w:p w14:paraId="0FA66F9F" w14:textId="77777777" w:rsidR="00BE3C59" w:rsidRPr="00893F80" w:rsidRDefault="00BE3C59" w:rsidP="00BE3C59">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C20029">
              <w:rPr>
                <w:rFonts w:ascii="Times New Roman" w:hAnsi="Times New Roman" w:cs="Times New Roman"/>
                <w:sz w:val="20"/>
                <w:szCs w:val="20"/>
              </w:rPr>
              <w:t>92</w:t>
            </w:r>
          </w:p>
        </w:tc>
      </w:tr>
      <w:tr w:rsidR="00BE3C59" w:rsidRPr="00893F80" w14:paraId="189719A6" w14:textId="77777777" w:rsidTr="00736D50">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9074" w:type="dxa"/>
            <w:gridSpan w:val="8"/>
            <w:tcBorders>
              <w:top w:val="single" w:sz="4" w:space="0" w:color="auto"/>
            </w:tcBorders>
            <w:shd w:val="clear" w:color="auto" w:fill="auto"/>
          </w:tcPr>
          <w:p w14:paraId="5CD75569" w14:textId="77777777" w:rsidR="00BE3C59" w:rsidRPr="00736D50" w:rsidRDefault="00BE3C59" w:rsidP="00BE3C59">
            <w:pPr>
              <w:pStyle w:val="NoSpacing"/>
              <w:rPr>
                <w:rFonts w:ascii="Times New Roman" w:hAnsi="Times New Roman" w:cs="Times New Roman"/>
                <w:b w:val="0"/>
                <w:sz w:val="20"/>
                <w:szCs w:val="20"/>
              </w:rPr>
            </w:pPr>
            <w:r w:rsidRPr="00736D50">
              <w:rPr>
                <w:rFonts w:ascii="Times New Roman" w:hAnsi="Times New Roman" w:cs="Times New Roman"/>
                <w:b w:val="0"/>
                <w:sz w:val="20"/>
                <w:szCs w:val="20"/>
                <w:vertAlign w:val="superscript"/>
              </w:rPr>
              <w:t xml:space="preserve">a </w:t>
            </w:r>
            <w:r w:rsidRPr="00736D50">
              <w:rPr>
                <w:rFonts w:ascii="Times New Roman" w:hAnsi="Times New Roman" w:cs="Times New Roman"/>
                <w:b w:val="0"/>
                <w:sz w:val="20"/>
                <w:szCs w:val="20"/>
              </w:rPr>
              <w:t>N = The total number of soil samples or counties tested for nematodes</w:t>
            </w:r>
          </w:p>
          <w:p w14:paraId="6C0DDB7D" w14:textId="7BB148A1" w:rsidR="00B709EA" w:rsidRPr="00736D50" w:rsidRDefault="00BE3C59" w:rsidP="00B709EA">
            <w:pPr>
              <w:pStyle w:val="NoSpacing"/>
              <w:rPr>
                <w:rFonts w:ascii="Times New Roman" w:hAnsi="Times New Roman" w:cs="Times New Roman"/>
                <w:b w:val="0"/>
                <w:sz w:val="20"/>
                <w:szCs w:val="20"/>
              </w:rPr>
            </w:pPr>
            <w:r w:rsidRPr="00736D50">
              <w:rPr>
                <w:rFonts w:ascii="Times New Roman" w:hAnsi="Times New Roman" w:cs="Times New Roman"/>
                <w:b w:val="0"/>
                <w:sz w:val="20"/>
                <w:szCs w:val="20"/>
                <w:vertAlign w:val="superscript"/>
              </w:rPr>
              <w:t>b</w:t>
            </w:r>
            <w:r w:rsidRPr="00736D50">
              <w:rPr>
                <w:rFonts w:ascii="Times New Roman" w:hAnsi="Times New Roman" w:cs="Times New Roman"/>
                <w:b w:val="0"/>
                <w:sz w:val="20"/>
                <w:szCs w:val="20"/>
              </w:rPr>
              <w:t xml:space="preserve"> The number of positive samples or counties and the percentage value are </w:t>
            </w:r>
            <w:r w:rsidR="00B709EA" w:rsidRPr="00736D50">
              <w:rPr>
                <w:rFonts w:ascii="Times New Roman" w:hAnsi="Times New Roman" w:cs="Times New Roman"/>
                <w:b w:val="0"/>
                <w:sz w:val="20"/>
                <w:szCs w:val="20"/>
              </w:rPr>
              <w:t>presented to the right of each value</w:t>
            </w:r>
          </w:p>
          <w:p w14:paraId="7E12215E" w14:textId="77777777" w:rsidR="00BE3C59" w:rsidRPr="00B709EA" w:rsidRDefault="00BE3C59" w:rsidP="00BE3C59">
            <w:pPr>
              <w:pStyle w:val="NoSpacing"/>
              <w:rPr>
                <w:rFonts w:ascii="Times New Roman" w:hAnsi="Times New Roman" w:cs="Times New Roman"/>
                <w:sz w:val="19"/>
                <w:szCs w:val="19"/>
              </w:rPr>
            </w:pPr>
            <w:r w:rsidRPr="00736D50">
              <w:rPr>
                <w:rFonts w:ascii="Times New Roman" w:hAnsi="Times New Roman" w:cs="Times New Roman"/>
                <w:b w:val="0"/>
                <w:sz w:val="20"/>
                <w:szCs w:val="20"/>
                <w:vertAlign w:val="superscript"/>
              </w:rPr>
              <w:t>c</w:t>
            </w:r>
            <w:r w:rsidRPr="00736D50">
              <w:rPr>
                <w:rFonts w:ascii="Times New Roman" w:hAnsi="Times New Roman" w:cs="Times New Roman"/>
                <w:b w:val="0"/>
                <w:sz w:val="20"/>
                <w:szCs w:val="20"/>
              </w:rPr>
              <w:t xml:space="preserve"> Average density (Nematodes/100cm</w:t>
            </w:r>
            <w:r w:rsidRPr="00736D50">
              <w:rPr>
                <w:rFonts w:ascii="Times New Roman" w:hAnsi="Times New Roman" w:cs="Times New Roman"/>
                <w:b w:val="0"/>
                <w:sz w:val="20"/>
                <w:szCs w:val="20"/>
                <w:vertAlign w:val="superscript"/>
              </w:rPr>
              <w:t xml:space="preserve">3 </w:t>
            </w:r>
            <w:r w:rsidRPr="00736D50">
              <w:rPr>
                <w:rFonts w:ascii="Times New Roman" w:hAnsi="Times New Roman" w:cs="Times New Roman"/>
                <w:b w:val="0"/>
                <w:sz w:val="20"/>
                <w:szCs w:val="20"/>
              </w:rPr>
              <w:t>) was calculated based on the sample in which nematode was detected</w:t>
            </w:r>
          </w:p>
        </w:tc>
      </w:tr>
    </w:tbl>
    <w:p w14:paraId="74419A14" w14:textId="14607453" w:rsidR="00121954" w:rsidRPr="005739C0" w:rsidRDefault="00121954" w:rsidP="00D20476">
      <w:pPr>
        <w:rPr>
          <w:b/>
        </w:rPr>
      </w:pPr>
    </w:p>
    <w:p w14:paraId="3C30C998" w14:textId="3F1719B2" w:rsidR="00121954" w:rsidRPr="005739C0" w:rsidRDefault="00121954" w:rsidP="00D20476">
      <w:pPr>
        <w:rPr>
          <w:b/>
        </w:rPr>
      </w:pPr>
    </w:p>
    <w:p w14:paraId="6B40002D" w14:textId="0E826A32" w:rsidR="00AA305E" w:rsidRPr="005739C0" w:rsidRDefault="00AA305E" w:rsidP="00D20476">
      <w:pPr>
        <w:rPr>
          <w:b/>
        </w:rPr>
      </w:pPr>
    </w:p>
    <w:p w14:paraId="7D682BCD" w14:textId="77777777" w:rsidR="00AA305E" w:rsidRDefault="00AA305E"/>
    <w:p w14:paraId="6B84BF47" w14:textId="77777777" w:rsidR="00D20476" w:rsidRPr="00886B61" w:rsidRDefault="00D20476" w:rsidP="00D20476">
      <w:pPr>
        <w:rPr>
          <w:rFonts w:cs="Times New Roman"/>
        </w:rPr>
      </w:pPr>
    </w:p>
    <w:p w14:paraId="6DED5AC9" w14:textId="77777777" w:rsidR="00D20476" w:rsidRPr="00886B61" w:rsidRDefault="00D20476" w:rsidP="00D20476">
      <w:pPr>
        <w:rPr>
          <w:rFonts w:cs="Times New Roman"/>
        </w:rPr>
      </w:pPr>
    </w:p>
    <w:p w14:paraId="45C0C5C2" w14:textId="77777777" w:rsidR="00D20476" w:rsidRDefault="00D20476" w:rsidP="00D20476">
      <w:pPr>
        <w:rPr>
          <w:rFonts w:cs="Times New Roman"/>
        </w:rPr>
        <w:sectPr w:rsidR="00D20476" w:rsidSect="00E526DE">
          <w:type w:val="continuous"/>
          <w:pgSz w:w="12240" w:h="15840" w:code="1"/>
          <w:pgMar w:top="1440" w:right="1440" w:bottom="1440" w:left="1440" w:header="720" w:footer="1440" w:gutter="0"/>
          <w:cols w:space="720"/>
          <w:docGrid w:linePitch="360"/>
        </w:sectPr>
      </w:pPr>
    </w:p>
    <w:tbl>
      <w:tblPr>
        <w:tblStyle w:val="ListTable1Light-Accent5"/>
        <w:tblpPr w:leftFromText="180" w:rightFromText="180" w:vertAnchor="page" w:horzAnchor="margin" w:tblpXSpec="center" w:tblpY="1981"/>
        <w:tblW w:w="11674" w:type="dxa"/>
        <w:tblLook w:val="04A0" w:firstRow="1" w:lastRow="0" w:firstColumn="1" w:lastColumn="0" w:noHBand="0" w:noVBand="1"/>
      </w:tblPr>
      <w:tblGrid>
        <w:gridCol w:w="11674"/>
      </w:tblGrid>
      <w:tr w:rsidR="00AB65D6" w:rsidRPr="00AB65D6" w14:paraId="4D95DB60" w14:textId="77777777" w:rsidTr="00D3308B">
        <w:trPr>
          <w:cnfStyle w:val="100000000000" w:firstRow="1" w:lastRow="0" w:firstColumn="0" w:lastColumn="0" w:oddVBand="0" w:evenVBand="0" w:oddHBand="0"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11674" w:type="dxa"/>
            <w:tcBorders>
              <w:bottom w:val="none" w:sz="0" w:space="0" w:color="auto"/>
            </w:tcBorders>
            <w:hideMark/>
          </w:tcPr>
          <w:p w14:paraId="75DD8074" w14:textId="57072019" w:rsidR="00AB65D6" w:rsidRPr="00AB65D6" w:rsidRDefault="00AB65D6" w:rsidP="006F5F3C">
            <w:pPr>
              <w:pStyle w:val="Caption"/>
              <w:framePr w:hSpace="0" w:wrap="auto" w:vAnchor="margin" w:hAnchor="text" w:yAlign="inline"/>
              <w:rPr>
                <w:b/>
              </w:rPr>
            </w:pPr>
            <w:bookmarkStart w:id="254" w:name="_Toc101345072"/>
            <w:r w:rsidRPr="00AB65D6">
              <w:rPr>
                <w:b/>
              </w:rPr>
              <w:t xml:space="preserve">Table 2. </w:t>
            </w:r>
            <w:r w:rsidRPr="00AB65D6">
              <w:fldChar w:fldCharType="begin"/>
            </w:r>
            <w:r w:rsidRPr="00AB65D6">
              <w:rPr>
                <w:b/>
              </w:rPr>
              <w:instrText xml:space="preserve"> SEQ Table_2. \* ARABIC </w:instrText>
            </w:r>
            <w:r w:rsidRPr="00AB65D6">
              <w:fldChar w:fldCharType="separate"/>
            </w:r>
            <w:r w:rsidR="009C2EDC">
              <w:rPr>
                <w:b/>
                <w:noProof/>
              </w:rPr>
              <w:t>2</w:t>
            </w:r>
            <w:r w:rsidRPr="00AB65D6">
              <w:fldChar w:fldCharType="end"/>
            </w:r>
            <w:r w:rsidRPr="00AB65D6">
              <w:rPr>
                <w:b/>
              </w:rPr>
              <w:t>. Soybean cyst nematode (SCN) reproduction (female/plant) on indicator lines and Williams 82 and resultant female index and HG Type for 9 populations from Tennessee.</w:t>
            </w:r>
            <w:bookmarkEnd w:id="254"/>
          </w:p>
        </w:tc>
      </w:tr>
    </w:tbl>
    <w:p w14:paraId="0F6F7D52" w14:textId="77777777" w:rsidR="00D20476" w:rsidRPr="00AB65D6" w:rsidRDefault="00D20476" w:rsidP="00D20476">
      <w:pPr>
        <w:rPr>
          <w:rFonts w:cs="Times New Roman"/>
          <w:b/>
        </w:rPr>
      </w:pPr>
    </w:p>
    <w:tbl>
      <w:tblPr>
        <w:tblStyle w:val="ListTable1Light-Accent5"/>
        <w:tblpPr w:leftFromText="180" w:rightFromText="180" w:vertAnchor="page" w:horzAnchor="margin" w:tblpXSpec="center" w:tblpY="2701"/>
        <w:tblW w:w="11674" w:type="dxa"/>
        <w:tblLook w:val="04A0" w:firstRow="1" w:lastRow="0" w:firstColumn="1" w:lastColumn="0" w:noHBand="0" w:noVBand="1"/>
      </w:tblPr>
      <w:tblGrid>
        <w:gridCol w:w="1281"/>
        <w:gridCol w:w="543"/>
        <w:gridCol w:w="546"/>
        <w:gridCol w:w="424"/>
        <w:gridCol w:w="546"/>
        <w:gridCol w:w="424"/>
        <w:gridCol w:w="593"/>
        <w:gridCol w:w="353"/>
        <w:gridCol w:w="546"/>
        <w:gridCol w:w="424"/>
        <w:gridCol w:w="480"/>
        <w:gridCol w:w="466"/>
        <w:gridCol w:w="546"/>
        <w:gridCol w:w="326"/>
        <w:gridCol w:w="593"/>
        <w:gridCol w:w="353"/>
        <w:gridCol w:w="546"/>
        <w:gridCol w:w="534"/>
        <w:gridCol w:w="593"/>
        <w:gridCol w:w="353"/>
        <w:gridCol w:w="1204"/>
      </w:tblGrid>
      <w:tr w:rsidR="00D20476" w:rsidRPr="000B4629" w14:paraId="138FDEB6" w14:textId="77777777" w:rsidTr="006F5F3C">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81" w:type="dxa"/>
            <w:noWrap/>
            <w:vAlign w:val="bottom"/>
            <w:hideMark/>
          </w:tcPr>
          <w:p w14:paraId="5304F62E" w14:textId="77777777" w:rsidR="00D20476" w:rsidRPr="006F5F3C" w:rsidRDefault="00D20476" w:rsidP="006F5F3C">
            <w:pPr>
              <w:jc w:val="center"/>
              <w:rPr>
                <w:rFonts w:eastAsia="Times New Roman" w:cs="Times New Roman"/>
                <w:b w:val="0"/>
                <w:color w:val="000000"/>
                <w:sz w:val="20"/>
                <w:szCs w:val="20"/>
              </w:rPr>
            </w:pPr>
            <w:bookmarkStart w:id="255" w:name="_Hlk98959691"/>
            <w:r w:rsidRPr="006F5F3C">
              <w:rPr>
                <w:rFonts w:eastAsia="Times New Roman" w:cs="Times New Roman"/>
                <w:b w:val="0"/>
                <w:color w:val="000000"/>
                <w:sz w:val="20"/>
                <w:szCs w:val="20"/>
              </w:rPr>
              <w:t>Indicator</w:t>
            </w:r>
          </w:p>
        </w:tc>
        <w:tc>
          <w:tcPr>
            <w:tcW w:w="543" w:type="dxa"/>
            <w:noWrap/>
            <w:vAlign w:val="bottom"/>
            <w:hideMark/>
          </w:tcPr>
          <w:p w14:paraId="006534D5"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p>
        </w:tc>
        <w:tc>
          <w:tcPr>
            <w:tcW w:w="970" w:type="dxa"/>
            <w:gridSpan w:val="2"/>
            <w:noWrap/>
            <w:vAlign w:val="bottom"/>
            <w:hideMark/>
          </w:tcPr>
          <w:p w14:paraId="45A874FE"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P12</w:t>
            </w:r>
            <w:r w:rsidRPr="006F5F3C">
              <w:rPr>
                <w:rFonts w:eastAsia="Times New Roman" w:cs="Times New Roman"/>
                <w:b w:val="0"/>
                <w:color w:val="000000"/>
                <w:sz w:val="20"/>
                <w:szCs w:val="20"/>
                <w:vertAlign w:val="superscript"/>
              </w:rPr>
              <w:t>c</w:t>
            </w:r>
          </w:p>
        </w:tc>
        <w:tc>
          <w:tcPr>
            <w:tcW w:w="970" w:type="dxa"/>
            <w:gridSpan w:val="2"/>
            <w:noWrap/>
            <w:vAlign w:val="bottom"/>
            <w:hideMark/>
          </w:tcPr>
          <w:p w14:paraId="6A9D1528"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P16</w:t>
            </w:r>
          </w:p>
        </w:tc>
        <w:tc>
          <w:tcPr>
            <w:tcW w:w="946" w:type="dxa"/>
            <w:gridSpan w:val="2"/>
            <w:noWrap/>
            <w:vAlign w:val="bottom"/>
            <w:hideMark/>
          </w:tcPr>
          <w:p w14:paraId="27418270"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P23</w:t>
            </w:r>
          </w:p>
        </w:tc>
        <w:tc>
          <w:tcPr>
            <w:tcW w:w="970" w:type="dxa"/>
            <w:gridSpan w:val="2"/>
            <w:noWrap/>
            <w:vAlign w:val="bottom"/>
            <w:hideMark/>
          </w:tcPr>
          <w:p w14:paraId="1735D38A"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P24</w:t>
            </w:r>
          </w:p>
        </w:tc>
        <w:tc>
          <w:tcPr>
            <w:tcW w:w="946" w:type="dxa"/>
            <w:gridSpan w:val="2"/>
            <w:noWrap/>
            <w:vAlign w:val="bottom"/>
            <w:hideMark/>
          </w:tcPr>
          <w:p w14:paraId="0701083D"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P21</w:t>
            </w:r>
          </w:p>
        </w:tc>
        <w:tc>
          <w:tcPr>
            <w:tcW w:w="872" w:type="dxa"/>
            <w:gridSpan w:val="2"/>
            <w:noWrap/>
            <w:vAlign w:val="bottom"/>
            <w:hideMark/>
          </w:tcPr>
          <w:p w14:paraId="4DA5BAFD"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P26</w:t>
            </w:r>
          </w:p>
        </w:tc>
        <w:tc>
          <w:tcPr>
            <w:tcW w:w="946" w:type="dxa"/>
            <w:gridSpan w:val="2"/>
            <w:noWrap/>
            <w:vAlign w:val="bottom"/>
            <w:hideMark/>
          </w:tcPr>
          <w:p w14:paraId="6A0369E7"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P28</w:t>
            </w:r>
          </w:p>
        </w:tc>
        <w:tc>
          <w:tcPr>
            <w:tcW w:w="1080" w:type="dxa"/>
            <w:gridSpan w:val="2"/>
            <w:noWrap/>
            <w:vAlign w:val="bottom"/>
            <w:hideMark/>
          </w:tcPr>
          <w:p w14:paraId="2002B5A3"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P54</w:t>
            </w:r>
          </w:p>
        </w:tc>
        <w:tc>
          <w:tcPr>
            <w:tcW w:w="946" w:type="dxa"/>
            <w:gridSpan w:val="2"/>
            <w:noWrap/>
            <w:vAlign w:val="bottom"/>
            <w:hideMark/>
          </w:tcPr>
          <w:p w14:paraId="22FEE537" w14:textId="77777777" w:rsidR="00D20476" w:rsidRPr="006F5F3C"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20"/>
                <w:szCs w:val="20"/>
              </w:rPr>
            </w:pPr>
            <w:r w:rsidRPr="006F5F3C">
              <w:rPr>
                <w:rFonts w:eastAsia="Times New Roman" w:cs="Times New Roman"/>
                <w:b w:val="0"/>
                <w:color w:val="000000"/>
                <w:sz w:val="20"/>
                <w:szCs w:val="20"/>
              </w:rPr>
              <w:t>P109</w:t>
            </w:r>
          </w:p>
        </w:tc>
        <w:tc>
          <w:tcPr>
            <w:tcW w:w="1204" w:type="dxa"/>
            <w:noWrap/>
            <w:vAlign w:val="bottom"/>
            <w:hideMark/>
          </w:tcPr>
          <w:p w14:paraId="27AC2EE5" w14:textId="77777777" w:rsidR="00D20476" w:rsidRPr="000B4629" w:rsidRDefault="00D20476" w:rsidP="006F5F3C">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6F5F3C" w:rsidRPr="000B4629" w14:paraId="0B5B3256" w14:textId="77777777" w:rsidTr="006F5F3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115FA597"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PI548402</w:t>
            </w:r>
          </w:p>
        </w:tc>
        <w:tc>
          <w:tcPr>
            <w:tcW w:w="543" w:type="dxa"/>
            <w:noWrap/>
            <w:hideMark/>
          </w:tcPr>
          <w:p w14:paraId="1D60518C"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r w:rsidRPr="000B4629">
              <w:rPr>
                <w:rFonts w:eastAsia="Times New Roman" w:cs="Times New Roman"/>
                <w:color w:val="000000"/>
                <w:sz w:val="20"/>
                <w:szCs w:val="20"/>
                <w:vertAlign w:val="superscript"/>
              </w:rPr>
              <w:t>b</w:t>
            </w:r>
          </w:p>
        </w:tc>
        <w:tc>
          <w:tcPr>
            <w:tcW w:w="546" w:type="dxa"/>
            <w:noWrap/>
            <w:hideMark/>
          </w:tcPr>
          <w:p w14:paraId="13252A7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w:t>
            </w:r>
          </w:p>
        </w:tc>
        <w:tc>
          <w:tcPr>
            <w:tcW w:w="424" w:type="dxa"/>
            <w:noWrap/>
            <w:hideMark/>
          </w:tcPr>
          <w:p w14:paraId="13DB29C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59DF0F4F"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11</w:t>
            </w:r>
          </w:p>
        </w:tc>
        <w:tc>
          <w:tcPr>
            <w:tcW w:w="424" w:type="dxa"/>
            <w:noWrap/>
            <w:hideMark/>
          </w:tcPr>
          <w:p w14:paraId="5D5B3D3D"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10492A73"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55</w:t>
            </w:r>
          </w:p>
        </w:tc>
        <w:tc>
          <w:tcPr>
            <w:tcW w:w="353" w:type="dxa"/>
            <w:noWrap/>
            <w:hideMark/>
          </w:tcPr>
          <w:p w14:paraId="61EE36B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0AB632D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70</w:t>
            </w:r>
          </w:p>
        </w:tc>
        <w:tc>
          <w:tcPr>
            <w:tcW w:w="424" w:type="dxa"/>
            <w:noWrap/>
            <w:hideMark/>
          </w:tcPr>
          <w:p w14:paraId="0AC967E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bc</w:t>
            </w:r>
          </w:p>
        </w:tc>
        <w:tc>
          <w:tcPr>
            <w:tcW w:w="480" w:type="dxa"/>
            <w:noWrap/>
            <w:hideMark/>
          </w:tcPr>
          <w:p w14:paraId="6BA4D8A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11</w:t>
            </w:r>
          </w:p>
        </w:tc>
        <w:tc>
          <w:tcPr>
            <w:tcW w:w="466" w:type="dxa"/>
            <w:noWrap/>
            <w:hideMark/>
          </w:tcPr>
          <w:p w14:paraId="2E1915B4"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13625E5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w:t>
            </w:r>
          </w:p>
        </w:tc>
        <w:tc>
          <w:tcPr>
            <w:tcW w:w="326" w:type="dxa"/>
            <w:noWrap/>
            <w:hideMark/>
          </w:tcPr>
          <w:p w14:paraId="3FCA72D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54A59620"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21</w:t>
            </w:r>
          </w:p>
        </w:tc>
        <w:tc>
          <w:tcPr>
            <w:tcW w:w="353" w:type="dxa"/>
            <w:noWrap/>
            <w:vAlign w:val="center"/>
            <w:hideMark/>
          </w:tcPr>
          <w:p w14:paraId="6F7D1D8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2DE3481F"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34</w:t>
            </w:r>
          </w:p>
        </w:tc>
        <w:tc>
          <w:tcPr>
            <w:tcW w:w="534" w:type="dxa"/>
            <w:noWrap/>
            <w:hideMark/>
          </w:tcPr>
          <w:p w14:paraId="0352930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cde</w:t>
            </w:r>
          </w:p>
        </w:tc>
        <w:tc>
          <w:tcPr>
            <w:tcW w:w="593" w:type="dxa"/>
            <w:noWrap/>
            <w:hideMark/>
          </w:tcPr>
          <w:p w14:paraId="11DF04C8"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44</w:t>
            </w:r>
          </w:p>
        </w:tc>
        <w:tc>
          <w:tcPr>
            <w:tcW w:w="353" w:type="dxa"/>
            <w:noWrap/>
            <w:hideMark/>
          </w:tcPr>
          <w:p w14:paraId="33C71798"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1204" w:type="dxa"/>
            <w:noWrap/>
            <w:hideMark/>
          </w:tcPr>
          <w:p w14:paraId="77E0EFC4"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D20476" w:rsidRPr="000B4629" w14:paraId="68F405F2"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44A6B1BB"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PI88788</w:t>
            </w:r>
          </w:p>
        </w:tc>
        <w:tc>
          <w:tcPr>
            <w:tcW w:w="543" w:type="dxa"/>
            <w:noWrap/>
            <w:hideMark/>
          </w:tcPr>
          <w:p w14:paraId="49FD3E61"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546" w:type="dxa"/>
            <w:noWrap/>
            <w:hideMark/>
          </w:tcPr>
          <w:p w14:paraId="134EFB37"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84</w:t>
            </w:r>
          </w:p>
        </w:tc>
        <w:tc>
          <w:tcPr>
            <w:tcW w:w="424" w:type="dxa"/>
            <w:noWrap/>
            <w:hideMark/>
          </w:tcPr>
          <w:p w14:paraId="580816A4"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w:t>
            </w:r>
          </w:p>
        </w:tc>
        <w:tc>
          <w:tcPr>
            <w:tcW w:w="546" w:type="dxa"/>
            <w:noWrap/>
            <w:hideMark/>
          </w:tcPr>
          <w:p w14:paraId="49596B1E"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34</w:t>
            </w:r>
          </w:p>
        </w:tc>
        <w:tc>
          <w:tcPr>
            <w:tcW w:w="424" w:type="dxa"/>
            <w:noWrap/>
            <w:hideMark/>
          </w:tcPr>
          <w:p w14:paraId="066F3A10"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74133B52"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102</w:t>
            </w:r>
          </w:p>
        </w:tc>
        <w:tc>
          <w:tcPr>
            <w:tcW w:w="353" w:type="dxa"/>
            <w:noWrap/>
            <w:hideMark/>
          </w:tcPr>
          <w:p w14:paraId="20D7ABE2"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0CE9B095"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124</w:t>
            </w:r>
          </w:p>
        </w:tc>
        <w:tc>
          <w:tcPr>
            <w:tcW w:w="424" w:type="dxa"/>
            <w:noWrap/>
            <w:hideMark/>
          </w:tcPr>
          <w:p w14:paraId="7C27EF6F"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480" w:type="dxa"/>
            <w:noWrap/>
            <w:hideMark/>
          </w:tcPr>
          <w:p w14:paraId="23197514"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46</w:t>
            </w:r>
          </w:p>
        </w:tc>
        <w:tc>
          <w:tcPr>
            <w:tcW w:w="466" w:type="dxa"/>
            <w:noWrap/>
            <w:hideMark/>
          </w:tcPr>
          <w:p w14:paraId="22AD4E91"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w:t>
            </w:r>
          </w:p>
        </w:tc>
        <w:tc>
          <w:tcPr>
            <w:tcW w:w="546" w:type="dxa"/>
            <w:noWrap/>
            <w:hideMark/>
          </w:tcPr>
          <w:p w14:paraId="6DABE365"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13</w:t>
            </w:r>
          </w:p>
        </w:tc>
        <w:tc>
          <w:tcPr>
            <w:tcW w:w="326" w:type="dxa"/>
            <w:noWrap/>
            <w:hideMark/>
          </w:tcPr>
          <w:p w14:paraId="763F87E8"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7E4DD6F9"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146</w:t>
            </w:r>
          </w:p>
        </w:tc>
        <w:tc>
          <w:tcPr>
            <w:tcW w:w="353" w:type="dxa"/>
            <w:noWrap/>
            <w:vAlign w:val="center"/>
            <w:hideMark/>
          </w:tcPr>
          <w:p w14:paraId="0B3D0CDD"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40233E3F"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80</w:t>
            </w:r>
          </w:p>
        </w:tc>
        <w:tc>
          <w:tcPr>
            <w:tcW w:w="534" w:type="dxa"/>
            <w:noWrap/>
            <w:hideMark/>
          </w:tcPr>
          <w:p w14:paraId="2317C710"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bcd</w:t>
            </w:r>
          </w:p>
        </w:tc>
        <w:tc>
          <w:tcPr>
            <w:tcW w:w="593" w:type="dxa"/>
            <w:noWrap/>
            <w:hideMark/>
          </w:tcPr>
          <w:p w14:paraId="623C71EC"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67</w:t>
            </w:r>
          </w:p>
        </w:tc>
        <w:tc>
          <w:tcPr>
            <w:tcW w:w="353" w:type="dxa"/>
            <w:noWrap/>
            <w:hideMark/>
          </w:tcPr>
          <w:p w14:paraId="43EB6504"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1204" w:type="dxa"/>
            <w:noWrap/>
            <w:hideMark/>
          </w:tcPr>
          <w:p w14:paraId="388F3514"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6F5F3C" w:rsidRPr="000B4629" w14:paraId="4F1FFEC5" w14:textId="77777777" w:rsidTr="006F5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74951244"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PI90763 </w:t>
            </w:r>
          </w:p>
        </w:tc>
        <w:tc>
          <w:tcPr>
            <w:tcW w:w="543" w:type="dxa"/>
            <w:noWrap/>
            <w:hideMark/>
          </w:tcPr>
          <w:p w14:paraId="15EAB67D"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w:t>
            </w:r>
          </w:p>
        </w:tc>
        <w:tc>
          <w:tcPr>
            <w:tcW w:w="546" w:type="dxa"/>
            <w:noWrap/>
            <w:hideMark/>
          </w:tcPr>
          <w:p w14:paraId="68678F95"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424" w:type="dxa"/>
            <w:noWrap/>
            <w:hideMark/>
          </w:tcPr>
          <w:p w14:paraId="67FC2D7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5069A62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424" w:type="dxa"/>
            <w:noWrap/>
            <w:hideMark/>
          </w:tcPr>
          <w:p w14:paraId="00189B5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4B0BF24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353" w:type="dxa"/>
            <w:noWrap/>
            <w:hideMark/>
          </w:tcPr>
          <w:p w14:paraId="245B7FC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65424D9C"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w:t>
            </w:r>
          </w:p>
        </w:tc>
        <w:tc>
          <w:tcPr>
            <w:tcW w:w="424" w:type="dxa"/>
            <w:noWrap/>
            <w:hideMark/>
          </w:tcPr>
          <w:p w14:paraId="3BA842B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480" w:type="dxa"/>
            <w:noWrap/>
            <w:hideMark/>
          </w:tcPr>
          <w:p w14:paraId="41148002"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466" w:type="dxa"/>
            <w:noWrap/>
            <w:hideMark/>
          </w:tcPr>
          <w:p w14:paraId="4A7FAD8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1F312E53"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326" w:type="dxa"/>
            <w:noWrap/>
            <w:hideMark/>
          </w:tcPr>
          <w:p w14:paraId="3CCAD98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4D08E74A"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353" w:type="dxa"/>
            <w:noWrap/>
            <w:vAlign w:val="center"/>
            <w:hideMark/>
          </w:tcPr>
          <w:p w14:paraId="699DDF64"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688FF38A"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w:t>
            </w:r>
          </w:p>
        </w:tc>
        <w:tc>
          <w:tcPr>
            <w:tcW w:w="534" w:type="dxa"/>
            <w:noWrap/>
            <w:hideMark/>
          </w:tcPr>
          <w:p w14:paraId="757EEAC4"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e</w:t>
            </w:r>
          </w:p>
        </w:tc>
        <w:tc>
          <w:tcPr>
            <w:tcW w:w="593" w:type="dxa"/>
            <w:noWrap/>
            <w:hideMark/>
          </w:tcPr>
          <w:p w14:paraId="21016827"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w:t>
            </w:r>
          </w:p>
        </w:tc>
        <w:tc>
          <w:tcPr>
            <w:tcW w:w="353" w:type="dxa"/>
            <w:noWrap/>
            <w:hideMark/>
          </w:tcPr>
          <w:p w14:paraId="4E0558E3"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1204" w:type="dxa"/>
            <w:noWrap/>
            <w:hideMark/>
          </w:tcPr>
          <w:p w14:paraId="3E2FE990"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D20476" w:rsidRPr="000B4629" w14:paraId="02616B4C"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197DB405"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PI437654 </w:t>
            </w:r>
          </w:p>
        </w:tc>
        <w:tc>
          <w:tcPr>
            <w:tcW w:w="543" w:type="dxa"/>
            <w:noWrap/>
            <w:hideMark/>
          </w:tcPr>
          <w:p w14:paraId="066FDF3D"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w:t>
            </w:r>
          </w:p>
        </w:tc>
        <w:tc>
          <w:tcPr>
            <w:tcW w:w="546" w:type="dxa"/>
            <w:noWrap/>
            <w:hideMark/>
          </w:tcPr>
          <w:p w14:paraId="0CD3DC3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424" w:type="dxa"/>
            <w:noWrap/>
            <w:hideMark/>
          </w:tcPr>
          <w:p w14:paraId="36B3CE2C"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2AF93D8F"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424" w:type="dxa"/>
            <w:noWrap/>
            <w:hideMark/>
          </w:tcPr>
          <w:p w14:paraId="36BB6D0B"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4F530D85"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353" w:type="dxa"/>
            <w:noWrap/>
            <w:hideMark/>
          </w:tcPr>
          <w:p w14:paraId="403A8EF1"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218A9569"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w:t>
            </w:r>
          </w:p>
        </w:tc>
        <w:tc>
          <w:tcPr>
            <w:tcW w:w="424" w:type="dxa"/>
            <w:noWrap/>
            <w:hideMark/>
          </w:tcPr>
          <w:p w14:paraId="5C929929"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480" w:type="dxa"/>
            <w:noWrap/>
            <w:hideMark/>
          </w:tcPr>
          <w:p w14:paraId="7F0AA6B0"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466" w:type="dxa"/>
            <w:noWrap/>
            <w:hideMark/>
          </w:tcPr>
          <w:p w14:paraId="56A9A440"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450EFDE5"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326" w:type="dxa"/>
            <w:noWrap/>
            <w:hideMark/>
          </w:tcPr>
          <w:p w14:paraId="6B2F2171"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0A22D16F"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353" w:type="dxa"/>
            <w:noWrap/>
            <w:vAlign w:val="center"/>
            <w:hideMark/>
          </w:tcPr>
          <w:p w14:paraId="74C939A8"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66B5D3EC"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14</w:t>
            </w:r>
          </w:p>
        </w:tc>
        <w:tc>
          <w:tcPr>
            <w:tcW w:w="534" w:type="dxa"/>
            <w:noWrap/>
            <w:hideMark/>
          </w:tcPr>
          <w:p w14:paraId="688FE22B"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de</w:t>
            </w:r>
          </w:p>
        </w:tc>
        <w:tc>
          <w:tcPr>
            <w:tcW w:w="593" w:type="dxa"/>
            <w:noWrap/>
            <w:hideMark/>
          </w:tcPr>
          <w:p w14:paraId="72E478DD"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353" w:type="dxa"/>
            <w:noWrap/>
            <w:hideMark/>
          </w:tcPr>
          <w:p w14:paraId="41FDB00B"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1204" w:type="dxa"/>
            <w:noWrap/>
            <w:hideMark/>
          </w:tcPr>
          <w:p w14:paraId="3C577648"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6F5F3C" w:rsidRPr="000B4629" w14:paraId="7C403127" w14:textId="77777777" w:rsidTr="006F5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6E5DEC7E"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PI209332 </w:t>
            </w:r>
          </w:p>
        </w:tc>
        <w:tc>
          <w:tcPr>
            <w:tcW w:w="543" w:type="dxa"/>
            <w:noWrap/>
            <w:hideMark/>
          </w:tcPr>
          <w:p w14:paraId="24468C3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w:t>
            </w:r>
          </w:p>
        </w:tc>
        <w:tc>
          <w:tcPr>
            <w:tcW w:w="546" w:type="dxa"/>
            <w:noWrap/>
            <w:hideMark/>
          </w:tcPr>
          <w:p w14:paraId="417E2738"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49</w:t>
            </w:r>
          </w:p>
        </w:tc>
        <w:tc>
          <w:tcPr>
            <w:tcW w:w="424" w:type="dxa"/>
            <w:noWrap/>
            <w:hideMark/>
          </w:tcPr>
          <w:p w14:paraId="1FB3783F"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w:t>
            </w:r>
          </w:p>
        </w:tc>
        <w:tc>
          <w:tcPr>
            <w:tcW w:w="546" w:type="dxa"/>
            <w:noWrap/>
            <w:hideMark/>
          </w:tcPr>
          <w:p w14:paraId="4318C7C0"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28</w:t>
            </w:r>
          </w:p>
        </w:tc>
        <w:tc>
          <w:tcPr>
            <w:tcW w:w="424" w:type="dxa"/>
            <w:noWrap/>
            <w:hideMark/>
          </w:tcPr>
          <w:p w14:paraId="28B3F9CD"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1B82FA47"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115</w:t>
            </w:r>
          </w:p>
        </w:tc>
        <w:tc>
          <w:tcPr>
            <w:tcW w:w="353" w:type="dxa"/>
            <w:noWrap/>
            <w:hideMark/>
          </w:tcPr>
          <w:p w14:paraId="0AC8303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3CEF61B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54</w:t>
            </w:r>
          </w:p>
        </w:tc>
        <w:tc>
          <w:tcPr>
            <w:tcW w:w="424" w:type="dxa"/>
            <w:noWrap/>
            <w:hideMark/>
          </w:tcPr>
          <w:p w14:paraId="46845CE2"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bc</w:t>
            </w:r>
          </w:p>
        </w:tc>
        <w:tc>
          <w:tcPr>
            <w:tcW w:w="480" w:type="dxa"/>
            <w:noWrap/>
            <w:hideMark/>
          </w:tcPr>
          <w:p w14:paraId="5EEC14C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41</w:t>
            </w:r>
          </w:p>
        </w:tc>
        <w:tc>
          <w:tcPr>
            <w:tcW w:w="466" w:type="dxa"/>
            <w:noWrap/>
            <w:hideMark/>
          </w:tcPr>
          <w:p w14:paraId="21E7005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w:t>
            </w:r>
          </w:p>
        </w:tc>
        <w:tc>
          <w:tcPr>
            <w:tcW w:w="546" w:type="dxa"/>
            <w:noWrap/>
            <w:hideMark/>
          </w:tcPr>
          <w:p w14:paraId="3605242F"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326" w:type="dxa"/>
            <w:noWrap/>
            <w:hideMark/>
          </w:tcPr>
          <w:p w14:paraId="7E49EE58"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7549ACE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164</w:t>
            </w:r>
          </w:p>
        </w:tc>
        <w:tc>
          <w:tcPr>
            <w:tcW w:w="353" w:type="dxa"/>
            <w:noWrap/>
            <w:vAlign w:val="center"/>
            <w:hideMark/>
          </w:tcPr>
          <w:p w14:paraId="267B6C18"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67EE9B8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100</w:t>
            </w:r>
          </w:p>
        </w:tc>
        <w:tc>
          <w:tcPr>
            <w:tcW w:w="534" w:type="dxa"/>
            <w:noWrap/>
            <w:hideMark/>
          </w:tcPr>
          <w:p w14:paraId="47D15678"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abc</w:t>
            </w:r>
          </w:p>
        </w:tc>
        <w:tc>
          <w:tcPr>
            <w:tcW w:w="593" w:type="dxa"/>
            <w:noWrap/>
            <w:hideMark/>
          </w:tcPr>
          <w:p w14:paraId="44EF1DEC"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74</w:t>
            </w:r>
          </w:p>
        </w:tc>
        <w:tc>
          <w:tcPr>
            <w:tcW w:w="353" w:type="dxa"/>
            <w:noWrap/>
            <w:hideMark/>
          </w:tcPr>
          <w:p w14:paraId="245BC8E4"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1204" w:type="dxa"/>
            <w:noWrap/>
            <w:hideMark/>
          </w:tcPr>
          <w:p w14:paraId="7036AAB7"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D20476" w:rsidRPr="000B4629" w14:paraId="78238B85"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45AA9CFA"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PI89772 </w:t>
            </w:r>
          </w:p>
        </w:tc>
        <w:tc>
          <w:tcPr>
            <w:tcW w:w="543" w:type="dxa"/>
            <w:noWrap/>
            <w:hideMark/>
          </w:tcPr>
          <w:p w14:paraId="3D550DBE"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w:t>
            </w:r>
          </w:p>
        </w:tc>
        <w:tc>
          <w:tcPr>
            <w:tcW w:w="546" w:type="dxa"/>
            <w:noWrap/>
            <w:hideMark/>
          </w:tcPr>
          <w:p w14:paraId="02FD139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424" w:type="dxa"/>
            <w:noWrap/>
            <w:hideMark/>
          </w:tcPr>
          <w:p w14:paraId="41E501A3"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097CA123"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424" w:type="dxa"/>
            <w:noWrap/>
            <w:hideMark/>
          </w:tcPr>
          <w:p w14:paraId="0D3E7ACF"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30FA086E"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353" w:type="dxa"/>
            <w:noWrap/>
            <w:hideMark/>
          </w:tcPr>
          <w:p w14:paraId="03222467"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4FDB3EFC"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9</w:t>
            </w:r>
          </w:p>
        </w:tc>
        <w:tc>
          <w:tcPr>
            <w:tcW w:w="424" w:type="dxa"/>
            <w:noWrap/>
            <w:hideMark/>
          </w:tcPr>
          <w:p w14:paraId="290C32E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480" w:type="dxa"/>
            <w:noWrap/>
            <w:hideMark/>
          </w:tcPr>
          <w:p w14:paraId="54097ADE"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466" w:type="dxa"/>
            <w:noWrap/>
            <w:hideMark/>
          </w:tcPr>
          <w:p w14:paraId="0ABB844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56CE1AF0"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326" w:type="dxa"/>
            <w:noWrap/>
            <w:hideMark/>
          </w:tcPr>
          <w:p w14:paraId="3BEC5B27"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7571CB92"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353" w:type="dxa"/>
            <w:noWrap/>
            <w:vAlign w:val="center"/>
            <w:hideMark/>
          </w:tcPr>
          <w:p w14:paraId="299B892A"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c</w:t>
            </w:r>
          </w:p>
        </w:tc>
        <w:tc>
          <w:tcPr>
            <w:tcW w:w="546" w:type="dxa"/>
            <w:noWrap/>
            <w:hideMark/>
          </w:tcPr>
          <w:p w14:paraId="4EE9E41A"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534" w:type="dxa"/>
            <w:noWrap/>
            <w:hideMark/>
          </w:tcPr>
          <w:p w14:paraId="7DE09D19"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e</w:t>
            </w:r>
          </w:p>
        </w:tc>
        <w:tc>
          <w:tcPr>
            <w:tcW w:w="593" w:type="dxa"/>
            <w:noWrap/>
            <w:hideMark/>
          </w:tcPr>
          <w:p w14:paraId="2CF7B840"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w:t>
            </w:r>
          </w:p>
        </w:tc>
        <w:tc>
          <w:tcPr>
            <w:tcW w:w="353" w:type="dxa"/>
            <w:noWrap/>
            <w:hideMark/>
          </w:tcPr>
          <w:p w14:paraId="366445F1"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1204" w:type="dxa"/>
            <w:noWrap/>
            <w:hideMark/>
          </w:tcPr>
          <w:p w14:paraId="3FDC0E7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6F5F3C" w:rsidRPr="000B4629" w14:paraId="152F40D9" w14:textId="77777777" w:rsidTr="006F5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06AC7889"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PI548316 </w:t>
            </w:r>
          </w:p>
        </w:tc>
        <w:tc>
          <w:tcPr>
            <w:tcW w:w="543" w:type="dxa"/>
            <w:noWrap/>
            <w:hideMark/>
          </w:tcPr>
          <w:p w14:paraId="2198E621"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w:t>
            </w:r>
          </w:p>
        </w:tc>
        <w:tc>
          <w:tcPr>
            <w:tcW w:w="546" w:type="dxa"/>
            <w:noWrap/>
            <w:hideMark/>
          </w:tcPr>
          <w:p w14:paraId="01C148F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151</w:t>
            </w:r>
          </w:p>
        </w:tc>
        <w:tc>
          <w:tcPr>
            <w:tcW w:w="424" w:type="dxa"/>
            <w:noWrap/>
            <w:hideMark/>
          </w:tcPr>
          <w:p w14:paraId="6F1928C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546" w:type="dxa"/>
            <w:noWrap/>
            <w:hideMark/>
          </w:tcPr>
          <w:p w14:paraId="333E86E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62</w:t>
            </w:r>
          </w:p>
        </w:tc>
        <w:tc>
          <w:tcPr>
            <w:tcW w:w="424" w:type="dxa"/>
            <w:noWrap/>
            <w:hideMark/>
          </w:tcPr>
          <w:p w14:paraId="00CB3633"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w:t>
            </w:r>
          </w:p>
        </w:tc>
        <w:tc>
          <w:tcPr>
            <w:tcW w:w="593" w:type="dxa"/>
            <w:noWrap/>
            <w:hideMark/>
          </w:tcPr>
          <w:p w14:paraId="0EEAFEEC"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125</w:t>
            </w:r>
          </w:p>
        </w:tc>
        <w:tc>
          <w:tcPr>
            <w:tcW w:w="353" w:type="dxa"/>
            <w:noWrap/>
            <w:hideMark/>
          </w:tcPr>
          <w:p w14:paraId="684266A5"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5668B52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91</w:t>
            </w:r>
          </w:p>
        </w:tc>
        <w:tc>
          <w:tcPr>
            <w:tcW w:w="424" w:type="dxa"/>
            <w:noWrap/>
            <w:hideMark/>
          </w:tcPr>
          <w:p w14:paraId="09FA55DD"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bc</w:t>
            </w:r>
          </w:p>
        </w:tc>
        <w:tc>
          <w:tcPr>
            <w:tcW w:w="480" w:type="dxa"/>
            <w:noWrap/>
            <w:hideMark/>
          </w:tcPr>
          <w:p w14:paraId="63BCB7B4"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40</w:t>
            </w:r>
          </w:p>
        </w:tc>
        <w:tc>
          <w:tcPr>
            <w:tcW w:w="466" w:type="dxa"/>
            <w:noWrap/>
            <w:hideMark/>
          </w:tcPr>
          <w:p w14:paraId="59E06BFA"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119B2BC4"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30</w:t>
            </w:r>
          </w:p>
        </w:tc>
        <w:tc>
          <w:tcPr>
            <w:tcW w:w="326" w:type="dxa"/>
            <w:noWrap/>
            <w:hideMark/>
          </w:tcPr>
          <w:p w14:paraId="08EABECC"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93" w:type="dxa"/>
            <w:noWrap/>
            <w:hideMark/>
          </w:tcPr>
          <w:p w14:paraId="30A63B41"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153</w:t>
            </w:r>
          </w:p>
        </w:tc>
        <w:tc>
          <w:tcPr>
            <w:tcW w:w="353" w:type="dxa"/>
            <w:noWrap/>
            <w:vAlign w:val="center"/>
            <w:hideMark/>
          </w:tcPr>
          <w:p w14:paraId="743BE75B"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546" w:type="dxa"/>
            <w:noWrap/>
            <w:hideMark/>
          </w:tcPr>
          <w:p w14:paraId="3927777C"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132</w:t>
            </w:r>
          </w:p>
        </w:tc>
        <w:tc>
          <w:tcPr>
            <w:tcW w:w="534" w:type="dxa"/>
            <w:noWrap/>
            <w:hideMark/>
          </w:tcPr>
          <w:p w14:paraId="3A1F9967"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w:t>
            </w:r>
          </w:p>
        </w:tc>
        <w:tc>
          <w:tcPr>
            <w:tcW w:w="593" w:type="dxa"/>
            <w:noWrap/>
            <w:hideMark/>
          </w:tcPr>
          <w:p w14:paraId="694CD79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96</w:t>
            </w:r>
          </w:p>
        </w:tc>
        <w:tc>
          <w:tcPr>
            <w:tcW w:w="353" w:type="dxa"/>
            <w:noWrap/>
            <w:hideMark/>
          </w:tcPr>
          <w:p w14:paraId="43F78729"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b</w:t>
            </w:r>
          </w:p>
        </w:tc>
        <w:tc>
          <w:tcPr>
            <w:tcW w:w="1204" w:type="dxa"/>
            <w:noWrap/>
            <w:hideMark/>
          </w:tcPr>
          <w:p w14:paraId="0A08F86E"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D20476" w:rsidRPr="000B4629" w14:paraId="766272B3"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824" w:type="dxa"/>
            <w:gridSpan w:val="2"/>
            <w:noWrap/>
            <w:hideMark/>
          </w:tcPr>
          <w:p w14:paraId="50D770BD"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Williams 82</w:t>
            </w:r>
          </w:p>
        </w:tc>
        <w:tc>
          <w:tcPr>
            <w:tcW w:w="546" w:type="dxa"/>
            <w:noWrap/>
            <w:hideMark/>
          </w:tcPr>
          <w:p w14:paraId="740CED6E"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79</w:t>
            </w:r>
          </w:p>
        </w:tc>
        <w:tc>
          <w:tcPr>
            <w:tcW w:w="424" w:type="dxa"/>
            <w:noWrap/>
            <w:hideMark/>
          </w:tcPr>
          <w:p w14:paraId="2EFD8EF2"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ab</w:t>
            </w:r>
          </w:p>
        </w:tc>
        <w:tc>
          <w:tcPr>
            <w:tcW w:w="546" w:type="dxa"/>
            <w:noWrap/>
            <w:hideMark/>
          </w:tcPr>
          <w:p w14:paraId="5061A8AA"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114</w:t>
            </w:r>
          </w:p>
        </w:tc>
        <w:tc>
          <w:tcPr>
            <w:tcW w:w="424" w:type="dxa"/>
            <w:noWrap/>
            <w:hideMark/>
          </w:tcPr>
          <w:p w14:paraId="4D9057ED"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593" w:type="dxa"/>
            <w:noWrap/>
            <w:hideMark/>
          </w:tcPr>
          <w:p w14:paraId="3589F498"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434</w:t>
            </w:r>
          </w:p>
        </w:tc>
        <w:tc>
          <w:tcPr>
            <w:tcW w:w="353" w:type="dxa"/>
            <w:noWrap/>
            <w:hideMark/>
          </w:tcPr>
          <w:p w14:paraId="0879285D"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546" w:type="dxa"/>
            <w:noWrap/>
            <w:hideMark/>
          </w:tcPr>
          <w:p w14:paraId="2B0E33A8"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247</w:t>
            </w:r>
          </w:p>
        </w:tc>
        <w:tc>
          <w:tcPr>
            <w:tcW w:w="424" w:type="dxa"/>
            <w:noWrap/>
            <w:hideMark/>
          </w:tcPr>
          <w:p w14:paraId="5AE06C87"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480" w:type="dxa"/>
            <w:noWrap/>
            <w:hideMark/>
          </w:tcPr>
          <w:p w14:paraId="6EB04F3B"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69</w:t>
            </w:r>
          </w:p>
        </w:tc>
        <w:tc>
          <w:tcPr>
            <w:tcW w:w="466" w:type="dxa"/>
            <w:noWrap/>
            <w:hideMark/>
          </w:tcPr>
          <w:p w14:paraId="7CDC829D"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546" w:type="dxa"/>
            <w:noWrap/>
            <w:hideMark/>
          </w:tcPr>
          <w:p w14:paraId="328BCEBA"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228</w:t>
            </w:r>
          </w:p>
        </w:tc>
        <w:tc>
          <w:tcPr>
            <w:tcW w:w="326" w:type="dxa"/>
            <w:noWrap/>
            <w:hideMark/>
          </w:tcPr>
          <w:p w14:paraId="38867BA1"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593" w:type="dxa"/>
            <w:noWrap/>
            <w:hideMark/>
          </w:tcPr>
          <w:p w14:paraId="1A41A2F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294</w:t>
            </w:r>
          </w:p>
        </w:tc>
        <w:tc>
          <w:tcPr>
            <w:tcW w:w="353" w:type="dxa"/>
            <w:noWrap/>
            <w:vAlign w:val="center"/>
            <w:hideMark/>
          </w:tcPr>
          <w:p w14:paraId="6315782E"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546" w:type="dxa"/>
            <w:noWrap/>
            <w:hideMark/>
          </w:tcPr>
          <w:p w14:paraId="49B05B1F"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165</w:t>
            </w:r>
          </w:p>
        </w:tc>
        <w:tc>
          <w:tcPr>
            <w:tcW w:w="534" w:type="dxa"/>
            <w:noWrap/>
            <w:hideMark/>
          </w:tcPr>
          <w:p w14:paraId="0DA48902"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593" w:type="dxa"/>
            <w:noWrap/>
            <w:hideMark/>
          </w:tcPr>
          <w:p w14:paraId="7C28D5E8"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238</w:t>
            </w:r>
          </w:p>
        </w:tc>
        <w:tc>
          <w:tcPr>
            <w:tcW w:w="353" w:type="dxa"/>
            <w:noWrap/>
            <w:hideMark/>
          </w:tcPr>
          <w:p w14:paraId="45A330B9"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a</w:t>
            </w:r>
          </w:p>
        </w:tc>
        <w:tc>
          <w:tcPr>
            <w:tcW w:w="1204" w:type="dxa"/>
            <w:noWrap/>
            <w:hideMark/>
          </w:tcPr>
          <w:p w14:paraId="2091046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D20476" w:rsidRPr="000B4629" w14:paraId="77533C38" w14:textId="77777777" w:rsidTr="006F5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1" w:type="dxa"/>
            <w:tcBorders>
              <w:bottom w:val="single" w:sz="4" w:space="0" w:color="auto"/>
            </w:tcBorders>
            <w:noWrap/>
            <w:hideMark/>
          </w:tcPr>
          <w:p w14:paraId="39D73F54"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P-value</w:t>
            </w:r>
          </w:p>
        </w:tc>
        <w:tc>
          <w:tcPr>
            <w:tcW w:w="543" w:type="dxa"/>
            <w:tcBorders>
              <w:bottom w:val="single" w:sz="4" w:space="0" w:color="auto"/>
            </w:tcBorders>
            <w:noWrap/>
            <w:hideMark/>
          </w:tcPr>
          <w:p w14:paraId="11A54E90"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c>
          <w:tcPr>
            <w:tcW w:w="970" w:type="dxa"/>
            <w:gridSpan w:val="2"/>
            <w:tcBorders>
              <w:bottom w:val="single" w:sz="4" w:space="0" w:color="auto"/>
            </w:tcBorders>
            <w:noWrap/>
            <w:hideMark/>
          </w:tcPr>
          <w:p w14:paraId="0DC3A403"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0.0005</w:t>
            </w:r>
          </w:p>
        </w:tc>
        <w:tc>
          <w:tcPr>
            <w:tcW w:w="970" w:type="dxa"/>
            <w:gridSpan w:val="2"/>
            <w:tcBorders>
              <w:bottom w:val="single" w:sz="4" w:space="0" w:color="auto"/>
            </w:tcBorders>
            <w:noWrap/>
            <w:hideMark/>
          </w:tcPr>
          <w:p w14:paraId="2577B553"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&lt;0.0001</w:t>
            </w:r>
          </w:p>
        </w:tc>
        <w:tc>
          <w:tcPr>
            <w:tcW w:w="946" w:type="dxa"/>
            <w:gridSpan w:val="2"/>
            <w:tcBorders>
              <w:bottom w:val="single" w:sz="4" w:space="0" w:color="auto"/>
            </w:tcBorders>
            <w:noWrap/>
            <w:hideMark/>
          </w:tcPr>
          <w:p w14:paraId="7C73E766"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&lt;0.0001</w:t>
            </w:r>
          </w:p>
        </w:tc>
        <w:tc>
          <w:tcPr>
            <w:tcW w:w="970" w:type="dxa"/>
            <w:gridSpan w:val="2"/>
            <w:tcBorders>
              <w:bottom w:val="single" w:sz="4" w:space="0" w:color="auto"/>
            </w:tcBorders>
            <w:noWrap/>
            <w:hideMark/>
          </w:tcPr>
          <w:p w14:paraId="05812161"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&lt;0.0001</w:t>
            </w:r>
          </w:p>
        </w:tc>
        <w:tc>
          <w:tcPr>
            <w:tcW w:w="946" w:type="dxa"/>
            <w:gridSpan w:val="2"/>
            <w:tcBorders>
              <w:bottom w:val="single" w:sz="4" w:space="0" w:color="auto"/>
            </w:tcBorders>
            <w:noWrap/>
            <w:hideMark/>
          </w:tcPr>
          <w:p w14:paraId="45EA3A50"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&lt;0.0001</w:t>
            </w:r>
          </w:p>
        </w:tc>
        <w:tc>
          <w:tcPr>
            <w:tcW w:w="872" w:type="dxa"/>
            <w:gridSpan w:val="2"/>
            <w:tcBorders>
              <w:bottom w:val="single" w:sz="4" w:space="0" w:color="auto"/>
            </w:tcBorders>
            <w:noWrap/>
            <w:hideMark/>
          </w:tcPr>
          <w:p w14:paraId="45CBF21E"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0.0004</w:t>
            </w:r>
          </w:p>
        </w:tc>
        <w:tc>
          <w:tcPr>
            <w:tcW w:w="946" w:type="dxa"/>
            <w:gridSpan w:val="2"/>
            <w:tcBorders>
              <w:bottom w:val="single" w:sz="4" w:space="0" w:color="auto"/>
            </w:tcBorders>
            <w:noWrap/>
            <w:hideMark/>
          </w:tcPr>
          <w:p w14:paraId="3C1447AF"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&lt;0.0001</w:t>
            </w:r>
          </w:p>
        </w:tc>
        <w:tc>
          <w:tcPr>
            <w:tcW w:w="1080" w:type="dxa"/>
            <w:gridSpan w:val="2"/>
            <w:tcBorders>
              <w:bottom w:val="single" w:sz="4" w:space="0" w:color="auto"/>
            </w:tcBorders>
            <w:noWrap/>
            <w:hideMark/>
          </w:tcPr>
          <w:p w14:paraId="710ED5CB"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&lt;0.0001</w:t>
            </w:r>
          </w:p>
        </w:tc>
        <w:tc>
          <w:tcPr>
            <w:tcW w:w="946" w:type="dxa"/>
            <w:gridSpan w:val="2"/>
            <w:tcBorders>
              <w:bottom w:val="single" w:sz="4" w:space="0" w:color="auto"/>
            </w:tcBorders>
            <w:noWrap/>
            <w:hideMark/>
          </w:tcPr>
          <w:p w14:paraId="612CC90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&lt;0.0001</w:t>
            </w:r>
          </w:p>
        </w:tc>
        <w:tc>
          <w:tcPr>
            <w:tcW w:w="1204" w:type="dxa"/>
            <w:tcBorders>
              <w:bottom w:val="single" w:sz="4" w:space="0" w:color="auto"/>
            </w:tcBorders>
            <w:noWrap/>
            <w:hideMark/>
          </w:tcPr>
          <w:p w14:paraId="0E29DEC1"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p>
        </w:tc>
      </w:tr>
      <w:tr w:rsidR="00D20476" w:rsidRPr="000B4629" w14:paraId="0C604614" w14:textId="77777777" w:rsidTr="008D457B">
        <w:trPr>
          <w:trHeight w:val="278"/>
        </w:trPr>
        <w:tc>
          <w:tcPr>
            <w:cnfStyle w:val="001000000000" w:firstRow="0" w:lastRow="0" w:firstColumn="1" w:lastColumn="0" w:oddVBand="0" w:evenVBand="0" w:oddHBand="0" w:evenHBand="0" w:firstRowFirstColumn="0" w:firstRowLastColumn="0" w:lastRowFirstColumn="0" w:lastRowLastColumn="0"/>
            <w:tcW w:w="10470" w:type="dxa"/>
            <w:gridSpan w:val="20"/>
            <w:tcBorders>
              <w:top w:val="single" w:sz="4" w:space="0" w:color="auto"/>
              <w:bottom w:val="single" w:sz="4" w:space="0" w:color="auto"/>
            </w:tcBorders>
            <w:noWrap/>
            <w:vAlign w:val="bottom"/>
            <w:hideMark/>
          </w:tcPr>
          <w:p w14:paraId="4F3A33B1" w14:textId="77777777" w:rsidR="00D20476" w:rsidRPr="000B4629" w:rsidRDefault="00D20476" w:rsidP="006F5F3C">
            <w:pPr>
              <w:jc w:val="center"/>
              <w:rPr>
                <w:rFonts w:eastAsia="Times New Roman" w:cs="Times New Roman"/>
                <w:b w:val="0"/>
                <w:color w:val="000000"/>
                <w:sz w:val="20"/>
                <w:szCs w:val="20"/>
              </w:rPr>
            </w:pPr>
            <w:r w:rsidRPr="000B4629">
              <w:rPr>
                <w:rFonts w:eastAsia="Times New Roman" w:cs="Times New Roman"/>
                <w:b w:val="0"/>
                <w:color w:val="000000"/>
                <w:sz w:val="20"/>
                <w:szCs w:val="20"/>
              </w:rPr>
              <w:t>Female index</w:t>
            </w:r>
            <w:r w:rsidRPr="000B4629">
              <w:rPr>
                <w:rFonts w:eastAsia="Times New Roman" w:cs="Times New Roman"/>
                <w:b w:val="0"/>
                <w:color w:val="000000"/>
                <w:sz w:val="20"/>
                <w:szCs w:val="20"/>
                <w:vertAlign w:val="superscript"/>
              </w:rPr>
              <w:t xml:space="preserve">d </w:t>
            </w:r>
            <w:r w:rsidRPr="000B4629">
              <w:rPr>
                <w:rFonts w:eastAsia="Times New Roman" w:cs="Times New Roman"/>
                <w:b w:val="0"/>
                <w:color w:val="000000"/>
                <w:sz w:val="20"/>
                <w:szCs w:val="20"/>
              </w:rPr>
              <w:t>of SCN on resistant soybean indicators</w:t>
            </w:r>
          </w:p>
        </w:tc>
        <w:tc>
          <w:tcPr>
            <w:tcW w:w="1204" w:type="dxa"/>
            <w:tcBorders>
              <w:top w:val="single" w:sz="4" w:space="0" w:color="auto"/>
              <w:bottom w:val="single" w:sz="4" w:space="0" w:color="auto"/>
            </w:tcBorders>
            <w:vAlign w:val="bottom"/>
            <w:hideMark/>
          </w:tcPr>
          <w:p w14:paraId="06DDF72E"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FI≥10%</w:t>
            </w:r>
            <w:r w:rsidRPr="000B4629">
              <w:rPr>
                <w:rFonts w:eastAsia="Times New Roman" w:cs="Times New Roman"/>
                <w:color w:val="000000"/>
                <w:sz w:val="20"/>
                <w:szCs w:val="20"/>
                <w:vertAlign w:val="superscript"/>
              </w:rPr>
              <w:t>e</w:t>
            </w:r>
          </w:p>
        </w:tc>
      </w:tr>
      <w:tr w:rsidR="00D20476" w:rsidRPr="000B4629" w14:paraId="0E9F77DB" w14:textId="77777777" w:rsidTr="006F5F3C">
        <w:trPr>
          <w:cnfStyle w:val="000000100000" w:firstRow="0" w:lastRow="0" w:firstColumn="0" w:lastColumn="0" w:oddVBand="0" w:evenVBand="0" w:oddHBand="1"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1281" w:type="dxa"/>
            <w:tcBorders>
              <w:top w:val="single" w:sz="4" w:space="0" w:color="auto"/>
            </w:tcBorders>
            <w:noWrap/>
            <w:hideMark/>
          </w:tcPr>
          <w:p w14:paraId="646D20BD"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PI548402</w:t>
            </w:r>
          </w:p>
        </w:tc>
        <w:tc>
          <w:tcPr>
            <w:tcW w:w="543" w:type="dxa"/>
            <w:tcBorders>
              <w:top w:val="single" w:sz="4" w:space="0" w:color="auto"/>
            </w:tcBorders>
            <w:noWrap/>
            <w:hideMark/>
          </w:tcPr>
          <w:p w14:paraId="498DEAB2"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r w:rsidRPr="000B4629">
              <w:rPr>
                <w:rFonts w:eastAsia="Times New Roman" w:cs="Times New Roman"/>
                <w:color w:val="000000"/>
                <w:sz w:val="20"/>
                <w:szCs w:val="20"/>
                <w:vertAlign w:val="superscript"/>
              </w:rPr>
              <w:t>b</w:t>
            </w:r>
          </w:p>
        </w:tc>
        <w:tc>
          <w:tcPr>
            <w:tcW w:w="970" w:type="dxa"/>
            <w:gridSpan w:val="2"/>
            <w:tcBorders>
              <w:top w:val="single" w:sz="4" w:space="0" w:color="auto"/>
            </w:tcBorders>
            <w:noWrap/>
            <w:hideMark/>
          </w:tcPr>
          <w:p w14:paraId="6471880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w:t>
            </w:r>
          </w:p>
        </w:tc>
        <w:tc>
          <w:tcPr>
            <w:tcW w:w="970" w:type="dxa"/>
            <w:gridSpan w:val="2"/>
            <w:tcBorders>
              <w:top w:val="single" w:sz="4" w:space="0" w:color="auto"/>
            </w:tcBorders>
            <w:noWrap/>
            <w:hideMark/>
          </w:tcPr>
          <w:p w14:paraId="727D4F4F"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10</w:t>
            </w:r>
          </w:p>
        </w:tc>
        <w:tc>
          <w:tcPr>
            <w:tcW w:w="946" w:type="dxa"/>
            <w:gridSpan w:val="2"/>
            <w:tcBorders>
              <w:top w:val="single" w:sz="4" w:space="0" w:color="auto"/>
            </w:tcBorders>
            <w:noWrap/>
            <w:hideMark/>
          </w:tcPr>
          <w:p w14:paraId="4C587BD1"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13</w:t>
            </w:r>
          </w:p>
        </w:tc>
        <w:tc>
          <w:tcPr>
            <w:tcW w:w="970" w:type="dxa"/>
            <w:gridSpan w:val="2"/>
            <w:tcBorders>
              <w:top w:val="single" w:sz="4" w:space="0" w:color="auto"/>
            </w:tcBorders>
            <w:noWrap/>
            <w:hideMark/>
          </w:tcPr>
          <w:p w14:paraId="7992CCFA"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28</w:t>
            </w:r>
          </w:p>
        </w:tc>
        <w:tc>
          <w:tcPr>
            <w:tcW w:w="946" w:type="dxa"/>
            <w:gridSpan w:val="2"/>
            <w:tcBorders>
              <w:top w:val="single" w:sz="4" w:space="0" w:color="auto"/>
            </w:tcBorders>
            <w:noWrap/>
            <w:hideMark/>
          </w:tcPr>
          <w:p w14:paraId="0FCE7AA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16</w:t>
            </w:r>
          </w:p>
        </w:tc>
        <w:tc>
          <w:tcPr>
            <w:tcW w:w="872" w:type="dxa"/>
            <w:gridSpan w:val="2"/>
            <w:tcBorders>
              <w:top w:val="single" w:sz="4" w:space="0" w:color="auto"/>
            </w:tcBorders>
            <w:noWrap/>
            <w:hideMark/>
          </w:tcPr>
          <w:p w14:paraId="7F44E907"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946" w:type="dxa"/>
            <w:gridSpan w:val="2"/>
            <w:tcBorders>
              <w:top w:val="single" w:sz="4" w:space="0" w:color="auto"/>
            </w:tcBorders>
            <w:noWrap/>
            <w:hideMark/>
          </w:tcPr>
          <w:p w14:paraId="11ACBBD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w:t>
            </w:r>
          </w:p>
        </w:tc>
        <w:tc>
          <w:tcPr>
            <w:tcW w:w="1080" w:type="dxa"/>
            <w:gridSpan w:val="2"/>
            <w:tcBorders>
              <w:top w:val="single" w:sz="4" w:space="0" w:color="auto"/>
            </w:tcBorders>
            <w:noWrap/>
            <w:hideMark/>
          </w:tcPr>
          <w:p w14:paraId="2AAFCCC0"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20</w:t>
            </w:r>
          </w:p>
        </w:tc>
        <w:tc>
          <w:tcPr>
            <w:tcW w:w="946" w:type="dxa"/>
            <w:gridSpan w:val="2"/>
            <w:tcBorders>
              <w:top w:val="single" w:sz="4" w:space="0" w:color="auto"/>
            </w:tcBorders>
            <w:noWrap/>
            <w:hideMark/>
          </w:tcPr>
          <w:p w14:paraId="354EB5D2"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18</w:t>
            </w:r>
          </w:p>
        </w:tc>
        <w:tc>
          <w:tcPr>
            <w:tcW w:w="1204" w:type="dxa"/>
            <w:tcBorders>
              <w:top w:val="single" w:sz="4" w:space="0" w:color="auto"/>
            </w:tcBorders>
            <w:noWrap/>
            <w:hideMark/>
          </w:tcPr>
          <w:p w14:paraId="27A20B7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w:t>
            </w:r>
          </w:p>
        </w:tc>
      </w:tr>
      <w:tr w:rsidR="00D20476" w:rsidRPr="000B4629" w14:paraId="62C68255"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16C5BDF0"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PI88788</w:t>
            </w:r>
          </w:p>
        </w:tc>
        <w:tc>
          <w:tcPr>
            <w:tcW w:w="543" w:type="dxa"/>
            <w:noWrap/>
            <w:hideMark/>
          </w:tcPr>
          <w:p w14:paraId="3B146E90"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970" w:type="dxa"/>
            <w:gridSpan w:val="2"/>
            <w:noWrap/>
            <w:hideMark/>
          </w:tcPr>
          <w:p w14:paraId="19E26401"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106</w:t>
            </w:r>
          </w:p>
        </w:tc>
        <w:tc>
          <w:tcPr>
            <w:tcW w:w="970" w:type="dxa"/>
            <w:gridSpan w:val="2"/>
            <w:noWrap/>
            <w:hideMark/>
          </w:tcPr>
          <w:p w14:paraId="1D233E1A"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30</w:t>
            </w:r>
          </w:p>
        </w:tc>
        <w:tc>
          <w:tcPr>
            <w:tcW w:w="946" w:type="dxa"/>
            <w:gridSpan w:val="2"/>
            <w:noWrap/>
            <w:hideMark/>
          </w:tcPr>
          <w:p w14:paraId="6C1226B6"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23</w:t>
            </w:r>
          </w:p>
        </w:tc>
        <w:tc>
          <w:tcPr>
            <w:tcW w:w="970" w:type="dxa"/>
            <w:gridSpan w:val="2"/>
            <w:noWrap/>
            <w:hideMark/>
          </w:tcPr>
          <w:p w14:paraId="0F6407F6"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50</w:t>
            </w:r>
          </w:p>
        </w:tc>
        <w:tc>
          <w:tcPr>
            <w:tcW w:w="946" w:type="dxa"/>
            <w:gridSpan w:val="2"/>
            <w:noWrap/>
            <w:hideMark/>
          </w:tcPr>
          <w:p w14:paraId="0B9214F4"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67</w:t>
            </w:r>
          </w:p>
        </w:tc>
        <w:tc>
          <w:tcPr>
            <w:tcW w:w="872" w:type="dxa"/>
            <w:gridSpan w:val="2"/>
            <w:noWrap/>
            <w:hideMark/>
          </w:tcPr>
          <w:p w14:paraId="7E3A8B09"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w:t>
            </w:r>
          </w:p>
        </w:tc>
        <w:tc>
          <w:tcPr>
            <w:tcW w:w="946" w:type="dxa"/>
            <w:gridSpan w:val="2"/>
            <w:noWrap/>
            <w:hideMark/>
          </w:tcPr>
          <w:p w14:paraId="26F4D387"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50</w:t>
            </w:r>
          </w:p>
        </w:tc>
        <w:tc>
          <w:tcPr>
            <w:tcW w:w="1080" w:type="dxa"/>
            <w:gridSpan w:val="2"/>
            <w:noWrap/>
            <w:hideMark/>
          </w:tcPr>
          <w:p w14:paraId="1963B43E"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48</w:t>
            </w:r>
          </w:p>
        </w:tc>
        <w:tc>
          <w:tcPr>
            <w:tcW w:w="946" w:type="dxa"/>
            <w:gridSpan w:val="2"/>
            <w:noWrap/>
            <w:hideMark/>
          </w:tcPr>
          <w:p w14:paraId="21066BF8"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28</w:t>
            </w:r>
          </w:p>
        </w:tc>
        <w:tc>
          <w:tcPr>
            <w:tcW w:w="1204" w:type="dxa"/>
            <w:noWrap/>
            <w:hideMark/>
          </w:tcPr>
          <w:p w14:paraId="0E68BA7A"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8</w:t>
            </w:r>
          </w:p>
        </w:tc>
      </w:tr>
      <w:tr w:rsidR="00D20476" w:rsidRPr="000B4629" w14:paraId="11306884" w14:textId="77777777" w:rsidTr="006F5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7482D091"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PI90763 </w:t>
            </w:r>
          </w:p>
        </w:tc>
        <w:tc>
          <w:tcPr>
            <w:tcW w:w="543" w:type="dxa"/>
            <w:noWrap/>
            <w:hideMark/>
          </w:tcPr>
          <w:p w14:paraId="598834C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w:t>
            </w:r>
          </w:p>
        </w:tc>
        <w:tc>
          <w:tcPr>
            <w:tcW w:w="970" w:type="dxa"/>
            <w:gridSpan w:val="2"/>
            <w:noWrap/>
            <w:hideMark/>
          </w:tcPr>
          <w:p w14:paraId="595D718F"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970" w:type="dxa"/>
            <w:gridSpan w:val="2"/>
            <w:noWrap/>
            <w:hideMark/>
          </w:tcPr>
          <w:p w14:paraId="70DA6EC9"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946" w:type="dxa"/>
            <w:gridSpan w:val="2"/>
            <w:noWrap/>
            <w:hideMark/>
          </w:tcPr>
          <w:p w14:paraId="06D90E2F"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70" w:type="dxa"/>
            <w:gridSpan w:val="2"/>
            <w:noWrap/>
            <w:hideMark/>
          </w:tcPr>
          <w:p w14:paraId="5001C99C"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946" w:type="dxa"/>
            <w:gridSpan w:val="2"/>
            <w:noWrap/>
            <w:hideMark/>
          </w:tcPr>
          <w:p w14:paraId="6FA049C6"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872" w:type="dxa"/>
            <w:gridSpan w:val="2"/>
            <w:noWrap/>
            <w:hideMark/>
          </w:tcPr>
          <w:p w14:paraId="733B248B"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46" w:type="dxa"/>
            <w:gridSpan w:val="2"/>
            <w:noWrap/>
            <w:hideMark/>
          </w:tcPr>
          <w:p w14:paraId="3EF5CCD3"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1080" w:type="dxa"/>
            <w:gridSpan w:val="2"/>
            <w:noWrap/>
            <w:hideMark/>
          </w:tcPr>
          <w:p w14:paraId="76BF9CE1"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946" w:type="dxa"/>
            <w:gridSpan w:val="2"/>
            <w:noWrap/>
            <w:hideMark/>
          </w:tcPr>
          <w:p w14:paraId="2FF268F6"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1204" w:type="dxa"/>
            <w:noWrap/>
            <w:hideMark/>
          </w:tcPr>
          <w:p w14:paraId="01B17DB6"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r>
      <w:tr w:rsidR="00D20476" w:rsidRPr="000B4629" w14:paraId="680D6D19"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092648AE"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PI437654 </w:t>
            </w:r>
          </w:p>
        </w:tc>
        <w:tc>
          <w:tcPr>
            <w:tcW w:w="543" w:type="dxa"/>
            <w:noWrap/>
            <w:hideMark/>
          </w:tcPr>
          <w:p w14:paraId="1CBEF29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w:t>
            </w:r>
          </w:p>
        </w:tc>
        <w:tc>
          <w:tcPr>
            <w:tcW w:w="970" w:type="dxa"/>
            <w:gridSpan w:val="2"/>
            <w:noWrap/>
            <w:hideMark/>
          </w:tcPr>
          <w:p w14:paraId="646D20E2"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70" w:type="dxa"/>
            <w:gridSpan w:val="2"/>
            <w:noWrap/>
            <w:hideMark/>
          </w:tcPr>
          <w:p w14:paraId="49936760"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46" w:type="dxa"/>
            <w:gridSpan w:val="2"/>
            <w:noWrap/>
            <w:hideMark/>
          </w:tcPr>
          <w:p w14:paraId="36F1AF95"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70" w:type="dxa"/>
            <w:gridSpan w:val="2"/>
            <w:noWrap/>
            <w:hideMark/>
          </w:tcPr>
          <w:p w14:paraId="70E9BB92"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946" w:type="dxa"/>
            <w:gridSpan w:val="2"/>
            <w:noWrap/>
            <w:hideMark/>
          </w:tcPr>
          <w:p w14:paraId="51CDC514"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872" w:type="dxa"/>
            <w:gridSpan w:val="2"/>
            <w:noWrap/>
            <w:hideMark/>
          </w:tcPr>
          <w:p w14:paraId="5E0E5F9D"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46" w:type="dxa"/>
            <w:gridSpan w:val="2"/>
            <w:noWrap/>
            <w:hideMark/>
          </w:tcPr>
          <w:p w14:paraId="6876F195"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1080" w:type="dxa"/>
            <w:gridSpan w:val="2"/>
            <w:noWrap/>
            <w:hideMark/>
          </w:tcPr>
          <w:p w14:paraId="361EE262"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8</w:t>
            </w:r>
          </w:p>
        </w:tc>
        <w:tc>
          <w:tcPr>
            <w:tcW w:w="946" w:type="dxa"/>
            <w:gridSpan w:val="2"/>
            <w:noWrap/>
            <w:hideMark/>
          </w:tcPr>
          <w:p w14:paraId="59DF89BD"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1204" w:type="dxa"/>
            <w:noWrap/>
            <w:hideMark/>
          </w:tcPr>
          <w:p w14:paraId="6FB40414"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r>
      <w:tr w:rsidR="00D20476" w:rsidRPr="000B4629" w14:paraId="07E3D6B3" w14:textId="77777777" w:rsidTr="006F5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661F3F68"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PI209332 </w:t>
            </w:r>
          </w:p>
        </w:tc>
        <w:tc>
          <w:tcPr>
            <w:tcW w:w="543" w:type="dxa"/>
            <w:noWrap/>
            <w:hideMark/>
          </w:tcPr>
          <w:p w14:paraId="57D06520"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w:t>
            </w:r>
          </w:p>
        </w:tc>
        <w:tc>
          <w:tcPr>
            <w:tcW w:w="970" w:type="dxa"/>
            <w:gridSpan w:val="2"/>
            <w:noWrap/>
            <w:hideMark/>
          </w:tcPr>
          <w:p w14:paraId="70C46F7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62</w:t>
            </w:r>
          </w:p>
        </w:tc>
        <w:tc>
          <w:tcPr>
            <w:tcW w:w="970" w:type="dxa"/>
            <w:gridSpan w:val="2"/>
            <w:noWrap/>
            <w:hideMark/>
          </w:tcPr>
          <w:p w14:paraId="3AF5F9B5"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24</w:t>
            </w:r>
          </w:p>
        </w:tc>
        <w:tc>
          <w:tcPr>
            <w:tcW w:w="946" w:type="dxa"/>
            <w:gridSpan w:val="2"/>
            <w:noWrap/>
            <w:hideMark/>
          </w:tcPr>
          <w:p w14:paraId="097972CB"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27</w:t>
            </w:r>
          </w:p>
        </w:tc>
        <w:tc>
          <w:tcPr>
            <w:tcW w:w="970" w:type="dxa"/>
            <w:gridSpan w:val="2"/>
            <w:noWrap/>
            <w:hideMark/>
          </w:tcPr>
          <w:p w14:paraId="133587A7"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22</w:t>
            </w:r>
          </w:p>
        </w:tc>
        <w:tc>
          <w:tcPr>
            <w:tcW w:w="946" w:type="dxa"/>
            <w:gridSpan w:val="2"/>
            <w:noWrap/>
            <w:hideMark/>
          </w:tcPr>
          <w:p w14:paraId="07A1C419"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60</w:t>
            </w:r>
          </w:p>
        </w:tc>
        <w:tc>
          <w:tcPr>
            <w:tcW w:w="872" w:type="dxa"/>
            <w:gridSpan w:val="2"/>
            <w:noWrap/>
            <w:hideMark/>
          </w:tcPr>
          <w:p w14:paraId="63ECAFEC"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946" w:type="dxa"/>
            <w:gridSpan w:val="2"/>
            <w:noWrap/>
            <w:hideMark/>
          </w:tcPr>
          <w:p w14:paraId="0A25DD75"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56</w:t>
            </w:r>
          </w:p>
        </w:tc>
        <w:tc>
          <w:tcPr>
            <w:tcW w:w="1080" w:type="dxa"/>
            <w:gridSpan w:val="2"/>
            <w:noWrap/>
            <w:hideMark/>
          </w:tcPr>
          <w:p w14:paraId="69AD9A7B"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60</w:t>
            </w:r>
          </w:p>
        </w:tc>
        <w:tc>
          <w:tcPr>
            <w:tcW w:w="946" w:type="dxa"/>
            <w:gridSpan w:val="2"/>
            <w:noWrap/>
            <w:hideMark/>
          </w:tcPr>
          <w:p w14:paraId="440C5DB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31</w:t>
            </w:r>
          </w:p>
        </w:tc>
        <w:tc>
          <w:tcPr>
            <w:tcW w:w="1204" w:type="dxa"/>
            <w:noWrap/>
            <w:hideMark/>
          </w:tcPr>
          <w:p w14:paraId="2974FB92"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8</w:t>
            </w:r>
          </w:p>
        </w:tc>
      </w:tr>
      <w:tr w:rsidR="00D20476" w:rsidRPr="000B4629" w14:paraId="666E5F01"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4AB04F84"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PI89772 </w:t>
            </w:r>
          </w:p>
        </w:tc>
        <w:tc>
          <w:tcPr>
            <w:tcW w:w="543" w:type="dxa"/>
            <w:noWrap/>
            <w:hideMark/>
          </w:tcPr>
          <w:p w14:paraId="68E76786" w14:textId="77777777" w:rsidR="00D20476" w:rsidRPr="000B4629" w:rsidRDefault="00D20476" w:rsidP="006F5F3C">
            <w:pP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[6]</w:t>
            </w:r>
          </w:p>
        </w:tc>
        <w:tc>
          <w:tcPr>
            <w:tcW w:w="970" w:type="dxa"/>
            <w:gridSpan w:val="2"/>
            <w:noWrap/>
            <w:hideMark/>
          </w:tcPr>
          <w:p w14:paraId="107B6117"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70" w:type="dxa"/>
            <w:gridSpan w:val="2"/>
            <w:noWrap/>
            <w:hideMark/>
          </w:tcPr>
          <w:p w14:paraId="684867ED"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46" w:type="dxa"/>
            <w:gridSpan w:val="2"/>
            <w:noWrap/>
            <w:hideMark/>
          </w:tcPr>
          <w:p w14:paraId="3CC7CE42"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70" w:type="dxa"/>
            <w:gridSpan w:val="2"/>
            <w:noWrap/>
            <w:hideMark/>
          </w:tcPr>
          <w:p w14:paraId="584087AD"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w:t>
            </w:r>
          </w:p>
        </w:tc>
        <w:tc>
          <w:tcPr>
            <w:tcW w:w="946" w:type="dxa"/>
            <w:gridSpan w:val="2"/>
            <w:noWrap/>
            <w:hideMark/>
          </w:tcPr>
          <w:p w14:paraId="3EA1DF8C"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w:t>
            </w:r>
          </w:p>
        </w:tc>
        <w:tc>
          <w:tcPr>
            <w:tcW w:w="872" w:type="dxa"/>
            <w:gridSpan w:val="2"/>
            <w:noWrap/>
            <w:hideMark/>
          </w:tcPr>
          <w:p w14:paraId="6309E6AF"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946" w:type="dxa"/>
            <w:gridSpan w:val="2"/>
            <w:noWrap/>
            <w:hideMark/>
          </w:tcPr>
          <w:p w14:paraId="0DE3A5D6"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c>
          <w:tcPr>
            <w:tcW w:w="1080" w:type="dxa"/>
            <w:gridSpan w:val="2"/>
            <w:noWrap/>
            <w:hideMark/>
          </w:tcPr>
          <w:p w14:paraId="715DC98C"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w:t>
            </w:r>
          </w:p>
        </w:tc>
        <w:tc>
          <w:tcPr>
            <w:tcW w:w="946" w:type="dxa"/>
            <w:gridSpan w:val="2"/>
            <w:noWrap/>
            <w:hideMark/>
          </w:tcPr>
          <w:p w14:paraId="3609F2A7"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w:t>
            </w:r>
          </w:p>
        </w:tc>
        <w:tc>
          <w:tcPr>
            <w:tcW w:w="1204" w:type="dxa"/>
            <w:noWrap/>
            <w:hideMark/>
          </w:tcPr>
          <w:p w14:paraId="36AEAEA2"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0</w:t>
            </w:r>
          </w:p>
        </w:tc>
      </w:tr>
      <w:tr w:rsidR="00D20476" w:rsidRPr="000B4629" w14:paraId="3D1888A3" w14:textId="77777777" w:rsidTr="006F5F3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81" w:type="dxa"/>
            <w:noWrap/>
            <w:hideMark/>
          </w:tcPr>
          <w:p w14:paraId="333FA79E"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rPr>
              <w:t xml:space="preserve">PI548316 </w:t>
            </w:r>
          </w:p>
        </w:tc>
        <w:tc>
          <w:tcPr>
            <w:tcW w:w="543" w:type="dxa"/>
            <w:noWrap/>
            <w:hideMark/>
          </w:tcPr>
          <w:p w14:paraId="2C0E34B6" w14:textId="77777777" w:rsidR="00D20476" w:rsidRPr="000B4629" w:rsidRDefault="00D20476" w:rsidP="006F5F3C">
            <w:pP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w:t>
            </w:r>
          </w:p>
        </w:tc>
        <w:tc>
          <w:tcPr>
            <w:tcW w:w="970" w:type="dxa"/>
            <w:gridSpan w:val="2"/>
            <w:noWrap/>
            <w:hideMark/>
          </w:tcPr>
          <w:p w14:paraId="3808FB91"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191</w:t>
            </w:r>
          </w:p>
        </w:tc>
        <w:tc>
          <w:tcPr>
            <w:tcW w:w="970" w:type="dxa"/>
            <w:gridSpan w:val="2"/>
            <w:noWrap/>
            <w:hideMark/>
          </w:tcPr>
          <w:p w14:paraId="4BA7AE29"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54</w:t>
            </w:r>
          </w:p>
        </w:tc>
        <w:tc>
          <w:tcPr>
            <w:tcW w:w="946" w:type="dxa"/>
            <w:gridSpan w:val="2"/>
            <w:noWrap/>
            <w:hideMark/>
          </w:tcPr>
          <w:p w14:paraId="7AD1357B"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29</w:t>
            </w:r>
          </w:p>
        </w:tc>
        <w:tc>
          <w:tcPr>
            <w:tcW w:w="970" w:type="dxa"/>
            <w:gridSpan w:val="2"/>
            <w:noWrap/>
            <w:hideMark/>
          </w:tcPr>
          <w:p w14:paraId="46FDA0A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37</w:t>
            </w:r>
          </w:p>
        </w:tc>
        <w:tc>
          <w:tcPr>
            <w:tcW w:w="946" w:type="dxa"/>
            <w:gridSpan w:val="2"/>
            <w:noWrap/>
            <w:hideMark/>
          </w:tcPr>
          <w:p w14:paraId="0B09E365"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58</w:t>
            </w:r>
          </w:p>
        </w:tc>
        <w:tc>
          <w:tcPr>
            <w:tcW w:w="872" w:type="dxa"/>
            <w:gridSpan w:val="2"/>
            <w:noWrap/>
            <w:hideMark/>
          </w:tcPr>
          <w:p w14:paraId="1565454D"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13</w:t>
            </w:r>
          </w:p>
        </w:tc>
        <w:tc>
          <w:tcPr>
            <w:tcW w:w="946" w:type="dxa"/>
            <w:gridSpan w:val="2"/>
            <w:noWrap/>
            <w:hideMark/>
          </w:tcPr>
          <w:p w14:paraId="692069DF"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52</w:t>
            </w:r>
          </w:p>
        </w:tc>
        <w:tc>
          <w:tcPr>
            <w:tcW w:w="1080" w:type="dxa"/>
            <w:gridSpan w:val="2"/>
            <w:noWrap/>
            <w:hideMark/>
          </w:tcPr>
          <w:p w14:paraId="1B8A741E"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80</w:t>
            </w:r>
          </w:p>
        </w:tc>
        <w:tc>
          <w:tcPr>
            <w:tcW w:w="946" w:type="dxa"/>
            <w:gridSpan w:val="2"/>
            <w:noWrap/>
            <w:hideMark/>
          </w:tcPr>
          <w:p w14:paraId="29957027"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40</w:t>
            </w:r>
          </w:p>
        </w:tc>
        <w:tc>
          <w:tcPr>
            <w:tcW w:w="1204" w:type="dxa"/>
            <w:noWrap/>
            <w:hideMark/>
          </w:tcPr>
          <w:p w14:paraId="64FC460F" w14:textId="77777777" w:rsidR="00D20476" w:rsidRPr="000B4629" w:rsidRDefault="00D20476" w:rsidP="006F5F3C">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9</w:t>
            </w:r>
          </w:p>
        </w:tc>
      </w:tr>
      <w:tr w:rsidR="00D20476" w:rsidRPr="000B4629" w14:paraId="14E9646C" w14:textId="77777777" w:rsidTr="006F5F3C">
        <w:trPr>
          <w:trHeight w:val="300"/>
        </w:trPr>
        <w:tc>
          <w:tcPr>
            <w:cnfStyle w:val="001000000000" w:firstRow="0" w:lastRow="0" w:firstColumn="1" w:lastColumn="0" w:oddVBand="0" w:evenVBand="0" w:oddHBand="0" w:evenHBand="0" w:firstRowFirstColumn="0" w:firstRowLastColumn="0" w:lastRowFirstColumn="0" w:lastRowLastColumn="0"/>
            <w:tcW w:w="1824" w:type="dxa"/>
            <w:gridSpan w:val="2"/>
            <w:tcBorders>
              <w:bottom w:val="single" w:sz="4" w:space="0" w:color="auto"/>
            </w:tcBorders>
            <w:noWrap/>
            <w:hideMark/>
          </w:tcPr>
          <w:p w14:paraId="713EB139" w14:textId="77777777" w:rsidR="00D20476" w:rsidRPr="000B4629" w:rsidRDefault="00D20476" w:rsidP="006F5F3C">
            <w:pPr>
              <w:jc w:val="center"/>
              <w:rPr>
                <w:rFonts w:eastAsia="Times New Roman" w:cs="Times New Roman"/>
                <w:b w:val="0"/>
                <w:color w:val="000000"/>
                <w:sz w:val="20"/>
                <w:szCs w:val="20"/>
              </w:rPr>
            </w:pPr>
            <w:r w:rsidRPr="000B4629">
              <w:rPr>
                <w:rFonts w:eastAsia="Times New Roman" w:cs="Times New Roman"/>
                <w:b w:val="0"/>
                <w:color w:val="000000"/>
                <w:sz w:val="20"/>
                <w:szCs w:val="20"/>
              </w:rPr>
              <w:t>HG Type</w:t>
            </w:r>
          </w:p>
        </w:tc>
        <w:tc>
          <w:tcPr>
            <w:tcW w:w="970" w:type="dxa"/>
            <w:gridSpan w:val="2"/>
            <w:tcBorders>
              <w:bottom w:val="single" w:sz="4" w:space="0" w:color="auto"/>
            </w:tcBorders>
            <w:noWrap/>
            <w:hideMark/>
          </w:tcPr>
          <w:p w14:paraId="0D21DA03"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2.5.7</w:t>
            </w:r>
          </w:p>
        </w:tc>
        <w:tc>
          <w:tcPr>
            <w:tcW w:w="970" w:type="dxa"/>
            <w:gridSpan w:val="2"/>
            <w:tcBorders>
              <w:bottom w:val="single" w:sz="4" w:space="0" w:color="auto"/>
            </w:tcBorders>
            <w:noWrap/>
            <w:hideMark/>
          </w:tcPr>
          <w:p w14:paraId="66B553C5"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1.2.5.7</w:t>
            </w:r>
          </w:p>
        </w:tc>
        <w:tc>
          <w:tcPr>
            <w:tcW w:w="946" w:type="dxa"/>
            <w:gridSpan w:val="2"/>
            <w:tcBorders>
              <w:bottom w:val="single" w:sz="4" w:space="0" w:color="auto"/>
            </w:tcBorders>
            <w:noWrap/>
            <w:hideMark/>
          </w:tcPr>
          <w:p w14:paraId="555B8CA0"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1.2.5.7</w:t>
            </w:r>
          </w:p>
        </w:tc>
        <w:tc>
          <w:tcPr>
            <w:tcW w:w="970" w:type="dxa"/>
            <w:gridSpan w:val="2"/>
            <w:tcBorders>
              <w:bottom w:val="single" w:sz="4" w:space="0" w:color="auto"/>
            </w:tcBorders>
            <w:noWrap/>
            <w:hideMark/>
          </w:tcPr>
          <w:p w14:paraId="342EAAB8"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1.2.5.7</w:t>
            </w:r>
          </w:p>
        </w:tc>
        <w:tc>
          <w:tcPr>
            <w:tcW w:w="946" w:type="dxa"/>
            <w:gridSpan w:val="2"/>
            <w:tcBorders>
              <w:bottom w:val="single" w:sz="4" w:space="0" w:color="auto"/>
            </w:tcBorders>
            <w:noWrap/>
            <w:hideMark/>
          </w:tcPr>
          <w:p w14:paraId="7D583174"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1.2.5.7</w:t>
            </w:r>
          </w:p>
        </w:tc>
        <w:tc>
          <w:tcPr>
            <w:tcW w:w="872" w:type="dxa"/>
            <w:gridSpan w:val="2"/>
            <w:tcBorders>
              <w:bottom w:val="single" w:sz="4" w:space="0" w:color="auto"/>
            </w:tcBorders>
            <w:noWrap/>
            <w:hideMark/>
          </w:tcPr>
          <w:p w14:paraId="3B6E1C76"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7</w:t>
            </w:r>
          </w:p>
        </w:tc>
        <w:tc>
          <w:tcPr>
            <w:tcW w:w="946" w:type="dxa"/>
            <w:gridSpan w:val="2"/>
            <w:tcBorders>
              <w:bottom w:val="single" w:sz="4" w:space="0" w:color="auto"/>
            </w:tcBorders>
            <w:noWrap/>
            <w:hideMark/>
          </w:tcPr>
          <w:p w14:paraId="0A46B54F"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2.5.7</w:t>
            </w:r>
          </w:p>
        </w:tc>
        <w:tc>
          <w:tcPr>
            <w:tcW w:w="1080" w:type="dxa"/>
            <w:gridSpan w:val="2"/>
            <w:tcBorders>
              <w:bottom w:val="single" w:sz="4" w:space="0" w:color="auto"/>
            </w:tcBorders>
            <w:noWrap/>
            <w:hideMark/>
          </w:tcPr>
          <w:p w14:paraId="55A65464"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1.2.5.7</w:t>
            </w:r>
          </w:p>
        </w:tc>
        <w:tc>
          <w:tcPr>
            <w:tcW w:w="946" w:type="dxa"/>
            <w:gridSpan w:val="2"/>
            <w:tcBorders>
              <w:bottom w:val="single" w:sz="4" w:space="0" w:color="auto"/>
            </w:tcBorders>
            <w:noWrap/>
            <w:hideMark/>
          </w:tcPr>
          <w:p w14:paraId="69005F1C"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r w:rsidRPr="000B4629">
              <w:rPr>
                <w:rFonts w:eastAsia="Times New Roman" w:cs="Times New Roman"/>
                <w:color w:val="000000"/>
                <w:sz w:val="20"/>
                <w:szCs w:val="20"/>
              </w:rPr>
              <w:t>1.2.5.7</w:t>
            </w:r>
          </w:p>
        </w:tc>
        <w:tc>
          <w:tcPr>
            <w:tcW w:w="1204" w:type="dxa"/>
            <w:tcBorders>
              <w:bottom w:val="single" w:sz="4" w:space="0" w:color="auto"/>
            </w:tcBorders>
            <w:noWrap/>
            <w:hideMark/>
          </w:tcPr>
          <w:p w14:paraId="4E4DACC2" w14:textId="77777777" w:rsidR="00D20476" w:rsidRPr="000B4629" w:rsidRDefault="00D20476" w:rsidP="006F5F3C">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rPr>
            </w:pPr>
          </w:p>
        </w:tc>
      </w:tr>
      <w:tr w:rsidR="00D20476" w:rsidRPr="000B4629" w14:paraId="193E0020" w14:textId="77777777" w:rsidTr="006F5F3C">
        <w:trPr>
          <w:cnfStyle w:val="000000100000" w:firstRow="0" w:lastRow="0" w:firstColumn="0" w:lastColumn="0" w:oddVBand="0" w:evenVBand="0" w:oddHBand="1" w:evenHBand="0" w:firstRowFirstColumn="0" w:firstRowLastColumn="0" w:lastRowFirstColumn="0" w:lastRowLastColumn="0"/>
          <w:trHeight w:val="1510"/>
        </w:trPr>
        <w:tc>
          <w:tcPr>
            <w:cnfStyle w:val="001000000000" w:firstRow="0" w:lastRow="0" w:firstColumn="1" w:lastColumn="0" w:oddVBand="0" w:evenVBand="0" w:oddHBand="0" w:evenHBand="0" w:firstRowFirstColumn="0" w:firstRowLastColumn="0" w:lastRowFirstColumn="0" w:lastRowLastColumn="0"/>
            <w:tcW w:w="11674" w:type="dxa"/>
            <w:gridSpan w:val="21"/>
            <w:tcBorders>
              <w:top w:val="single" w:sz="4" w:space="0" w:color="auto"/>
            </w:tcBorders>
            <w:shd w:val="clear" w:color="auto" w:fill="auto"/>
            <w:hideMark/>
          </w:tcPr>
          <w:p w14:paraId="58BE43D2" w14:textId="615AF6F0" w:rsidR="00D20476" w:rsidRPr="000B4629" w:rsidRDefault="00D20476" w:rsidP="006F5F3C">
            <w:pPr>
              <w:rPr>
                <w:rFonts w:eastAsia="Times New Roman" w:cs="Times New Roman"/>
                <w:bCs w:val="0"/>
                <w:color w:val="000000"/>
                <w:sz w:val="20"/>
                <w:szCs w:val="20"/>
              </w:rPr>
            </w:pPr>
            <w:r w:rsidRPr="000B4629">
              <w:rPr>
                <w:rFonts w:eastAsia="Times New Roman" w:cs="Times New Roman"/>
                <w:b w:val="0"/>
                <w:color w:val="000000"/>
                <w:sz w:val="20"/>
                <w:szCs w:val="20"/>
                <w:vertAlign w:val="superscript"/>
              </w:rPr>
              <w:t>a</w:t>
            </w:r>
            <w:r w:rsidRPr="000B4629">
              <w:rPr>
                <w:rFonts w:eastAsia="Times New Roman" w:cs="Times New Roman"/>
                <w:b w:val="0"/>
                <w:color w:val="000000"/>
                <w:sz w:val="20"/>
                <w:szCs w:val="20"/>
              </w:rPr>
              <w:t xml:space="preserve"> Average number of females from five replications conducted twice except for P26 and P28 which were only evaluated once</w:t>
            </w:r>
          </w:p>
          <w:p w14:paraId="163CBF29" w14:textId="77777777" w:rsidR="00D20476" w:rsidRPr="000B4629" w:rsidRDefault="00D20476" w:rsidP="006F5F3C">
            <w:pPr>
              <w:rPr>
                <w:rFonts w:eastAsia="Times New Roman" w:cs="Times New Roman"/>
                <w:bCs w:val="0"/>
                <w:color w:val="000000"/>
                <w:sz w:val="20"/>
                <w:szCs w:val="20"/>
              </w:rPr>
            </w:pPr>
            <w:r w:rsidRPr="000B4629">
              <w:rPr>
                <w:rFonts w:eastAsia="Times New Roman" w:cs="Times New Roman"/>
                <w:b w:val="0"/>
                <w:color w:val="000000"/>
                <w:sz w:val="20"/>
                <w:szCs w:val="20"/>
                <w:vertAlign w:val="superscript"/>
              </w:rPr>
              <w:t>b</w:t>
            </w:r>
            <w:r w:rsidRPr="000B4629">
              <w:rPr>
                <w:rFonts w:eastAsia="Times New Roman" w:cs="Times New Roman"/>
                <w:b w:val="0"/>
                <w:color w:val="000000"/>
                <w:sz w:val="20"/>
                <w:szCs w:val="20"/>
              </w:rPr>
              <w:t xml:space="preserve"> Number 1 to 7 in [ ] represents the HG type indicator number of each indicator line used in SCN HG type testing </w:t>
            </w:r>
          </w:p>
          <w:p w14:paraId="337E42A4" w14:textId="5D72AA64" w:rsidR="00D20476" w:rsidRPr="000B4629" w:rsidRDefault="00D20476" w:rsidP="006F5F3C">
            <w:pPr>
              <w:rPr>
                <w:rFonts w:eastAsia="Times New Roman" w:cs="Times New Roman"/>
                <w:bCs w:val="0"/>
                <w:color w:val="000000"/>
                <w:sz w:val="20"/>
                <w:szCs w:val="20"/>
              </w:rPr>
            </w:pPr>
            <w:r w:rsidRPr="000B4629">
              <w:rPr>
                <w:rFonts w:eastAsia="Times New Roman" w:cs="Times New Roman"/>
                <w:b w:val="0"/>
                <w:color w:val="000000"/>
                <w:sz w:val="20"/>
                <w:szCs w:val="20"/>
                <w:vertAlign w:val="superscript"/>
              </w:rPr>
              <w:t>c</w:t>
            </w:r>
            <w:r w:rsidRPr="000B4629">
              <w:rPr>
                <w:rFonts w:eastAsia="Times New Roman" w:cs="Times New Roman"/>
                <w:b w:val="0"/>
                <w:color w:val="000000"/>
                <w:sz w:val="20"/>
                <w:szCs w:val="20"/>
              </w:rPr>
              <w:t xml:space="preserve"> Values with </w:t>
            </w:r>
            <w:r w:rsidR="000E146A">
              <w:rPr>
                <w:rFonts w:eastAsia="Times New Roman" w:cs="Times New Roman"/>
                <w:b w:val="0"/>
                <w:color w:val="000000"/>
                <w:sz w:val="20"/>
                <w:szCs w:val="20"/>
              </w:rPr>
              <w:t xml:space="preserve">the </w:t>
            </w:r>
            <w:r w:rsidRPr="000B4629">
              <w:rPr>
                <w:rFonts w:eastAsia="Times New Roman" w:cs="Times New Roman"/>
                <w:b w:val="0"/>
                <w:color w:val="000000"/>
                <w:sz w:val="20"/>
                <w:szCs w:val="20"/>
              </w:rPr>
              <w:t>same letter within a column are not significantly different (Tukey</w:t>
            </w:r>
            <w:r w:rsidR="000E146A">
              <w:rPr>
                <w:rFonts w:eastAsia="Times New Roman" w:cs="Times New Roman"/>
                <w:b w:val="0"/>
                <w:color w:val="000000"/>
                <w:sz w:val="20"/>
                <w:szCs w:val="20"/>
              </w:rPr>
              <w:t>'</w:t>
            </w:r>
            <w:r w:rsidRPr="000B4629">
              <w:rPr>
                <w:rFonts w:eastAsia="Times New Roman" w:cs="Times New Roman"/>
                <w:b w:val="0"/>
                <w:color w:val="000000"/>
                <w:sz w:val="20"/>
                <w:szCs w:val="20"/>
              </w:rPr>
              <w:t>s HSD, α=0.05)</w:t>
            </w:r>
          </w:p>
          <w:p w14:paraId="0DCF50A4" w14:textId="77777777" w:rsidR="00D20476" w:rsidRPr="000B4629" w:rsidRDefault="00D20476" w:rsidP="006F5F3C">
            <w:pPr>
              <w:rPr>
                <w:rFonts w:eastAsia="Times New Roman" w:cs="Times New Roman"/>
                <w:bCs w:val="0"/>
                <w:color w:val="000000"/>
                <w:sz w:val="20"/>
                <w:szCs w:val="20"/>
              </w:rPr>
            </w:pPr>
            <w:r w:rsidRPr="000B4629">
              <w:rPr>
                <w:rFonts w:eastAsia="Times New Roman" w:cs="Times New Roman"/>
                <w:b w:val="0"/>
                <w:color w:val="000000"/>
                <w:sz w:val="20"/>
                <w:szCs w:val="20"/>
                <w:vertAlign w:val="superscript"/>
              </w:rPr>
              <w:t>d</w:t>
            </w:r>
            <w:r w:rsidRPr="000B4629">
              <w:rPr>
                <w:rFonts w:eastAsia="Times New Roman" w:cs="Times New Roman"/>
                <w:b w:val="0"/>
                <w:color w:val="000000"/>
                <w:sz w:val="20"/>
                <w:szCs w:val="20"/>
              </w:rPr>
              <w:t xml:space="preserve"> Female Index = (number of females on resistant PI / nu</w:t>
            </w:r>
            <w:r>
              <w:rPr>
                <w:rFonts w:eastAsia="Times New Roman" w:cs="Times New Roman"/>
                <w:b w:val="0"/>
                <w:color w:val="000000"/>
                <w:sz w:val="20"/>
                <w:szCs w:val="20"/>
              </w:rPr>
              <w:t>mber of females on Williams 82) ×</w:t>
            </w:r>
            <w:r w:rsidRPr="000B4629">
              <w:rPr>
                <w:rFonts w:eastAsia="Times New Roman" w:cs="Times New Roman"/>
                <w:b w:val="0"/>
                <w:color w:val="000000"/>
                <w:sz w:val="20"/>
                <w:szCs w:val="20"/>
              </w:rPr>
              <w:t>100</w:t>
            </w:r>
          </w:p>
          <w:p w14:paraId="65556CDB" w14:textId="77777777" w:rsidR="00D20476" w:rsidRPr="000B4629" w:rsidRDefault="00D20476" w:rsidP="006F5F3C">
            <w:pPr>
              <w:rPr>
                <w:rFonts w:eastAsia="Times New Roman" w:cs="Times New Roman"/>
                <w:b w:val="0"/>
                <w:color w:val="000000"/>
                <w:sz w:val="20"/>
                <w:szCs w:val="20"/>
              </w:rPr>
            </w:pPr>
            <w:r w:rsidRPr="000B4629">
              <w:rPr>
                <w:rFonts w:eastAsia="Times New Roman" w:cs="Times New Roman"/>
                <w:b w:val="0"/>
                <w:color w:val="000000"/>
                <w:sz w:val="20"/>
                <w:szCs w:val="20"/>
                <w:vertAlign w:val="superscript"/>
              </w:rPr>
              <w:t>e</w:t>
            </w:r>
            <w:r w:rsidRPr="000B4629">
              <w:rPr>
                <w:rFonts w:eastAsia="Times New Roman" w:cs="Times New Roman"/>
                <w:b w:val="0"/>
                <w:color w:val="000000"/>
                <w:sz w:val="20"/>
                <w:szCs w:val="20"/>
              </w:rPr>
              <w:t xml:space="preserve"> Number of SCN populations that had a Female Index (FI) ≥ 10% on each indicator line</w:t>
            </w:r>
          </w:p>
        </w:tc>
      </w:tr>
      <w:bookmarkEnd w:id="255"/>
    </w:tbl>
    <w:p w14:paraId="7A979B0C" w14:textId="77777777" w:rsidR="00D20476" w:rsidRDefault="00D20476" w:rsidP="00D20476">
      <w:pPr>
        <w:rPr>
          <w:rFonts w:cs="Times New Roman"/>
        </w:rPr>
        <w:sectPr w:rsidR="00D20476" w:rsidSect="001C5F7A">
          <w:footerReference w:type="default" r:id="rId86"/>
          <w:pgSz w:w="15840" w:h="12240" w:orient="landscape" w:code="1"/>
          <w:pgMar w:top="1440" w:right="1440" w:bottom="1440" w:left="1440" w:header="720" w:footer="1440" w:gutter="0"/>
          <w:cols w:space="720"/>
          <w:docGrid w:linePitch="360"/>
        </w:sectPr>
      </w:pPr>
      <w:r>
        <w:rPr>
          <w:rFonts w:cs="Times New Roman"/>
        </w:rPr>
        <w:br w:type="page"/>
      </w:r>
    </w:p>
    <w:p w14:paraId="502D4B73" w14:textId="5085BCAA" w:rsidR="00D20476" w:rsidRPr="00AB65D6" w:rsidRDefault="00D20476" w:rsidP="006F5F3C">
      <w:pPr>
        <w:pStyle w:val="Caption"/>
        <w:framePr w:w="8256" w:wrap="around" w:hAnchor="page" w:x="1661" w:y="361"/>
      </w:pPr>
      <w:bookmarkStart w:id="256" w:name="_Toc101345073"/>
      <w:r w:rsidRPr="00AB65D6">
        <w:t>Table 2.</w:t>
      </w:r>
      <w:r w:rsidR="00035AE8">
        <w:fldChar w:fldCharType="begin"/>
      </w:r>
      <w:r w:rsidR="00035AE8">
        <w:instrText xml:space="preserve"> SEQ Table_2. \* ARABIC </w:instrText>
      </w:r>
      <w:r w:rsidR="00035AE8">
        <w:fldChar w:fldCharType="separate"/>
      </w:r>
      <w:r w:rsidR="009C2EDC">
        <w:rPr>
          <w:noProof/>
        </w:rPr>
        <w:t>3</w:t>
      </w:r>
      <w:r w:rsidR="00035AE8">
        <w:rPr>
          <w:noProof/>
        </w:rPr>
        <w:fldChar w:fldCharType="end"/>
      </w:r>
      <w:r w:rsidRPr="00AB65D6">
        <w:t>. Comparing SCN population reproduction on indicator lines in other states and Tennessee</w:t>
      </w:r>
      <w:bookmarkEnd w:id="256"/>
    </w:p>
    <w:tbl>
      <w:tblPr>
        <w:tblStyle w:val="ListTable1Light-Accent5"/>
        <w:tblpPr w:leftFromText="180" w:rightFromText="180" w:vertAnchor="text" w:horzAnchor="margin" w:tblpX="440" w:tblpY="1253"/>
        <w:tblW w:w="8158" w:type="dxa"/>
        <w:tblLook w:val="04A0" w:firstRow="1" w:lastRow="0" w:firstColumn="1" w:lastColumn="0" w:noHBand="0" w:noVBand="1"/>
      </w:tblPr>
      <w:tblGrid>
        <w:gridCol w:w="1320"/>
        <w:gridCol w:w="2640"/>
        <w:gridCol w:w="1895"/>
        <w:gridCol w:w="2303"/>
      </w:tblGrid>
      <w:tr w:rsidR="00AB65D6" w:rsidRPr="009706F9" w14:paraId="5E19327D" w14:textId="77777777" w:rsidTr="006F5F3C">
        <w:trPr>
          <w:cnfStyle w:val="100000000000" w:firstRow="1" w:lastRow="0" w:firstColumn="0" w:lastColumn="0" w:oddVBand="0" w:evenVBand="0" w:oddHBand="0" w:evenHBand="0" w:firstRowFirstColumn="0" w:firstRowLastColumn="0" w:lastRowFirstColumn="0" w:lastRowLastColumn="0"/>
          <w:trHeight w:val="194"/>
        </w:trPr>
        <w:tc>
          <w:tcPr>
            <w:cnfStyle w:val="001000000000" w:firstRow="0" w:lastRow="0" w:firstColumn="1" w:lastColumn="0" w:oddVBand="0" w:evenVBand="0" w:oddHBand="0" w:evenHBand="0" w:firstRowFirstColumn="0" w:firstRowLastColumn="0" w:lastRowFirstColumn="0" w:lastRowLastColumn="0"/>
            <w:tcW w:w="1320" w:type="dxa"/>
            <w:tcBorders>
              <w:top w:val="single" w:sz="4" w:space="0" w:color="auto"/>
              <w:bottom w:val="single" w:sz="4" w:space="0" w:color="auto"/>
            </w:tcBorders>
          </w:tcPr>
          <w:p w14:paraId="3A84EFAF" w14:textId="77777777" w:rsidR="00AB65D6" w:rsidRPr="009706F9" w:rsidRDefault="00AB65D6" w:rsidP="006F5F3C">
            <w:pPr>
              <w:rPr>
                <w:rFonts w:cs="Times New Roman"/>
                <w:b w:val="0"/>
                <w:sz w:val="20"/>
                <w:szCs w:val="20"/>
              </w:rPr>
            </w:pPr>
            <w:r w:rsidRPr="009706F9">
              <w:rPr>
                <w:rFonts w:cs="Times New Roman"/>
                <w:b w:val="0"/>
                <w:sz w:val="20"/>
                <w:szCs w:val="20"/>
              </w:rPr>
              <w:t>State</w:t>
            </w:r>
          </w:p>
        </w:tc>
        <w:tc>
          <w:tcPr>
            <w:tcW w:w="2640" w:type="dxa"/>
            <w:tcBorders>
              <w:top w:val="single" w:sz="4" w:space="0" w:color="auto"/>
              <w:bottom w:val="single" w:sz="4" w:space="0" w:color="auto"/>
            </w:tcBorders>
          </w:tcPr>
          <w:p w14:paraId="18EBD149" w14:textId="77777777" w:rsidR="00AB65D6" w:rsidRPr="009706F9" w:rsidRDefault="00AB65D6" w:rsidP="006F5F3C">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9706F9">
              <w:rPr>
                <w:rFonts w:cs="Times New Roman"/>
                <w:b w:val="0"/>
                <w:sz w:val="20"/>
                <w:szCs w:val="20"/>
              </w:rPr>
              <w:t>Soybean line</w:t>
            </w:r>
          </w:p>
        </w:tc>
        <w:tc>
          <w:tcPr>
            <w:tcW w:w="1895" w:type="dxa"/>
            <w:tcBorders>
              <w:top w:val="single" w:sz="4" w:space="0" w:color="auto"/>
              <w:bottom w:val="single" w:sz="4" w:space="0" w:color="auto"/>
            </w:tcBorders>
          </w:tcPr>
          <w:p w14:paraId="29C8A6A7" w14:textId="77777777" w:rsidR="00AB65D6" w:rsidRPr="009706F9" w:rsidRDefault="00AB65D6" w:rsidP="006F5F3C">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9706F9">
              <w:rPr>
                <w:rFonts w:cs="Times New Roman"/>
                <w:b w:val="0"/>
                <w:sz w:val="20"/>
                <w:szCs w:val="20"/>
              </w:rPr>
              <w:t xml:space="preserve">SCN population (%) </w:t>
            </w:r>
          </w:p>
        </w:tc>
        <w:tc>
          <w:tcPr>
            <w:tcW w:w="2303" w:type="dxa"/>
            <w:tcBorders>
              <w:top w:val="single" w:sz="4" w:space="0" w:color="auto"/>
              <w:bottom w:val="single" w:sz="4" w:space="0" w:color="auto"/>
            </w:tcBorders>
          </w:tcPr>
          <w:p w14:paraId="11AE12F0" w14:textId="77777777" w:rsidR="00AB65D6" w:rsidRPr="009706F9" w:rsidRDefault="00AB65D6" w:rsidP="006F5F3C">
            <w:pP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9706F9">
              <w:rPr>
                <w:rFonts w:cs="Times New Roman"/>
                <w:b w:val="0"/>
                <w:sz w:val="20"/>
                <w:szCs w:val="20"/>
              </w:rPr>
              <w:t xml:space="preserve">References </w:t>
            </w:r>
          </w:p>
        </w:tc>
      </w:tr>
      <w:tr w:rsidR="00AB65D6" w:rsidRPr="009706F9" w14:paraId="6AC7AEC8" w14:textId="77777777" w:rsidTr="006F5F3C">
        <w:trPr>
          <w:cnfStyle w:val="000000100000" w:firstRow="0" w:lastRow="0" w:firstColumn="0" w:lastColumn="0" w:oddVBand="0" w:evenVBand="0" w:oddHBand="1" w:evenHBand="0" w:firstRowFirstColumn="0" w:firstRowLastColumn="0" w:lastRowFirstColumn="0" w:lastRowLastColumn="0"/>
          <w:trHeight w:val="389"/>
        </w:trPr>
        <w:tc>
          <w:tcPr>
            <w:cnfStyle w:val="001000000000" w:firstRow="0" w:lastRow="0" w:firstColumn="1" w:lastColumn="0" w:oddVBand="0" w:evenVBand="0" w:oddHBand="0" w:evenHBand="0" w:firstRowFirstColumn="0" w:firstRowLastColumn="0" w:lastRowFirstColumn="0" w:lastRowLastColumn="0"/>
            <w:tcW w:w="1320" w:type="dxa"/>
            <w:tcBorders>
              <w:top w:val="single" w:sz="4" w:space="0" w:color="auto"/>
            </w:tcBorders>
          </w:tcPr>
          <w:p w14:paraId="07B2D32F" w14:textId="77777777" w:rsidR="00AB65D6" w:rsidRPr="009706F9" w:rsidRDefault="00AB65D6" w:rsidP="006F5F3C">
            <w:pPr>
              <w:rPr>
                <w:rFonts w:cs="Times New Roman"/>
                <w:b w:val="0"/>
                <w:sz w:val="20"/>
                <w:szCs w:val="20"/>
              </w:rPr>
            </w:pPr>
            <w:r w:rsidRPr="009706F9">
              <w:rPr>
                <w:rFonts w:cs="Times New Roman"/>
                <w:b w:val="0"/>
                <w:sz w:val="20"/>
                <w:szCs w:val="20"/>
              </w:rPr>
              <w:t xml:space="preserve">Missouri </w:t>
            </w:r>
          </w:p>
        </w:tc>
        <w:tc>
          <w:tcPr>
            <w:tcW w:w="2640" w:type="dxa"/>
            <w:tcBorders>
              <w:top w:val="single" w:sz="4" w:space="0" w:color="auto"/>
            </w:tcBorders>
          </w:tcPr>
          <w:p w14:paraId="725C6985"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PI 88788</w:t>
            </w:r>
          </w:p>
          <w:p w14:paraId="5E48FD0A"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PI 209332, PI 548316 (Cloud)</w:t>
            </w:r>
          </w:p>
        </w:tc>
        <w:tc>
          <w:tcPr>
            <w:tcW w:w="1895" w:type="dxa"/>
            <w:tcBorders>
              <w:top w:val="single" w:sz="4" w:space="0" w:color="auto"/>
            </w:tcBorders>
          </w:tcPr>
          <w:p w14:paraId="31204DDD"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80</w:t>
            </w:r>
          </w:p>
          <w:p w14:paraId="3F57D9F9"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70</w:t>
            </w:r>
          </w:p>
        </w:tc>
        <w:tc>
          <w:tcPr>
            <w:tcW w:w="2303" w:type="dxa"/>
            <w:tcBorders>
              <w:top w:val="single" w:sz="4" w:space="0" w:color="auto"/>
            </w:tcBorders>
          </w:tcPr>
          <w:p w14:paraId="2851F243"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noProof/>
                <w:sz w:val="20"/>
                <w:szCs w:val="20"/>
              </w:rPr>
              <w:t>Mitchum et al., 2007</w:t>
            </w:r>
          </w:p>
        </w:tc>
      </w:tr>
      <w:tr w:rsidR="00AB65D6" w:rsidRPr="009706F9" w14:paraId="1159ECFA" w14:textId="77777777" w:rsidTr="006F5F3C">
        <w:trPr>
          <w:trHeight w:val="596"/>
        </w:trPr>
        <w:tc>
          <w:tcPr>
            <w:cnfStyle w:val="001000000000" w:firstRow="0" w:lastRow="0" w:firstColumn="1" w:lastColumn="0" w:oddVBand="0" w:evenVBand="0" w:oddHBand="0" w:evenHBand="0" w:firstRowFirstColumn="0" w:firstRowLastColumn="0" w:lastRowFirstColumn="0" w:lastRowLastColumn="0"/>
            <w:tcW w:w="1320" w:type="dxa"/>
          </w:tcPr>
          <w:p w14:paraId="09892293" w14:textId="77777777" w:rsidR="00AB65D6" w:rsidRPr="009706F9" w:rsidRDefault="00AB65D6" w:rsidP="006F5F3C">
            <w:pPr>
              <w:rPr>
                <w:rFonts w:cs="Times New Roman"/>
                <w:b w:val="0"/>
                <w:sz w:val="20"/>
                <w:szCs w:val="20"/>
              </w:rPr>
            </w:pPr>
            <w:r w:rsidRPr="009706F9">
              <w:rPr>
                <w:rFonts w:cs="Times New Roman"/>
                <w:b w:val="0"/>
                <w:sz w:val="20"/>
                <w:szCs w:val="20"/>
              </w:rPr>
              <w:t xml:space="preserve">Nebraska </w:t>
            </w:r>
          </w:p>
        </w:tc>
        <w:tc>
          <w:tcPr>
            <w:tcW w:w="2640" w:type="dxa"/>
          </w:tcPr>
          <w:p w14:paraId="6D0014E0"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 xml:space="preserve">PI 548402 (Peking) </w:t>
            </w:r>
          </w:p>
          <w:p w14:paraId="372DCD69"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PI 88788</w:t>
            </w:r>
          </w:p>
          <w:p w14:paraId="732E0EAE"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PI 548316</w:t>
            </w:r>
          </w:p>
        </w:tc>
        <w:tc>
          <w:tcPr>
            <w:tcW w:w="1895" w:type="dxa"/>
          </w:tcPr>
          <w:p w14:paraId="48F62BBC"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30</w:t>
            </w:r>
          </w:p>
          <w:p w14:paraId="26F8B552"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47</w:t>
            </w:r>
          </w:p>
          <w:p w14:paraId="2E50E574"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88</w:t>
            </w:r>
          </w:p>
        </w:tc>
        <w:tc>
          <w:tcPr>
            <w:tcW w:w="2303" w:type="dxa"/>
          </w:tcPr>
          <w:p w14:paraId="707F64BC"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noProof/>
                <w:sz w:val="20"/>
                <w:szCs w:val="20"/>
              </w:rPr>
              <w:t>Broderick, 2016</w:t>
            </w:r>
          </w:p>
          <w:p w14:paraId="62487914"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AB65D6" w:rsidRPr="009706F9" w14:paraId="63794F36" w14:textId="77777777" w:rsidTr="006F5F3C">
        <w:trPr>
          <w:cnfStyle w:val="000000100000" w:firstRow="0" w:lastRow="0" w:firstColumn="0" w:lastColumn="0" w:oddVBand="0" w:evenVBand="0" w:oddHBand="1" w:evenHBand="0" w:firstRowFirstColumn="0" w:firstRowLastColumn="0" w:lastRowFirstColumn="0" w:lastRowLastColumn="0"/>
          <w:trHeight w:val="804"/>
        </w:trPr>
        <w:tc>
          <w:tcPr>
            <w:cnfStyle w:val="001000000000" w:firstRow="0" w:lastRow="0" w:firstColumn="1" w:lastColumn="0" w:oddVBand="0" w:evenVBand="0" w:oddHBand="0" w:evenHBand="0" w:firstRowFirstColumn="0" w:firstRowLastColumn="0" w:lastRowFirstColumn="0" w:lastRowLastColumn="0"/>
            <w:tcW w:w="1320" w:type="dxa"/>
          </w:tcPr>
          <w:p w14:paraId="41E4FE33" w14:textId="77777777" w:rsidR="00AB65D6" w:rsidRPr="009706F9" w:rsidRDefault="00AB65D6" w:rsidP="006F5F3C">
            <w:pPr>
              <w:rPr>
                <w:rFonts w:cs="Times New Roman"/>
                <w:b w:val="0"/>
                <w:sz w:val="20"/>
                <w:szCs w:val="20"/>
              </w:rPr>
            </w:pPr>
            <w:r w:rsidRPr="009706F9">
              <w:rPr>
                <w:rFonts w:cs="Times New Roman"/>
                <w:b w:val="0"/>
                <w:sz w:val="20"/>
                <w:szCs w:val="20"/>
              </w:rPr>
              <w:t>South Dakota</w:t>
            </w:r>
          </w:p>
        </w:tc>
        <w:tc>
          <w:tcPr>
            <w:tcW w:w="2640" w:type="dxa"/>
          </w:tcPr>
          <w:p w14:paraId="08F8BA08"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PI 548402 (Peking)</w:t>
            </w:r>
          </w:p>
          <w:p w14:paraId="49056DAB"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PI 88788</w:t>
            </w:r>
          </w:p>
          <w:p w14:paraId="704D0BC4"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PI 209332</w:t>
            </w:r>
          </w:p>
          <w:p w14:paraId="56C94574"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PI 548316 (Cloud)</w:t>
            </w:r>
          </w:p>
        </w:tc>
        <w:tc>
          <w:tcPr>
            <w:tcW w:w="1895" w:type="dxa"/>
          </w:tcPr>
          <w:p w14:paraId="027A58AC"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7</w:t>
            </w:r>
          </w:p>
          <w:p w14:paraId="2AA876AF"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25</w:t>
            </w:r>
          </w:p>
          <w:p w14:paraId="1BDDD3E5"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19</w:t>
            </w:r>
          </w:p>
          <w:p w14:paraId="2816CB24"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sz w:val="20"/>
                <w:szCs w:val="20"/>
              </w:rPr>
              <w:t>75</w:t>
            </w:r>
          </w:p>
        </w:tc>
        <w:tc>
          <w:tcPr>
            <w:tcW w:w="2303" w:type="dxa"/>
          </w:tcPr>
          <w:p w14:paraId="0D7BDA7B" w14:textId="77777777" w:rsidR="00AB65D6" w:rsidRPr="009706F9" w:rsidRDefault="00AB65D6" w:rsidP="006F5F3C">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706F9">
              <w:rPr>
                <w:rFonts w:cs="Times New Roman"/>
                <w:noProof/>
                <w:sz w:val="20"/>
                <w:szCs w:val="20"/>
              </w:rPr>
              <w:t>Acharya et al., 2016</w:t>
            </w:r>
          </w:p>
        </w:tc>
      </w:tr>
      <w:tr w:rsidR="00AB65D6" w:rsidRPr="009706F9" w14:paraId="63823873" w14:textId="77777777" w:rsidTr="006F5F3C">
        <w:trPr>
          <w:trHeight w:val="583"/>
        </w:trPr>
        <w:tc>
          <w:tcPr>
            <w:cnfStyle w:val="001000000000" w:firstRow="0" w:lastRow="0" w:firstColumn="1" w:lastColumn="0" w:oddVBand="0" w:evenVBand="0" w:oddHBand="0" w:evenHBand="0" w:firstRowFirstColumn="0" w:firstRowLastColumn="0" w:lastRowFirstColumn="0" w:lastRowLastColumn="0"/>
            <w:tcW w:w="1320" w:type="dxa"/>
            <w:tcBorders>
              <w:bottom w:val="single" w:sz="4" w:space="0" w:color="auto"/>
            </w:tcBorders>
          </w:tcPr>
          <w:p w14:paraId="3FE0C31A" w14:textId="77777777" w:rsidR="00AB65D6" w:rsidRPr="009706F9" w:rsidRDefault="00AB65D6" w:rsidP="006F5F3C">
            <w:pPr>
              <w:rPr>
                <w:rFonts w:cs="Times New Roman"/>
                <w:b w:val="0"/>
                <w:sz w:val="20"/>
                <w:szCs w:val="20"/>
              </w:rPr>
            </w:pPr>
            <w:r w:rsidRPr="009706F9">
              <w:rPr>
                <w:rFonts w:cs="Times New Roman"/>
                <w:b w:val="0"/>
                <w:sz w:val="20"/>
                <w:szCs w:val="20"/>
              </w:rPr>
              <w:t xml:space="preserve">Tennessee </w:t>
            </w:r>
          </w:p>
        </w:tc>
        <w:tc>
          <w:tcPr>
            <w:tcW w:w="2640" w:type="dxa"/>
            <w:tcBorders>
              <w:bottom w:val="single" w:sz="4" w:space="0" w:color="auto"/>
            </w:tcBorders>
          </w:tcPr>
          <w:p w14:paraId="2CA99948"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 xml:space="preserve">PI 548402 Peking </w:t>
            </w:r>
          </w:p>
          <w:p w14:paraId="016A3B06"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PI 88788, PI 209332</w:t>
            </w:r>
          </w:p>
          <w:p w14:paraId="6366FCD1"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PI 548316 (Cloud)</w:t>
            </w:r>
          </w:p>
        </w:tc>
        <w:tc>
          <w:tcPr>
            <w:tcW w:w="1895" w:type="dxa"/>
            <w:tcBorders>
              <w:bottom w:val="single" w:sz="4" w:space="0" w:color="auto"/>
            </w:tcBorders>
          </w:tcPr>
          <w:p w14:paraId="00FDBB24"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67</w:t>
            </w:r>
          </w:p>
          <w:p w14:paraId="21011186"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89</w:t>
            </w:r>
          </w:p>
          <w:p w14:paraId="4109F30F"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706F9">
              <w:rPr>
                <w:rFonts w:cs="Times New Roman"/>
                <w:sz w:val="20"/>
                <w:szCs w:val="20"/>
              </w:rPr>
              <w:t>100</w:t>
            </w:r>
          </w:p>
        </w:tc>
        <w:tc>
          <w:tcPr>
            <w:tcW w:w="2303" w:type="dxa"/>
            <w:tcBorders>
              <w:bottom w:val="single" w:sz="4" w:space="0" w:color="auto"/>
            </w:tcBorders>
          </w:tcPr>
          <w:p w14:paraId="35BE6054" w14:textId="77777777" w:rsidR="00AB65D6" w:rsidRPr="009706F9" w:rsidRDefault="00AB65D6" w:rsidP="006F5F3C">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Pr>
                <w:rFonts w:cs="Times New Roman"/>
                <w:sz w:val="20"/>
                <w:szCs w:val="20"/>
              </w:rPr>
              <w:t xml:space="preserve">The present </w:t>
            </w:r>
            <w:r w:rsidRPr="009706F9">
              <w:rPr>
                <w:rFonts w:cs="Times New Roman"/>
                <w:sz w:val="20"/>
                <w:szCs w:val="20"/>
              </w:rPr>
              <w:t xml:space="preserve">study </w:t>
            </w:r>
          </w:p>
        </w:tc>
      </w:tr>
    </w:tbl>
    <w:p w14:paraId="4840FEFD" w14:textId="77777777" w:rsidR="00D20476" w:rsidRPr="00F77A15" w:rsidRDefault="00D20476" w:rsidP="00D20476">
      <w:pPr>
        <w:rPr>
          <w:rFonts w:cs="Times New Roman"/>
        </w:rPr>
        <w:sectPr w:rsidR="00D20476" w:rsidRPr="00F77A15" w:rsidSect="001C5F7A">
          <w:pgSz w:w="12240" w:h="15840" w:code="1"/>
          <w:pgMar w:top="1440" w:right="1440" w:bottom="1440" w:left="1440" w:header="720" w:footer="1440" w:gutter="0"/>
          <w:cols w:space="720"/>
          <w:docGrid w:linePitch="360"/>
        </w:sectPr>
      </w:pPr>
      <w:r>
        <w:rPr>
          <w:rFonts w:cs="Times New Roman"/>
        </w:rPr>
        <w:t xml:space="preserve"> </w:t>
      </w:r>
      <w:r>
        <w:rPr>
          <w:rFonts w:cs="Times New Roman"/>
        </w:rPr>
        <w:br w:type="page"/>
      </w:r>
    </w:p>
    <w:p w14:paraId="00830A81" w14:textId="77777777" w:rsidR="00D20476" w:rsidRPr="00886B61" w:rsidRDefault="00D20476" w:rsidP="00D20476">
      <w:pPr>
        <w:rPr>
          <w:rFonts w:cs="Times New Roman"/>
          <w:b/>
          <w:szCs w:val="24"/>
        </w:rPr>
      </w:pPr>
    </w:p>
    <w:p w14:paraId="3E369B21" w14:textId="77777777" w:rsidR="00D20476" w:rsidRPr="00886B61" w:rsidRDefault="00D20476" w:rsidP="00D20476">
      <w:pPr>
        <w:rPr>
          <w:rFonts w:cs="Times New Roman"/>
          <w:b/>
          <w:szCs w:val="24"/>
        </w:rPr>
      </w:pPr>
      <w:r>
        <w:rPr>
          <w:rFonts w:cs="Times New Roman"/>
          <w:b/>
          <w:noProof/>
          <w:szCs w:val="24"/>
        </w:rPr>
        <mc:AlternateContent>
          <mc:Choice Requires="wpg">
            <w:drawing>
              <wp:anchor distT="0" distB="0" distL="114300" distR="114300" simplePos="0" relativeHeight="251730944" behindDoc="0" locked="0" layoutInCell="1" allowOverlap="1" wp14:anchorId="60F981AB" wp14:editId="0B0F99D0">
                <wp:simplePos x="0" y="0"/>
                <wp:positionH relativeFrom="column">
                  <wp:posOffset>307975</wp:posOffset>
                </wp:positionH>
                <wp:positionV relativeFrom="paragraph">
                  <wp:posOffset>158115</wp:posOffset>
                </wp:positionV>
                <wp:extent cx="5210175" cy="4458240"/>
                <wp:effectExtent l="0" t="19050" r="28575" b="0"/>
                <wp:wrapNone/>
                <wp:docPr id="17" name="Group 17"/>
                <wp:cNvGraphicFramePr/>
                <a:graphic xmlns:a="http://schemas.openxmlformats.org/drawingml/2006/main">
                  <a:graphicData uri="http://schemas.microsoft.com/office/word/2010/wordprocessingGroup">
                    <wpg:wgp>
                      <wpg:cNvGrpSpPr/>
                      <wpg:grpSpPr>
                        <a:xfrm>
                          <a:off x="0" y="0"/>
                          <a:ext cx="5210175" cy="4458240"/>
                          <a:chOff x="-15875" y="0"/>
                          <a:chExt cx="5210175" cy="4458240"/>
                        </a:xfrm>
                      </wpg:grpSpPr>
                      <wps:wsp>
                        <wps:cNvPr id="16" name="TextBox 6"/>
                        <wps:cNvSpPr txBox="1"/>
                        <wps:spPr>
                          <a:xfrm>
                            <a:off x="0" y="0"/>
                            <a:ext cx="5194300" cy="3667125"/>
                          </a:xfrm>
                          <a:prstGeom prst="rect">
                            <a:avLst/>
                          </a:prstGeom>
                          <a:blipFill>
                            <a:blip r:embed="rId87"/>
                            <a:stretch>
                              <a:fillRect/>
                            </a:stretch>
                          </a:blipFill>
                          <a:ln w="28575">
                            <a:solidFill>
                              <a:schemeClr val="tx1"/>
                            </a:solidFill>
                          </a:ln>
                        </wps:spPr>
                        <wps:bodyPr wrap="square" rtlCol="0">
                          <a:noAutofit/>
                        </wps:bodyPr>
                      </wps:wsp>
                      <wps:wsp>
                        <wps:cNvPr id="4" name="Text Box 4"/>
                        <wps:cNvSpPr txBox="1"/>
                        <wps:spPr>
                          <a:xfrm>
                            <a:off x="-15875" y="3781965"/>
                            <a:ext cx="5194300" cy="676275"/>
                          </a:xfrm>
                          <a:prstGeom prst="rect">
                            <a:avLst/>
                          </a:prstGeom>
                          <a:solidFill>
                            <a:prstClr val="white"/>
                          </a:solidFill>
                          <a:ln>
                            <a:noFill/>
                          </a:ln>
                        </wps:spPr>
                        <wps:txbx>
                          <w:txbxContent>
                            <w:p w14:paraId="76FDFCF6" w14:textId="7D23FDB3" w:rsidR="009C2EDC" w:rsidRPr="00DF6405" w:rsidRDefault="009C2EDC" w:rsidP="00D20476">
                              <w:pPr>
                                <w:pStyle w:val="Caption"/>
                                <w:rPr>
                                  <w:b w:val="0"/>
                                </w:rPr>
                              </w:pPr>
                              <w:bookmarkStart w:id="257" w:name="_Toc101049106"/>
                              <w:r w:rsidRPr="006F5F3C">
                                <w:t xml:space="preserve">Figure 2. </w:t>
                              </w:r>
                              <w:r w:rsidR="00035AE8">
                                <w:fldChar w:fldCharType="begin"/>
                              </w:r>
                              <w:r w:rsidR="00035AE8">
                                <w:instrText xml:space="preserve"> SEQ Figure_2. \* ARABIC </w:instrText>
                              </w:r>
                              <w:r w:rsidR="00035AE8">
                                <w:fldChar w:fldCharType="separate"/>
                              </w:r>
                              <w:r>
                                <w:rPr>
                                  <w:noProof/>
                                </w:rPr>
                                <w:t>1</w:t>
                              </w:r>
                              <w:r w:rsidR="00035AE8">
                                <w:rPr>
                                  <w:noProof/>
                                </w:rPr>
                                <w:fldChar w:fldCharType="end"/>
                              </w:r>
                              <w:r w:rsidRPr="006F5F3C">
                                <w:t xml:space="preserve">. </w:t>
                              </w:r>
                              <w:r w:rsidRPr="006F5F3C">
                                <w:rPr>
                                  <w:b w:val="0"/>
                                </w:rPr>
                                <w:t>Number of samples from different row crops collected from 2018 through 2020 in Tennessee for plant-parasitic nematode screening. Total number of samples = 372. Unknown = no data provided for the crops grown in the field.</w:t>
                              </w:r>
                              <w:bookmarkEnd w:id="25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F981AB" id="Group 17" o:spid="_x0000_s1026" style="position:absolute;margin-left:24.25pt;margin-top:12.45pt;width:410.25pt;height:351.05pt;z-index:251730944;mso-width-relative:margin;mso-height-relative:margin" coordorigin="-158" coordsize="52101,44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">
                <v:shapetype id="_x0000_t202" coordsize="21600,21600" o:spt="202" path="m,l,21600r21600,l21600,xe">
                  <v:stroke joinstyle="miter"/>
                  <v:path gradientshapeok="t" o:connecttype="rect"/>
                </v:shapetype>
                <v:shape id="TextBox 6" o:spid="_x0000_s1027" type="#_x0000_t202" style="position:absolute;width:51943;height:36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" strokecolor="black [3213]" strokeweight="2.25pt">
                  <v:fill r:id="rId88" o:title="" recolor="t" rotate="t" type="frame"/>
                </v:shape>
                <v:shape id="Text Box 4" o:spid="_x0000_s1028" type="#_x0000_t202" style="position:absolute;left:-158;top:37819;width:51942;height:6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" stroked="f">
                  <v:textbox inset="0,0,0,0">
                    <w:txbxContent>
                      <w:p w14:paraId="76FDFCF6" w14:textId="7D23FDB3" w:rsidR="009C2EDC" w:rsidRPr="00DF6405" w:rsidRDefault="009C2EDC" w:rsidP="00D20476">
                        <w:pPr>
                          <w:pStyle w:val="Caption"/>
                          <w:rPr>
                            <w:b w:val="0"/>
                          </w:rPr>
                        </w:pPr>
                        <w:bookmarkStart w:id="258" w:name="_Toc101049106"/>
                        <w:r w:rsidRPr="006F5F3C">
                          <w:t xml:space="preserve">Figure 2. </w:t>
                        </w:r>
                        <w:fldSimple w:instr=" SEQ Figure_2. \* ARABIC ">
                          <w:r>
                            <w:rPr>
                              <w:noProof/>
                            </w:rPr>
                            <w:t>1</w:t>
                          </w:r>
                        </w:fldSimple>
                        <w:r w:rsidRPr="006F5F3C">
                          <w:t xml:space="preserve">. </w:t>
                        </w:r>
                        <w:r w:rsidRPr="006F5F3C">
                          <w:rPr>
                            <w:b w:val="0"/>
                          </w:rPr>
                          <w:t>Number of samples from different row crops collected from 2018 through 2020 in Tennessee for plant-parasitic nematode screening. Total number of samples = 372. Unknown = no data provided for the crops grown in the field.</w:t>
                        </w:r>
                        <w:bookmarkEnd w:id="258"/>
                      </w:p>
                    </w:txbxContent>
                  </v:textbox>
                </v:shape>
              </v:group>
            </w:pict>
          </mc:Fallback>
        </mc:AlternateContent>
      </w:r>
      <w:r w:rsidRPr="00886B61">
        <w:rPr>
          <w:rFonts w:cs="Times New Roman"/>
          <w:b/>
          <w:szCs w:val="24"/>
        </w:rPr>
        <w:br w:type="page"/>
      </w:r>
    </w:p>
    <w:p w14:paraId="4FEA1788" w14:textId="55BBA031" w:rsidR="00D20476" w:rsidRPr="00886B61" w:rsidRDefault="00D20476" w:rsidP="00D20476">
      <w:pPr>
        <w:spacing w:line="360" w:lineRule="auto"/>
        <w:rPr>
          <w:rFonts w:cs="Times New Roman"/>
          <w:b/>
          <w:szCs w:val="24"/>
        </w:rPr>
      </w:pPr>
    </w:p>
    <w:p w14:paraId="629599D7" w14:textId="19FD4F52" w:rsidR="00D20476" w:rsidRPr="00886B61" w:rsidRDefault="006F5F3C" w:rsidP="00D20476">
      <w:pPr>
        <w:rPr>
          <w:rFonts w:cs="Times New Roman"/>
          <w:szCs w:val="24"/>
        </w:rPr>
      </w:pPr>
      <w:r>
        <w:rPr>
          <w:rFonts w:cs="Times New Roman"/>
          <w:b/>
          <w:noProof/>
          <w:szCs w:val="24"/>
        </w:rPr>
        <mc:AlternateContent>
          <mc:Choice Requires="wpg">
            <w:drawing>
              <wp:anchor distT="0" distB="0" distL="114300" distR="114300" simplePos="0" relativeHeight="251731968" behindDoc="0" locked="0" layoutInCell="1" allowOverlap="1" wp14:anchorId="477293F3" wp14:editId="708C80A0">
                <wp:simplePos x="0" y="0"/>
                <wp:positionH relativeFrom="column">
                  <wp:posOffset>161925</wp:posOffset>
                </wp:positionH>
                <wp:positionV relativeFrom="paragraph">
                  <wp:posOffset>80010</wp:posOffset>
                </wp:positionV>
                <wp:extent cx="5429250" cy="4686301"/>
                <wp:effectExtent l="0" t="0" r="19050" b="0"/>
                <wp:wrapNone/>
                <wp:docPr id="20" name="Group 20"/>
                <wp:cNvGraphicFramePr/>
                <a:graphic xmlns:a="http://schemas.openxmlformats.org/drawingml/2006/main">
                  <a:graphicData uri="http://schemas.microsoft.com/office/word/2010/wordprocessingGroup">
                    <wpg:wgp>
                      <wpg:cNvGrpSpPr/>
                      <wpg:grpSpPr>
                        <a:xfrm>
                          <a:off x="0" y="0"/>
                          <a:ext cx="5429250" cy="4686301"/>
                          <a:chOff x="0" y="638176"/>
                          <a:chExt cx="5429250" cy="4686895"/>
                        </a:xfrm>
                      </wpg:grpSpPr>
                      <wps:wsp>
                        <wps:cNvPr id="19" name="Rectangle 4"/>
                        <wps:cNvSpPr/>
                        <wps:spPr>
                          <a:xfrm>
                            <a:off x="47625" y="638176"/>
                            <a:ext cx="5381625" cy="4114800"/>
                          </a:xfrm>
                          <a:prstGeom prst="rect">
                            <a:avLst/>
                          </a:prstGeom>
                          <a:blipFill>
                            <a:blip r:embed="rId89"/>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Text Box 11"/>
                        <wps:cNvSpPr txBox="1"/>
                        <wps:spPr>
                          <a:xfrm>
                            <a:off x="0" y="4884369"/>
                            <a:ext cx="5429250" cy="440702"/>
                          </a:xfrm>
                          <a:prstGeom prst="rect">
                            <a:avLst/>
                          </a:prstGeom>
                          <a:solidFill>
                            <a:prstClr val="white"/>
                          </a:solidFill>
                          <a:ln>
                            <a:noFill/>
                          </a:ln>
                        </wps:spPr>
                        <wps:txbx>
                          <w:txbxContent>
                            <w:p w14:paraId="08DE5DA9" w14:textId="1685D48E" w:rsidR="009C2EDC" w:rsidRDefault="009C2EDC" w:rsidP="00D20476">
                              <w:pPr>
                                <w:pStyle w:val="Caption"/>
                              </w:pPr>
                              <w:bookmarkStart w:id="258" w:name="_Toc101049107"/>
                              <w:r>
                                <w:t xml:space="preserve">Figure 2. </w:t>
                              </w:r>
                              <w:r w:rsidR="00035AE8">
                                <w:fldChar w:fldCharType="begin"/>
                              </w:r>
                              <w:r w:rsidR="00035AE8">
                                <w:instrText xml:space="preserve"> SEQ Figure_2. \* ARABIC </w:instrText>
                              </w:r>
                              <w:r w:rsidR="00035AE8">
                                <w:fldChar w:fldCharType="separate"/>
                              </w:r>
                              <w:r>
                                <w:rPr>
                                  <w:noProof/>
                                </w:rPr>
                                <w:t>2</w:t>
                              </w:r>
                              <w:r w:rsidR="00035AE8">
                                <w:rPr>
                                  <w:noProof/>
                                </w:rPr>
                                <w:fldChar w:fldCharType="end"/>
                              </w:r>
                              <w:r>
                                <w:t xml:space="preserve">. </w:t>
                              </w:r>
                              <w:r w:rsidRPr="00DF6405">
                                <w:rPr>
                                  <w:b w:val="0"/>
                                </w:rPr>
                                <w:t>Number of samples per field grown with soybean cultivar among 70 fields (samples) collected from Tennessee for nematode analysis from 2018 through 2020</w:t>
                              </w:r>
                              <w:r w:rsidRPr="000C02B0">
                                <w:t>.</w:t>
                              </w:r>
                              <w:bookmarkEnd w:id="25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77293F3" id="Group 20" o:spid="_x0000_s1029" style="position:absolute;margin-left:12.75pt;margin-top:6.3pt;width:427.5pt;height:369pt;z-index:251731968;mso-width-relative:margin;mso-height-relative:margin" coordorigin=",6381" coordsize="54292,468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">
                <v:rect id="Rectangle 4" o:spid="_x0000_s1030" style="position:absolute;left:476;top:6381;width:53816;height:41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" strokecolor="black [3213]" strokeweight="2pt">
                  <v:fill r:id="rId90" o:title="" recolor="t" rotate="t" type="frame"/>
                </v:rect>
                <v:shape id="Text Box 11" o:spid="_x0000_s1031" type="#_x0000_t202" style="position:absolute;top:48843;width:54292;height:4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" stroked="f">
                  <v:textbox inset="0,0,0,0">
                    <w:txbxContent>
                      <w:p w14:paraId="08DE5DA9" w14:textId="1685D48E" w:rsidR="009C2EDC" w:rsidRDefault="009C2EDC" w:rsidP="00D20476">
                        <w:pPr>
                          <w:pStyle w:val="Caption"/>
                        </w:pPr>
                        <w:bookmarkStart w:id="260" w:name="_Toc101049107"/>
                        <w:r>
                          <w:t xml:space="preserve">Figure 2. </w:t>
                        </w:r>
                        <w:fldSimple w:instr=" SEQ Figure_2. \* ARABIC ">
                          <w:r>
                            <w:rPr>
                              <w:noProof/>
                            </w:rPr>
                            <w:t>2</w:t>
                          </w:r>
                        </w:fldSimple>
                        <w:r>
                          <w:t xml:space="preserve">. </w:t>
                        </w:r>
                        <w:r w:rsidRPr="00DF6405">
                          <w:rPr>
                            <w:b w:val="0"/>
                          </w:rPr>
                          <w:t>Number of samples per field grown with soybean cultivar among 70 fields (samples) collected from Tennessee for nematode analysis from 2018 through 2020</w:t>
                        </w:r>
                        <w:r w:rsidRPr="000C02B0">
                          <w:t>.</w:t>
                        </w:r>
                        <w:bookmarkEnd w:id="260"/>
                      </w:p>
                    </w:txbxContent>
                  </v:textbox>
                </v:shape>
              </v:group>
            </w:pict>
          </mc:Fallback>
        </mc:AlternateContent>
      </w:r>
    </w:p>
    <w:p w14:paraId="203BBA5A" w14:textId="77777777" w:rsidR="00D20476" w:rsidRDefault="00D20476" w:rsidP="00D20476">
      <w:pPr>
        <w:rPr>
          <w:rFonts w:cs="Times New Roman"/>
          <w:szCs w:val="24"/>
        </w:rPr>
      </w:pPr>
    </w:p>
    <w:p w14:paraId="2E68E218" w14:textId="77777777" w:rsidR="00D20476" w:rsidRDefault="00D20476" w:rsidP="00D20476">
      <w:pPr>
        <w:rPr>
          <w:rFonts w:cs="Times New Roman"/>
          <w:szCs w:val="24"/>
        </w:rPr>
      </w:pPr>
      <w:r>
        <w:rPr>
          <w:rFonts w:cs="Times New Roman"/>
          <w:szCs w:val="24"/>
        </w:rPr>
        <w:br w:type="page"/>
      </w:r>
    </w:p>
    <w:p w14:paraId="08B66C91" w14:textId="77777777" w:rsidR="00D20476" w:rsidRPr="00886B61" w:rsidRDefault="00D20476" w:rsidP="00D20476">
      <w:pPr>
        <w:rPr>
          <w:rFonts w:cs="Times New Roman"/>
          <w:szCs w:val="24"/>
        </w:rPr>
      </w:pPr>
    </w:p>
    <w:p w14:paraId="596FB2D8" w14:textId="3CA4E0FE" w:rsidR="00D20476" w:rsidRPr="00886B61" w:rsidRDefault="006F5F3C" w:rsidP="00D20476">
      <w:pPr>
        <w:rPr>
          <w:rFonts w:cs="Times New Roman"/>
          <w:szCs w:val="24"/>
        </w:rPr>
      </w:pPr>
      <w:r>
        <w:rPr>
          <w:rFonts w:cs="Times New Roman"/>
          <w:noProof/>
          <w:szCs w:val="24"/>
        </w:rPr>
        <w:drawing>
          <wp:anchor distT="0" distB="0" distL="114300" distR="114300" simplePos="0" relativeHeight="251751424" behindDoc="1" locked="0" layoutInCell="1" allowOverlap="1" wp14:anchorId="7C9A0218" wp14:editId="592F5F94">
            <wp:simplePos x="0" y="0"/>
            <wp:positionH relativeFrom="column">
              <wp:posOffset>124460</wp:posOffset>
            </wp:positionH>
            <wp:positionV relativeFrom="paragraph">
              <wp:posOffset>215265</wp:posOffset>
            </wp:positionV>
            <wp:extent cx="5590540" cy="5248275"/>
            <wp:effectExtent l="0" t="0" r="0" b="9525"/>
            <wp:wrapTight wrapText="bothSides">
              <wp:wrapPolygon edited="0">
                <wp:start x="0" y="0"/>
                <wp:lineTo x="0" y="21561"/>
                <wp:lineTo x="14426" y="21561"/>
                <wp:lineTo x="14426" y="17562"/>
                <wp:lineTo x="21492" y="17405"/>
                <wp:lineTo x="21492"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matode density vs crop type2.xlsx.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590540" cy="5248275"/>
                    </a:xfrm>
                    <a:prstGeom prst="rect">
                      <a:avLst/>
                    </a:prstGeom>
                  </pic:spPr>
                </pic:pic>
              </a:graphicData>
            </a:graphic>
            <wp14:sizeRelH relativeFrom="margin">
              <wp14:pctWidth>0</wp14:pctWidth>
            </wp14:sizeRelH>
            <wp14:sizeRelV relativeFrom="margin">
              <wp14:pctHeight>0</wp14:pctHeight>
            </wp14:sizeRelV>
          </wp:anchor>
        </w:drawing>
      </w:r>
    </w:p>
    <w:p w14:paraId="2D2CDCD7" w14:textId="0F2C6BE5" w:rsidR="00D20476" w:rsidRPr="00886B61" w:rsidRDefault="00D20476" w:rsidP="00D20476">
      <w:pPr>
        <w:tabs>
          <w:tab w:val="left" w:pos="8560"/>
        </w:tabs>
        <w:rPr>
          <w:rFonts w:cs="Times New Roman"/>
          <w:szCs w:val="24"/>
        </w:rPr>
      </w:pPr>
      <w:r w:rsidRPr="00886B61">
        <w:rPr>
          <w:rFonts w:cs="Times New Roman"/>
          <w:szCs w:val="24"/>
        </w:rPr>
        <w:tab/>
      </w:r>
    </w:p>
    <w:p w14:paraId="2D20EBD0" w14:textId="3633E936" w:rsidR="00D20476" w:rsidRDefault="00BE3C59" w:rsidP="00D20476">
      <w:pPr>
        <w:rPr>
          <w:rFonts w:cs="Times New Roman"/>
          <w:szCs w:val="24"/>
        </w:rPr>
      </w:pPr>
      <w:r>
        <w:rPr>
          <w:noProof/>
        </w:rPr>
        <mc:AlternateContent>
          <mc:Choice Requires="wps">
            <w:drawing>
              <wp:anchor distT="0" distB="0" distL="114300" distR="114300" simplePos="0" relativeHeight="251728896" behindDoc="0" locked="0" layoutInCell="1" allowOverlap="1" wp14:anchorId="2965E5BE" wp14:editId="09728883">
                <wp:simplePos x="0" y="0"/>
                <wp:positionH relativeFrom="column">
                  <wp:posOffset>70485</wp:posOffset>
                </wp:positionH>
                <wp:positionV relativeFrom="paragraph">
                  <wp:posOffset>922655</wp:posOffset>
                </wp:positionV>
                <wp:extent cx="5715000" cy="666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5715000" cy="666750"/>
                        </a:xfrm>
                        <a:prstGeom prst="rect">
                          <a:avLst/>
                        </a:prstGeom>
                        <a:solidFill>
                          <a:schemeClr val="lt1"/>
                        </a:solidFill>
                        <a:ln w="6350">
                          <a:noFill/>
                        </a:ln>
                      </wps:spPr>
                      <wps:txbx>
                        <w:txbxContent>
                          <w:p w14:paraId="55BBCC46" w14:textId="73BE2FB4" w:rsidR="009C2EDC" w:rsidRPr="00DF6405" w:rsidRDefault="009C2EDC" w:rsidP="00D20476">
                            <w:pPr>
                              <w:pStyle w:val="Caption"/>
                              <w:rPr>
                                <w:rFonts w:cs="Times New Roman"/>
                                <w:b w:val="0"/>
                              </w:rPr>
                            </w:pPr>
                            <w:bookmarkStart w:id="259" w:name="_Toc101049108"/>
                            <w:r w:rsidRPr="00DF6405">
                              <w:t xml:space="preserve">Figure 2. </w:t>
                            </w:r>
                            <w:r w:rsidR="00035AE8">
                              <w:fldChar w:fldCharType="begin"/>
                            </w:r>
                            <w:r w:rsidR="00035AE8">
                              <w:instrText xml:space="preserve"> SEQ Figure_2. \* ARABIC </w:instrText>
                            </w:r>
                            <w:r w:rsidR="00035AE8">
                              <w:fldChar w:fldCharType="separate"/>
                            </w:r>
                            <w:r>
                              <w:rPr>
                                <w:noProof/>
                              </w:rPr>
                              <w:t>3</w:t>
                            </w:r>
                            <w:r w:rsidR="00035AE8">
                              <w:rPr>
                                <w:noProof/>
                              </w:rPr>
                              <w:fldChar w:fldCharType="end"/>
                            </w:r>
                            <w:r w:rsidRPr="00DF6405">
                              <w:rPr>
                                <w:b w:val="0"/>
                              </w:rPr>
                              <w:t xml:space="preserve">. Average nematode densities across 372 fields sampled for nematode analysis. The number of fields (samples) that had each nematode type is indicated in the parenthesis () after each field type on the x </w:t>
                            </w:r>
                            <w:r w:rsidRPr="00DF6405">
                              <w:rPr>
                                <w:rFonts w:cs="Times New Roman"/>
                                <w:b w:val="0"/>
                              </w:rPr>
                              <w:t>axis.</w:t>
                            </w:r>
                            <w:bookmarkEnd w:id="259"/>
                          </w:p>
                          <w:p w14:paraId="209875E5" w14:textId="77777777" w:rsidR="009C2EDC" w:rsidRPr="00A56E47" w:rsidRDefault="009C2EDC" w:rsidP="00D20476">
                            <w:pPr>
                              <w:rPr>
                                <w:rFonts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5E5BE" id="Text Box 6" o:spid="_x0000_s1032" type="#_x0000_t202" style="position:absolute;margin-left:5.55pt;margin-top:72.65pt;width:450pt;height:5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" fillcolor="white [3201]" stroked="f" strokeweight=".5pt">
                <v:textbox>
                  <w:txbxContent>
                    <w:p w14:paraId="55BBCC46" w14:textId="73BE2FB4" w:rsidR="009C2EDC" w:rsidRPr="00DF6405" w:rsidRDefault="009C2EDC" w:rsidP="00D20476">
                      <w:pPr>
                        <w:pStyle w:val="Caption"/>
                        <w:rPr>
                          <w:rFonts w:cs="Times New Roman"/>
                          <w:b w:val="0"/>
                        </w:rPr>
                      </w:pPr>
                      <w:bookmarkStart w:id="262" w:name="_Toc101049108"/>
                      <w:r w:rsidRPr="00DF6405">
                        <w:t xml:space="preserve">Figure 2. </w:t>
                      </w:r>
                      <w:fldSimple w:instr=" SEQ Figure_2. \* ARABIC ">
                        <w:r>
                          <w:rPr>
                            <w:noProof/>
                          </w:rPr>
                          <w:t>3</w:t>
                        </w:r>
                      </w:fldSimple>
                      <w:r w:rsidRPr="00DF6405">
                        <w:rPr>
                          <w:b w:val="0"/>
                        </w:rPr>
                        <w:t xml:space="preserve">. Average nematode densities across 372 fields sampled for nematode analysis. The number of fields (samples) that had each nematode type is indicated in the parenthesis () after each field type on the x </w:t>
                      </w:r>
                      <w:r w:rsidRPr="00DF6405">
                        <w:rPr>
                          <w:rFonts w:cs="Times New Roman"/>
                          <w:b w:val="0"/>
                        </w:rPr>
                        <w:t>axis.</w:t>
                      </w:r>
                      <w:bookmarkEnd w:id="262"/>
                    </w:p>
                    <w:p w14:paraId="209875E5" w14:textId="77777777" w:rsidR="009C2EDC" w:rsidRPr="00A56E47" w:rsidRDefault="009C2EDC" w:rsidP="00D20476">
                      <w:pPr>
                        <w:rPr>
                          <w:rFonts w:cs="Times New Roman"/>
                        </w:rPr>
                      </w:pPr>
                    </w:p>
                  </w:txbxContent>
                </v:textbox>
              </v:shape>
            </w:pict>
          </mc:Fallback>
        </mc:AlternateContent>
      </w:r>
      <w:r w:rsidR="00D20476" w:rsidRPr="00886B61">
        <w:rPr>
          <w:rFonts w:cs="Times New Roman"/>
          <w:szCs w:val="24"/>
        </w:rPr>
        <w:br w:type="page"/>
      </w:r>
    </w:p>
    <w:p w14:paraId="63035DE2" w14:textId="77777777" w:rsidR="00D20476" w:rsidRPr="00886B61" w:rsidRDefault="00D20476" w:rsidP="00D20476">
      <w:pPr>
        <w:rPr>
          <w:rFonts w:cs="Times New Roman"/>
          <w:szCs w:val="24"/>
        </w:rPr>
      </w:pPr>
      <w:r>
        <w:rPr>
          <w:rFonts w:cs="Times New Roman"/>
          <w:noProof/>
          <w:szCs w:val="24"/>
        </w:rPr>
        <mc:AlternateContent>
          <mc:Choice Requires="wpg">
            <w:drawing>
              <wp:anchor distT="0" distB="0" distL="114300" distR="114300" simplePos="0" relativeHeight="251729920" behindDoc="0" locked="0" layoutInCell="1" allowOverlap="1" wp14:anchorId="115E44AC" wp14:editId="09EBB19B">
                <wp:simplePos x="0" y="0"/>
                <wp:positionH relativeFrom="column">
                  <wp:posOffset>355600</wp:posOffset>
                </wp:positionH>
                <wp:positionV relativeFrom="paragraph">
                  <wp:posOffset>129752</wp:posOffset>
                </wp:positionV>
                <wp:extent cx="5162550" cy="5010150"/>
                <wp:effectExtent l="0" t="0" r="19050" b="0"/>
                <wp:wrapNone/>
                <wp:docPr id="7" name="Group 7"/>
                <wp:cNvGraphicFramePr/>
                <a:graphic xmlns:a="http://schemas.openxmlformats.org/drawingml/2006/main">
                  <a:graphicData uri="http://schemas.microsoft.com/office/word/2010/wordprocessingGroup">
                    <wpg:wgp>
                      <wpg:cNvGrpSpPr/>
                      <wpg:grpSpPr>
                        <a:xfrm>
                          <a:off x="0" y="0"/>
                          <a:ext cx="5162550" cy="5010150"/>
                          <a:chOff x="0" y="0"/>
                          <a:chExt cx="5162550" cy="5010150"/>
                        </a:xfrm>
                      </wpg:grpSpPr>
                      <wps:wsp>
                        <wps:cNvPr id="12" name="Rectangle 9"/>
                        <wps:cNvSpPr/>
                        <wps:spPr>
                          <a:xfrm>
                            <a:off x="0" y="0"/>
                            <a:ext cx="5162550" cy="4253230"/>
                          </a:xfrm>
                          <a:prstGeom prst="rect">
                            <a:avLst/>
                          </a:prstGeom>
                          <a:blipFill>
                            <a:blip r:embed="rId92"/>
                            <a:stretch>
                              <a:fillRect/>
                            </a:stretch>
                          </a:blip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3" name="Text Box 13"/>
                        <wps:cNvSpPr txBox="1"/>
                        <wps:spPr>
                          <a:xfrm>
                            <a:off x="0" y="4309110"/>
                            <a:ext cx="5162550" cy="701040"/>
                          </a:xfrm>
                          <a:prstGeom prst="rect">
                            <a:avLst/>
                          </a:prstGeom>
                          <a:solidFill>
                            <a:prstClr val="white"/>
                          </a:solidFill>
                          <a:ln>
                            <a:noFill/>
                          </a:ln>
                        </wps:spPr>
                        <wps:txbx>
                          <w:txbxContent>
                            <w:p w14:paraId="13EF8B37" w14:textId="10C65CE6" w:rsidR="009C2EDC" w:rsidRPr="00DF6405" w:rsidRDefault="009C2EDC" w:rsidP="00D20476">
                              <w:pPr>
                                <w:pStyle w:val="Caption"/>
                                <w:rPr>
                                  <w:b w:val="0"/>
                                </w:rPr>
                              </w:pPr>
                              <w:bookmarkStart w:id="260" w:name="_Toc101049109"/>
                              <w:r w:rsidRPr="00DF6405">
                                <w:t xml:space="preserve">Figure 2. </w:t>
                              </w:r>
                              <w:r w:rsidR="00035AE8">
                                <w:fldChar w:fldCharType="begin"/>
                              </w:r>
                              <w:r w:rsidR="00035AE8">
                                <w:instrText xml:space="preserve"> SEQ Figure_2. \* ARABIC </w:instrText>
                              </w:r>
                              <w:r w:rsidR="00035AE8">
                                <w:fldChar w:fldCharType="separate"/>
                              </w:r>
                              <w:r>
                                <w:rPr>
                                  <w:noProof/>
                                </w:rPr>
                                <w:t>4</w:t>
                              </w:r>
                              <w:r w:rsidR="00035AE8">
                                <w:rPr>
                                  <w:noProof/>
                                </w:rPr>
                                <w:fldChar w:fldCharType="end"/>
                              </w:r>
                              <w:r w:rsidRPr="00DF6405">
                                <w:t>.</w:t>
                              </w:r>
                              <w:r w:rsidRPr="00DF6405">
                                <w:rPr>
                                  <w:b w:val="0"/>
                                </w:rPr>
                                <w:t xml:space="preserve"> Soybean cyst nematode (SCN) average densities associated with the cultivars grown among 70 fields sampled for nematode analysis. Number of fields (samples) per each cultivar is indicated in the parenthesis () after each cultivar on the x ax</w:t>
                              </w:r>
                              <w:bookmarkEnd w:id="26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w14:anchorId="115E44AC" id="Group 7" o:spid="_x0000_s1033" style="position:absolute;margin-left:28pt;margin-top:10.2pt;width:406.5pt;height:394.5pt;z-index:251729920" coordsize="51625,501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">
                <v:rect id="Rectangle 9" o:spid="_x0000_s1034" style="position:absolute;width:51625;height:42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" strokecolor="black [3213]" strokeweight="2pt">
                  <v:fill r:id="rId93" o:title="" recolor="t" rotate="t" type="frame"/>
                </v:rect>
                <v:shape id="Text Box 13" o:spid="_x0000_s1035" type="#_x0000_t202" style="position:absolute;top:43091;width:51625;height:7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" stroked="f">
                  <v:textbox style="mso-fit-shape-to-text:t" inset="0,0,0,0">
                    <w:txbxContent>
                      <w:p w14:paraId="13EF8B37" w14:textId="10C65CE6" w:rsidR="009C2EDC" w:rsidRPr="00DF6405" w:rsidRDefault="009C2EDC" w:rsidP="00D20476">
                        <w:pPr>
                          <w:pStyle w:val="Caption"/>
                          <w:rPr>
                            <w:b w:val="0"/>
                          </w:rPr>
                        </w:pPr>
                        <w:bookmarkStart w:id="264" w:name="_Toc101049109"/>
                        <w:r w:rsidRPr="00DF6405">
                          <w:t xml:space="preserve">Figure 2. </w:t>
                        </w:r>
                        <w:fldSimple w:instr=" SEQ Figure_2. \* ARABIC ">
                          <w:r>
                            <w:rPr>
                              <w:noProof/>
                            </w:rPr>
                            <w:t>4</w:t>
                          </w:r>
                        </w:fldSimple>
                        <w:r w:rsidRPr="00DF6405">
                          <w:t>.</w:t>
                        </w:r>
                        <w:r w:rsidRPr="00DF6405">
                          <w:rPr>
                            <w:b w:val="0"/>
                          </w:rPr>
                          <w:t xml:space="preserve"> Soybean cyst nematode (SCN) average densities associated with the cultivars grown among 70 fields sampled for nematode analysis. Number of fields (samples) per each cultivar is indicated in the parenthesis () after each cultivar on the x ax</w:t>
                        </w:r>
                        <w:bookmarkEnd w:id="264"/>
                      </w:p>
                    </w:txbxContent>
                  </v:textbox>
                </v:shape>
              </v:group>
            </w:pict>
          </mc:Fallback>
        </mc:AlternateContent>
      </w:r>
    </w:p>
    <w:p w14:paraId="13358058" w14:textId="77777777" w:rsidR="00D20476" w:rsidRPr="00886B61" w:rsidRDefault="00D20476" w:rsidP="00D20476">
      <w:pPr>
        <w:rPr>
          <w:rFonts w:cs="Times New Roman"/>
          <w:szCs w:val="24"/>
        </w:rPr>
      </w:pPr>
    </w:p>
    <w:p w14:paraId="06897043" w14:textId="77777777" w:rsidR="00D20476" w:rsidRPr="00886B61" w:rsidRDefault="00D20476" w:rsidP="00D20476">
      <w:pPr>
        <w:rPr>
          <w:rFonts w:cs="Times New Roman"/>
          <w:szCs w:val="24"/>
        </w:rPr>
      </w:pPr>
    </w:p>
    <w:p w14:paraId="61A467F8" w14:textId="77777777" w:rsidR="00D20476" w:rsidRPr="00886B61" w:rsidRDefault="00D20476" w:rsidP="00D20476">
      <w:pPr>
        <w:rPr>
          <w:rFonts w:cs="Times New Roman"/>
          <w:szCs w:val="24"/>
        </w:rPr>
      </w:pPr>
    </w:p>
    <w:p w14:paraId="7B3586AF" w14:textId="77777777" w:rsidR="00D20476" w:rsidRPr="00886B61" w:rsidRDefault="00D20476" w:rsidP="00D20476">
      <w:pPr>
        <w:rPr>
          <w:rFonts w:cs="Times New Roman"/>
          <w:szCs w:val="24"/>
        </w:rPr>
      </w:pPr>
    </w:p>
    <w:p w14:paraId="4F7CCF80" w14:textId="77777777" w:rsidR="00D20476" w:rsidRPr="00886B61" w:rsidRDefault="00D20476" w:rsidP="00D20476">
      <w:pPr>
        <w:rPr>
          <w:rFonts w:cs="Times New Roman"/>
          <w:szCs w:val="24"/>
        </w:rPr>
      </w:pPr>
    </w:p>
    <w:p w14:paraId="023138F2" w14:textId="77777777" w:rsidR="00D20476" w:rsidRPr="00886B61" w:rsidRDefault="00D20476" w:rsidP="00D20476">
      <w:pPr>
        <w:rPr>
          <w:rFonts w:cs="Times New Roman"/>
          <w:szCs w:val="24"/>
        </w:rPr>
      </w:pPr>
    </w:p>
    <w:p w14:paraId="35624E6B" w14:textId="77777777" w:rsidR="00D20476" w:rsidRPr="00886B61" w:rsidRDefault="00D20476" w:rsidP="00D20476">
      <w:pPr>
        <w:rPr>
          <w:rFonts w:cs="Times New Roman"/>
          <w:szCs w:val="24"/>
        </w:rPr>
      </w:pPr>
    </w:p>
    <w:p w14:paraId="176722B0" w14:textId="77777777" w:rsidR="00D20476" w:rsidRPr="00886B61" w:rsidRDefault="00D20476" w:rsidP="00D20476">
      <w:pPr>
        <w:rPr>
          <w:rFonts w:cs="Times New Roman"/>
          <w:szCs w:val="24"/>
        </w:rPr>
      </w:pPr>
    </w:p>
    <w:p w14:paraId="6AAA6CD0" w14:textId="77777777" w:rsidR="00D20476" w:rsidRPr="00886B61" w:rsidRDefault="00D20476" w:rsidP="00D20476">
      <w:pPr>
        <w:rPr>
          <w:rFonts w:cs="Times New Roman"/>
          <w:szCs w:val="24"/>
        </w:rPr>
      </w:pPr>
    </w:p>
    <w:p w14:paraId="271D4E37" w14:textId="77777777" w:rsidR="00D20476" w:rsidRPr="00886B61" w:rsidRDefault="00D20476" w:rsidP="00D20476">
      <w:pPr>
        <w:rPr>
          <w:rFonts w:cs="Times New Roman"/>
          <w:szCs w:val="24"/>
        </w:rPr>
      </w:pPr>
    </w:p>
    <w:p w14:paraId="2A4E67FA" w14:textId="77777777" w:rsidR="00D20476" w:rsidRPr="00886B61" w:rsidRDefault="00D20476" w:rsidP="00D20476">
      <w:pPr>
        <w:rPr>
          <w:rFonts w:cs="Times New Roman"/>
          <w:szCs w:val="24"/>
        </w:rPr>
      </w:pPr>
    </w:p>
    <w:p w14:paraId="1CF7AD0D" w14:textId="77777777" w:rsidR="00D20476" w:rsidRPr="00886B61" w:rsidRDefault="00D20476" w:rsidP="00D20476">
      <w:pPr>
        <w:rPr>
          <w:rFonts w:cs="Times New Roman"/>
          <w:szCs w:val="24"/>
        </w:rPr>
      </w:pPr>
    </w:p>
    <w:p w14:paraId="64B68D48" w14:textId="77777777" w:rsidR="00D20476" w:rsidRDefault="00D20476" w:rsidP="00D20476">
      <w:pPr>
        <w:rPr>
          <w:b/>
        </w:rPr>
      </w:pPr>
    </w:p>
    <w:p w14:paraId="4A5700E3" w14:textId="77777777" w:rsidR="00D20476" w:rsidRDefault="00D20476" w:rsidP="00D20476">
      <w:pPr>
        <w:rPr>
          <w:b/>
        </w:rPr>
      </w:pPr>
    </w:p>
    <w:p w14:paraId="06C9D65E" w14:textId="77777777" w:rsidR="00D20476" w:rsidRDefault="00D20476" w:rsidP="00D20476">
      <w:pPr>
        <w:rPr>
          <w:b/>
        </w:rPr>
      </w:pPr>
    </w:p>
    <w:p w14:paraId="083175B8" w14:textId="77777777" w:rsidR="00D20476" w:rsidRDefault="00D20476" w:rsidP="00D20476">
      <w:pPr>
        <w:rPr>
          <w:b/>
        </w:rPr>
      </w:pPr>
    </w:p>
    <w:p w14:paraId="6C7DD5B4" w14:textId="77777777" w:rsidR="00D20476" w:rsidRDefault="00D20476" w:rsidP="00D20476">
      <w:pPr>
        <w:rPr>
          <w:b/>
        </w:rPr>
      </w:pPr>
    </w:p>
    <w:p w14:paraId="327C4DA2" w14:textId="77777777" w:rsidR="00D20476" w:rsidRDefault="00D20476" w:rsidP="00D20476">
      <w:pPr>
        <w:rPr>
          <w:b/>
        </w:rPr>
      </w:pPr>
    </w:p>
    <w:p w14:paraId="65BB0169" w14:textId="77777777" w:rsidR="00D20476" w:rsidRDefault="00D20476" w:rsidP="00D20476">
      <w:pPr>
        <w:rPr>
          <w:b/>
        </w:rPr>
      </w:pPr>
    </w:p>
    <w:p w14:paraId="523216E0" w14:textId="77777777" w:rsidR="00D20476" w:rsidRDefault="00D20476" w:rsidP="00D20476">
      <w:pPr>
        <w:rPr>
          <w:b/>
        </w:rPr>
      </w:pPr>
    </w:p>
    <w:p w14:paraId="66A46145" w14:textId="77777777" w:rsidR="00D20476" w:rsidRDefault="00D20476" w:rsidP="00D20476">
      <w:pPr>
        <w:rPr>
          <w:b/>
        </w:rPr>
      </w:pPr>
    </w:p>
    <w:p w14:paraId="4B34825C" w14:textId="77777777" w:rsidR="00D20476" w:rsidRDefault="00D20476" w:rsidP="00D20476">
      <w:pPr>
        <w:rPr>
          <w:b/>
        </w:rPr>
      </w:pPr>
    </w:p>
    <w:p w14:paraId="3879EBA6" w14:textId="77777777" w:rsidR="00D20476" w:rsidRDefault="00D20476" w:rsidP="00D20476">
      <w:pPr>
        <w:rPr>
          <w:b/>
        </w:rPr>
      </w:pPr>
    </w:p>
    <w:p w14:paraId="38520C2F" w14:textId="77777777" w:rsidR="00D20476" w:rsidRDefault="00D20476" w:rsidP="00D20476">
      <w:pPr>
        <w:rPr>
          <w:b/>
        </w:rPr>
      </w:pPr>
    </w:p>
    <w:p w14:paraId="3EAA287D" w14:textId="77777777" w:rsidR="00D20476" w:rsidRDefault="00D20476" w:rsidP="00D20476">
      <w:pPr>
        <w:rPr>
          <w:b/>
        </w:rPr>
      </w:pPr>
    </w:p>
    <w:p w14:paraId="20E00CD8" w14:textId="77777777" w:rsidR="00D20476" w:rsidRDefault="00D20476" w:rsidP="00D20476">
      <w:pPr>
        <w:rPr>
          <w:b/>
        </w:rPr>
      </w:pPr>
    </w:p>
    <w:p w14:paraId="4E596E3E" w14:textId="77777777" w:rsidR="00D20476" w:rsidRDefault="00D20476" w:rsidP="00D20476">
      <w:pPr>
        <w:rPr>
          <w:b/>
        </w:rPr>
      </w:pPr>
    </w:p>
    <w:p w14:paraId="57E72E11" w14:textId="77777777" w:rsidR="00D20476" w:rsidRDefault="00D20476" w:rsidP="00D20476">
      <w:pPr>
        <w:rPr>
          <w:b/>
        </w:rPr>
      </w:pPr>
    </w:p>
    <w:p w14:paraId="5ADF3171" w14:textId="77777777" w:rsidR="00D20476" w:rsidRDefault="00D20476" w:rsidP="00D20476">
      <w:pPr>
        <w:rPr>
          <w:b/>
        </w:rPr>
      </w:pPr>
    </w:p>
    <w:p w14:paraId="3F78B223" w14:textId="77777777" w:rsidR="00D20476" w:rsidRDefault="00D20476" w:rsidP="00D20476">
      <w:pPr>
        <w:rPr>
          <w:b/>
        </w:rPr>
      </w:pPr>
    </w:p>
    <w:p w14:paraId="1456CCBF" w14:textId="77777777" w:rsidR="00D20476" w:rsidRPr="00093273" w:rsidRDefault="00D20476" w:rsidP="00D20476">
      <w:pPr>
        <w:rPr>
          <w:b/>
        </w:rPr>
      </w:pPr>
    </w:p>
    <w:p w14:paraId="7EFF0695" w14:textId="27FE193C" w:rsidR="00280790" w:rsidRDefault="00280790">
      <w:pPr>
        <w:rPr>
          <w:b/>
        </w:rPr>
      </w:pPr>
      <w:r>
        <w:rPr>
          <w:b/>
        </w:rPr>
        <w:br w:type="page"/>
      </w:r>
    </w:p>
    <w:p w14:paraId="7FC22919" w14:textId="41AB4D53" w:rsidR="00D20476" w:rsidRDefault="00D20476" w:rsidP="00D20476">
      <w:pPr>
        <w:pStyle w:val="Heading1"/>
        <w:ind w:left="720"/>
        <w:jc w:val="center"/>
      </w:pPr>
      <w:bookmarkStart w:id="261" w:name="_Toc98812749"/>
      <w:bookmarkStart w:id="262" w:name="_Toc98812957"/>
      <w:bookmarkStart w:id="263" w:name="_Toc98813623"/>
      <w:bookmarkStart w:id="264" w:name="_Toc101048131"/>
      <w:bookmarkStart w:id="265" w:name="_Toc98812772"/>
      <w:bookmarkStart w:id="266" w:name="_Toc98812980"/>
      <w:bookmarkStart w:id="267" w:name="_Toc98813646"/>
      <w:r w:rsidRPr="008E2CD0">
        <w:t xml:space="preserve">CHAPTER III. IMPACT OF </w:t>
      </w:r>
      <w:r w:rsidRPr="008E2CD0">
        <w:rPr>
          <w:i/>
        </w:rPr>
        <w:t>HETERODERA GLYCINES</w:t>
      </w:r>
      <w:r w:rsidRPr="008E2CD0">
        <w:t xml:space="preserve"> HG TYPE 1.2.5.7 ON SOYBEAN NITROGEN FIXATION AND GROWTH PARAMETERS</w:t>
      </w:r>
      <w:bookmarkEnd w:id="261"/>
      <w:bookmarkEnd w:id="262"/>
      <w:bookmarkEnd w:id="263"/>
      <w:bookmarkEnd w:id="264"/>
    </w:p>
    <w:p w14:paraId="63C2356D" w14:textId="1676CB2A" w:rsidR="00357685" w:rsidRDefault="00357685" w:rsidP="00D20476">
      <w:pPr>
        <w:pStyle w:val="Heading1"/>
        <w:ind w:left="720"/>
        <w:jc w:val="center"/>
      </w:pPr>
    </w:p>
    <w:p w14:paraId="665CBCD5" w14:textId="535CA6C0" w:rsidR="00357685" w:rsidRDefault="00357685" w:rsidP="00D20476">
      <w:pPr>
        <w:pStyle w:val="Heading1"/>
        <w:ind w:left="720"/>
        <w:jc w:val="center"/>
      </w:pPr>
    </w:p>
    <w:p w14:paraId="2C6C289D" w14:textId="77777777" w:rsidR="00D20476" w:rsidRPr="00615E75" w:rsidRDefault="00D20476" w:rsidP="00D20476">
      <w:pPr>
        <w:rPr>
          <w:rFonts w:cs="Times New Roman"/>
          <w:szCs w:val="24"/>
        </w:rPr>
      </w:pPr>
    </w:p>
    <w:p w14:paraId="4C5EDDB6" w14:textId="77777777" w:rsidR="00D20476" w:rsidRPr="00615E75" w:rsidRDefault="00D20476" w:rsidP="00D20476">
      <w:pPr>
        <w:rPr>
          <w:rFonts w:cs="Times New Roman"/>
          <w:szCs w:val="24"/>
        </w:rPr>
      </w:pPr>
    </w:p>
    <w:p w14:paraId="6E6C5E50" w14:textId="77777777" w:rsidR="00D20476" w:rsidRPr="00615E75" w:rsidRDefault="00D20476" w:rsidP="00D20476">
      <w:pPr>
        <w:rPr>
          <w:rFonts w:cs="Times New Roman"/>
          <w:szCs w:val="24"/>
        </w:rPr>
      </w:pPr>
    </w:p>
    <w:p w14:paraId="4E6B230A" w14:textId="77777777" w:rsidR="00D20476" w:rsidRPr="00615E75" w:rsidRDefault="00D20476" w:rsidP="00D20476">
      <w:pPr>
        <w:rPr>
          <w:rFonts w:cs="Times New Roman"/>
          <w:szCs w:val="24"/>
        </w:rPr>
      </w:pPr>
    </w:p>
    <w:p w14:paraId="7F2C19C2" w14:textId="77777777" w:rsidR="00D20476" w:rsidRPr="00615E75" w:rsidRDefault="00D20476" w:rsidP="00D20476">
      <w:pPr>
        <w:rPr>
          <w:rFonts w:cs="Times New Roman"/>
          <w:szCs w:val="24"/>
        </w:rPr>
      </w:pPr>
    </w:p>
    <w:p w14:paraId="59E53397" w14:textId="77777777" w:rsidR="00D20476" w:rsidRPr="00615E75" w:rsidRDefault="00D20476" w:rsidP="00D20476">
      <w:pPr>
        <w:rPr>
          <w:rFonts w:cs="Times New Roman"/>
          <w:szCs w:val="24"/>
        </w:rPr>
      </w:pPr>
    </w:p>
    <w:p w14:paraId="48F91B78" w14:textId="77777777" w:rsidR="00D20476" w:rsidRPr="00615E75" w:rsidRDefault="00D20476" w:rsidP="00D20476">
      <w:pPr>
        <w:rPr>
          <w:rFonts w:cs="Times New Roman"/>
          <w:szCs w:val="24"/>
        </w:rPr>
      </w:pPr>
    </w:p>
    <w:p w14:paraId="179FAEDA" w14:textId="77777777" w:rsidR="00D20476" w:rsidRPr="00615E75" w:rsidRDefault="00D20476" w:rsidP="00D20476">
      <w:pPr>
        <w:rPr>
          <w:rFonts w:cs="Times New Roman"/>
          <w:szCs w:val="24"/>
        </w:rPr>
      </w:pPr>
    </w:p>
    <w:p w14:paraId="64039605" w14:textId="77777777" w:rsidR="00D20476" w:rsidRPr="00615E75" w:rsidRDefault="00D20476" w:rsidP="00D20476">
      <w:pPr>
        <w:rPr>
          <w:rFonts w:cs="Times New Roman"/>
          <w:szCs w:val="24"/>
        </w:rPr>
      </w:pPr>
    </w:p>
    <w:p w14:paraId="789F19D3" w14:textId="77777777" w:rsidR="00D20476" w:rsidRPr="00615E75" w:rsidRDefault="00D20476" w:rsidP="00D20476">
      <w:pPr>
        <w:rPr>
          <w:rFonts w:cs="Times New Roman"/>
          <w:szCs w:val="24"/>
        </w:rPr>
      </w:pPr>
    </w:p>
    <w:p w14:paraId="0AAEB5F5" w14:textId="77777777" w:rsidR="00D20476" w:rsidRPr="00615E75" w:rsidRDefault="00D20476" w:rsidP="00D20476">
      <w:pPr>
        <w:rPr>
          <w:rFonts w:cs="Times New Roman"/>
          <w:szCs w:val="24"/>
        </w:rPr>
      </w:pPr>
    </w:p>
    <w:p w14:paraId="6B8726AF" w14:textId="77777777" w:rsidR="00D20476" w:rsidRPr="00615E75" w:rsidRDefault="00D20476" w:rsidP="00D20476">
      <w:pPr>
        <w:rPr>
          <w:rFonts w:cs="Times New Roman"/>
          <w:szCs w:val="24"/>
        </w:rPr>
      </w:pPr>
    </w:p>
    <w:p w14:paraId="3AE3E7A2" w14:textId="77777777" w:rsidR="00D20476" w:rsidRDefault="00D20476" w:rsidP="00D20476">
      <w:pPr>
        <w:rPr>
          <w:rFonts w:cs="Times New Roman"/>
          <w:szCs w:val="24"/>
        </w:rPr>
      </w:pPr>
    </w:p>
    <w:p w14:paraId="543A0698" w14:textId="1088D3C8" w:rsidR="00D20476" w:rsidRPr="008E2CD0" w:rsidRDefault="00D20476" w:rsidP="00D20476">
      <w:pPr>
        <w:spacing w:line="360" w:lineRule="auto"/>
        <w:ind w:left="720" w:right="1274"/>
        <w:rPr>
          <w:rFonts w:cs="Times New Roman"/>
          <w:szCs w:val="24"/>
        </w:rPr>
        <w:sectPr w:rsidR="00D20476" w:rsidRPr="008E2CD0" w:rsidSect="001C5F7A">
          <w:footerReference w:type="default" r:id="rId94"/>
          <w:pgSz w:w="12240" w:h="15840" w:code="1"/>
          <w:pgMar w:top="1440" w:right="1440" w:bottom="1440" w:left="1440" w:header="0" w:footer="1440" w:gutter="0"/>
          <w:cols w:space="720"/>
          <w:docGrid w:linePitch="326"/>
        </w:sectPr>
      </w:pPr>
    </w:p>
    <w:p w14:paraId="0D7C8694" w14:textId="1B598B1F" w:rsidR="00102AAA" w:rsidRPr="00E71056" w:rsidRDefault="00102AAA" w:rsidP="00102AAA">
      <w:pPr>
        <w:pStyle w:val="Authornames"/>
        <w:spacing w:before="0"/>
        <w:ind w:left="720" w:firstLine="720"/>
        <w:rPr>
          <w:sz w:val="24"/>
        </w:rPr>
      </w:pPr>
      <w:bookmarkStart w:id="268" w:name="_bookmark54"/>
      <w:bookmarkStart w:id="269" w:name="_Toc98812750"/>
      <w:bookmarkStart w:id="270" w:name="_Toc98812958"/>
      <w:bookmarkStart w:id="271" w:name="_Toc98813624"/>
      <w:bookmarkStart w:id="272" w:name="_Toc101048132"/>
      <w:bookmarkEnd w:id="268"/>
      <w:r w:rsidRPr="00E71056">
        <w:rPr>
          <w:rFonts w:eastAsia="TimesNewRomanPSMT"/>
          <w:sz w:val="24"/>
        </w:rPr>
        <w:t xml:space="preserve">Data presented in this chapter </w:t>
      </w:r>
      <w:r w:rsidR="00E326B2" w:rsidRPr="00E71056">
        <w:rPr>
          <w:rFonts w:eastAsia="TimesNewRomanPSMT"/>
          <w:sz w:val="24"/>
        </w:rPr>
        <w:t xml:space="preserve">are being reviewed </w:t>
      </w:r>
      <w:r w:rsidRPr="00E71056">
        <w:rPr>
          <w:sz w:val="24"/>
        </w:rPr>
        <w:t xml:space="preserve">for publication in the Journal of Crop Improvement under the title: </w:t>
      </w:r>
      <w:r w:rsidRPr="00E71056">
        <w:rPr>
          <w:bCs/>
          <w:sz w:val="24"/>
        </w:rPr>
        <w:t>Akinrinlola</w:t>
      </w:r>
      <w:r w:rsidRPr="00E71056">
        <w:rPr>
          <w:sz w:val="24"/>
        </w:rPr>
        <w:t xml:space="preserve">, R., Kelly, H., Sinclair, T., and Shekoofa, A. (2021). </w:t>
      </w:r>
      <w:r w:rsidRPr="00E71056">
        <w:rPr>
          <w:i/>
          <w:sz w:val="24"/>
        </w:rPr>
        <w:t>Heterodera glycines</w:t>
      </w:r>
      <w:r w:rsidRPr="00E71056">
        <w:rPr>
          <w:sz w:val="24"/>
        </w:rPr>
        <w:t xml:space="preserve"> HG type 1.2.5.7 causes a decrease in soybean nitrogen fixation and growth variables. </w:t>
      </w:r>
      <w:r w:rsidRPr="00E71056">
        <w:rPr>
          <w:iCs/>
          <w:sz w:val="24"/>
        </w:rPr>
        <w:t>Rufus Akinrinlola</w:t>
      </w:r>
      <w:r w:rsidRPr="00E71056">
        <w:rPr>
          <w:sz w:val="24"/>
        </w:rPr>
        <w:t xml:space="preserve">, Heather Kelly, and Avat Shekoofa conceptualized and designed the experiments. Rufus Akinrinlola executed the experiments, collected, </w:t>
      </w:r>
      <w:r w:rsidR="00770FA7" w:rsidRPr="00E71056">
        <w:rPr>
          <w:sz w:val="24"/>
        </w:rPr>
        <w:t>analysed</w:t>
      </w:r>
      <w:r w:rsidRPr="00E71056">
        <w:rPr>
          <w:sz w:val="24"/>
        </w:rPr>
        <w:t xml:space="preserve"> the data, and wrote the paper manuscript. All authors commented on the initial versions of the manuscript. All authors approved the final manuscript.</w:t>
      </w:r>
    </w:p>
    <w:p w14:paraId="743A6E02" w14:textId="77777777" w:rsidR="00102AAA" w:rsidRDefault="00102AAA" w:rsidP="00102AAA">
      <w:pPr>
        <w:pStyle w:val="Heading1"/>
        <w:spacing w:line="360" w:lineRule="auto"/>
        <w:ind w:left="720"/>
        <w:jc w:val="center"/>
      </w:pPr>
    </w:p>
    <w:p w14:paraId="511BDFC4" w14:textId="24E805FC" w:rsidR="00D20476" w:rsidRDefault="00D20476" w:rsidP="00C66483">
      <w:pPr>
        <w:pStyle w:val="Heading1"/>
        <w:spacing w:line="360" w:lineRule="auto"/>
        <w:ind w:left="720"/>
        <w:jc w:val="center"/>
      </w:pPr>
      <w:r w:rsidRPr="008E2CD0">
        <w:t>Abstract</w:t>
      </w:r>
      <w:bookmarkEnd w:id="269"/>
      <w:bookmarkEnd w:id="270"/>
      <w:bookmarkEnd w:id="271"/>
      <w:bookmarkEnd w:id="272"/>
    </w:p>
    <w:p w14:paraId="35644748" w14:textId="77777777" w:rsidR="00D20476" w:rsidRPr="002A4326" w:rsidRDefault="00D20476" w:rsidP="00CC4282">
      <w:pPr>
        <w:pStyle w:val="Abstract"/>
        <w:spacing w:before="0"/>
        <w:ind w:firstLine="720"/>
      </w:pPr>
      <w:bookmarkStart w:id="273" w:name="_bookmark55"/>
      <w:bookmarkEnd w:id="273"/>
      <w:r w:rsidRPr="002A4326">
        <w:t xml:space="preserve">Soybean cyst nematode (SCN), </w:t>
      </w:r>
      <w:r w:rsidRPr="002A4326">
        <w:rPr>
          <w:i/>
        </w:rPr>
        <w:t>Heterodera glycines</w:t>
      </w:r>
      <w:r w:rsidRPr="002A4326">
        <w:t>, HG type 1.2.5.7 is the most virulent and widespread SCN biotype in the southern states of the USA, but its effect on soybean (</w:t>
      </w:r>
      <w:r w:rsidRPr="002A4326">
        <w:rPr>
          <w:i/>
          <w:iCs/>
        </w:rPr>
        <w:t>Glycine max</w:t>
      </w:r>
      <w:r w:rsidRPr="002A4326">
        <w:t xml:space="preserve"> [L.] Merr.) nitrogen fixation (NF) activity and growth is not well documented. The objectives of this study were to (1) measure the impact of HG type 1.2.5.7 </w:t>
      </w:r>
      <w:r w:rsidRPr="002A4326">
        <w:rPr>
          <w:noProof/>
        </w:rPr>
        <w:t>on</w:t>
      </w:r>
      <w:r w:rsidRPr="002A4326">
        <w:t xml:space="preserve"> the NF activity during the early vegetative stage </w:t>
      </w:r>
      <w:r w:rsidRPr="002A4326">
        <w:rPr>
          <w:noProof/>
        </w:rPr>
        <w:t xml:space="preserve">of three soybean genotypes and (2) compare the impact on soybean leaf and root development and growth. The NF activity of </w:t>
      </w:r>
      <w:r w:rsidRPr="002A4326">
        <w:rPr>
          <w:shd w:val="clear" w:color="auto" w:fill="FFFFFF"/>
        </w:rPr>
        <w:t>two susceptible genotypes (</w:t>
      </w:r>
      <w:r w:rsidRPr="002A4326">
        <w:rPr>
          <w:noProof/>
        </w:rPr>
        <w:t xml:space="preserve">‘Ellis’ and ‘Williams 82’) and one resistant genotype (PI 88788) </w:t>
      </w:r>
      <w:r w:rsidRPr="002A4326">
        <w:rPr>
          <w:shd w:val="clear" w:color="auto" w:fill="FFFFFF"/>
        </w:rPr>
        <w:t>infested with 10,000 eggs was measured using an in-situ flow-through acetylene reduction assay. The total NF activity of infested Williams 82 was decreased by 30% but that of PI 88788 and Ellis was not decreased, compared to non-infested plants. Leaf color and leaf area were decreased in Williams 82 but not in the other two genotypes. Root surface area was decreased by SCN only in Ellis. These results showed that SCN HG type 1.2.5.7 had differential impacts on NF activity and growth of different soybean genotypes, providing novel information on the interaction of a virulent SCN biotype with NF activity of soybean genotypes with resistance or varying SCN-susceptibility.</w:t>
      </w:r>
    </w:p>
    <w:p w14:paraId="630F7044" w14:textId="00C4025C" w:rsidR="005F275F" w:rsidRDefault="005F275F">
      <w:pPr>
        <w:rPr>
          <w:rFonts w:cs="Times New Roman"/>
          <w:shd w:val="clear" w:color="auto" w:fill="FFFFFF"/>
        </w:rPr>
      </w:pPr>
      <w:r>
        <w:rPr>
          <w:rFonts w:cs="Times New Roman"/>
          <w:shd w:val="clear" w:color="auto" w:fill="FFFFFF"/>
        </w:rPr>
        <w:br w:type="page"/>
      </w:r>
    </w:p>
    <w:p w14:paraId="6252DC1C" w14:textId="77777777" w:rsidR="00D20476" w:rsidRPr="008E2CD0" w:rsidRDefault="00D20476" w:rsidP="00C66483">
      <w:pPr>
        <w:pStyle w:val="Heading1"/>
        <w:spacing w:line="360" w:lineRule="auto"/>
        <w:ind w:left="720"/>
        <w:jc w:val="center"/>
      </w:pPr>
      <w:bookmarkStart w:id="274" w:name="_bookmark69"/>
      <w:bookmarkStart w:id="275" w:name="_Toc98812751"/>
      <w:bookmarkStart w:id="276" w:name="_Toc98812959"/>
      <w:bookmarkStart w:id="277" w:name="_Toc98813625"/>
      <w:bookmarkStart w:id="278" w:name="_Toc101048133"/>
      <w:bookmarkEnd w:id="274"/>
      <w:r w:rsidRPr="008E2CD0">
        <w:t>Introduction</w:t>
      </w:r>
      <w:bookmarkEnd w:id="275"/>
      <w:bookmarkEnd w:id="276"/>
      <w:bookmarkEnd w:id="277"/>
      <w:bookmarkEnd w:id="278"/>
    </w:p>
    <w:p w14:paraId="1FD2FE3B" w14:textId="77777777" w:rsidR="00D20476" w:rsidRPr="002A4326" w:rsidRDefault="00D20476" w:rsidP="00C66483">
      <w:pPr>
        <w:pStyle w:val="Paragraph"/>
        <w:spacing w:line="360" w:lineRule="auto"/>
        <w:ind w:left="720" w:firstLine="720"/>
      </w:pPr>
      <w:r w:rsidRPr="002A4326">
        <w:t xml:space="preserve">Soybean cyst nematode (SCN), </w:t>
      </w:r>
      <w:r w:rsidRPr="002A4326">
        <w:rPr>
          <w:i/>
          <w:shd w:val="clear" w:color="auto" w:fill="FFFFFF"/>
        </w:rPr>
        <w:t xml:space="preserve">Heterodera glycines, </w:t>
      </w:r>
      <w:r w:rsidRPr="002A4326">
        <w:t>is the most economically important soybean (</w:t>
      </w:r>
      <w:r w:rsidRPr="002A4326">
        <w:rPr>
          <w:i/>
        </w:rPr>
        <w:t>Glycine max</w:t>
      </w:r>
      <w:r w:rsidRPr="002A4326">
        <w:t xml:space="preserve"> [L.] Merr) pathogen in North America. More than $1.5 billion in yield losses are attributed to SCN in the USA and Canada each year </w:t>
      </w:r>
      <w:r w:rsidRPr="002A4326">
        <w:fldChar w:fldCharType="begin" w:fldLock="1"/>
      </w:r>
      <w:r>
        <w:instrText>ADDIN CSL_CITATION {"citationItems":[{"id":"ITEM-1","itemData":{"DOI":"10.1111/mpp.12057","ISSN":"14646722","PMID":"23809086","abstract":"The aim of this review was to undertake a survey of researchers working with plant-parasitic nematodes in order to determine a 'top 10' list of these pathogens based on scientific and economic importance. Any such list will not be definitive as economic importance will vary depending on the region of the world in which a researcher is based. However, care was taken to include researchers from as many parts of the world as possible when carrying out the survey. The top 10 list emerging from the survey is composed of: (1) root-knot nematodes (Meloidogyne spp.); (2) cyst nematodes (Heterodera and Globodera spp.); (3) root lesion nematodes (Pratylenchus spp.); (4) the burrowing nematode Radopholus similis; (5) Ditylenchus dipsaci; (6) the pine wilt nematode Bursaphelenchus xylophilus; (7) the reniform nematode Rotylenchulus reniformis; (8) Xiphinema index (the only virus vector nematode to make the list); (9) Nacobbus aberrans; and (10) Aphelenchoides besseyi. The biology of each nematode (or nematode group) is reviewed briefly. © 2013 BSPP AND JOHN WILEY &amp; SONS LTD.","author":[{"dropping-particle":"","family":"Jones","given":"John T.","non-dropping-particle":"","parse-names":false,"suffix":""},{"dropping-particle":"","family":"Haegeman","given":"Annelies","non-dropping-particle":"","parse-names":false,"suffix":""},{"dropping-particle":"","family":"Danchin","given":"Etienne G.J.","non-dropping-particle":"","parse-names":false,"suffix":""},{"dropping-particle":"","family":"Gaur","given":"Hari S.","non-dropping-particle":"","parse-names":false,"suffix":""},{"dropping-particle":"","family":"Helder","given":"Johannes","non-dropping-particle":"","parse-names":false,"suffix":""},{"dropping-particle":"","family":"Jones","given":"Michael G.K.","non-dropping-particle":"","parse-names":false,"suffix":""},{"dropping-particle":"","family":"Kikuchi","given":"Taisei","non-dropping-particle":"","parse-names":false,"suffix":""},{"dropping-particle":"","family":"Manzanilla-López","given":"Rosa","non-dropping-particle":"","parse-names":false,"suffix":""},{"dropping-particle":"","family":"Palomares-Rius","given":"Juan E.","non-dropping-particle":"","parse-names":false,"suffix":""},{"dropping-particle":"","family":"Wesemael","given":"Wim M.L.","non-dropping-particle":"","parse-names":false,"suffix":""},{"dropping-particle":"","family":"Perry","given":"Roland N.","non-dropping-particle":"","parse-names":false,"suffix":""}],"container-title":"Molecular Plant Pathology","id":"ITEM-1","issue":"9","issued":{"date-parts":[["2013"]]},"page":"946-961","title":"Top 10 plant-parasitic nematodes in molecular plant pathology","type":"article-journal","volume":"14"},"uris":["http://www.mendeley.com/documents/?uuid=e234e945-2803-4735-a670-6406b694b9e6"]}],"mendeley":{"formattedCitation":"(Jones et al., 2013)","manualFormatting":"(Bradley et al.,  2021.; Jones et al., 2013)","plainTextFormattedCitation":"(Jones et al., 2013)","previouslyFormattedCitation":"(Jones et al., 2013)"},"properties":{"noteIndex":0},"schema":"https://github.com/citation-style-language/schema/raw/master/csl-citation.json"}</w:instrText>
      </w:r>
      <w:r w:rsidRPr="002A4326">
        <w:fldChar w:fldCharType="separate"/>
      </w:r>
      <w:r w:rsidRPr="002A4326">
        <w:rPr>
          <w:noProof/>
        </w:rPr>
        <w:t>(</w:t>
      </w:r>
      <w:r w:rsidRPr="002A4326">
        <w:rPr>
          <w:noProof/>
          <w:shd w:val="clear" w:color="auto" w:fill="FFFFFF"/>
        </w:rPr>
        <w:t xml:space="preserve">Bradley et al.,  2021.; </w:t>
      </w:r>
      <w:r w:rsidRPr="002A4326">
        <w:rPr>
          <w:noProof/>
        </w:rPr>
        <w:t>Jones et al., 2013)</w:t>
      </w:r>
      <w:r w:rsidRPr="002A4326">
        <w:fldChar w:fldCharType="end"/>
      </w:r>
      <w:r w:rsidRPr="002A4326">
        <w:t xml:space="preserve">. The nematode causes crop loss by invading soybean roots and forming </w:t>
      </w:r>
      <w:r>
        <w:t xml:space="preserve">a </w:t>
      </w:r>
      <w:r w:rsidRPr="002A4326">
        <w:t>multinucleated-cell feeding site</w:t>
      </w:r>
      <w:r>
        <w:t>,</w:t>
      </w:r>
      <w:r w:rsidRPr="002A4326">
        <w:t xml:space="preserve"> called </w:t>
      </w:r>
      <w:r>
        <w:t xml:space="preserve">a </w:t>
      </w:r>
      <w:r w:rsidRPr="002A4326">
        <w:t>syncyti</w:t>
      </w:r>
      <w:r>
        <w:t>um,</w:t>
      </w:r>
      <w:r w:rsidRPr="002A4326">
        <w:t xml:space="preserve"> in the vascular tissues of the root. It forms the syncyti</w:t>
      </w:r>
      <w:r>
        <w:t>um</w:t>
      </w:r>
      <w:r w:rsidRPr="002A4326">
        <w:t xml:space="preserve"> by producing secretions that dissolve vascular tissue cell walls within the infected roots. The dissolution of the cell walls and intense nuclear activity in the syncytia thus cause plant-produced photosynthates and nutrients to flow </w:t>
      </w:r>
      <w:r>
        <w:t xml:space="preserve">preferentially </w:t>
      </w:r>
      <w:r w:rsidRPr="002A4326">
        <w:t>into the syncyti</w:t>
      </w:r>
      <w:r>
        <w:t>um</w:t>
      </w:r>
      <w:r w:rsidRPr="002A4326">
        <w:t xml:space="preserve"> </w:t>
      </w:r>
      <w:r w:rsidRPr="002A4326">
        <w:fldChar w:fldCharType="begin" w:fldLock="1"/>
      </w:r>
      <w:r>
        <w:instrText>ADDIN CSL_CITATION {"citationItems":[{"id":"ITEM-1","itemData":{"DOI":"10.1007/978-3-540-85215-5_6","ISBN":"9783540852131","ISSN":"18611370","abstract":"In susceptible plants the syncytium is generally conserved in anatomy and ultrastructure. Syncytium development starts from a single cell selected from cortical or parenchymatic vascular cylinder cells by an infective second-stage juvenile. The syncytium is enlarged and multinuclear due to fusion of protoplasts released by local cell wall dissolution. The syncytium is the only source of nutrients for all sedentary stages of cyst nematodes. Ultrastructurally, it is characterized by proliferation of cytoplasm, reduction of the volume of vacuoles, hypertrophy of nuclei and nucleoli, and abundant endoplasmic reticulum, ribosomes, plastids, and mitochondria. Resistant plants are invaded by infective juveniles that usually induce syncytia. However, these syncytia reveal atypical features during their development that lead to their necrosis, or they are surrounded by necrotic cells that result in syncytium degradation. Depending on the timing of the resistant response in such syncytia, no development of juveniles beyond the second- or third-developmental stage occurs, or only adult males develop. © 2008 Springer Berlin Heidelberg.","author":[{"dropping-particle":"","family":"Sobczak","given":"Miroslaw","non-dropping-particle":"","parse-names":false,"suffix":""},{"dropping-particle":"","family":"Golinowski","given":"Wladyslaw","non-dropping-particle":"","parse-names":false,"suffix":""}],"container-title":"Plant Cell Monographs","id":"ITEM-1","issued":{"date-parts":[["2009"]]},"page":"153-187","title":"Structure of cyst nematode feeding sites","type":"article-journal","volume":"15"},"uris":["http://www.mendeley.com/documents/?uuid=dfa82b9d-e936-359f-8483-6fbca310bd82"]},{"id":"ITEM-2","itemData":{"ISSN":"0022-300X","abstract":"Selected populations of soybean cyst nematodes were inoculated to roots of compatible and incompatible soybeans. Rates of penetration of infective juveniles of nematode populations selected on PI 209332, PI 89772, and Pickett 71 were equivalent on compatible and incompatible soybean roots. The first two populations averaged about 10% and the last about 5% penetration in 24-hour inoculations of young seedlings. About 14% of those juveniles that entered roots in compatible combinations developed into maturing females, compared with only about 1% in incompatible combinations. Several aberrations from the pattern of syncytial development associated with mature females in compatible hosts were apparent. A rapid necrotic response occurred in both kinds of hosts but was more frequent in incompatible associations. Delayed necrosis and small syncytia were present in some combinations. Those few females that developed in incompatible soybeans were associated with a characteristic syncytium different from the kind seen in roots of compatible hosts. Key words: Glycine max, soybean cyst nematode, syncytia, rapid necrotic response.","author":[{"dropping-particle":"","family":"Acedo","given":"J R","non-dropping-particle":"","parse-names":false,"suffix":""},{"dropping-particle":"","family":"Dropkin","given":"V H","non-dropping-particle":"","parse-names":false,"suffix":""},{"dropping-particle":"","family":"Luedders","given":"V D","non-dropping-particle":"","parse-names":false,"suffix":""}],"container-title":"Journal of nematology","id":"ITEM-2","issue":"1","issued":{"date-parts":[["1984"]]},"page":"48-56","title":"Nematode Population Attrition and Histopathology of Heterodera glycines-Soybean Associations.","type":"article-journal","volume":"16"},"uris":["http://www.mendeley.com/documents/?uuid=cbfdc94d-940e-42c8-9c22-e9bc20e2a85a"]}],"mendeley":{"formattedCitation":"(Acedo et al., 1984; Sobczak &amp; Golinowski, 2009)"},"properties":{"noteIndex":0},"schema":"https://github.com/citation-style-language/schema/raw/master/csl-citation.json"}</w:instrText>
      </w:r>
      <w:r w:rsidRPr="002A4326">
        <w:fldChar w:fldCharType="separate"/>
      </w:r>
      <w:r w:rsidRPr="00FB5B67">
        <w:rPr>
          <w:noProof/>
        </w:rPr>
        <w:t>(Acedo et al., 1984; Sobczak &amp; Golinowski, 2009)</w:t>
      </w:r>
      <w:r w:rsidRPr="002A4326">
        <w:fldChar w:fldCharType="end"/>
      </w:r>
      <w:r w:rsidRPr="002A4326">
        <w:t xml:space="preserve">. </w:t>
      </w:r>
      <w:r>
        <w:t>T</w:t>
      </w:r>
      <w:r w:rsidRPr="002A4326">
        <w:t xml:space="preserve">he </w:t>
      </w:r>
      <w:r>
        <w:t>nematode uses these</w:t>
      </w:r>
      <w:r w:rsidRPr="002A4326">
        <w:t xml:space="preserve"> photosynthates and nutrients for growth and reproduction  </w:t>
      </w:r>
      <w:r w:rsidRPr="002A4326">
        <w:fldChar w:fldCharType="begin" w:fldLock="1"/>
      </w:r>
      <w:r>
        <w:instrText>ADDIN CSL_CITATION {"citationItems":[{"id":"ITEM-1","itemData":{"DOI":"10.1094/phi-i-2002-1218-01","abstract":"Plant-parasitic nematodes are pests of agricultural crops and cause considerable economic loss and, especially in developing countries, adverse social impact. They exhibit a variety of parasitic modes, with the endoparasitic cyst and root-knot nematodes attracting the most research interest. As a group, plant-parasitic nematodes display a variety of adaptations to the parasitic lifestyle and some species show remarkable abilities to survive and disperse in the absence of a host. The urgent need to find environmentally acceptable methods of control has provided the impetus for molecular studies to increase understanding of plant-nematode interactions. The burgeoning interest in comparative genomics will be a vital component in understanding the parasitic life style and identifying novel targets for control options. This introductory chapter provides background information about the life-cycle biology of plant-parasitic nematodes, their different feeding strategies and aspects of the host-parasitic interactions.","author":[{"dropping-particle":"","family":"Lambert","given":"K.","non-dropping-particle":"","parse-names":false,"suffix":""},{"dropping-particle":"","family":"Bekal","given":"S.","non-dropping-particle":"","parse-names":false,"suffix":""}],"container-title":"The Plant Health Instructor","id":"ITEM-1","issue":"Poinar 1983","issued":{"date-parts":[["2002"]]},"page":"1-23","title":"Introduction to Plant-Parasitic Nematodes","type":"article-journal"},"uris":["http://www.mendeley.com/documents/?uuid=07c20e54-b637-4f04-8c1d-f9e93358ab94"]}],"mendeley":{"formattedCitation":"(Lambert &amp; Bekal, 2002a)","manualFormatting":"(Lambert and Bekal, 2002)","plainTextFormattedCitation":"(Lambert &amp; Bekal, 2002a)","previouslyFormattedCitation":"(Lambert &amp; Bekal, 2002)"},"properties":{"noteIndex":0},"schema":"https://github.com/citation-style-language/schema/raw/master/csl-citation.json"}</w:instrText>
      </w:r>
      <w:r w:rsidRPr="002A4326">
        <w:fldChar w:fldCharType="separate"/>
      </w:r>
      <w:r w:rsidRPr="002A4326">
        <w:rPr>
          <w:noProof/>
        </w:rPr>
        <w:t>(Lambert and Bekal, 2002)</w:t>
      </w:r>
      <w:r w:rsidRPr="002A4326">
        <w:fldChar w:fldCharType="end"/>
      </w:r>
      <w:r w:rsidRPr="002A4326">
        <w:t xml:space="preserve">. This process deprives the plant of nutrients and causes damage within the vascular tissue that </w:t>
      </w:r>
      <w:r>
        <w:t>can also</w:t>
      </w:r>
      <w:r w:rsidRPr="002A4326">
        <w:t xml:space="preserve"> affect symbiotic nitrogen fixation (NF) activity </w:t>
      </w:r>
      <w:r w:rsidRPr="002A4326">
        <w:fldChar w:fldCharType="begin" w:fldLock="1"/>
      </w:r>
      <w:r>
        <w:instrText>ADDIN CSL_CITATION {"citationItems":[{"id":"ITEM-1","itemData":{"DOI":"10.1590/s0100-41582002000300006","ISSN":"0100-4158","abstract":"The effect of Heterodera glycines on photosynthesis, leaf area and yield of soybean (Glycine max) was studied in two experiments carried out under greenhouse condition. Soybean seeds were sown in 1.5 l (Experiment 1) or 5.0 l (Experiment 2) clay pots filled with a mixture of field soil + sand (1:1) sterilized with methyl bromide. Eight days after sowing, seedlings were thinned to one per pot, and one day later inoculated with 0; 1.200; 3.600; 10.800; 32.400 or 97.200 J2 juveniles of H. glycines. Experiment 1 was carried out during the first 45 days of the inoculation while Experiment 2 was conducted during the whole cycle of the crop. Measurements of photosynthetic rate, stomatic conductance, chlorophyll fluorescence, leaf color, leaf area, and chlorophyll leaf content were taken at ten-day intervals throughout the experiments. Data on fresh root weight, top dry weight, grain yield, number of eggs/gram of roots, and nematode reproduction factor were obtained at the end of the trials. Each treatment was replicated ten times. There was a marked reduction in both photosynthetic rate and chlorophyll content, as well as an evident yellowing of the leaves of the infected plants. Even at the lowest Pi, the effects of H. glycines on the top dry weight or grain yield were quite severe. Despite the parasitism, soybean yield was highly correlated with the integrated leaf area and, accordingly, the use of this parameter was suggested for the design of potential damage prediction models that include physiological aspects of nematode-diseased plants.Os efeitos do parasitismo de Heterodera glycines sobre a fotossíntese, a área foliar e a produção da soja (Glycine Max) foram estudados em casa de vegetação. Dois experimentos foram realizados: Experimento 1, em recipientes menores, até 45 dias após as inoculações e Experimento 2, em recipientes maiores, até o final do ciclo vegetativo da soja . Plantas com nove dias da germinação foram individualmente inoculadas com 0, 1.200, 3.600, 10.800, 32.400 ou 97.200 juvenis J2 (= Pi). A cada dez dias após a inoculação, foram tomadas medidas da taxa fotossintética, condutância estomática, fluorescência da clorofila a, cor das folhas, teor de clorofila e área foliar. Ao final dos experimentos, foram determinadas a massa fresca do sistema radicular, massa seca total da parte aérea, produção de grãos (Experimento 2) e taxa reprodutiva dos nematóides. Nos dois experimentos, os tratamentos foram dispostos em blocos ao acaso, com dez re…","author":[{"dropping-particle":"","family":"ASMUS","given":"GUILHERME L.","non-dropping-particle":"","parse-names":false,"suffix":""},{"dropping-particle":"","family":"FERRAZ","given":"LUIZ CARLOS C. B.","non-dropping-particle":"","parse-names":false,"suffix":""}],"container-title":"Fitopatologia Brasileira","id":"ITEM-1","issued":{"date-parts":[["2002"]]},"title":"Effect of population densities of Heterodera glycines race 3 on leaf area, photosynthesis and yield of soybean","type":"article-journal"},"uris":["http://www.mendeley.com/documents/?uuid=a8351b3a-d38e-4d2a-8b30-b497035b69b8"]}],"mendeley":{"formattedCitation":"(ASMUS &amp; FERRAZ, 2002)","manualFormatting":"(Acedo et al., 1984; Asmus and Ferraz, 2002)","plainTextFormattedCitation":"(ASMUS &amp; FERRAZ, 2002)","previouslyFormattedCitation":"(ASMUS &amp; FERRAZ, 2002)"},"properties":{"noteIndex":0},"schema":"https://github.com/citation-style-language/schema/raw/master/csl-citation.json"}</w:instrText>
      </w:r>
      <w:r w:rsidRPr="002A4326">
        <w:fldChar w:fldCharType="separate"/>
      </w:r>
      <w:r w:rsidRPr="002A4326">
        <w:rPr>
          <w:noProof/>
        </w:rPr>
        <w:t>(</w:t>
      </w:r>
      <w:r w:rsidRPr="002A4326">
        <w:rPr>
          <w:noProof/>
        </w:rPr>
        <w:fldChar w:fldCharType="begin" w:fldLock="1"/>
      </w:r>
      <w:r>
        <w:rPr>
          <w:noProof/>
        </w:rPr>
        <w:instrText>ADDIN CSL_CITATION {"citationItems":[{"id":"ITEM-1","itemData":{"ISSN":"0022-300X","abstract":"Selected populations of soybean cyst nematodes were inoculated to roots of compatible and incompatible soybeans. Rates of penetration of infective juveniles of nematode populations selected on PI 209332, PI 89772, and Pickett 71 were equivalent on compatible and incompatible soybean roots. The first two populations averaged about 10% and the last about 5% penetration in 24-hour inoculations of young seedlings. About 14% of those juveniles that entered roots in compatible combinations developed into maturing females, compared with only about 1% in incompatible combinations. Several aberrations from the pattern of syncytial development associated with mature females in compatible hosts were apparent. A rapid necrotic response occurred in both kinds of hosts but was more frequent in incompatible associations. Delayed necrosis and small syncytia were present in some combinations. Those few females that developed in incompatible soybeans were associated with a characteristic syncytium different from the kind seen in roots of compatible hosts. Key words: Glycine max, soybean cyst nematode, syncytia, rapid necrotic response.","author":[{"dropping-particle":"","family":"Acedo","given":"J R","non-dropping-particle":"","parse-names":false,"suffix":""},{"dropping-particle":"","family":"Dropkin","given":"V H","non-dropping-particle":"","parse-names":false,"suffix":""},{"dropping-particle":"","family":"Luedders","given":"V D","non-dropping-particle":"","parse-names":false,"suffix":""}],"container-title":"Journal of nematology","id":"ITEM-1","issue":"1","issued":{"date-parts":[["1984"]]},"page":"48-56","title":"Nematode Population Attrition and Histopathology of Heterodera glycines-Soybean Associations.","type":"article-journal","volume":"16"},"uris":["http://www.mendeley.com/documents/?uuid=cbfdc94d-940e-42c8-9c22-e9bc20e2a85a"]}],"mendeley":{"formattedCitation":"(Acedo et al., 1984)","manualFormatting":"Acedo et al., 1984; Asmus and Ferraz, 2002)","plainTextFormattedCitation":"(Acedo et al., 1984)","previouslyFormattedCitation":"(Acedo et al., 1984)"},"properties":{"noteIndex":0},"schema":"https://github.com/citation-style-language/schema/raw/master/csl-citation.json"}</w:instrText>
      </w:r>
      <w:r w:rsidRPr="002A4326">
        <w:rPr>
          <w:noProof/>
        </w:rPr>
        <w:fldChar w:fldCharType="separate"/>
      </w:r>
      <w:r w:rsidRPr="002A4326">
        <w:rPr>
          <w:noProof/>
        </w:rPr>
        <w:t>Acedo et al., 1984; Asmus and Ferraz, 2002)</w:t>
      </w:r>
      <w:r w:rsidRPr="002A4326">
        <w:rPr>
          <w:noProof/>
        </w:rPr>
        <w:fldChar w:fldCharType="end"/>
      </w:r>
      <w:r w:rsidRPr="002A4326">
        <w:fldChar w:fldCharType="end"/>
      </w:r>
      <w:r w:rsidRPr="002A4326">
        <w:t xml:space="preserve">. </w:t>
      </w:r>
    </w:p>
    <w:p w14:paraId="7C6FF206" w14:textId="31A7A622" w:rsidR="00D20476" w:rsidRPr="002A4326" w:rsidRDefault="00D20476" w:rsidP="00C66483">
      <w:pPr>
        <w:pStyle w:val="Newparagraph"/>
        <w:spacing w:line="360" w:lineRule="auto"/>
        <w:ind w:left="720"/>
        <w:rPr>
          <w:noProof/>
        </w:rPr>
      </w:pPr>
      <w:r w:rsidRPr="002A4326">
        <w:rPr>
          <w:noProof/>
        </w:rPr>
        <w:t xml:space="preserve">Many researchers have </w:t>
      </w:r>
      <w:r>
        <w:rPr>
          <w:noProof/>
        </w:rPr>
        <w:t>studied how</w:t>
      </w:r>
      <w:r w:rsidRPr="002A4326">
        <w:rPr>
          <w:noProof/>
        </w:rPr>
        <w:t xml:space="preserve"> various SCN biotypes can impair NF activity </w:t>
      </w:r>
      <w:r w:rsidRPr="002A4326">
        <w:rPr>
          <w:noProof/>
        </w:rPr>
        <w:fldChar w:fldCharType="begin" w:fldLock="1"/>
      </w:r>
      <w:r>
        <w:rPr>
          <w:noProof/>
        </w:rPr>
        <w:instrText>ADDIN CSL_CITATION {"citationItems":[{"id":"ITEM-1","itemData":{"DOI":"10.1094/phyto-61-1239","ISSN":"0031949X","author":[{"dropping-particle":"","family":"Lehman","given":"P. S.","non-dropping-particle":"","parse-names":false,"suffix":""}],"container-title":"Phytopathology","id":"ITEM-1","issued":{"date-parts":[["1971"]]},"title":"The Influence of Races of Heterodera glycines on Nodulation and Nitrogen-Fixing Capacity of Soybean","type":"article-journal"},"uris":["http://www.mendeley.com/documents/?uuid=556acc30-32e8-4349-b21a-5eebde1afa05"]},{"id":"ITEM-2","itemData":{"DOI":"10.2134/agronj1980.00021962007200050023x","ISSN":"0002-1962","author":[{"dropping-particle":"","family":"McGinnity","given":"P. J.","non-dropping-particle":"","parse-names":false,"suffix":""},{"dropping-particle":"","family":"Kapusta","given":"George","non-dropping-particle":"","parse-names":false,"suffix":""},{"dropping-particle":"","family":"Myers","given":"Oval","non-dropping-particle":"","parse-names":false,"suffix":""}],"container-title":"Agronomy Journal","id":"ITEM-2","issue":"5","issued":{"date-parts":[["1980"]]},"page":"785","title":"Soybean Cyst Nematode and Rhizobium Strain Influences on Soybean Nodulation and N2-fixation1","type":"article-journal","volume":"72"},"uris":["http://www.mendeley.com/documents/?uuid=feb6d618-c66e-49df-a701-ab5890de406e"]},{"id":"ITEM-3","itemData":{"ISSN":"0022-300X","abstract":"The influence of nematodes on nodulation of soybean varied according to their modes of parasitism. In the greenhouse, nodule formation was stimulated by the endoparasites, Meloidogyne hapla and Pratylenchus penetrans, but was inhibited slightly by the ectoparasite, Belonolaimus longicaudatus. In an experiment under controlled conditions in a phytotron, Heterodera glycines severely inhibited nodule formation, whereas plants inoculated with B. longicaudatus and P. penetrans had more nodules per g root than nematode-free plants. Nitrogen-fixing capacity, however, was inhibited by all three nematode species. Different light sources used in the phytotron experiment also influenced growth and nodulation of soybean. A fluorescent plus incandescent light regime resulted in plants with the greatest shoot weight, pod number, and nodules per g root. Plants grown under Lucalox lamps had excessive stem elongation.","author":[{"dropping-particle":"","family":"Hussey","given":"R S","non-dropping-particle":"","parse-names":false,"suffix":""},{"dropping-particle":"","family":"Barker","given":"K R","non-dropping-particle":"","parse-names":false,"suffix":""}],"container-title":"Journal of nematology","id":"ITEM-3","issue":"1","issued":{"date-parts":[["1976"]]},"page":"48-52","title":"Influence of nematodes and light sources on growth and nodulation of soybean.","type":"article-journal","volume":"8"},"uris":["http://www.mendeley.com/documents/?uuid=99ef6532-d49d-4a7b-b3cd-d94e3b09d308"]},{"id":"ITEM-4","itemData":{"ISSN":"0022-300X","abstract":"A split-root technique was applied to soybean, Glycine max (L.) Merr. cv. Lee 68, to characterize the nature of the nodulation suppression by race 1 of the soybean cyst nematode (SCN), Heterodera glycines. Root-halves of each split-root plant were inoculated with Rhizobium japonicum, and one root-half only was inoculated with various numbers of SCN eggs. Nodulation (indicated by nodule number, nodule weights, and ratio of nodule weight to root weight) and nitrogen-fixing capacity (indicated by rate of acetylene reduction) were systemically and variously suppressed on both root-halves of the split-root plant 5 weeks after half-root inoculation with 12,500 SCN eggs. Inoculation with 500 eggs caused this suppression only on the SCN-infected (+NE) root-half; nodulation on the companion uninfected (-NE) root-half was stimulated slightly. The +NE root-halves inoculated with 5,000 eggs were excised at 2-week intervals; nodulation on the remaining -NE root-halves was not different from that of the noninoculated control when measured 6 weeks after the SCN inoculation. Thus, the systemic suppression of nodulation was reversible upon the removal of the SCN. Similarly, application of various levels of KNO[sub3] to the -NE root-halves of the split-root plant did not alleviate the suppressed nodulation on the companion +NE root-halves, even though plant growth was much improved at certain levels of nitrogen (125 [mu]g N/g soil). This indicated that the localized suppression of nodulation by SCN was caused by factors in addition to poor plant growth. Key words: soybean cyst nematode, Rhizobiura japonicum, Glycine max, nitrogen fixation, split-root technique.","author":[{"dropping-particle":"","family":"Ko","given":"M P","non-dropping-particle":"","parse-names":false,"suffix":""},{"dropping-particle":"","family":"Barker","given":"K R","non-dropping-particle":"","parse-names":false,"suffix":""},{"dropping-particle":"","family":"Huang","given":"J S","non-dropping-particle":"","parse-names":false,"suffix":""}],"container-title":"Journal of nematology","id":"ITEM-4","issue":"1","issued":{"date-parts":[["1984"]]},"page":"97-105","title":"Nodulation of Soybeans as Affected by Half-root Infection with Heterodera glycines.","type":"article-journal","volume":"16"},"uris":["http://www.mendeley.com/documents/?uuid=3595d295-e80f-4246-8b97-a27a9d787c24"]}],"mendeley":{"formattedCitation":"(Hussey &amp; Barker, 1976; Ko et al., 1984; Lehman, 1971; McGinnity et al., 1980)","manualFormatting":"(Hussey and Barker, 1976; Ko et al., 1984; Lehman, 1971; McGinnity et al., 1980)","plainTextFormattedCitation":"(Hussey &amp; Barker, 1976; Ko et al., 1984; Lehman, 1971; McGinnity et al., 1980)","previouslyFormattedCitation":"(Hussey &amp; Barker, 1976; Ko et al., 1984; Lehman, 1971; McGinnity et al., 1980)"},"properties":{"noteIndex":0},"schema":"https://github.com/citation-style-language/schema/raw/master/csl-citation.json"}</w:instrText>
      </w:r>
      <w:r w:rsidRPr="002A4326">
        <w:rPr>
          <w:noProof/>
        </w:rPr>
        <w:fldChar w:fldCharType="separate"/>
      </w:r>
      <w:r w:rsidRPr="002A4326">
        <w:rPr>
          <w:noProof/>
        </w:rPr>
        <w:t>(Hussey and Barker, 1976; Ko et al., 1984; Lehman, 1971; McGinnity et al., 1980)</w:t>
      </w:r>
      <w:r w:rsidRPr="002A4326">
        <w:rPr>
          <w:noProof/>
        </w:rPr>
        <w:fldChar w:fldCharType="end"/>
      </w:r>
      <w:r>
        <w:rPr>
          <w:noProof/>
        </w:rPr>
        <w:t>. However</w:t>
      </w:r>
      <w:r w:rsidR="005F275F">
        <w:rPr>
          <w:noProof/>
        </w:rPr>
        <w:t>,</w:t>
      </w:r>
      <w:r>
        <w:rPr>
          <w:noProof/>
        </w:rPr>
        <w:t xml:space="preserve"> t</w:t>
      </w:r>
      <w:r w:rsidRPr="002A4326">
        <w:rPr>
          <w:noProof/>
        </w:rPr>
        <w:t xml:space="preserve">he SCN biotypes most prevalent in Tennessee have not been investigated </w:t>
      </w:r>
      <w:r>
        <w:rPr>
          <w:noProof/>
        </w:rPr>
        <w:t xml:space="preserve">for activity </w:t>
      </w:r>
      <w:r w:rsidRPr="002A4326">
        <w:rPr>
          <w:noProof/>
        </w:rPr>
        <w:t>aga</w:t>
      </w:r>
      <w:r>
        <w:rPr>
          <w:noProof/>
        </w:rPr>
        <w:t>ins</w:t>
      </w:r>
      <w:r w:rsidRPr="002A4326">
        <w:rPr>
          <w:noProof/>
        </w:rPr>
        <w:t xml:space="preserve">t NF. Soybean cyst nematode HG type 1.2.5.7 is the most prevalent SCN biotype in Tennessee, based on unpublished data (Akinrinlola et al., unpublished) and a previous report </w:t>
      </w:r>
      <w:r w:rsidRPr="002A4326">
        <w:rPr>
          <w:noProof/>
        </w:rPr>
        <w:fldChar w:fldCharType="begin" w:fldLock="1"/>
      </w:r>
      <w:r w:rsidRPr="002A4326">
        <w:rPr>
          <w:noProof/>
        </w:rPr>
        <w:instrText>ADDIN CSL_CITATION {"citationItems":[{"id":"ITEM-1","itemData":{"ISSN":"0022-300X","abstract":"Cordell soybean is a newly released cultivar resistant to Heterodera glycines (SCN) races 3 and 5. The hectarage infested with these races and with other races that can parasitize Cordell in Tennessee is not known. A survey of races in Tennessee soybean fields with sampling weighted by soybean hectarage on a county basis was conducted in 1988. The SCN race plus female development on Bedford and Cordell soybeans were determined in a greenhouse for 21 field populations. Races 2, 3, 4, 5, 6, and 9 were 14%, 5%, 10%, 38%, 19%, and 14% of these populations, respectively. The SCN ~'emale indices on the differentials that were sources of SCN resistance in Bedford and Cordell were not accurate indicators of female development on these cultivars. The female index was &lt; 10 on PI 90763 for 19 populations, but four of these populations had an index &gt; 30 on Cordell, which derives SCN resistance from PI 90763. The index was &lt; 10 on PI 88788 for seven populations, but two populations had an index &gt; 40 on Bedford, which derives resistance from PI 88788. When recommending cultivars to be planted by soybean producers, SCN reproduction should be determined on the cultivars, instead of on race differentials.","author":[{"dropping-particle":"","family":"Young","given":"L D","non-dropping-particle":"","parse-names":false,"suffix":""}],"container-title":"Journal of nematology","id":"ITEM-1","issue":"4S","issued":{"date-parts":[["1990"]]},"page":"672-675","title":"Survey of soybean cyst nematode races in tennessee.","type":"article-journal","volume":"22"},"uris":["http://www.mendeley.com/documents/?uuid=8760494f-7863-4ca9-bb3d-a32ea6a34d79"]}],"mendeley":{"formattedCitation":"(Young, 1990)","plainTextFormattedCitation":"(Young, 1990)","previouslyFormattedCitation":"(Young, 1990)"},"properties":{"noteIndex":0},"schema":"https://github.com/citation-style-language/schema/raw/master/csl-citation.json"}</w:instrText>
      </w:r>
      <w:r w:rsidRPr="002A4326">
        <w:rPr>
          <w:noProof/>
        </w:rPr>
        <w:fldChar w:fldCharType="separate"/>
      </w:r>
      <w:r w:rsidRPr="002A4326">
        <w:rPr>
          <w:noProof/>
        </w:rPr>
        <w:t>(Young, 1990)</w:t>
      </w:r>
      <w:r w:rsidRPr="002A4326">
        <w:rPr>
          <w:noProof/>
        </w:rPr>
        <w:fldChar w:fldCharType="end"/>
      </w:r>
      <w:r w:rsidRPr="002A4326">
        <w:rPr>
          <w:noProof/>
        </w:rPr>
        <w:t xml:space="preserve">. The HG type 1.2.5.7 is a virulent SCN biotype that has adapted </w:t>
      </w:r>
      <w:r>
        <w:rPr>
          <w:noProof/>
        </w:rPr>
        <w:t>to</w:t>
      </w:r>
      <w:r w:rsidRPr="002A4326">
        <w:rPr>
          <w:noProof/>
        </w:rPr>
        <w:t xml:space="preserve"> and is capable of feeding and reproducing </w:t>
      </w:r>
      <w:r w:rsidRPr="002A4326">
        <w:t xml:space="preserve">on the most frequently grown </w:t>
      </w:r>
      <w:r w:rsidRPr="002A4326">
        <w:rPr>
          <w:noProof/>
        </w:rPr>
        <w:t>resistant soybean cultivars in the USA (</w:t>
      </w:r>
      <w:r w:rsidRPr="002A4326">
        <w:fldChar w:fldCharType="begin" w:fldLock="1"/>
      </w:r>
      <w:r>
        <w:instrText>ADDIN CSL_CITATION {"citationItems":[{"id":"ITEM-1","itemData":{"DOI":"10.1094/php-2008-0118-01-rs","ISBN":"2008011801","ISSN":"1535-1025","abstract":"Circadian rhythms in physiology and behavior are temporally synchronized to the day/night cycle through the action of light on the circadian clock. In mammals, transduction of the photic signal reaching the circadian oscillator in the suprachiasmatic nucleus (SCN) occurs through the release of glutamate and pituitary adenylate cyclase-activating peptide (PACAP). The authors' study aimed at clarifying the role played by PACAP in photic resetting and entrainment. They investigated the circadian response to light of PACAPnullmice lacking the 5th exon of the PACAP coding sequence. Specifically, they examined free-running rhythms, entrainment to 12-h light:12-h dark (LD)cycles, the phase-response curve (PRC) to single light pulses, entrainment to a23-h T-cycle, re-entrainment to 6-h phase shifts in LD cycles, and light-induced c-Fos expression. PACAP-null and wild-type mice show similar free-running periods and similar entrainment to 12:12 LD cycles. However, the PRC of PACAP-null mice lacks a phase-advance portion. Surprisingly, despite the absence of phase advance to single light pulses, PACAP-null mice are able to entrain to a 23-h T-cycle, but with a significantly longer phase angle of entrainment than wild types. In addition, PACAP-null mice re-entrain more slowly to a 6-h phase advance of the LD cycle. Nevertheless, induction of c-Fos by light in late night is normal. In all experiments, PACAP-null mice show specific behavioral impairments in response to phase-advancing photic stimuli. These results suggest that PACAP is required for the normal integration of the phase advancing light signal by the SCN","author":[{"dropping-particle":"","family":"Niblack","given":"T. L.","non-dropping-particle":"","parse-names":false,"suffix":""},{"dropping-particle":"","family":"Colgrove","given":"A. L.","non-dropping-particle":"","parse-names":false,"suffix":""},{"dropping-particle":"","family":"Colgrove","given":"K.","non-dropping-particle":"","parse-names":false,"suffix":""},{"dropping-particle":"","family":"Bond","given":"J. P.","non-dropping-particle":"","parse-names":false,"suffix":""}],"container-title":"Plant Health Progress","id":"ITEM-1","issue":"1","issued":{"date-parts":[["2008"]]},"page":"29","title":"Shift in Virulence of Soybean Cyst Nematode is Associated with Use of Resistance from PI 88788","type":"article-journal","volume":"9"},"uris":["http://www.mendeley.com/documents/?uuid=9c335980-21ce-44d4-a7f8-d57d4c2a0907"]}],"mendeley":{"formattedCitation":"(Niblack et al., 2008b)","manualFormatting":"Niblack et al., 2008; Sikora and Noel, 1991;)","plainTextFormattedCitation":"(Niblack et al., 2008b)","previouslyFormattedCitation":"(Niblack et al., 2008)"},"properties":{"noteIndex":0},"schema":"https://github.com/citation-style-language/schema/raw/master/csl-citation.json"}</w:instrText>
      </w:r>
      <w:r w:rsidRPr="002A4326">
        <w:fldChar w:fldCharType="separate"/>
      </w:r>
      <w:r w:rsidRPr="002A4326">
        <w:rPr>
          <w:noProof/>
        </w:rPr>
        <w:t xml:space="preserve">Niblack et al., 2008; </w:t>
      </w:r>
      <w:r w:rsidRPr="002A4326">
        <w:rPr>
          <w:noProof/>
        </w:rPr>
        <w:fldChar w:fldCharType="begin" w:fldLock="1"/>
      </w:r>
      <w:r>
        <w:rPr>
          <w:noProof/>
        </w:rPr>
        <w:instrText>ADDIN CSL_CITATION {"citationItems":[{"id":"ITEM-1","itemData":{"ISSN":"0022-300X","abstract":"Because the race scheme for Heterodera glycines was expanded recently from 5 to 16 races, the occurrence and distribution of races in Illinois need clarification. Forty-four populations of H. glycines were collected from sites in 23 of the 88 infested countries. Populations were tested using the differential soybean lines Pickett 71, Peking, PI 88788, and PI 90763. Lee 68 and Williams 82 were used as standards. Seedlings were grown in 7.5-cm-d clay pots and inoculated with 1,000 eggs and second-stage juveniles obtained from H. glycines-infested field soil. Plants were maintained in a greenhouse at 22-28 C. After 1 month, the number of first-generation white females that developed on each differential was determined and the race of the population was designated. Twenty-eight populations were race 3, twelve were race 1, two were race 5, one was race 2, and one was race 4. Populations of races 3 and 1 were widely distributed in the state. In 26 of the 28 race determinations, race designations using Williams 82 and Lee 68 were the same, indicating that if Lee 68 is not available, Williams 82 may be a suitable alternative for race tests done in the north central United States.","author":[{"dropping-particle":"","family":"Sikora","given":"E J","non-dropping-particle":"","parse-names":false,"suffix":""},{"dropping-particle":"","family":"Noel","given":"G R","non-dropping-particle":"","parse-names":false,"suffix":""}],"container-title":"Journal of nematology","id":"ITEM-1","issue":"4S","issued":{"date-parts":[["1991"]]},"page":"624-628","title":"Distribution of Heterodera glycines Races in Illinois.","type":"article-journal","volume":"23"},"uris":["http://www.mendeley.com/documents/?uuid=a400bca9-16f9-4ffc-b0b8-e0738c007314"]}],"mendeley":{"formattedCitation":"(Sikora &amp; Noel, 1991)","manualFormatting":"Sikora and Noel, 1991","plainTextFormattedCitation":"(Sikora &amp; Noel, 1991)","previouslyFormattedCitation":"(Sikora &amp; Noel, 1991)"},"properties":{"noteIndex":0},"schema":"https://github.com/citation-style-language/schema/raw/master/csl-citation.json"}</w:instrText>
      </w:r>
      <w:r w:rsidRPr="002A4326">
        <w:rPr>
          <w:noProof/>
        </w:rPr>
        <w:fldChar w:fldCharType="separate"/>
      </w:r>
      <w:r w:rsidRPr="002A4326">
        <w:rPr>
          <w:noProof/>
        </w:rPr>
        <w:t>Sikora and Noel, 1991</w:t>
      </w:r>
      <w:r w:rsidRPr="002A4326">
        <w:rPr>
          <w:noProof/>
        </w:rPr>
        <w:fldChar w:fldCharType="end"/>
      </w:r>
      <w:r w:rsidRPr="002A4326">
        <w:rPr>
          <w:noProof/>
        </w:rPr>
        <w:t>)</w:t>
      </w:r>
      <w:r w:rsidRPr="002A4326">
        <w:fldChar w:fldCharType="end"/>
      </w:r>
      <w:r w:rsidRPr="002A4326">
        <w:t xml:space="preserve">. The biotype </w:t>
      </w:r>
      <w:r w:rsidRPr="002A4326">
        <w:rPr>
          <w:noProof/>
        </w:rPr>
        <w:t xml:space="preserve">is also known as race 2 under the SCN Race Classification Scheme </w:t>
      </w:r>
      <w:r w:rsidRPr="002A4326">
        <w:rPr>
          <w:noProof/>
        </w:rPr>
        <w:fldChar w:fldCharType="begin" w:fldLock="1"/>
      </w:r>
      <w:r w:rsidRPr="002A4326">
        <w:rPr>
          <w:noProof/>
        </w:rPr>
        <w:instrText>ADDIN CSL_CITATION {"citationItems":[{"id":"ITEM-1","itemData":{"ISSN":"0022300X","PMID":"19265945","abstract":"Heterodera glycines, the soybean cyst nematode, is a major yield-limiting pathogen in most soybean production areas worldwide. Field populations of H. glycines exhibit diversity in their ability to develop on resistant soybean cultivars. Since 1970, this diversity has been characterized by a bioassay used to assign a race classification to a population. The value of the race scheme is reflected in the number and quality of resistant soybean cultivars that have been developed and released by soybean breeders and nematologists working in concert. However, the race scheme also has been misapplied as a means of studying H. glycines genotypes, in part due to the use of the term \"race.\" For fungal and bacterial pathogen species, \"race\" can theoretically be applied to individuals of a population, thus allowing inference of individual genotypes. Application of a race designation to an individual egg or second-stage juvenile (J2) of H. glycines is not possible because a single J2 cannot be tested on multiple hosts. For other nematode species, \"race\" is defined by host ranges involving different plant species, whereas the H. glycines race test involves a set of lines of the same plant species. Nonetheless, because H. glycines populations vary in genetic diversity, and this variation has implications for management strategies, a mechanism is needed for documenting and discussing population differences. The HG Type scheme described herein avoids the implication of genetic uniformity or predictability in contrast to the way the race scheme has been used.","author":[{"dropping-particle":"","family":"Niblack","given":"T. L.","non-dropping-particle":"","parse-names":false,"suffix":""},{"dropping-particle":"","family":"Arelli","given":"P. R.","non-dropping-particle":"","parse-names":false,"suffix":""},{"dropping-particle":"","family":"Noel","given":"G. R.","non-dropping-particle":"","parse-names":false,"suffix":""},{"dropping-particle":"","family":"Opperman","given":"C. H.","non-dropping-particle":"","parse-names":false,"suffix":""},{"dropping-particle":"","family":"Orf","given":"J. H.","non-dropping-particle":"","parse-names":false,"suffix":""},{"dropping-particle":"","family":"Schmitt","given":"D. P.","non-dropping-particle":"","parse-names":false,"suffix":""},{"dropping-particle":"","family":"Shannon","given":"J. G.","non-dropping-particle":"","parse-names":false,"suffix":""},{"dropping-particle":"","family":"Tylka","given":"G. L.","non-dropping-particle":"","parse-names":false,"suffix":""}],"container-title":"Journal of Nematology","id":"ITEM-1","issue":"4","issued":{"date-parts":[["2002"]]},"page":"279-288","title":"A revised classification scheme for genetically diverse populations of Heterodera glycines","type":"article-journal","volume":"34"},"uris":["http://www.mendeley.com/documents/?uuid=8a3d3ea2-1aaa-4948-85fc-b3429e805af3"]}],"mendeley":{"formattedCitation":"(Niblack et al., 2002)","plainTextFormattedCitation":"(Niblack et al., 2002)","previouslyFormattedCitation":"(Niblack et al., 2002)"},"properties":{"noteIndex":0},"schema":"https://github.com/citation-style-language/schema/raw/master/csl-citation.json"}</w:instrText>
      </w:r>
      <w:r w:rsidRPr="002A4326">
        <w:rPr>
          <w:noProof/>
        </w:rPr>
        <w:fldChar w:fldCharType="separate"/>
      </w:r>
      <w:r w:rsidRPr="002A4326">
        <w:rPr>
          <w:noProof/>
        </w:rPr>
        <w:t>(Niblack et al., 2002)</w:t>
      </w:r>
      <w:r w:rsidRPr="002A4326">
        <w:rPr>
          <w:noProof/>
        </w:rPr>
        <w:fldChar w:fldCharType="end"/>
      </w:r>
      <w:r w:rsidRPr="002A4326">
        <w:rPr>
          <w:noProof/>
        </w:rPr>
        <w:t>. According to a study conducted in North Carolina,  race 2</w:t>
      </w:r>
      <w:r>
        <w:rPr>
          <w:noProof/>
        </w:rPr>
        <w:t xml:space="preserve"> </w:t>
      </w:r>
      <w:r w:rsidRPr="002A4326">
        <w:rPr>
          <w:noProof/>
        </w:rPr>
        <w:t xml:space="preserve">SCN biotype </w:t>
      </w:r>
      <w:r>
        <w:rPr>
          <w:noProof/>
        </w:rPr>
        <w:t>(an equivalent of HG type 1.2.5.7)</w:t>
      </w:r>
      <w:r w:rsidRPr="002A4326">
        <w:rPr>
          <w:noProof/>
        </w:rPr>
        <w:t xml:space="preserve"> does not impact NF activity </w:t>
      </w:r>
      <w:r w:rsidRPr="002A4326">
        <w:rPr>
          <w:noProof/>
        </w:rPr>
        <w:fldChar w:fldCharType="begin" w:fldLock="1"/>
      </w:r>
      <w:r w:rsidRPr="002A4326">
        <w:rPr>
          <w:noProof/>
        </w:rPr>
        <w:instrText>ADDIN CSL_CITATION {"citationItems":[{"id":"ITEM-1","itemData":{"DOI":"10.1094/phyto-61-1239","ISSN":"0031949X","author":[{"dropping-particle":"","family":"Lehman","given":"P. S.","non-dropping-particle":"","parse-names":false,"suffix":""}],"container-title":"Phytopathology","id":"ITEM-1","issued":{"date-parts":[["1971"]]},"title":"The Influence of Races of Heterodera glycines on Nodulation and Nitrogen-Fixing Capacity of Soybean","type":"article-journal"},"uris":["http://www.mendeley.com/documents/?uuid=556acc30-32e8-4349-b21a-5eebde1afa05"]}],"mendeley":{"formattedCitation":"(Lehman, 1971)","plainTextFormattedCitation":"(Lehman, 1971)","previouslyFormattedCitation":"(Lehman, 1971)"},"properties":{"noteIndex":0},"schema":"https://github.com/citation-style-language/schema/raw/master/csl-citation.json"}</w:instrText>
      </w:r>
      <w:r w:rsidRPr="002A4326">
        <w:rPr>
          <w:noProof/>
        </w:rPr>
        <w:fldChar w:fldCharType="separate"/>
      </w:r>
      <w:r w:rsidRPr="002A4326">
        <w:rPr>
          <w:noProof/>
        </w:rPr>
        <w:t>(Lehman, 1971)</w:t>
      </w:r>
      <w:r w:rsidRPr="002A4326">
        <w:rPr>
          <w:noProof/>
        </w:rPr>
        <w:fldChar w:fldCharType="end"/>
      </w:r>
      <w:r w:rsidRPr="002A4326">
        <w:rPr>
          <w:noProof/>
        </w:rPr>
        <w:t xml:space="preserve">, although no data were presented to support the claim. It is important to know if a high NF activity soybean variety can help to prevent significant damage or yield loss in fields infested with HG type 1.2.5.7. Thus, this research effort was undertaken to measure the NF activity of three soybean genotypes inoculated with an SCN HG type 1.2.5.7 population extracted from Tennessee soil. </w:t>
      </w:r>
    </w:p>
    <w:p w14:paraId="6DA4D327" w14:textId="77777777" w:rsidR="00D20476" w:rsidRPr="002A4326" w:rsidRDefault="00D20476" w:rsidP="00C66483">
      <w:pPr>
        <w:pStyle w:val="Newparagraph"/>
        <w:spacing w:line="360" w:lineRule="auto"/>
        <w:ind w:left="720"/>
      </w:pPr>
      <w:r w:rsidRPr="002A4326">
        <w:rPr>
          <w:rFonts w:eastAsia="BemboStd"/>
        </w:rPr>
        <w:t>Generally, NF activity by leguminous plants ha</w:t>
      </w:r>
      <w:r>
        <w:rPr>
          <w:rFonts w:eastAsia="BemboStd"/>
        </w:rPr>
        <w:t>s</w:t>
      </w:r>
      <w:r w:rsidRPr="002A4326">
        <w:rPr>
          <w:rFonts w:eastAsia="BemboStd"/>
        </w:rPr>
        <w:t xml:space="preserve"> been conventionally eval</w:t>
      </w:r>
      <w:r>
        <w:rPr>
          <w:rFonts w:eastAsia="BemboStd"/>
        </w:rPr>
        <w:t>ua</w:t>
      </w:r>
      <w:r w:rsidRPr="002A4326">
        <w:rPr>
          <w:rFonts w:eastAsia="BemboStd"/>
        </w:rPr>
        <w:t>ted using a</w:t>
      </w:r>
      <w:r>
        <w:rPr>
          <w:rFonts w:eastAsia="BemboStd"/>
        </w:rPr>
        <w:t>n</w:t>
      </w:r>
      <w:r w:rsidRPr="002A4326">
        <w:rPr>
          <w:rFonts w:eastAsia="BemboStd"/>
        </w:rPr>
        <w:t xml:space="preserve"> </w:t>
      </w:r>
      <w:r w:rsidRPr="002A4326">
        <w:rPr>
          <w:rFonts w:eastAsia="BemboStd"/>
          <w:i/>
        </w:rPr>
        <w:t>in-vitro</w:t>
      </w:r>
      <w:r w:rsidRPr="002A4326">
        <w:rPr>
          <w:rFonts w:eastAsia="BemboStd"/>
        </w:rPr>
        <w:t xml:space="preserve"> acetylene reduction assay (ARA). The</w:t>
      </w:r>
      <w:r w:rsidRPr="002A4326">
        <w:rPr>
          <w:rFonts w:eastAsia="BemboStd"/>
          <w:i/>
        </w:rPr>
        <w:t xml:space="preserve"> in-vitro</w:t>
      </w:r>
      <w:r w:rsidRPr="002A4326">
        <w:rPr>
          <w:rFonts w:eastAsia="BemboStd"/>
        </w:rPr>
        <w:t xml:space="preserve"> ARA relies on the measurement of acetylene reduction in detached nodules or root segments to estimate NF activity </w:t>
      </w:r>
      <w:r w:rsidRPr="002A4326">
        <w:rPr>
          <w:noProof/>
        </w:rPr>
        <w:fldChar w:fldCharType="begin" w:fldLock="1"/>
      </w:r>
      <w:r>
        <w:rPr>
          <w:noProof/>
        </w:rPr>
        <w:instrText>ADDIN CSL_CITATION {"citationItems":[{"id":"ITEM-1","itemData":{"DOI":"10.1094/phyto-61-1239","ISSN":"0031949X","author":[{"dropping-particle":"","family":"Lehman","given":"P. S.","non-dropping-particle":"","parse-names":false,"suffix":""}],"container-title":"Phytopathology","id":"ITEM-1","issued":{"date-parts":[["1971"]]},"title":"The Influence of Races of Heterodera glycines on Nodulation and Nitrogen-Fixing Capacity of Soybean","type":"article-journal"},"uris":["http://www.mendeley.com/documents/?uuid=556acc30-32e8-4349-b21a-5eebde1afa05"]},{"id":"ITEM-2","itemData":{"DOI":"10.2134/agronj1980.00021962007200050023x","ISSN":"0002-1962","author":[{"dropping-particle":"","family":"McGinnity","given":"P. J.","non-dropping-particle":"","parse-names":false,"suffix":""},{"dropping-particle":"","family":"Kapusta","given":"George","non-dropping-particle":"","parse-names":false,"suffix":""},{"dropping-particle":"","family":"Myers","given":"Oval","non-dropping-particle":"","parse-names":false,"suffix":""}],"container-title":"Agronomy Journal","id":"ITEM-2","issue":"5","issued":{"date-parts":[["1980"]]},"page":"785","title":"Soybean Cyst Nematode and Rhizobium Strain Influences on Soybean Nodulation and N2-fixation1","type":"article-journal","volume":"72"},"uris":["http://www.mendeley.com/documents/?uuid=feb6d618-c66e-49df-a701-ab5890de406e"]},{"id":"ITEM-3","itemData":{"ISSN":"0022-300X","abstract":"The influence of nematodes on nodulation of soybean varied according to their modes of parasitism. In the greenhouse, nodule formation was stimulated by the endoparasites, Meloidogyne hapla and Pratylenchus penetrans, but was inhibited slightly by the ectoparasite, Belonolaimus longicaudatus. In an experiment under controlled conditions in a phytotron, Heterodera glycines severely inhibited nodule formation, whereas plants inoculated with B. longicaudatus and P. penetrans had more nodules per g root than nematode-free plants. Nitrogen-fixing capacity, however, was inhibited by all three nematode species. Different light sources used in the phytotron experiment also influenced growth and nodulation of soybean. A fluorescent plus incandescent light regime resulted in plants with the greatest shoot weight, pod number, and nodules per g root. Plants grown under Lucalox lamps had excessive stem elongation.","author":[{"dropping-particle":"","family":"Hussey","given":"R S","non-dropping-particle":"","parse-names":false,"suffix":""},{"dropping-particle":"","family":"Barker","given":"K R","non-dropping-particle":"","parse-names":false,"suffix":""}],"container-title":"Journal of nematology","id":"ITEM-3","issue":"1","issued":{"date-parts":[["1976"]]},"page":"48-52","title":"Influence of nematodes and light sources on growth and nodulation of soybean.","type":"article-journal","volume":"8"},"uris":["http://www.mendeley.com/documents/?uuid=99ef6532-d49d-4a7b-b3cd-d94e3b09d308"]},{"id":"ITEM-4","itemData":{"ISSN":"0022-300X","abstract":"A split-root technique was applied to soybean, Glycine max (L.) Merr. cv. Lee 68, to characterize the nature of the nodulation suppression by race 1 of the soybean cyst nematode (SCN), Heterodera glycines. Root-halves of each split-root plant were inoculated with Rhizobium japonicum, and one root-half only was inoculated with various numbers of SCN eggs. Nodulation (indicated by nodule number, nodule weights, and ratio of nodule weight to root weight) and nitrogen-fixing capacity (indicated by rate of acetylene reduction) were systemically and variously suppressed on both root-halves of the split-root plant 5 weeks after half-root inoculation with 12,500 SCN eggs. Inoculation with 500 eggs caused this suppression only on the SCN-infected (+NE) root-half; nodulation on the companion uninfected (-NE) root-half was stimulated slightly. The +NE root-halves inoculated with 5,000 eggs were excised at 2-week intervals; nodulation on the remaining -NE root-halves was not different from that of the noninoculated control when measured 6 weeks after the SCN inoculation. Thus, the systemic suppression of nodulation was reversible upon the removal of the SCN. Similarly, application of various levels of KNO[sub3] to the -NE root-halves of the split-root plant did not alleviate the suppressed nodulation on the companion +NE root-halves, even though plant growth was much improved at certain levels of nitrogen (125 [mu]g N/g soil). This indicated that the localized suppression of nodulation by SCN was caused by factors in addition to poor plant growth. Key words: soybean cyst nematode, Rhizobiura japonicum, Glycine max, nitrogen fixation, split-root technique.","author":[{"dropping-particle":"","family":"Ko","given":"M P","non-dropping-particle":"","parse-names":false,"suffix":""},{"dropping-particle":"","family":"Barker","given":"K R","non-dropping-particle":"","parse-names":false,"suffix":""},{"dropping-particle":"","family":"Huang","given":"J S","non-dropping-particle":"","parse-names":false,"suffix":""}],"container-title":"Journal of nematology","id":"ITEM-4","issue":"1","issued":{"date-parts":[["1984"]]},"page":"97-105","title":"Nodulation of Soybeans as Affected by Half-root Infection with Heterodera glycines.","type":"article-journal","volume":"16"},"uris":["http://www.mendeley.com/documents/?uuid=3595d295-e80f-4246-8b97-a27a9d787c24"]}],"mendeley":{"formattedCitation":"(Hussey &amp; Barker, 1976; Ko et al., 1984; Lehman, 1971; McGinnity et al., 1980)","manualFormatting":"(Hussey and Barker, 1976; Ko et al., 1984; Lehman, 1971; McGinnity et al., 1980)","plainTextFormattedCitation":"(Hussey &amp; Barker, 1976; Ko et al., 1984; Lehman, 1971; McGinnity et al., 1980)","previouslyFormattedCitation":"(Hussey &amp; Barker, 1976; Ko et al., 1984; Lehman, 1971; McGinnity et al., 1980)"},"properties":{"noteIndex":0},"schema":"https://github.com/citation-style-language/schema/raw/master/csl-citation.json"}</w:instrText>
      </w:r>
      <w:r w:rsidRPr="002A4326">
        <w:rPr>
          <w:noProof/>
        </w:rPr>
        <w:fldChar w:fldCharType="separate"/>
      </w:r>
      <w:r w:rsidRPr="002A4326">
        <w:rPr>
          <w:noProof/>
        </w:rPr>
        <w:t>(Hussey and Barker, 1976; Ko et al., 1984; Lehman, 1971; McGinnity et al., 1980)</w:t>
      </w:r>
      <w:r w:rsidRPr="002A4326">
        <w:rPr>
          <w:noProof/>
        </w:rPr>
        <w:fldChar w:fldCharType="end"/>
      </w:r>
      <w:r w:rsidRPr="002A4326">
        <w:rPr>
          <w:rFonts w:eastAsia="BemboStd"/>
        </w:rPr>
        <w:t xml:space="preserve">.  The </w:t>
      </w:r>
      <w:r w:rsidRPr="002A4326">
        <w:rPr>
          <w:rFonts w:eastAsia="BemboStd"/>
          <w:i/>
        </w:rPr>
        <w:t>in vitro</w:t>
      </w:r>
      <w:r w:rsidRPr="002A4326">
        <w:rPr>
          <w:rFonts w:eastAsia="BemboStd"/>
        </w:rPr>
        <w:t xml:space="preserve"> ARA approach </w:t>
      </w:r>
      <w:r>
        <w:rPr>
          <w:rFonts w:eastAsia="BemboStd"/>
        </w:rPr>
        <w:t>does not</w:t>
      </w:r>
      <w:r w:rsidRPr="002A4326">
        <w:rPr>
          <w:rFonts w:eastAsia="BemboStd"/>
        </w:rPr>
        <w:t xml:space="preserve"> consider the intimate transport link between intact plants and the nodules. Hence, the approach </w:t>
      </w:r>
      <w:r w:rsidRPr="002A4326">
        <w:rPr>
          <w:noProof/>
        </w:rPr>
        <w:t xml:space="preserve">does not recognize the deleterious impacts of root/nodule excision, flushing of nodules with water, incubation time, and temperature on </w:t>
      </w:r>
      <w:r w:rsidRPr="002A4326">
        <w:t>NF</w:t>
      </w:r>
      <w:r w:rsidRPr="002A4326">
        <w:rPr>
          <w:noProof/>
        </w:rPr>
        <w:t xml:space="preserve"> activity, which can decrease NF activity of the nodules </w:t>
      </w:r>
      <w:r w:rsidRPr="002A4326">
        <w:rPr>
          <w:shd w:val="clear" w:color="auto" w:fill="FFFFFF"/>
        </w:rPr>
        <w:t xml:space="preserve">(Parsons et al., 1992). </w:t>
      </w:r>
      <w:r w:rsidRPr="002A4326">
        <w:rPr>
          <w:noProof/>
        </w:rPr>
        <w:t xml:space="preserve">Additionally, NF activity measured on excised roots instead of an intact plant makes it impossible to perform a repetitive NF evaluation of the same plant. </w:t>
      </w:r>
      <w:r w:rsidRPr="002A4326">
        <w:t xml:space="preserve">Unlike the </w:t>
      </w:r>
      <w:r w:rsidRPr="002A4326">
        <w:rPr>
          <w:i/>
        </w:rPr>
        <w:t>in-vitro</w:t>
      </w:r>
      <w:r w:rsidRPr="002A4326">
        <w:t xml:space="preserve"> assay, an </w:t>
      </w:r>
      <w:r w:rsidRPr="002A4326">
        <w:rPr>
          <w:rFonts w:eastAsia="BemboStd"/>
          <w:i/>
        </w:rPr>
        <w:t>in-situ</w:t>
      </w:r>
      <w:r w:rsidRPr="002A4326">
        <w:rPr>
          <w:rFonts w:eastAsia="BemboStd"/>
        </w:rPr>
        <w:t xml:space="preserve"> continuous-flow ARA </w:t>
      </w:r>
      <w:r w:rsidRPr="002A4326">
        <w:rPr>
          <w:noProof/>
        </w:rPr>
        <w:t xml:space="preserve">allows the measurement of NF activity on undisturbed intact plants, overcoming the limitations associated with root excision, allowing repetitive NF evaluation of the same plant </w:t>
      </w:r>
      <w:r w:rsidRPr="002A4326">
        <w:rPr>
          <w:noProof/>
        </w:rPr>
        <w:fldChar w:fldCharType="begin" w:fldLock="1"/>
      </w:r>
      <w:r>
        <w:rPr>
          <w:noProof/>
        </w:rPr>
        <w:instrText>ADDIN CSL_CITATION {"citationItems":[{"id":"ITEM-1","itemData":{"DOI":"10.1104/pp.78.3.525","ISSN":"15322548","abstract":"The effects of drought stress on soybean nodule conductance and the maximum rate of acetylene reduction were studied with in situ experiments performed during two seasons and under differing field conditions. In both years drought resulted in decreased nodule conductances which could be detected as early as three days after water was withheld. The maximum rate of acetylene reduction was also decreased by drought and was highly correlated with nodule conductance (r = 0.95). Since nodule conductance is equal to the nodule surface area times the permeability, the relationship of these variables to both whole-plant and unit-nodule nitrogenase activity was explored. Drought stress resulted in a decrease in nodule gas permeability followed by decreases in nodule surface area when drought was prolonged. Under all conditions studied acetylene reduction on a unit-nodule surface area basis was highly correlated with nodule gas permeability(r = 0.92). A short-term oxygen enrichment study demonstrated nodule gas permeability may limit oxygen flux into both drought-stressed and well-watered nodules of these field-grown soybeans.","author":[{"dropping-particle":"","family":"Weisz","given":"P. Randall","non-dropping-particle":"","parse-names":false,"suffix":""},{"dropping-particle":"","family":"Denison","given":"Robert F.","non-dropping-particle":"","parse-names":false,"suffix":""},{"dropping-particle":"","family":"Sinclair","given":"Thomas R.","non-dropping-particle":"","parse-names":false,"suffix":""}],"container-title":"Plant Physiology","id":"ITEM-1","issue":"3","issued":{"date-parts":[["1985"]]},"page":"525-530","title":"Response to drought stress of nitrogen fixation (acetylene reduction) rates by field-grown soybeans","type":"article-journal","volume":"78"},"uris":["http://www.mendeley.com/documents/?uuid=803c28d3-98f0-487d-bbdf-381539a2402e"]},{"id":"ITEM-2","itemData":{"DOI":"10.1016/j.fcr.2006.09.010","ISSN":"03784290","abstract":"Drought is by far the most important environmental factor contributing to crop yield loss, especially in soybean [Glycine max (L.) Merr.] where symbiotic fixation of atmospheric nitrogen (N2) is sensitive to even modest soil water deficits. Decline of N2 fixation with soil drying causes yield reductions due to inadequate N for protein production, which is the critical seed product. In this paper, we present a combined physiological and breeding research effort to develop soybean lines that have diminished sensitivity of N2 fixation to drought. A preliminary physiological screen was used to identify lines that potentially expressed N2 fixation drought tolerance. One hundred progeny lines derived from a cross between Jackson, a cultivar proven to have N2 fixation tolerance to drought, and KS4895, a high-yielding line, were tested in the screen. Seventeen lines were identified for subsequent yield trials in moderate- and low-yielding rainfed environments. Two lines, found to have higher yields than commercial checks in these environments were then tested in the greenhouse for their N2 fixation activity in drying soil. Nitrogen fixation activity was found to persist at lower soil water contents than exhibited by the sensitive parent. These two soybean lines offer a genetic resource for increased yields under rainfed conditions as a result of decreased sensitivity of N2 fixation to water deficit. © 2006 Elsevier B.V. All rights reserved.","author":[{"dropping-particle":"","family":"Sinclair","given":"Thomas R.","non-dropping-particle":"","parse-names":false,"suffix":""},{"dropping-particle":"","family":"Purcell","given":"Larry C.","non-dropping-particle":"","parse-names":false,"suffix":""},{"dropping-particle":"","family":"King","given":"C. Andy","non-dropping-particle":"","parse-names":false,"suffix":""},{"dropping-particle":"","family":"Sneller","given":"Clay H.","non-dropping-particle":"","parse-names":false,"suffix":""},{"dropping-particle":"","family":"Chen","given":"Pengyin","non-dropping-particle":"","parse-names":false,"suffix":""},{"dropping-particle":"","family":"Vadez","given":"Vincent","non-dropping-particle":"","parse-names":false,"suffix":""}],"container-title":"Field Crops Research","id":"ITEM-2","issue":"1","issued":{"date-parts":[["2007"]]},"page":"68-71","title":"Drought tolerance and yield increase of soybean resulting from improved symbiotic N2 fixation","type":"article-journal","volume":"101"},"uris":["http://www.mendeley.com/documents/?uuid=daa03ca8-586d-46c9-b74e-add64b7bc97d"]}],"mendeley":{"formattedCitation":"(Sinclair et al., 2007; Weisz et al., 1985)","manualFormatting":"(Sinclair et al., 2007; Weisz et al., 1985)","plainTextFormattedCitation":"(Sinclair et al., 2007; Weisz et al., 1985)","previouslyFormattedCitation":"(Sinclair et al., 2007; Weisz et al., 1985)"},"properties":{"noteIndex":0},"schema":"https://github.com/citation-style-language/schema/raw/master/csl-citation.json"}</w:instrText>
      </w:r>
      <w:r w:rsidRPr="002A4326">
        <w:rPr>
          <w:noProof/>
        </w:rPr>
        <w:fldChar w:fldCharType="separate"/>
      </w:r>
      <w:r w:rsidRPr="002A4326">
        <w:rPr>
          <w:noProof/>
        </w:rPr>
        <w:t>(Sinclair et al., 2007; Weisz et al., 1985)</w:t>
      </w:r>
      <w:r w:rsidRPr="002A4326">
        <w:rPr>
          <w:noProof/>
        </w:rPr>
        <w:fldChar w:fldCharType="end"/>
      </w:r>
      <w:r w:rsidRPr="002A4326">
        <w:rPr>
          <w:noProof/>
        </w:rPr>
        <w:t xml:space="preserve">. The </w:t>
      </w:r>
      <w:r w:rsidRPr="002A4326">
        <w:t xml:space="preserve">repetitive evaluation of NF </w:t>
      </w:r>
      <w:r>
        <w:t>in</w:t>
      </w:r>
      <w:r w:rsidRPr="002A4326">
        <w:t xml:space="preserve"> actively growing plants makes it possible to determine how SCN affects NF activity at various times and growing intervals. Such information can provide insight into when soybean NF is vulnerable or insensitive to SCN activity. </w:t>
      </w:r>
    </w:p>
    <w:p w14:paraId="67456C7C" w14:textId="77777777" w:rsidR="00D20476" w:rsidRPr="002A4326" w:rsidRDefault="00D20476" w:rsidP="00C66483">
      <w:pPr>
        <w:pStyle w:val="Newparagraph"/>
        <w:spacing w:line="360" w:lineRule="auto"/>
        <w:ind w:left="720" w:firstLine="0"/>
      </w:pPr>
      <w:r w:rsidRPr="002A4326">
        <w:rPr>
          <w:noProof/>
        </w:rPr>
        <w:t>The</w:t>
      </w:r>
      <w:r w:rsidRPr="002A4326">
        <w:t xml:space="preserve"> main objective of the study was to assess the impact of </w:t>
      </w:r>
      <w:r w:rsidRPr="002A4326">
        <w:rPr>
          <w:noProof/>
        </w:rPr>
        <w:t xml:space="preserve">SCN </w:t>
      </w:r>
      <w:r w:rsidRPr="002A4326">
        <w:rPr>
          <w:bCs/>
        </w:rPr>
        <w:t xml:space="preserve">HG type 1.2.5.7 </w:t>
      </w:r>
      <w:r w:rsidRPr="002A4326">
        <w:rPr>
          <w:noProof/>
        </w:rPr>
        <w:t xml:space="preserve">on </w:t>
      </w:r>
      <w:r w:rsidRPr="002A4326">
        <w:t xml:space="preserve">NF activity during the early development stage of three soybean genotypes at various time intervals.  A secondary objective was to </w:t>
      </w:r>
      <w:r w:rsidRPr="002A4326">
        <w:rPr>
          <w:noProof/>
        </w:rPr>
        <w:t>evaluate the possible impact of SCN infestation on root and leaf growth parameters.</w:t>
      </w:r>
    </w:p>
    <w:p w14:paraId="6D5FD1D9" w14:textId="77777777" w:rsidR="00D20476" w:rsidRPr="008E2CD0" w:rsidRDefault="00D20476" w:rsidP="00C66483">
      <w:pPr>
        <w:pStyle w:val="Heading1"/>
        <w:spacing w:line="360" w:lineRule="auto"/>
        <w:ind w:left="720"/>
      </w:pPr>
    </w:p>
    <w:p w14:paraId="100254E4" w14:textId="77777777" w:rsidR="00D20476" w:rsidRPr="008E2CD0" w:rsidRDefault="00D20476" w:rsidP="00C66483">
      <w:pPr>
        <w:pStyle w:val="Heading1"/>
        <w:spacing w:line="360" w:lineRule="auto"/>
        <w:ind w:left="720"/>
        <w:jc w:val="center"/>
      </w:pPr>
      <w:bookmarkStart w:id="279" w:name="_bookmark56"/>
      <w:bookmarkStart w:id="280" w:name="_Toc98812752"/>
      <w:bookmarkStart w:id="281" w:name="_Toc98812960"/>
      <w:bookmarkStart w:id="282" w:name="_Toc98813626"/>
      <w:bookmarkStart w:id="283" w:name="_Toc101048134"/>
      <w:bookmarkEnd w:id="279"/>
      <w:r w:rsidRPr="008E2CD0">
        <w:t>Materials</w:t>
      </w:r>
      <w:r w:rsidRPr="008E2CD0">
        <w:rPr>
          <w:spacing w:val="-4"/>
        </w:rPr>
        <w:t xml:space="preserve"> </w:t>
      </w:r>
      <w:r w:rsidRPr="008E2CD0">
        <w:t>and</w:t>
      </w:r>
      <w:r w:rsidRPr="008E2CD0">
        <w:rPr>
          <w:spacing w:val="-4"/>
        </w:rPr>
        <w:t xml:space="preserve"> </w:t>
      </w:r>
      <w:r w:rsidRPr="008E2CD0">
        <w:t>Methods</w:t>
      </w:r>
      <w:bookmarkEnd w:id="280"/>
      <w:bookmarkEnd w:id="281"/>
      <w:bookmarkEnd w:id="282"/>
      <w:bookmarkEnd w:id="283"/>
    </w:p>
    <w:p w14:paraId="4FA4E01D" w14:textId="77777777" w:rsidR="00C66483" w:rsidRDefault="00D20476" w:rsidP="00C66483">
      <w:pPr>
        <w:spacing w:line="360" w:lineRule="auto"/>
        <w:ind w:left="720"/>
        <w:rPr>
          <w:i/>
        </w:rPr>
      </w:pPr>
      <w:bookmarkStart w:id="284" w:name="_bookmark57"/>
      <w:bookmarkStart w:id="285" w:name="_Toc101048135"/>
      <w:bookmarkEnd w:id="284"/>
      <w:r w:rsidRPr="002A4326">
        <w:rPr>
          <w:rStyle w:val="Heading2Char"/>
        </w:rPr>
        <w:t>Test SCN population</w:t>
      </w:r>
      <w:bookmarkEnd w:id="285"/>
      <w:r w:rsidRPr="002A4326">
        <w:rPr>
          <w:i/>
        </w:rPr>
        <w:t xml:space="preserve"> </w:t>
      </w:r>
    </w:p>
    <w:p w14:paraId="66AE9336" w14:textId="51EB6C41" w:rsidR="00D20476" w:rsidRPr="00C66483" w:rsidRDefault="00D20476" w:rsidP="00C66483">
      <w:pPr>
        <w:spacing w:line="360" w:lineRule="auto"/>
        <w:ind w:left="720" w:firstLine="720"/>
        <w:rPr>
          <w:i/>
        </w:rPr>
      </w:pPr>
      <w:r w:rsidRPr="002A4326">
        <w:t>The</w:t>
      </w:r>
      <w:r w:rsidRPr="002A4326">
        <w:rPr>
          <w:i/>
        </w:rPr>
        <w:t xml:space="preserve"> </w:t>
      </w:r>
      <w:r w:rsidRPr="002A4326">
        <w:rPr>
          <w:noProof/>
        </w:rPr>
        <w:t>SCN</w:t>
      </w:r>
      <w:r>
        <w:t xml:space="preserve"> HG Type </w:t>
      </w:r>
      <w:r w:rsidRPr="002A4326">
        <w:t>1.2.5.7. used for the study was extracted from a soil sample collected from a field in West Tennessee. The field had been rotated between corn (</w:t>
      </w:r>
      <w:r w:rsidRPr="002A4326">
        <w:rPr>
          <w:i/>
        </w:rPr>
        <w:t>Zea mays</w:t>
      </w:r>
      <w:r w:rsidRPr="002A4326">
        <w:t xml:space="preserve"> L.) and SCN-resistant soybean cultivars </w:t>
      </w:r>
      <w:r>
        <w:t>at least for the past three years</w:t>
      </w:r>
      <w:r w:rsidRPr="002A4326">
        <w:t xml:space="preserve">. After extraction from the soil sample, the population was </w:t>
      </w:r>
      <w:r>
        <w:t>increased</w:t>
      </w:r>
      <w:r w:rsidRPr="002A4326">
        <w:t xml:space="preserve"> on the roots of seven SCN-resistance indicator soybean lines in a preliminary test to confirm the biotype as HG type 1.2.5.7. using the HG-type test </w:t>
      </w:r>
      <w:r w:rsidRPr="002A4326">
        <w:fldChar w:fldCharType="begin" w:fldLock="1"/>
      </w:r>
      <w:r w:rsidRPr="002A4326">
        <w:instrText>ADDIN CSL_CITATION {"citationItems":[{"id":"ITEM-1","itemData":{"ISSN":"0022300X","PMID":"19265945","abstract":"Heterodera glycines, the soybean cyst nematode, is a major yield-limiting pathogen in most soybean production areas worldwide. Field populations of H. glycines exhibit diversity in their ability to develop on resistant soybean cultivars. Since 1970, this diversity has been characterized by a bioassay used to assign a race classification to a population. The value of the race scheme is reflected in the number and quality of resistant soybean cultivars that have been developed and released by soybean breeders and nematologists working in concert. However, the race scheme also has been misapplied as a means of studying H. glycines genotypes, in part due to the use of the term \"race.\" For fungal and bacterial pathogen species, \"race\" can theoretically be applied to individuals of a population, thus allowing inference of individual genotypes. Application of a race designation to an individual egg or second-stage juvenile (J2) of H. glycines is not possible because a single J2 cannot be tested on multiple hosts. For other nematode species, \"race\" is defined by host ranges involving different plant species, whereas the H. glycines race test involves a set of lines of the same plant species. Nonetheless, because H. glycines populations vary in genetic diversity, and this variation has implications for management strategies, a mechanism is needed for documenting and discussing population differences. The HG Type scheme described herein avoids the implication of genetic uniformity or predictability in contrast to the way the race scheme has been used.","author":[{"dropping-particle":"","family":"Niblack","given":"T. L.","non-dropping-particle":"","parse-names":false,"suffix":""},{"dropping-particle":"","family":"Arelli","given":"P. R.","non-dropping-particle":"","parse-names":false,"suffix":""},{"dropping-particle":"","family":"Noel","given":"G. R.","non-dropping-particle":"","parse-names":false,"suffix":""},{"dropping-particle":"","family":"Opperman","given":"C. H.","non-dropping-particle":"","parse-names":false,"suffix":""},{"dropping-particle":"","family":"Orf","given":"J. H.","non-dropping-particle":"","parse-names":false,"suffix":""},{"dropping-particle":"","family":"Schmitt","given":"D. P.","non-dropping-particle":"","parse-names":false,"suffix":""},{"dropping-particle":"","family":"Shannon","given":"J. G.","non-dropping-particle":"","parse-names":false,"suffix":""},{"dropping-particle":"","family":"Tylka","given":"G. L.","non-dropping-particle":"","parse-names":false,"suffix":""}],"container-title":"Journal of Nematology","id":"ITEM-1","issue":"4","issued":{"date-parts":[["2002"]]},"page":"279-288","title":"A revised classification scheme for genetically diverse populations of Heterodera glycines","type":"article-journal","volume":"34"},"uris":["http://www.mendeley.com/documents/?uuid=8a3d3ea2-1aaa-4948-85fc-b3429e805af3"]}],"mendeley":{"formattedCitation":"(Niblack et al., 2002)","plainTextFormattedCitation":"(Niblack et al., 2002)","previouslyFormattedCitation":"(Niblack et al., 2002)"},"properties":{"noteIndex":0},"schema":"https://github.com/citation-style-language/schema/raw/master/csl-citation.json"}</w:instrText>
      </w:r>
      <w:r w:rsidRPr="002A4326">
        <w:fldChar w:fldCharType="separate"/>
      </w:r>
      <w:r w:rsidRPr="002A4326">
        <w:rPr>
          <w:noProof/>
        </w:rPr>
        <w:t>(Niblack et al., 2002)</w:t>
      </w:r>
      <w:r w:rsidRPr="002A4326">
        <w:fldChar w:fldCharType="end"/>
      </w:r>
      <w:r w:rsidRPr="002A4326">
        <w:t xml:space="preserve">. </w:t>
      </w:r>
    </w:p>
    <w:p w14:paraId="11511D35" w14:textId="77777777" w:rsidR="00AB65D6" w:rsidRDefault="00AB65D6" w:rsidP="00FD1FC5">
      <w:pPr>
        <w:pStyle w:val="Heading2"/>
      </w:pPr>
    </w:p>
    <w:p w14:paraId="636B3D7D" w14:textId="77777777" w:rsidR="002F224D" w:rsidRDefault="00D20476" w:rsidP="00FD1FC5">
      <w:pPr>
        <w:pStyle w:val="Heading2"/>
      </w:pPr>
      <w:bookmarkStart w:id="286" w:name="_Toc101048136"/>
      <w:r w:rsidRPr="002F224D">
        <w:t>Soybean genotypes</w:t>
      </w:r>
      <w:bookmarkEnd w:id="286"/>
      <w:r w:rsidRPr="002F224D">
        <w:t xml:space="preserve"> </w:t>
      </w:r>
    </w:p>
    <w:p w14:paraId="505A2778" w14:textId="42737C10" w:rsidR="00D20476" w:rsidRPr="002A4326" w:rsidRDefault="00D20476" w:rsidP="002F224D">
      <w:pPr>
        <w:pStyle w:val="BodyText"/>
        <w:spacing w:line="360" w:lineRule="auto"/>
        <w:ind w:left="720" w:firstLine="720"/>
        <w:rPr>
          <w:shd w:val="clear" w:color="auto" w:fill="FFFFFF"/>
        </w:rPr>
      </w:pPr>
      <w:r w:rsidRPr="002A4326">
        <w:rPr>
          <w:rFonts w:eastAsia="BemboStd"/>
        </w:rPr>
        <w:t>Details of the soybean</w:t>
      </w:r>
      <w:r w:rsidRPr="002A4326">
        <w:t xml:space="preserve"> genotypes (PI 88788, ‘Williams 82’ and ‘Ellis’) tested in this stud</w:t>
      </w:r>
      <w:r>
        <w:t>y</w:t>
      </w:r>
      <w:r w:rsidRPr="002A4326">
        <w:t xml:space="preserve"> </w:t>
      </w:r>
      <w:r>
        <w:t>are</w:t>
      </w:r>
      <w:r w:rsidRPr="002A4326">
        <w:t xml:space="preserve"> provided in Table </w:t>
      </w:r>
      <w:r>
        <w:t>3.</w:t>
      </w:r>
      <w:r w:rsidRPr="002A4326">
        <w:t xml:space="preserve">1. The genotypes were selected because they are frequently used by </w:t>
      </w:r>
      <w:r w:rsidRPr="00302DB6">
        <w:t xml:space="preserve">growers and researchers </w:t>
      </w:r>
      <w:r w:rsidRPr="00302DB6">
        <w:rPr>
          <w:noProof/>
        </w:rPr>
        <w:t xml:space="preserve">(Bernard and Cremeens, 1988; Jiao et al., 2015; Koenning, 2004; Lambert et al., 2005; Pantalone et al., 2017). </w:t>
      </w:r>
      <w:r w:rsidRPr="00302DB6">
        <w:t xml:space="preserve">Genotype PI 88788 is a maturity group III breeding line introduced </w:t>
      </w:r>
      <w:r w:rsidRPr="002A4326">
        <w:t xml:space="preserve">from China and is important to both growers and breeders. More than 90% of SCN-resistant cultivars in the USA were developed using PI 88788 </w:t>
      </w:r>
      <w:r w:rsidRPr="002A4326">
        <w:fldChar w:fldCharType="begin" w:fldLock="1"/>
      </w:r>
      <w:r>
        <w:instrText>ADDIN CSL_CITATION {"citationItems":[{"id":"ITEM-1","itemData":{"DOI":"10.1094/php-2008-0118-01-rs","ISBN":"2008011801","ISSN":"1535-1025","abstract":"Circadian rhythms in physiology and behavior are temporally synchronized to the day/night cycle through the action of light on the circadian clock. In mammals, transduction of the photic signal reaching the circadian oscillator in the suprachiasmatic nucleus (SCN) occurs through the release of glutamate and pituitary adenylate cyclase-activating peptide (PACAP). The authors' study aimed at clarifying the role played by PACAP in photic resetting and entrainment. They investigated the circadian response to light of PACAPnullmice lacking the 5th exon of the PACAP coding sequence. Specifically, they examined free-running rhythms, entrainment to 12-h light:12-h dark (LD)cycles, the phase-response curve (PRC) to single light pulses, entrainment to a23-h T-cycle, re-entrainment to 6-h phase shifts in LD cycles, and light-induced c-Fos expression. PACAP-null and wild-type mice show similar free-running periods and similar entrainment to 12:12 LD cycles. However, the PRC of PACAP-null mice lacks a phase-advance portion. Surprisingly, despite the absence of phase advance to single light pulses, PACAP-null mice are able to entrain to a 23-h T-cycle, but with a significantly longer phase angle of entrainment than wild types. In addition, PACAP-null mice re-entrain more slowly to a 6-h phase advance of the LD cycle. Nevertheless, induction of c-Fos by light in late night is normal. In all experiments, PACAP-null mice show specific behavioral impairments in response to phase-advancing photic stimuli. These results suggest that PACAP is required for the normal integration of the phase advancing light signal by the SCN","author":[{"dropping-particle":"","family":"Niblack","given":"T. L.","non-dropping-particle":"","parse-names":false,"suffix":""},{"dropping-particle":"","family":"Colgrove","given":"A. L.","non-dropping-particle":"","parse-names":false,"suffix":""},{"dropping-particle":"","family":"Colgrove","given":"K.","non-dropping-particle":"","parse-names":false,"suffix":""},{"dropping-particle":"","family":"Bond","given":"J. P.","non-dropping-particle":"","parse-names":false,"suffix":""}],"container-title":"Plant Health Progress","id":"ITEM-1","issue":"1","issued":{"date-parts":[["2008"]]},"page":"29","title":"Shift in Virulence of Soybean Cyst Nematode is Associated with Use of Resistance from PI 88788","type":"article-journal","volume":"9"},"uris":["http://www.mendeley.com/documents/?uuid=9c335980-21ce-44d4-a7f8-d57d4c2a0907"]}],"mendeley":{"formattedCitation":"(Niblack et al., 2008b)","plainTextFormattedCitation":"(Niblack et al., 2008b)","previouslyFormattedCitation":"(Niblack et al., 2008)"},"properties":{"noteIndex":0},"schema":"https://github.com/citation-style-language/schema/raw/master/csl-citation.json"}</w:instrText>
      </w:r>
      <w:r w:rsidRPr="002A4326">
        <w:fldChar w:fldCharType="separate"/>
      </w:r>
      <w:r>
        <w:rPr>
          <w:noProof/>
        </w:rPr>
        <w:t>(Niblack et al., 2008</w:t>
      </w:r>
      <w:r w:rsidRPr="00FB5B67">
        <w:rPr>
          <w:noProof/>
        </w:rPr>
        <w:t>)</w:t>
      </w:r>
      <w:r w:rsidRPr="002A4326">
        <w:fldChar w:fldCharType="end"/>
      </w:r>
      <w:r w:rsidRPr="002A4326">
        <w:t>, but currently</w:t>
      </w:r>
      <w:r>
        <w:t xml:space="preserve">, </w:t>
      </w:r>
      <w:r w:rsidRPr="002A4326">
        <w:t xml:space="preserve">these resistant cultivars are being damaged by virulent SCN biotypes, causing major concerns to growers </w:t>
      </w:r>
      <w:r w:rsidRPr="002A4326">
        <w:fldChar w:fldCharType="begin" w:fldLock="1"/>
      </w:r>
      <w:r>
        <w:instrText>ADDIN CSL_CITATION {"citationItems":[{"id":"ITEM-1","itemData":{"DOI":"10.1094/php-2008-0118-01-rs","ISBN":"2008011801","ISSN":"1535-1025","abstract":"Circadian rhythms in physiology and behavior are temporally synchronized to the day/night cycle through the action of light on the circadian clock. In mammals, transduction of the photic signal reaching the circadian oscillator in the suprachiasmatic nucleus (SCN) occurs through the release of glutamate and pituitary adenylate cyclase-activating peptide (PACAP). The authors' study aimed at clarifying the role played by PACAP in photic resetting and entrainment. They investigated the circadian response to light of PACAPnullmice lacking the 5th exon of the PACAP coding sequence. Specifically, they examined free-running rhythms, entrainment to 12-h light:12-h dark (LD)cycles, the phase-response curve (PRC) to single light pulses, entrainment to a23-h T-cycle, re-entrainment to 6-h phase shifts in LD cycles, and light-induced c-Fos expression. PACAP-null and wild-type mice show similar free-running periods and similar entrainment to 12:12 LD cycles. However, the PRC of PACAP-null mice lacks a phase-advance portion. Surprisingly, despite the absence of phase advance to single light pulses, PACAP-null mice are able to entrain to a 23-h T-cycle, but with a significantly longer phase angle of entrainment than wild types. In addition, PACAP-null mice re-entrain more slowly to a 6-h phase advance of the LD cycle. Nevertheless, induction of c-Fos by light in late night is normal. In all experiments, PACAP-null mice show specific behavioral impairments in response to phase-advancing photic stimuli. These results suggest that PACAP is required for the normal integration of the phase advancing light signal by the SCN","author":[{"dropping-particle":"","family":"Niblack","given":"T. L.","non-dropping-particle":"","parse-names":false,"suffix":""},{"dropping-particle":"","family":"Colgrove","given":"A. L.","non-dropping-particle":"","parse-names":false,"suffix":""},{"dropping-particle":"","family":"Colgrove","given":"K.","non-dropping-particle":"","parse-names":false,"suffix":""},{"dropping-particle":"","family":"Bond","given":"J. P.","non-dropping-particle":"","parse-names":false,"suffix":""}],"container-title":"Plant Health Progress","id":"ITEM-1","issue":"1","issued":{"date-parts":[["2008"]]},"page":"29","title":"Shift in Virulence of Soybean Cyst Nematode is Associated with Use of Resistance from PI 88788","type":"article-journal","volume":"9"},"uris":["http://www.mendeley.com/documents/?uuid=9530bdfb-8593-4a09-9f8e-7b857d513a57"]}],"mendeley":{"formattedCitation":"(Niblack et al., 2008b)"},"properties":{"noteIndex":0},"schema":"https://github.com/citation-style-language/schema/raw/master/csl-citation.json"}</w:instrText>
      </w:r>
      <w:r w:rsidRPr="002A4326">
        <w:fldChar w:fldCharType="separate"/>
      </w:r>
      <w:r>
        <w:rPr>
          <w:noProof/>
        </w:rPr>
        <w:t>(Niblack et al., 2008</w:t>
      </w:r>
      <w:r w:rsidRPr="00FB5B67">
        <w:rPr>
          <w:noProof/>
        </w:rPr>
        <w:t>)</w:t>
      </w:r>
      <w:r w:rsidRPr="002A4326">
        <w:fldChar w:fldCharType="end"/>
      </w:r>
      <w:r w:rsidRPr="002A4326">
        <w:t xml:space="preserve">. </w:t>
      </w:r>
      <w:r>
        <w:t>‘</w:t>
      </w:r>
      <w:r w:rsidRPr="002A4326">
        <w:t>Williams 82</w:t>
      </w:r>
      <w:r>
        <w:t>’</w:t>
      </w:r>
      <w:r w:rsidRPr="002A4326">
        <w:t xml:space="preserve"> is an SCN-susceptible maturity group III cultivar and is an important breeding line because of its desirable high-yielding capability </w:t>
      </w:r>
      <w:r w:rsidRPr="002A4326">
        <w:fldChar w:fldCharType="begin" w:fldLock="1"/>
      </w:r>
      <w:r>
        <w:instrText>ADDIN CSL_CITATION {"citationItems":[{"id":"ITEM-1","itemData":{"DOI":"10.1007/s00122-014-2409-5","ISSN":"00405752","abstract":"Key message: We performed QTL analysis for SCN resistance in PI 437655 in two mapping populations, characterized CNV ofRhg1through whole-genome resequencing and evaluated the effects of QTL pyramiding to enhance resistance. Abstract: Soybean cyst nematode (SCN, Heterodera glycines Ichinohe) is one of the most serious pests of soybean worldwide. PI 437655 has broader resistance to SCN HG types than PI 88788. The objectives of this study were to identify quantitative trait loci (QTL) underlying SCN resistance in PI 437655, and to evaluate the QTL for their contribution to SCN resistance. Two F6:7 recombinant inbred line populations, derived from cv. Williams 82 × PI 437655 and cv. Hutcheson × PI 437655 crosses, were evaluated for resistance to SCN HG types 1.2.5.7 (PA2), 0 (PA3), 1.3.5.6.7 (PA14), and 1.2.3.4.5.6.7 (LY2). The 1,536 SNP array was used to genotype the mapping populations and construct genetic linkage maps. Two significant QTL were consistently mapped on chromosomes (Chr.) 18 and 20 in these two populations. One QTL on Chr. 18, which corresponds to the known Rhg1 locus, contributed resistance to SCN HG types 1.2.5.7, 0, 1.3.5.6.7, and 1.2.3.4.5.6.7 (PA2, PA3, PA14, and LY2, respectively). Copy number variation (CNV) analysis by whole-genome resequencing showed that PI 437655 and PI 88788 had similar CNV at the Rhg1 locus. The QTL on Chr. 20 contributed resistance to SCN HG types 1.3.5.6.7 (PA14) and 1.2.3.4.5.6.7 (LY2). Evaluation of both QTL showed that pyramiding of Rhg1 and the QTL on Chr. 20 significantly improved the resistance to SCN HG types 1.3.5.6.7 (PA14) and 1.2.3.4.5.6.7 (LY2) in both populations. Our studies provided useful information for deploying PI 437655 as a donor for SCN resistance in soybean breeding through marker-assisted selection.","author":[{"dropping-particle":"","family":"Jiao","given":"Yongqing","non-dropping-particle":"","parse-names":false,"suffix":""},{"dropping-particle":"","family":"Vuong","given":"Tri D.","non-dropping-particle":"","parse-names":false,"suffix":""},{"dropping-particle":"","family":"Liu","given":"Yan","non-dropping-particle":"","parse-names":false,"suffix":""},{"dropping-particle":"","family":"Meinhardt","given":"Clinton","non-dropping-particle":"","parse-names":false,"suffix":""},{"dropping-particle":"","family":"Liu","given":"Yang","non-dropping-particle":"","parse-names":false,"suffix":""},{"dropping-particle":"","family":"Joshi","given":"Trupti","non-dropping-particle":"","parse-names":false,"suffix":""},{"dropping-particle":"","family":"Cregan","given":"Perry B.","non-dropping-particle":"","parse-names":false,"suffix":""},{"dropping-particle":"","family":"Xu","given":"Dong","non-dropping-particle":"","parse-names":false,"suffix":""},{"dropping-particle":"","family":"Shannon","given":"J. Grover","non-dropping-particle":"","parse-names":false,"suffix":""},{"dropping-particle":"","family":"Nguyen","given":"Henry T.","non-dropping-particle":"","parse-names":false,"suffix":""}],"container-title":"Theoretical and Applied Genetics","id":"ITEM-1","issue":"1","issued":{"date-parts":[["2015"]]},"page":"15-23","title":"Identification and evaluation of quantitative trait loci underlying resistance to multiple HG types of soybean cyst nematode in soybean PI 437655","type":"article-journal","volume":"128"},"uris":["http://www.mendeley.com/documents/?uuid=c2f0a7fa-46e0-455c-9ae1-bdfe2d9b3c27"]},{"id":"ITEM-2","itemData":{"DOI":"10.2135/cropsci1988.0011183x002800060049x","ISSN":"0011-183X","author":[{"dropping-particle":"","family":"Bernard","given":"R. L.","non-dropping-particle":"","parse-names":false,"suffix":""},{"dropping-particle":"","family":"Cremeens","given":"C. R.","non-dropping-particle":"","parse-names":false,"suffix":""}],"container-title":"Crop Science","id":"ITEM-2","issue":"6","issued":{"date-parts":[["1988"]]},"page":"1027-1028","title":"Registration of ‘Williams 82’ Soybean","type":"article-journal","volume":"28"},"uris":["http://www.mendeley.com/documents/?uuid=076576b6-ba97-48a7-b1f4-10bd30d18896"]},{"id":"ITEM-3","itemData":{"DOI":"10.1094/PDIS-04-16-0572-RE","ISSN":"01912917","abstract":"The soybean cyst nematode (SCN), Heterodera glycines, is the most important yield-limiting pathogen of soybean in the United States. In South Dakota, SCN has been found in 29 counties, as of 2016, and continues to spread. Determining the virulence phenotypes (HG types) of the SCN populations can reveal the diversity of the SCN populations and the sources of resistance that would be most effective for SCN management. To determine the HG types prevalent in South Dakota, 250 soil samples were collected from at least three arbitrarily selected fields in each of the 28 counties with fields previously found to be infested with SCN. SCN was detected in 82 fields (33%), and combined egg and juvenile counts ranged from 200 to 65,200 per 100 cm3 of soil. Eggs and juveniles were extracted from each soil sample and were used to infest seven SCN HG type test indicator soybean lines and ‘Williams 82’ as the susceptible check. A female index (FI) was calculated based on the number of females found on each indicator line relative to those on the susceptible check. A FI equal to or greater than 10% in any line was assigned as that HG type. Out of 73 SCN populations for which HG type tests were done, 63% had FI ≥10% on PI 548316 (indicator line #7), 25% on PI 88788 (#2), 19% on PI 209332 (#5), 7% on PI 548402 (#1), 4% on PI 90736 (#3), and 4% on PI 89722 (#6). None of the SCN populations had FI ≥10% on PI 437654 (indicator line #4). The most prevalent HG types were 0, 2.5.7, and 7. These accounted for 81% of all the HG types determined for the samples tested. HG types with ≥10% reproduction on indicator lines PI 88788, PI 209332, and PI 548317 were most prevalent in the soil samples tested, suggesting that the use of these sources of resistance for developing SCN resistant cultivars should be avoided. For sustainable SCN management, use of resistant cultivars should be rotated with nonhost crops and cultivars with different sources of resistance.","author":[{"dropping-particle":"","family":"Acharya","given":"K.","non-dropping-particle":"","parse-names":false,"suffix":""},{"dropping-particle":"","family":"Tande","given":"C.","non-dropping-particle":"","parse-names":false,"suffix":""},{"dropping-particle":"","family":"Byamukama","given":"E.","non-dropping-particle":"","parse-names":false,"suffix":""}],"container-title":"Plant Disease","id":"ITEM-3","issue":"11","issued":{"date-parts":[["2016"]]},"page":"2281-2286","title":"Determination of heterodera glycines virulence phenotypes occurring in South Dakota","type":"article-journal","volume":"100"},"uris":["http://www.mendeley.com/documents/?uuid=4db46b6b-d1ca-4973-bb8d-c030156c32ce"]}],"mendeley":{"formattedCitation":"(Acharya et al., 2016; R. L. Bernard &amp; Cremeens, 1988; Y. Jiao et al., 2015)","manualFormatting":"(Acharya et al., 2016; Bernard &amp; Cremeens, 1988; Jiao et al., 2015)","plainTextFormattedCitation":"(Acharya et al., 2016; R. L. Bernard &amp; Cremeens, 1988; Y. Jiao et al., 2015)","previouslyFormattedCitation":"(Acharya et al., 2016; Bernard &amp; Cremeens, 1988; Jiao et al., 2015)"},"properties":{"noteIndex":0},"schema":"https://github.com/citation-style-language/schema/raw/master/csl-citation.json"}</w:instrText>
      </w:r>
      <w:r w:rsidRPr="002A4326">
        <w:fldChar w:fldCharType="separate"/>
      </w:r>
      <w:r>
        <w:rPr>
          <w:noProof/>
        </w:rPr>
        <w:t>(Acharya et al., 2016; Bernard &amp;</w:t>
      </w:r>
      <w:r w:rsidRPr="002A4326">
        <w:rPr>
          <w:noProof/>
        </w:rPr>
        <w:t xml:space="preserve"> Cremeens, 1988; Jiao et al., 2015)</w:t>
      </w:r>
      <w:r w:rsidRPr="002A4326">
        <w:fldChar w:fldCharType="end"/>
      </w:r>
      <w:r w:rsidRPr="002A4326">
        <w:t xml:space="preserve">. Similarly, </w:t>
      </w:r>
      <w:r>
        <w:t>‘</w:t>
      </w:r>
      <w:r w:rsidRPr="002A4326">
        <w:t>Ellis</w:t>
      </w:r>
      <w:r>
        <w:t>’</w:t>
      </w:r>
      <w:r w:rsidRPr="002A4326">
        <w:t xml:space="preserve"> is a high-yielding, maturity group IV, SCN-susceptible soybean variety developed and released by the University of Tennessee. </w:t>
      </w:r>
      <w:r>
        <w:t>‘</w:t>
      </w:r>
      <w:r w:rsidRPr="002A4326">
        <w:t>Ellis</w:t>
      </w:r>
      <w:r>
        <w:t>’</w:t>
      </w:r>
      <w:r w:rsidRPr="002A4326">
        <w:t xml:space="preserve"> is resistant to southern root-knot nematode (</w:t>
      </w:r>
      <w:r w:rsidRPr="002A4326">
        <w:rPr>
          <w:i/>
        </w:rPr>
        <w:t>Meloidogyne incognita</w:t>
      </w:r>
      <w:r w:rsidRPr="002A4326">
        <w:t xml:space="preserve">) and stem canker (caused by </w:t>
      </w:r>
      <w:r w:rsidRPr="002A4326">
        <w:rPr>
          <w:i/>
        </w:rPr>
        <w:t xml:space="preserve">Diaporthe phaseolorum) </w:t>
      </w:r>
      <w:r w:rsidRPr="002A4326">
        <w:t xml:space="preserve">and tolerant to frogeye leaf spot (caused by </w:t>
      </w:r>
      <w:r w:rsidRPr="002A4326">
        <w:rPr>
          <w:i/>
        </w:rPr>
        <w:t>Cercospora sojina</w:t>
      </w:r>
      <w:r w:rsidRPr="00FE51C0">
        <w:t>)</w:t>
      </w:r>
      <w:r w:rsidRPr="002A4326">
        <w:t xml:space="preserve">, </w:t>
      </w:r>
      <w:r w:rsidRPr="002A4326">
        <w:rPr>
          <w:shd w:val="clear" w:color="auto" w:fill="FFFFFF"/>
        </w:rPr>
        <w:t xml:space="preserve">which further makes it </w:t>
      </w:r>
      <w:r w:rsidRPr="002A4326">
        <w:t>desirable to growers and plant breeders (</w:t>
      </w:r>
      <w:r w:rsidRPr="002A4326">
        <w:rPr>
          <w:shd w:val="clear" w:color="auto" w:fill="FFFFFF"/>
        </w:rPr>
        <w:t xml:space="preserve">Pantalone et al., 2017). </w:t>
      </w:r>
    </w:p>
    <w:p w14:paraId="2DA904DB" w14:textId="77777777" w:rsidR="00D20476" w:rsidRPr="002A4326" w:rsidRDefault="00D20476" w:rsidP="00FD1FC5">
      <w:pPr>
        <w:pStyle w:val="Heading2"/>
        <w:rPr>
          <w:rStyle w:val="Heading2Char"/>
        </w:rPr>
      </w:pPr>
    </w:p>
    <w:p w14:paraId="6C44FB5C" w14:textId="1A6FC871" w:rsidR="002F224D" w:rsidRDefault="00D20476" w:rsidP="00FD1FC5">
      <w:pPr>
        <w:pStyle w:val="Heading2"/>
      </w:pPr>
      <w:bookmarkStart w:id="287" w:name="_Toc101048137"/>
      <w:r w:rsidRPr="002F224D">
        <w:rPr>
          <w:rStyle w:val="Heading2Char"/>
          <w:b/>
          <w:bCs/>
          <w:i/>
        </w:rPr>
        <w:t>Infestation of soybean seedlings with SCN eggs</w:t>
      </w:r>
      <w:bookmarkEnd w:id="287"/>
      <w:r w:rsidRPr="002F224D">
        <w:t xml:space="preserve"> </w:t>
      </w:r>
    </w:p>
    <w:p w14:paraId="5CE33E93" w14:textId="54195E56" w:rsidR="00D20476" w:rsidRPr="002F224D" w:rsidRDefault="00D20476" w:rsidP="002F224D">
      <w:pPr>
        <w:spacing w:line="360" w:lineRule="auto"/>
        <w:ind w:left="720" w:firstLine="720"/>
      </w:pPr>
      <w:r w:rsidRPr="002F224D">
        <w:t xml:space="preserve">To ensure that a fresh SCN population was used for infestation, the population was increased on the roots of susceptible soybean cultivar ‘Hutcheson’ in a greenhouse at 27°C for 30 days, after which the root systems were removed from pots, and the nematode cysts were collected. The eggs were extracted according to a standard procedure </w:t>
      </w:r>
      <w:r w:rsidRPr="002F224D">
        <w:fldChar w:fldCharType="begin" w:fldLock="1"/>
      </w:r>
      <w:r w:rsidRPr="002F224D">
        <w:instrText>ADDIN CSL_CITATION {"citationItems":[{"id":"ITEM-1","itemData":{"ISSN":"0022-300X","abstract":"Effects of pot size, length of seedling radicle at the time of inoculation with Heterodera glycines, transplanting after inoculation, type and amount of inoculum, and temperature were tested to determine the optimum procedure for the H. glycines race test. Numbers of H. glycines females extracted from plants in 7.5-cm-d pots tended to be higher than numbers from 10-cm-d pots, but not significantly so. Radicle lengths from 2.5 cm to 7.5 cm had no effect. Transplanting after inoculation reduced the variation in the number of females extracted, but the numbers of females produced were very low. Plump females (40 per pot) or eggs (4,000 per pot) were the best inocula. A constant temperature of 28 C appeared to be optimum. More H. glycines females were extracted from plants 28 days after inoculation than at 35 days. Race tests in which all of these factors were included were still highly variable in the number of H. glycines females extracted from different replications of the same test host. Tests of several susceptible cultivars revealed differences in their capabilities as hosts of H. glycines races.","author":[{"dropping-particle":"","family":"Riggs","given":"R D","non-dropping-particle":"","parse-names":false,"suffix":""},{"dropping-particle":"","family":"Schmitt","given":"D P","non-dropping-particle":"","parse-names":false,"suffix":""}],"container-title":"Journal of nematology","id":"ITEM-1","issue":"2","issued":{"date-parts":[["1991"]]},"page":"149-14954","title":"Optimization of the Heterodera glycines Race Test Procedure.","type":"article-journal","volume":"23"},"uris":["http://www.mendeley.com/documents/?uuid=d853aa19-356c-46d7-a065-4be7f4b10231"]}],"mendeley":{"formattedCitation":"(Riggs &amp; Schmitt, 1991)","manualFormatting":"(Riggs and Schmitt, 1991)","plainTextFormattedCitation":"(Riggs &amp; Schmitt, 1991)","previouslyFormattedCitation":"(Riggs &amp; Schmitt, 1991)"},"properties":{"noteIndex":0},"schema":"https://github.com/citation-style-language/schema/raw/master/csl-citation.json"}</w:instrText>
      </w:r>
      <w:r w:rsidRPr="002F224D">
        <w:fldChar w:fldCharType="separate"/>
      </w:r>
      <w:r w:rsidRPr="002F224D">
        <w:t>(Riggs and Schmitt, 1991)</w:t>
      </w:r>
      <w:r w:rsidRPr="002F224D">
        <w:fldChar w:fldCharType="end"/>
      </w:r>
      <w:r w:rsidRPr="002F224D">
        <w:t xml:space="preserve"> and diluted with water to make an egg suspension for the infestation of the seedlings of the soybean genotypes. Three-day-old seedlings, germinated using seed germination papers in a growth chamber at 28°C, were infested with the egg suspension. One mL of egg suspension containing approximately 10,000 eggs was directly applied to the radicle of each seedling using a multi-repeater pipette (Fisher Scientific, Portsmouth, NH). Another set of seedlings of each genotype without egg infestation was used as a reference treatment (control). </w:t>
      </w:r>
    </w:p>
    <w:p w14:paraId="14E471BC" w14:textId="77777777" w:rsidR="00D20476" w:rsidRDefault="00D20476" w:rsidP="00C66483">
      <w:pPr>
        <w:pStyle w:val="Paragraph"/>
        <w:spacing w:line="360" w:lineRule="auto"/>
        <w:ind w:left="720" w:firstLine="720"/>
      </w:pPr>
      <w:r w:rsidRPr="002A4326">
        <w:t xml:space="preserve">The seeds of PI 88788 and Williams 82 were obtained from USDA </w:t>
      </w:r>
      <w:r w:rsidRPr="002A4326">
        <w:rPr>
          <w:shd w:val="clear" w:color="auto" w:fill="FFFFFF"/>
        </w:rPr>
        <w:t>Germplasm Resources Information Network (GRIN), whereas those of Ellis were supplied by Dr. Avat</w:t>
      </w:r>
      <w:r w:rsidRPr="002A4326">
        <w:t xml:space="preserve"> Shekoofa (University of Tennessee). The seeds were germinated on seed-germinating paper in a growth chamber at 27 °C for three days. One seedling w</w:t>
      </w:r>
      <w:r>
        <w:t>as</w:t>
      </w:r>
      <w:r w:rsidRPr="002A4326">
        <w:t xml:space="preserve"> transplanted</w:t>
      </w:r>
      <w:r>
        <w:t xml:space="preserve"> </w:t>
      </w:r>
      <w:r w:rsidRPr="002A4326">
        <w:t>per pot contain</w:t>
      </w:r>
      <w:r>
        <w:t>ing</w:t>
      </w:r>
      <w:r w:rsidRPr="002A4326">
        <w:t xml:space="preserve"> pasteurized soil mix compris</w:t>
      </w:r>
      <w:r>
        <w:t>ed</w:t>
      </w:r>
      <w:r w:rsidRPr="002A4326">
        <w:t xml:space="preserve"> </w:t>
      </w:r>
      <w:r>
        <w:t xml:space="preserve">of one-part loam </w:t>
      </w:r>
      <w:r w:rsidRPr="002A4326">
        <w:t xml:space="preserve">and three </w:t>
      </w:r>
      <w:r>
        <w:t>parts Manson sand by volume. T</w:t>
      </w:r>
      <w:r w:rsidRPr="002A4326">
        <w:t xml:space="preserve">he soil texture was 90% sand, 4% silt, and 6% clay. </w:t>
      </w:r>
      <w:r>
        <w:t xml:space="preserve">The pot was custom-made using </w:t>
      </w:r>
      <w:r w:rsidRPr="002A4326">
        <w:t xml:space="preserve">polyvinyl chloride (PVC) pipe </w:t>
      </w:r>
      <w:r w:rsidRPr="002A4326">
        <w:rPr>
          <w:rFonts w:eastAsia="BemboStd"/>
        </w:rPr>
        <w:t>(10-cm diameter and 30-cm tall)</w:t>
      </w:r>
      <w:r w:rsidRPr="002A4326">
        <w:t xml:space="preserve"> and </w:t>
      </w:r>
      <w:r>
        <w:t xml:space="preserve">had a toilet flange </w:t>
      </w:r>
      <w:r w:rsidRPr="002A4326">
        <w:t xml:space="preserve">attached to the top so that a lid could be installed to seal the pot during NF measurement. The pot was sealed at the bottom using a PVC cap. The cap had a small inlet hole through which gas was introduced into the pot for continuous airflow during NF measurement. To prevent soil from clogging the inlet hole, a plastic net was placed at the bottom of the pot. </w:t>
      </w:r>
    </w:p>
    <w:p w14:paraId="1AEBF518" w14:textId="77777777" w:rsidR="00D20476" w:rsidRPr="002A4326" w:rsidRDefault="00D20476" w:rsidP="00C66483">
      <w:pPr>
        <w:pStyle w:val="Newparagraph"/>
        <w:spacing w:line="360" w:lineRule="auto"/>
        <w:ind w:left="720"/>
      </w:pPr>
      <w:r w:rsidRPr="002A4326">
        <w:t xml:space="preserve">At transplanting, each pot was </w:t>
      </w:r>
      <w:r w:rsidRPr="002A4326">
        <w:rPr>
          <w:rFonts w:eastAsia="BemboStd"/>
        </w:rPr>
        <w:t>inoculated with the nitrogen-fixing bacteria</w:t>
      </w:r>
      <w:r w:rsidRPr="002A4326">
        <w:rPr>
          <w:rFonts w:eastAsia="BemboStd"/>
          <w:i/>
        </w:rPr>
        <w:t xml:space="preserve"> Bradyrhizobium japonicum</w:t>
      </w:r>
      <w:r w:rsidRPr="002A4326">
        <w:rPr>
          <w:rFonts w:eastAsia="BemboStd"/>
        </w:rPr>
        <w:t xml:space="preserve"> (Verdesian, Cary, NC) inoculum diluted with water. </w:t>
      </w:r>
      <w:r>
        <w:rPr>
          <w:rFonts w:eastAsia="BemboStd"/>
        </w:rPr>
        <w:t>T</w:t>
      </w:r>
      <w:r w:rsidRPr="002A4326">
        <w:rPr>
          <w:rFonts w:eastAsia="BemboStd"/>
        </w:rPr>
        <w:t>he</w:t>
      </w:r>
      <w:r>
        <w:rPr>
          <w:rFonts w:eastAsia="BemboStd"/>
        </w:rPr>
        <w:t>se</w:t>
      </w:r>
      <w:r w:rsidRPr="002A4326">
        <w:rPr>
          <w:rFonts w:eastAsia="BemboStd"/>
        </w:rPr>
        <w:t xml:space="preserve"> plants were grown in </w:t>
      </w:r>
      <w:r w:rsidRPr="002A4326">
        <w:t xml:space="preserve">a greenhouse in a completely randomized design. The maximum and minimum temperatures in the greenhouse were 37°C and 20°C, respectively, and those of the potting soil </w:t>
      </w:r>
      <w:r>
        <w:t xml:space="preserve">was </w:t>
      </w:r>
      <w:r w:rsidRPr="002A4326">
        <w:t xml:space="preserve">30°C and 20°C, respectively. The pots were watered every other day </w:t>
      </w:r>
      <w:r>
        <w:t>and</w:t>
      </w:r>
      <w:r w:rsidRPr="002A4326">
        <w:t xml:space="preserve"> fertilized once a week </w:t>
      </w:r>
      <w:r>
        <w:t>with</w:t>
      </w:r>
      <w:r w:rsidRPr="002A4326">
        <w:t xml:space="preserve"> an N-minus fertilizer. Twenty </w:t>
      </w:r>
      <w:r w:rsidRPr="002A4326">
        <w:rPr>
          <w:shd w:val="clear" w:color="auto" w:fill="FFFFFF"/>
        </w:rPr>
        <w:t xml:space="preserve">days after transplanting, pots were sealed airtight at the top with </w:t>
      </w:r>
      <w:r w:rsidRPr="002A4326">
        <w:rPr>
          <w:rFonts w:eastAsia="BemboStd"/>
        </w:rPr>
        <w:t xml:space="preserve">a two-piece lid that was sealed around the plant stem and attached to the pot. The primary leaves of all plants were removed to avoid interference in sealing the pots.  After sealing, </w:t>
      </w:r>
      <w:r w:rsidRPr="002A4326">
        <w:t xml:space="preserve">measurements of NF activity were taken on nine different days </w:t>
      </w:r>
      <w:r w:rsidRPr="002A4326">
        <w:rPr>
          <w:shd w:val="clear" w:color="auto" w:fill="FFFFFF"/>
        </w:rPr>
        <w:t>between 22 days and 45 days after transplanting</w:t>
      </w:r>
      <w:r w:rsidRPr="002A4326">
        <w:rPr>
          <w:rFonts w:eastAsia="BemboStd"/>
        </w:rPr>
        <w:t xml:space="preserve"> using </w:t>
      </w:r>
      <w:r w:rsidRPr="002A4326">
        <w:t xml:space="preserve">the </w:t>
      </w:r>
      <w:r w:rsidRPr="002A4326">
        <w:rPr>
          <w:i/>
        </w:rPr>
        <w:t>in situ</w:t>
      </w:r>
      <w:r w:rsidRPr="002A4326">
        <w:t xml:space="preserve"> acetylene reduction assay.</w:t>
      </w:r>
    </w:p>
    <w:p w14:paraId="1A654080" w14:textId="77777777" w:rsidR="00AB65D6" w:rsidRPr="002A4326" w:rsidRDefault="00AB65D6" w:rsidP="00C66483">
      <w:pPr>
        <w:adjustRightInd w:val="0"/>
        <w:spacing w:line="360" w:lineRule="auto"/>
        <w:ind w:left="720"/>
      </w:pPr>
    </w:p>
    <w:p w14:paraId="7D218C32" w14:textId="77777777" w:rsidR="00D20476" w:rsidRPr="002A4326" w:rsidRDefault="00D20476" w:rsidP="00FD1FC5">
      <w:pPr>
        <w:pStyle w:val="Heading2"/>
      </w:pPr>
      <w:bookmarkStart w:id="288" w:name="_Toc101048138"/>
      <w:r w:rsidRPr="002A4326">
        <w:t>Measurement of NF activity via in-situ flow-through acetylene reduction assay</w:t>
      </w:r>
      <w:bookmarkEnd w:id="288"/>
      <w:r w:rsidRPr="002A4326">
        <w:t xml:space="preserve"> </w:t>
      </w:r>
    </w:p>
    <w:p w14:paraId="0B0C51FA" w14:textId="77777777" w:rsidR="00D20476" w:rsidRPr="002A4326" w:rsidRDefault="00D20476" w:rsidP="00BD1533">
      <w:pPr>
        <w:pStyle w:val="Paragraph"/>
        <w:spacing w:before="0" w:line="360" w:lineRule="auto"/>
        <w:ind w:left="720" w:firstLine="720"/>
        <w:rPr>
          <w:rFonts w:eastAsia="BemboStd"/>
        </w:rPr>
      </w:pPr>
      <w:r w:rsidRPr="002A4326">
        <w:rPr>
          <w:rFonts w:eastAsia="BemboStd"/>
        </w:rPr>
        <w:t>This assay allows for the estimation of NF activity by measuring the rate of reduction of acetylene gas (C</w:t>
      </w:r>
      <w:r w:rsidRPr="002A4326">
        <w:rPr>
          <w:rFonts w:eastAsia="BemboStd"/>
          <w:vertAlign w:val="subscript"/>
        </w:rPr>
        <w:t>2</w:t>
      </w:r>
      <w:r w:rsidRPr="002A4326">
        <w:rPr>
          <w:rFonts w:eastAsia="BemboStd"/>
        </w:rPr>
        <w:t>H</w:t>
      </w:r>
      <w:r w:rsidRPr="002A4326">
        <w:rPr>
          <w:rFonts w:eastAsia="BemboStd"/>
          <w:vertAlign w:val="subscript"/>
        </w:rPr>
        <w:t>2</w:t>
      </w:r>
      <w:r w:rsidRPr="002A4326">
        <w:rPr>
          <w:rFonts w:eastAsia="BemboStd"/>
        </w:rPr>
        <w:t>) to ethylene (C</w:t>
      </w:r>
      <w:r w:rsidRPr="002A4326">
        <w:rPr>
          <w:rFonts w:eastAsia="BemboStd"/>
          <w:vertAlign w:val="subscript"/>
        </w:rPr>
        <w:t>2</w:t>
      </w:r>
      <w:r w:rsidRPr="002A4326">
        <w:rPr>
          <w:rFonts w:eastAsia="BemboStd"/>
        </w:rPr>
        <w:t>H</w:t>
      </w:r>
      <w:r w:rsidRPr="002A4326">
        <w:rPr>
          <w:rFonts w:eastAsia="BemboStd"/>
          <w:vertAlign w:val="subscript"/>
        </w:rPr>
        <w:t>4</w:t>
      </w:r>
      <w:r w:rsidRPr="002A4326">
        <w:rPr>
          <w:rFonts w:eastAsia="BemboStd"/>
        </w:rPr>
        <w:t xml:space="preserve">). The protocol for the assay was </w:t>
      </w:r>
      <w:r w:rsidRPr="002A4326">
        <w:t xml:space="preserve">described by </w:t>
      </w:r>
      <w:r w:rsidRPr="002A4326">
        <w:fldChar w:fldCharType="begin" w:fldLock="1"/>
      </w:r>
      <w:r w:rsidRPr="002A4326">
        <w:instrText>ADDIN CSL_CITATION {"citationItems":[{"id":"ITEM-1","itemData":{"DOI":"10.2135/cropsci2013.02.0095","ISSN":"0011183X","abstract":"To overcome the severe limitation of crop yield that may result from drought, specific plant traits are being explored. Soybean [Glycine max (L.) Merr.] genotypes that express a \"slow-wilting\" phenotype have been evaluated as sources of useful drought traits. However, the unique physiological characteristic of PI 471938 resulting in slow-wilting progeny and in high-yielding progeny has not been resolved. This study was undertaken to explore the possibility that it may have especially tolerant N fixation activity as soil dries. In fact, greenhouse experiments confirmed this possibility with its N fixation tolerance being among the greatest reported for soybean genotypes. Like other genotypes with N fixation drought tolerance, the accumulation of ureides in its leaves is low compared to a fast-wilting cultivar. Measurements of water status of PI 471938 as compared to the fast-wilting cultivar Benning showed that PI 471938 is able to maintain a greater leaf turgor pressure during soil drying as a result of a lower osmotic potential. © © Crop Science Society of America All rights reserved.","author":[{"dropping-particle":"","family":"Devi","given":"M. J.","non-dropping-particle":"","parse-names":false,"suffix":""},{"dropping-particle":"","family":"Sinclair","given":"T. R.","non-dropping-particle":"","parse-names":false,"suffix":""}],"container-title":"Crop Science","id":"ITEM-1","issue":"5","issued":{"date-parts":[["2013"]]},"page":"2072-2078","title":"Nitrogen fixation drought tolerance of the slow-wilting soybean PI 471938","type":"article-journal","volume":"53"},"uris":["http://www.mendeley.com/documents/?uuid=71aa5e48-f599-4984-bbe7-8a8b1b3408e6"]}],"mendeley":{"formattedCitation":"(Devi &amp; Sinclair, 2013)","manualFormatting":"Devi and Sinclair (2013)","plainTextFormattedCitation":"(Devi &amp; Sinclair, 2013)","previouslyFormattedCitation":"(Devi &amp; Sinclair, 2013)"},"properties":{"noteIndex":0},"schema":"https://github.com/citation-style-language/schema/raw/master/csl-citation.json"}</w:instrText>
      </w:r>
      <w:r w:rsidRPr="002A4326">
        <w:fldChar w:fldCharType="separate"/>
      </w:r>
      <w:r w:rsidRPr="002A4326">
        <w:rPr>
          <w:noProof/>
        </w:rPr>
        <w:t>Devi and Sinclair (2013)</w:t>
      </w:r>
      <w:r w:rsidRPr="002A4326">
        <w:fldChar w:fldCharType="end"/>
      </w:r>
      <w:r w:rsidRPr="002A4326">
        <w:t>.</w:t>
      </w:r>
      <w:r w:rsidRPr="002A4326">
        <w:rPr>
          <w:rFonts w:eastAsia="BemboStd"/>
        </w:rPr>
        <w:t xml:space="preserve"> Before NF measurement, air with no acetylene was flowed at 1 L min</w:t>
      </w:r>
      <w:r w:rsidRPr="002A4326">
        <w:rPr>
          <w:rFonts w:eastAsia="BemboStd"/>
          <w:vertAlign w:val="superscript"/>
        </w:rPr>
        <w:t>-11</w:t>
      </w:r>
      <w:r>
        <w:rPr>
          <w:rFonts w:eastAsia="BemboStd"/>
          <w:vertAlign w:val="superscript"/>
        </w:rPr>
        <w:t xml:space="preserve"> </w:t>
      </w:r>
      <w:r w:rsidRPr="002A4326">
        <w:rPr>
          <w:rFonts w:eastAsia="BemboStd"/>
        </w:rPr>
        <w:t xml:space="preserve">through all pots for 30 min, through the inlet at the bottom of the pots, and out via the outlet at the top of the pots. </w:t>
      </w:r>
      <w:r w:rsidRPr="002A4326">
        <w:t>This was done to flush the pots of possible accumulation of CO</w:t>
      </w:r>
      <w:r w:rsidRPr="002A4326">
        <w:rPr>
          <w:vertAlign w:val="subscript"/>
        </w:rPr>
        <w:t>2</w:t>
      </w:r>
      <w:r w:rsidRPr="002A4326">
        <w:t xml:space="preserve"> and replenish the oxygen levels in the pots.</w:t>
      </w:r>
      <w:r w:rsidRPr="002A4326">
        <w:rPr>
          <w:rFonts w:eastAsia="BemboStd"/>
        </w:rPr>
        <w:t xml:space="preserve"> After this, a gas mixture comprised of acetylene and air (1: 9 ratio) was flowed into the pots through the bottom inlet at 1 L min</w:t>
      </w:r>
      <w:r w:rsidRPr="002A4326">
        <w:rPr>
          <w:rFonts w:eastAsia="BemboStd"/>
          <w:vertAlign w:val="superscript"/>
        </w:rPr>
        <w:t>-1</w:t>
      </w:r>
      <w:r w:rsidRPr="002A4326">
        <w:rPr>
          <w:rFonts w:eastAsia="BemboStd"/>
        </w:rPr>
        <w:t xml:space="preserve"> for 15 min to reach a steady</w:t>
      </w:r>
      <w:r>
        <w:rPr>
          <w:rFonts w:eastAsia="BemboStd"/>
        </w:rPr>
        <w:t xml:space="preserve"> </w:t>
      </w:r>
      <w:r w:rsidRPr="002A4326">
        <w:rPr>
          <w:rFonts w:eastAsia="BemboStd"/>
        </w:rPr>
        <w:t>state of ethylene production as a result of acetylene reduction. After reaching steady</w:t>
      </w:r>
      <w:r>
        <w:rPr>
          <w:rFonts w:eastAsia="BemboStd"/>
        </w:rPr>
        <w:t>-</w:t>
      </w:r>
      <w:r w:rsidRPr="002A4326">
        <w:rPr>
          <w:rFonts w:eastAsia="BemboStd"/>
        </w:rPr>
        <w:t xml:space="preserve">state, three 1-mL gas samples were collected in syringes from the outflow from each pot.  Gas samples were also collected from the inflow gas (acetylene introduced into the root zone). After sample collection, air with no acetylene was again flowed through all pots for an hour to flush out all acetylene gas from the pots. The ethylene component of the gas samples was analyzed </w:t>
      </w:r>
      <w:r>
        <w:rPr>
          <w:rFonts w:eastAsia="BemboStd"/>
        </w:rPr>
        <w:t>with</w:t>
      </w:r>
      <w:r w:rsidRPr="002A4326">
        <w:rPr>
          <w:rFonts w:eastAsia="BemboStd"/>
        </w:rPr>
        <w:t xml:space="preserve"> a flame ionization gas chromatograph (Shimadzu Model 5710A, </w:t>
      </w:r>
      <w:r w:rsidRPr="002A4326">
        <w:rPr>
          <w:shd w:val="clear" w:color="auto" w:fill="FFFFFF"/>
        </w:rPr>
        <w:t>Shimadzu Corporation</w:t>
      </w:r>
      <w:r w:rsidRPr="002A4326">
        <w:rPr>
          <w:rFonts w:eastAsia="BemboStd"/>
        </w:rPr>
        <w:t xml:space="preserve">, Kyoto). The ethylene gas concentration of the inflow gas was subtracted from the outflow concentration to obtain ethylene production </w:t>
      </w:r>
      <w:r>
        <w:rPr>
          <w:rFonts w:eastAsia="BemboStd"/>
        </w:rPr>
        <w:t>values for</w:t>
      </w:r>
      <w:r w:rsidRPr="002A4326">
        <w:rPr>
          <w:rFonts w:eastAsia="BemboStd"/>
        </w:rPr>
        <w:t xml:space="preserve"> the nodules. The ethylene concentration was converted to an ethylene production rate (µmoles C</w:t>
      </w:r>
      <w:r w:rsidRPr="002A4326">
        <w:rPr>
          <w:rFonts w:eastAsia="BemboStd"/>
          <w:vertAlign w:val="subscript"/>
        </w:rPr>
        <w:t>2</w:t>
      </w:r>
      <w:r w:rsidRPr="002A4326">
        <w:rPr>
          <w:rFonts w:eastAsia="BemboStd"/>
        </w:rPr>
        <w:t>H</w:t>
      </w:r>
      <w:r w:rsidRPr="002A4326">
        <w:rPr>
          <w:rFonts w:eastAsia="BemboStd"/>
          <w:vertAlign w:val="subscript"/>
        </w:rPr>
        <w:t>4</w:t>
      </w:r>
      <w:r w:rsidRPr="002A4326">
        <w:rPr>
          <w:rFonts w:eastAsia="BemboStd"/>
        </w:rPr>
        <w:t xml:space="preserve"> plant</w:t>
      </w:r>
      <w:r w:rsidRPr="002A4326">
        <w:rPr>
          <w:rFonts w:eastAsia="BemboStd"/>
          <w:vertAlign w:val="superscript"/>
        </w:rPr>
        <w:t>-1</w:t>
      </w:r>
      <w:r w:rsidRPr="002A4326">
        <w:rPr>
          <w:rFonts w:eastAsia="BemboStd"/>
        </w:rPr>
        <w:t xml:space="preserve"> minute</w:t>
      </w:r>
      <w:r w:rsidRPr="002A4326">
        <w:rPr>
          <w:rFonts w:eastAsia="BemboStd"/>
          <w:vertAlign w:val="superscript"/>
        </w:rPr>
        <w:t>-1</w:t>
      </w:r>
      <w:r w:rsidRPr="002A4326">
        <w:rPr>
          <w:rFonts w:eastAsia="BemboStd"/>
        </w:rPr>
        <w:t>) by accounting for the flow rate through the pots.</w:t>
      </w:r>
    </w:p>
    <w:p w14:paraId="72B1A860" w14:textId="77777777" w:rsidR="00D20476" w:rsidRPr="002A4326" w:rsidRDefault="00D20476" w:rsidP="00C66483">
      <w:pPr>
        <w:adjustRightInd w:val="0"/>
        <w:spacing w:line="360" w:lineRule="auto"/>
        <w:ind w:left="720"/>
        <w:rPr>
          <w:shd w:val="clear" w:color="auto" w:fill="FFFFFF"/>
        </w:rPr>
      </w:pPr>
    </w:p>
    <w:p w14:paraId="249572CC" w14:textId="77777777" w:rsidR="00D20476" w:rsidRPr="002A4326" w:rsidRDefault="00D20476" w:rsidP="00FD1FC5">
      <w:pPr>
        <w:pStyle w:val="Heading2"/>
      </w:pPr>
      <w:bookmarkStart w:id="289" w:name="_Toc101048139"/>
      <w:r w:rsidRPr="002A4326">
        <w:t>Measurement of leaf growth parameters</w:t>
      </w:r>
      <w:bookmarkEnd w:id="289"/>
      <w:r w:rsidRPr="002A4326">
        <w:t xml:space="preserve"> </w:t>
      </w:r>
    </w:p>
    <w:p w14:paraId="1461C2C5" w14:textId="77777777" w:rsidR="00D20476" w:rsidRPr="002A4326" w:rsidRDefault="00D20476" w:rsidP="007861C5">
      <w:pPr>
        <w:pStyle w:val="Paragraph"/>
        <w:spacing w:before="0" w:line="360" w:lineRule="auto"/>
        <w:ind w:left="720" w:firstLine="720"/>
      </w:pPr>
      <w:r w:rsidRPr="002A4326">
        <w:t xml:space="preserve">Leaf color and leaf area were measured as indicators of leaf development response to the nematode infestation. Leaf color was measured six times (at least twice per week) between 22 days and 45 days after transplanting, using a </w:t>
      </w:r>
      <w:r w:rsidRPr="002A4326">
        <w:rPr>
          <w:shd w:val="clear" w:color="auto" w:fill="FFFFFF"/>
        </w:rPr>
        <w:t>Soil Plant Analysis Development (</w:t>
      </w:r>
      <w:r w:rsidRPr="002A4326">
        <w:t>SPAD)-502 meter (Konica-Minolta, Tokyo). Typically, the SPAD meter value is positively associated with chlorophyll level (</w:t>
      </w:r>
      <w:r w:rsidRPr="002A4326">
        <w:rPr>
          <w:noProof/>
        </w:rPr>
        <w:t xml:space="preserve">Markwell et al., 1995). </w:t>
      </w:r>
      <w:r w:rsidRPr="002A4326">
        <w:t xml:space="preserve">The SPAD meter values of three </w:t>
      </w:r>
      <w:r w:rsidRPr="00FE51C0">
        <w:t>trifoliolate</w:t>
      </w:r>
      <w:r w:rsidRPr="002A4326">
        <w:t xml:space="preserve"> leaves were recorded during each sampling and the mean value </w:t>
      </w:r>
      <w:r>
        <w:t xml:space="preserve">was </w:t>
      </w:r>
      <w:r w:rsidRPr="002A4326">
        <w:t xml:space="preserve">recorded per plant. After harvest, </w:t>
      </w:r>
      <w:r>
        <w:t xml:space="preserve">the </w:t>
      </w:r>
      <w:r w:rsidRPr="002A4326">
        <w:t xml:space="preserve">leaf area for all leaves per plant was measured </w:t>
      </w:r>
      <w:r>
        <w:t>with an</w:t>
      </w:r>
      <w:r w:rsidRPr="002A4326">
        <w:t xml:space="preserve"> LI-3100C Leaf Area Meter (Li-Cor, Lincoln, NE).</w:t>
      </w:r>
    </w:p>
    <w:p w14:paraId="0579BE0F" w14:textId="77777777" w:rsidR="00D20476" w:rsidRPr="002A4326" w:rsidRDefault="00D20476" w:rsidP="00C66483">
      <w:pPr>
        <w:adjustRightInd w:val="0"/>
        <w:spacing w:line="360" w:lineRule="auto"/>
        <w:ind w:left="720"/>
      </w:pPr>
    </w:p>
    <w:p w14:paraId="2A7D0BA9" w14:textId="77777777" w:rsidR="00D20476" w:rsidRPr="002A4326" w:rsidRDefault="00D20476" w:rsidP="00FD1FC5">
      <w:pPr>
        <w:pStyle w:val="Heading2"/>
      </w:pPr>
      <w:bookmarkStart w:id="290" w:name="_Toc101048140"/>
      <w:r w:rsidRPr="002A4326">
        <w:t>Measurement of leaf N content</w:t>
      </w:r>
      <w:bookmarkEnd w:id="290"/>
      <w:r w:rsidRPr="002A4326">
        <w:t xml:space="preserve"> </w:t>
      </w:r>
    </w:p>
    <w:p w14:paraId="12893DC5" w14:textId="7178922B" w:rsidR="00D20476" w:rsidRDefault="00D20476" w:rsidP="00FA1E10">
      <w:pPr>
        <w:pStyle w:val="Paragraph"/>
        <w:spacing w:before="0" w:line="360" w:lineRule="auto"/>
        <w:ind w:left="720" w:firstLine="720"/>
      </w:pPr>
      <w:r w:rsidRPr="002A4326">
        <w:t xml:space="preserve">At harvest, all leaves per plant were collected and dried in an oven at 60°C for 5 days. The leaves were ground </w:t>
      </w:r>
      <w:r>
        <w:t>in a</w:t>
      </w:r>
      <w:r w:rsidRPr="002A4326">
        <w:t xml:space="preserve"> Krups stainless steel spice and coffee grinder (Krups, Solingen, Germany), and the Dumas dry combustion method was used to determine nitrogen concentration in 150 mg of the sample using a LECO Truespec CN analyzer (Leco Corporation, St Joseph, MI) </w:t>
      </w:r>
      <w:r w:rsidRPr="002A4326">
        <w:fldChar w:fldCharType="begin" w:fldLock="1"/>
      </w:r>
      <w:r>
        <w:instrText>ADDIN CSL_CITATION {"citationItems":[{"id":"ITEM-1","itemData":{"DOI":"10.4067/S0717-92002015000300010","ISSN":"07179200","abstract":"Calabrian pine (Pinus brutia) seeds collected from fifteen populations were analyzed for their carbon (C) and nitrogen (N) content. Moreover, germination percentages (GP) and mean germination times (MGT) of the seeds were evaluated based on their carbon and nitrogen concentrations, C/N ratio, total carbon mass (CM), and total nitrogen mass (NM). Except for C/N ratios, variables showed significant differences among populations. The highest seed carbon concentration was 54%, and the lowest was 50%. Seed nitrogen concentrations varied from 2.6% to 3.2%. The highest correlations were found between the GP of chilled filled seeds (GPFS) and the combined concentrations of carbon and nitrogen (R2 = 0.65) and the GPFS and concentrations of carbon (R2 = 0.63), both being significant. The relationships between germination parameters and combined concentrations of carbon and nitrogen as well as CM and NM traits were generally higher than any found in individual evaluations, except for the concentrations of carbon.","author":[{"dropping-particle":"","family":"Caliskan","given":"Servet","non-dropping-particle":"","parse-names":false,"suffix":""},{"dropping-particle":"","family":"Makineci","given":"Ender","non-dropping-particle":"","parse-names":false,"suffix":""}],"container-title":"Bosque","id":"ITEM-1","issue":"3","issued":{"date-parts":[["2015"]]},"page":"435-443","title":"Efectos del contenido de carbono y nitrógeno en la germinación de semillas de poblaciones de pino de calabria (Pinus brutia)","type":"article-journal","volume":"36"},"uris":["http://www.mendeley.com/documents/?uuid=ab5fc4f8-453e-43ed-a520-6200e338ad5e"]}],"mendeley":{"formattedCitation":"(Caliskan &amp; Makineci, 2015)","manualFormatting":"(Caliskan and Makineci, 2015)","plainTextFormattedCitation":"(Caliskan &amp; Makineci, 2015)","previouslyFormattedCitation":"(Caliskan &amp; Makineci, 2015)"},"properties":{"noteIndex":0},"schema":"https://github.com/citation-style-language/schema/raw/master/csl-citation.json"}</w:instrText>
      </w:r>
      <w:r w:rsidRPr="002A4326">
        <w:fldChar w:fldCharType="separate"/>
      </w:r>
      <w:r w:rsidRPr="002A4326">
        <w:rPr>
          <w:noProof/>
        </w:rPr>
        <w:t>(Caliskan and Makineci, 2015)</w:t>
      </w:r>
      <w:r w:rsidRPr="002A4326">
        <w:fldChar w:fldCharType="end"/>
      </w:r>
      <w:r w:rsidRPr="002A4326">
        <w:t>.</w:t>
      </w:r>
    </w:p>
    <w:p w14:paraId="31749C20" w14:textId="77777777" w:rsidR="00FA1E10" w:rsidRDefault="00FA1E10" w:rsidP="00FD1FC5">
      <w:pPr>
        <w:pStyle w:val="Heading2"/>
      </w:pPr>
      <w:bookmarkStart w:id="291" w:name="_Toc101048141"/>
    </w:p>
    <w:p w14:paraId="4CF492EC" w14:textId="00BB6DEC" w:rsidR="00D20476" w:rsidRPr="002A4326" w:rsidRDefault="00D20476" w:rsidP="00FD1FC5">
      <w:pPr>
        <w:pStyle w:val="Heading2"/>
      </w:pPr>
      <w:r w:rsidRPr="002A4326">
        <w:t>Measurement of root growth parameters</w:t>
      </w:r>
      <w:bookmarkEnd w:id="291"/>
      <w:r w:rsidRPr="002A4326">
        <w:t xml:space="preserve"> </w:t>
      </w:r>
    </w:p>
    <w:p w14:paraId="5DB5356F" w14:textId="77777777" w:rsidR="00D20476" w:rsidRPr="002A4326" w:rsidRDefault="00D20476" w:rsidP="00FA1D12">
      <w:pPr>
        <w:pStyle w:val="Paragraph"/>
        <w:spacing w:before="0" w:line="360" w:lineRule="auto"/>
        <w:ind w:left="720" w:firstLine="720"/>
      </w:pPr>
      <w:r w:rsidRPr="002A4326">
        <w:t xml:space="preserve">After harvest, the soil core was removed from each pot and carefully washed under running tap water to remove the soil. The roots were separated from the shoot. The roots were collected on an 850-μm-pore sieve. Total root length (TRL) and total root surface area (TRSA) were measured for each plant using a modification of the method described in </w:t>
      </w:r>
      <w:r w:rsidRPr="002A4326">
        <w:fldChar w:fldCharType="begin" w:fldLock="1"/>
      </w:r>
      <w:r w:rsidRPr="002A4326">
        <w:instrText>ADDIN CSL_CITATION {"citationItems":[{"id":"ITEM-1","itemData":{"DOI":"10.21273/HORTSCI10746-18","ISSN":"23279834","abstract":"In sweetpotato (Ipomoea batatas), the successful emergence and development of lateral roots (LRs), the main determinant of root system architecture (RSA), determines the competency of adventitious roots (ARs) to undergo storage root formation. The present study investigated the effect of three levels of root-knot nematode (RKN) inoculum of race 3 of Meloidogyne incognita on LR length, number, area, and volume in ‘Beauregard’, ‘Evangeline’, and ‘Bayou Belle’, sweetpotato cultivars which are highly susceptible, moderately resistant, and highly resistant, respectively, to M. incognita. The three RKN levels were control (untreated), medium (500 eggs/pot), and high (5000 eggs/pot). In general, the number of galls after 20 days for each cultivar was consistent across RKN levels and two planting dates (PDs). ‘Beauregard’ inoculated with medium and high RKN levels showed 2.9 and 18.9 galls on each AR, respectively. ‘Evangeline’ had 0.5 and 3.4 galls at medium and high RKN levels, respectively. By contrast, ‘Bayou Belle’ showed only 0.9 galls at the high inoculum level. There was a significant PD Χ cultivar effect and cultivar Χ RKN level effect for all root attributes. LR attributes varied within and among resistant and susceptible cultivars with a general trend for increase in all root growth attributes in response to RKN infection in the first (PD1) and second PD (PD2). ‘Evangeline’ showed relatively consistent within-cultivar increase across PD1 (medium and high RKN levels) and PD2 (medium RKN level only). LR length, number, area, and volume within ‘Evangeline’ plants subjected to high RKN increased 122%, 126%, 154%, and 136%, respectively, relative to the untreated control plants in PD1. ‘Evangeline’ (PD1 and PD2) and ‘Bayou Belle’ (PD1 only) showed significant increase in all root attributes relative to the susceptible ‘Beauregard’ at medium or high RKN levels. In PD1, LR length, number, area, and volume in ‘Evangeline’ plants subjected to high RKN increased 165%, 167%, 176%, and 190%, respectively, relative to ‘Beauregard’ plants at the same RKN level. These findings are consistent with some data in other systems wherein nematode infection is associated with cultivar-specific root compensatory growth and demonstrate how genotype and environment interact to modify root development responses. These data can be used to further understand the role of cultivar-specific responses to nematode infection and can lead to the consideration of root traits in selectio…","author":[{"dropping-particle":"","family":"Villordon","given":"Arthur","non-dropping-particle":"","parse-names":false,"suffix":""},{"dropping-particle":"","family":"Clark","given":"Christopher","non-dropping-particle":"","parse-names":false,"suffix":""}],"container-title":"HortScience","id":"ITEM-1","issue":"12","issued":{"date-parts":[["2018"]]},"page":"1924-1929","title":"Variation in root architecture attributes at the onset of storage root formation among resistant and susceptible sweetpotato cultivars infected with Meloidogyne incognita","type":"article-journal","volume":"53"},"uris":["http://www.mendeley.com/documents/?uuid=fc8a2f44-7bb0-43f2-8134-6a692c6b1cf7"]}],"mendeley":{"formattedCitation":"(Villordon &amp; Clark, 2018)","manualFormatting":"Villordon and Clark (2018)","plainTextFormattedCitation":"(Villordon &amp; Clark, 2018)","previouslyFormattedCitation":"(Villordon &amp; Clark, 2018)"},"properties":{"noteIndex":0},"schema":"https://github.com/citation-style-language/schema/raw/master/csl-citation.json"}</w:instrText>
      </w:r>
      <w:r w:rsidRPr="002A4326">
        <w:fldChar w:fldCharType="separate"/>
      </w:r>
      <w:r w:rsidRPr="002A4326">
        <w:rPr>
          <w:noProof/>
        </w:rPr>
        <w:t>Villordon and Clark (2018)</w:t>
      </w:r>
      <w:r w:rsidRPr="002A4326">
        <w:fldChar w:fldCharType="end"/>
      </w:r>
      <w:r w:rsidRPr="002A4326">
        <w:t xml:space="preserve">. Clean plant roots were stained with toluidine blue, submerged in water in a water-proof tray, and scanned using a specialized Epson Perfection V850 Pro Scanner (Epson Electronics, </w:t>
      </w:r>
      <w:r w:rsidRPr="002A4326">
        <w:rPr>
          <w:shd w:val="clear" w:color="auto" w:fill="FFFFFF"/>
        </w:rPr>
        <w:t>Suwa-shi, Nagano</w:t>
      </w:r>
      <w:r w:rsidRPr="002A4326">
        <w:t xml:space="preserve">, Japan). TRL and TRSA of the scanned root images were then analyzed using the WinRHIZO Root Image Analysis Software (Regent Instruments Inc., </w:t>
      </w:r>
      <w:r w:rsidRPr="002A4326">
        <w:rPr>
          <w:shd w:val="clear" w:color="auto" w:fill="FFFFFF"/>
        </w:rPr>
        <w:t>Ch Ste-Foy</w:t>
      </w:r>
      <w:r w:rsidRPr="002A4326">
        <w:t xml:space="preserve">, </w:t>
      </w:r>
      <w:r w:rsidRPr="002A4326">
        <w:rPr>
          <w:shd w:val="clear" w:color="auto" w:fill="FFFFFF"/>
        </w:rPr>
        <w:t>Québec,</w:t>
      </w:r>
      <w:r w:rsidRPr="002A4326">
        <w:t xml:space="preserve"> Canada).</w:t>
      </w:r>
    </w:p>
    <w:p w14:paraId="0BCFD96A" w14:textId="77777777" w:rsidR="00D20476" w:rsidRPr="002A4326" w:rsidRDefault="00D20476" w:rsidP="00FA1D12">
      <w:pPr>
        <w:spacing w:line="360" w:lineRule="auto"/>
        <w:ind w:left="720"/>
      </w:pPr>
    </w:p>
    <w:p w14:paraId="3FD4752D" w14:textId="75904162" w:rsidR="00D20476" w:rsidRPr="002A4326" w:rsidRDefault="00FA1D12" w:rsidP="00FD1FC5">
      <w:pPr>
        <w:pStyle w:val="Heading2"/>
      </w:pPr>
      <w:bookmarkStart w:id="292" w:name="_Toc101048142"/>
      <w:r>
        <w:t>Final d</w:t>
      </w:r>
      <w:r w:rsidR="00D20476" w:rsidRPr="002A4326">
        <w:t xml:space="preserve">ensities of </w:t>
      </w:r>
      <w:r w:rsidR="00D20476" w:rsidRPr="002A4326">
        <w:rPr>
          <w:noProof/>
        </w:rPr>
        <w:t xml:space="preserve">SCN </w:t>
      </w:r>
      <w:r w:rsidR="00D20476" w:rsidRPr="002A4326">
        <w:t>on soybean roots</w:t>
      </w:r>
      <w:bookmarkEnd w:id="292"/>
      <w:r w:rsidR="00D20476" w:rsidRPr="002A4326">
        <w:t xml:space="preserve"> </w:t>
      </w:r>
    </w:p>
    <w:p w14:paraId="54A005A1" w14:textId="77777777" w:rsidR="00D20476" w:rsidRPr="002A4326" w:rsidRDefault="00D20476" w:rsidP="00FA1D12">
      <w:pPr>
        <w:pStyle w:val="Paragraph"/>
        <w:spacing w:before="0" w:line="360" w:lineRule="auto"/>
        <w:ind w:left="720" w:firstLine="720"/>
      </w:pPr>
      <w:r w:rsidRPr="002A4326">
        <w:rPr>
          <w:noProof/>
        </w:rPr>
        <w:t xml:space="preserve">After harvest, SCN  cysts </w:t>
      </w:r>
      <w:r w:rsidRPr="002A4326">
        <w:t xml:space="preserve">were extracted from soybean roots and soil. The cysts were </w:t>
      </w:r>
      <w:r>
        <w:t>crushed</w:t>
      </w:r>
      <w:r w:rsidRPr="002A4326">
        <w:t xml:space="preserve"> and the eggs were collected using standard procedures </w:t>
      </w:r>
      <w:r w:rsidRPr="002A4326">
        <w:fldChar w:fldCharType="begin" w:fldLock="1"/>
      </w:r>
      <w:r>
        <w:instrText>ADDIN CSL_CITATION {"citationItems":[{"id":"ITEM-1","itemData":{"ISSN":"0022-300X","abstract":"Effects of pot size, length of seedling radicle at the time of inoculation with Heterodera glycines, transplanting after inoculation, type and amount of inoculum, and temperature were tested to determine the optimum procedure for the H. glycines race test. Numbers of H. glycines females extracted from plants in 7.5-cm-d pots tended to be higher than numbers from 10-cm-d pots, but not significantly so. Radicle lengths from 2.5 cm to 7.5 cm had no effect. Transplanting after inoculation reduced the variation in the number of females extracted, but the numbers of females produced were very low. Plump females (40 per pot) or eggs (4,000 per pot) were the best inocula. A constant temperature of 28 C appeared to be optimum. More H. glycines females were extracted from plants 28 days after inoculation than at 35 days. Race tests in which all of these factors were included were still highly variable in the number of H. glycines females extracted from different replications of the same test host. Tests of several susceptible cultivars revealed differences in their capabilities as hosts of H. glycines races.","author":[{"dropping-particle":"","family":"Riggs","given":"R D","non-dropping-particle":"","parse-names":false,"suffix":""},{"dropping-particle":"","family":"Schmitt","given":"D P","non-dropping-particle":"","parse-names":false,"suffix":""}],"container-title":"Journal of nematology","id":"ITEM-1","issue":"2","issued":{"date-parts":[["1991"]]},"page":"149-14954","title":"Optimization of the Heterodera glycines Race Test Procedure.","type":"article-journal","volume":"23"},"uris":["http://www.mendeley.com/documents/?uuid=d853aa19-356c-46d7-a065-4be7f4b10231"]}],"mendeley":{"formattedCitation":"(Riggs &amp; Schmitt, 1991)","manualFormatting":"(Riggs and Schmitt, 1991)","plainTextFormattedCitation":"(Riggs &amp; Schmitt, 1991)","previouslyFormattedCitation":"(Riggs &amp; Schmitt, 1991)"},"properties":{"noteIndex":0},"schema":"https://github.com/citation-style-language/schema/raw/master/csl-citation.json"}</w:instrText>
      </w:r>
      <w:r w:rsidRPr="002A4326">
        <w:fldChar w:fldCharType="separate"/>
      </w:r>
      <w:r w:rsidRPr="002A4326">
        <w:rPr>
          <w:noProof/>
        </w:rPr>
        <w:t>(Riggs and Schmitt, 1991)</w:t>
      </w:r>
      <w:r w:rsidRPr="002A4326">
        <w:fldChar w:fldCharType="end"/>
      </w:r>
      <w:r w:rsidRPr="002A4326">
        <w:t xml:space="preserve">. </w:t>
      </w:r>
    </w:p>
    <w:p w14:paraId="1A04D9DE" w14:textId="77777777" w:rsidR="00D20476" w:rsidRPr="002A4326" w:rsidRDefault="00D20476" w:rsidP="00C66483">
      <w:pPr>
        <w:adjustRightInd w:val="0"/>
        <w:spacing w:line="360" w:lineRule="auto"/>
        <w:ind w:left="720"/>
        <w:rPr>
          <w:i/>
        </w:rPr>
      </w:pPr>
    </w:p>
    <w:p w14:paraId="4726CE19" w14:textId="77777777" w:rsidR="00D20476" w:rsidRPr="002A4326" w:rsidRDefault="00D20476" w:rsidP="00FD1FC5">
      <w:pPr>
        <w:pStyle w:val="Heading2"/>
      </w:pPr>
      <w:bookmarkStart w:id="293" w:name="_Toc101048143"/>
      <w:r w:rsidRPr="002A4326">
        <w:t>Data analysis</w:t>
      </w:r>
      <w:bookmarkEnd w:id="293"/>
      <w:r w:rsidRPr="002A4326">
        <w:t xml:space="preserve"> </w:t>
      </w:r>
    </w:p>
    <w:p w14:paraId="36BD749E" w14:textId="77777777" w:rsidR="00D20476" w:rsidRPr="002A4326" w:rsidRDefault="00D20476" w:rsidP="008C1194">
      <w:pPr>
        <w:pStyle w:val="Paragraph"/>
        <w:spacing w:before="0" w:line="360" w:lineRule="auto"/>
        <w:ind w:left="720" w:firstLine="720"/>
        <w:rPr>
          <w:shd w:val="clear" w:color="auto" w:fill="FFFFFF"/>
        </w:rPr>
      </w:pPr>
      <w:r w:rsidRPr="002A4326">
        <w:t xml:space="preserve">Mixed model analysis of variance (SAS V94, Cary, NC) was applied to the NF activity, leaf, and root data, to compare nematode-infested plants and </w:t>
      </w:r>
      <w:r>
        <w:t>un</w:t>
      </w:r>
      <w:r w:rsidRPr="002A4326">
        <w:t>infested plants for each genotype. A</w:t>
      </w:r>
      <w:r w:rsidRPr="002A4326">
        <w:rPr>
          <w:rFonts w:eastAsia="BemboStd"/>
        </w:rPr>
        <w:t xml:space="preserve"> repeated-measures ANOVA was used to determine the effect of infestation on overall NF activity, and a simple ANOVA was used to determine the effect of infestation on NF activity on a </w:t>
      </w:r>
      <w:r w:rsidRPr="002A4326">
        <w:t xml:space="preserve">sampling day basis. </w:t>
      </w:r>
      <w:r>
        <w:t>The l</w:t>
      </w:r>
      <w:r w:rsidRPr="002A4326">
        <w:t xml:space="preserve">east squares means were separated based on Fisher’s LSD test at P &lt; 0.05. The SCN treatment was the fixed effect and replicate was the random effect. The percent decrease in NF activity of infested plants compared to non-infested ones was determined using an equation adapted from </w:t>
      </w:r>
      <w:r w:rsidRPr="002A4326">
        <w:fldChar w:fldCharType="begin" w:fldLock="1"/>
      </w:r>
      <w:r>
        <w:instrText>ADDIN CSL_CITATION {"citationItems":[{"id":"ITEM-1","itemData":{"DOI":"10.1155/2018/5686874","ISSN":"16879198","abstract":"© 2018 Rufus J. Akinrinlola et al. Bacilli are commonly used as plant growth-promoting agents but can be limited in effectiveness to certain crop and soil environments. The objectives of this study were to (1) identify Bacillus strains that can be consistent in promoting the growth of corn, wheat, and soybean and (2) determine whether physiological traits expressed in vitro can be predictive of growth promotion efficacy/consistency and be used for selecting effective strains. Twelve Bacillus strains isolated from wheat rhizospheres were evaluated in greenhouse pot tests with nonsterile soil for their effects on the growth of corn, soybean, and wheat. The strains also were assessed in vitro for multiple physiological traits. All 12 strains increased corn growth significantly compared to the controls. The four most efficacious strains on corn - Bacillus megaterium R181, B. safensis R173, B. simplex R180, and Paenibacillus graminis R200 - also increased the growth of soybean and wheat. No set of traits was a predictor of growth promotion efficacy. The number of traits expressed by a strain also was not an indicator of efficacy as strain R200 that was positive for only one trait showed high growth promotion efficacy. Effective strains can be identified through pot tests on multiple crop plants, but in vitro physiological assays are unreliable for strain selection.","author":[{"dropping-particle":"","family":"Akinrinlola","given":"R.J.","non-dropping-particle":"","parse-names":false,"suffix":""},{"dropping-particle":"","family":"Yuen","given":"G.Y.","non-dropping-particle":"","parse-names":false,"suffix":""},{"dropping-particle":"","family":"Drijber","given":"R.A.","non-dropping-particle":"","parse-names":false,"suffix":""},{"dropping-particle":"","family":"Adesemoye","given":"A.O.","non-dropping-particle":"","parse-names":false,"suffix":""}],"container-title":"International Journal of Microbiology","id":"ITEM-1","issued":{"date-parts":[["2018"]]},"title":"Evaluation of Bacillus Strains for Plant Growth Promotion and Predictability of Efficacy by In Vitro Physiological Traits","type":"article-journal","volume":"2018"},"uris":["http://www.mendeley.com/documents/?uuid=9b7bec71-d227-379a-9837-eda596a6cfca"]}],"mendeley":{"formattedCitation":"(R. J. Akinrinlola et al., 2018)","manualFormatting":"Akinrinlola et al. (2018)","plainTextFormattedCitation":"(R. J. Akinrinlola et al., 2018)","previouslyFormattedCitation":"(Akinrinlola et al., 2018)"},"properties":{"noteIndex":0},"schema":"https://github.com/citation-style-language/schema/raw/master/csl-citation.json"}</w:instrText>
      </w:r>
      <w:r w:rsidRPr="002A4326">
        <w:fldChar w:fldCharType="separate"/>
      </w:r>
      <w:r w:rsidRPr="002A4326">
        <w:rPr>
          <w:noProof/>
        </w:rPr>
        <w:t>Akinrinlola et al. (2018)</w:t>
      </w:r>
      <w:r w:rsidRPr="002A4326">
        <w:fldChar w:fldCharType="end"/>
      </w:r>
      <w:r w:rsidRPr="002A4326">
        <w:rPr>
          <w:shd w:val="clear" w:color="auto" w:fill="FFFFFF"/>
        </w:rPr>
        <w:t>.</w:t>
      </w:r>
    </w:p>
    <w:p w14:paraId="1D2F9B94" w14:textId="77777777" w:rsidR="00D20476" w:rsidRPr="002A4326" w:rsidRDefault="00035AE8" w:rsidP="004111C2">
      <w:pPr>
        <w:pStyle w:val="Displayedequation"/>
        <w:spacing w:before="0" w:after="0" w:line="360" w:lineRule="auto"/>
        <w:ind w:left="720"/>
        <w:jc w:val="left"/>
      </w:pPr>
      <m:oMathPara>
        <m:oMathParaPr>
          <m:jc m:val="center"/>
        </m:oMathParaPr>
        <m:oMath>
          <m:f>
            <m:fPr>
              <m:ctrlPr>
                <w:rPr>
                  <w:rFonts w:ascii="Cambria Math" w:hAnsi="Cambria Math"/>
                  <w:shd w:val="clear" w:color="auto" w:fill="FFFFFF"/>
                </w:rPr>
              </m:ctrlPr>
            </m:fPr>
            <m:num>
              <m:d>
                <m:dPr>
                  <m:ctrlPr>
                    <w:rPr>
                      <w:rFonts w:ascii="Cambria Math" w:hAnsi="Cambria Math"/>
                      <w:shd w:val="clear" w:color="auto" w:fill="FFFFFF"/>
                    </w:rPr>
                  </m:ctrlPr>
                </m:dPr>
                <m:e>
                  <m:r>
                    <w:rPr>
                      <w:rFonts w:ascii="Cambria Math" w:hAnsi="Cambria Math"/>
                      <w:shd w:val="clear" w:color="auto" w:fill="FFFFFF"/>
                    </w:rPr>
                    <m:t>En-Ei</m:t>
                  </m:r>
                </m:e>
              </m:d>
            </m:num>
            <m:den>
              <m:r>
                <w:rPr>
                  <w:rFonts w:ascii="Cambria Math" w:hAnsi="Cambria Math"/>
                  <w:shd w:val="clear" w:color="auto" w:fill="FFFFFF"/>
                </w:rPr>
                <m:t>En</m:t>
              </m:r>
            </m:den>
          </m:f>
          <m:r>
            <w:rPr>
              <w:rFonts w:ascii="Cambria Math" w:hAnsi="Cambria Math"/>
              <w:shd w:val="clear" w:color="auto" w:fill="FFFFFF"/>
            </w:rPr>
            <m:t xml:space="preserve"> × 100</m:t>
          </m:r>
          <m:r>
            <m:rPr>
              <m:sty m:val="p"/>
            </m:rPr>
            <w:rPr>
              <w:rFonts w:ascii="Cambria Math" w:eastAsiaTheme="minorEastAsia" w:hAnsi="Cambria Math"/>
              <w:shd w:val="clear" w:color="auto" w:fill="FFFFFF"/>
            </w:rPr>
            <w:br/>
          </m:r>
        </m:oMath>
      </m:oMathPara>
      <w:r w:rsidR="00D20476" w:rsidRPr="002A4326">
        <w:t xml:space="preserve">where </w:t>
      </w:r>
      <w:r w:rsidR="00D20476" w:rsidRPr="002A4326">
        <w:rPr>
          <w:i/>
          <w:iCs/>
        </w:rPr>
        <w:t xml:space="preserve">En </w:t>
      </w:r>
      <w:r w:rsidR="00D20476" w:rsidRPr="002A4326">
        <w:t xml:space="preserve">and </w:t>
      </w:r>
      <w:r w:rsidR="00D20476" w:rsidRPr="002A4326">
        <w:rPr>
          <w:i/>
          <w:iCs/>
        </w:rPr>
        <w:t>Ei</w:t>
      </w:r>
      <w:r w:rsidR="00D20476" w:rsidRPr="002A4326">
        <w:t xml:space="preserve"> represent mean values of ethylene generated each day by </w:t>
      </w:r>
      <w:r w:rsidR="00D20476">
        <w:t>un</w:t>
      </w:r>
      <w:r w:rsidR="00D20476" w:rsidRPr="002A4326">
        <w:t>infested (En) and</w:t>
      </w:r>
      <w:r w:rsidR="00D20476" w:rsidRPr="002A4326">
        <w:rPr>
          <w:rFonts w:eastAsiaTheme="minorEastAsia"/>
          <w:shd w:val="clear" w:color="auto" w:fill="FFFFFF"/>
        </w:rPr>
        <w:t xml:space="preserve"> </w:t>
      </w:r>
      <w:r w:rsidR="00D20476" w:rsidRPr="002A4326">
        <w:rPr>
          <w:noProof/>
        </w:rPr>
        <w:t>SCN</w:t>
      </w:r>
      <w:r w:rsidR="00D20476" w:rsidRPr="002A4326">
        <w:rPr>
          <w:rFonts w:eastAsiaTheme="minorEastAsia"/>
          <w:shd w:val="clear" w:color="auto" w:fill="FFFFFF"/>
        </w:rPr>
        <w:t>-infested plants (Ei)</w:t>
      </w:r>
      <w:r w:rsidR="00D20476" w:rsidRPr="002A4326">
        <w:t>. A simple linear regression procedure was used to determine if the final SCN population density on each genotype was related to the NF activity of the genotype. The SCN density was the independent variable, whereas the NF activity was the dependent variable. Finally, the relationship between SCN density and root growth parameter was determined by performing a Spearman simple correlation analysis. Spearman correlation was used for the analysis because it allowed the data to be analyzed without concern for ensuring normality of data distribution.</w:t>
      </w:r>
    </w:p>
    <w:p w14:paraId="6780509E" w14:textId="77777777" w:rsidR="008C1194" w:rsidRDefault="008C1194" w:rsidP="00C66483">
      <w:pPr>
        <w:pStyle w:val="Heading1"/>
        <w:spacing w:line="360" w:lineRule="auto"/>
        <w:ind w:left="720"/>
      </w:pPr>
      <w:bookmarkStart w:id="294" w:name="_bookmark60"/>
      <w:bookmarkStart w:id="295" w:name="_Toc98812762"/>
      <w:bookmarkStart w:id="296" w:name="_Toc98812970"/>
      <w:bookmarkStart w:id="297" w:name="_Toc98813636"/>
      <w:bookmarkEnd w:id="294"/>
    </w:p>
    <w:p w14:paraId="5DB4959E" w14:textId="3379ECDB" w:rsidR="00D20476" w:rsidRPr="008E2CD0" w:rsidRDefault="00D20476" w:rsidP="004111C2">
      <w:pPr>
        <w:pStyle w:val="Heading1"/>
        <w:spacing w:line="360" w:lineRule="auto"/>
        <w:ind w:left="720"/>
        <w:jc w:val="center"/>
      </w:pPr>
      <w:bookmarkStart w:id="298" w:name="_Toc101048144"/>
      <w:r w:rsidRPr="008E2CD0">
        <w:t>Results</w:t>
      </w:r>
      <w:bookmarkEnd w:id="295"/>
      <w:bookmarkEnd w:id="296"/>
      <w:bookmarkEnd w:id="297"/>
      <w:bookmarkEnd w:id="298"/>
    </w:p>
    <w:p w14:paraId="73DCC169" w14:textId="77777777" w:rsidR="00D20476" w:rsidRPr="008E2CD0" w:rsidRDefault="00D20476" w:rsidP="00FD1FC5">
      <w:pPr>
        <w:pStyle w:val="Heading2"/>
      </w:pPr>
      <w:bookmarkStart w:id="299" w:name="_Toc98812763"/>
      <w:bookmarkStart w:id="300" w:name="_Toc98812971"/>
      <w:bookmarkStart w:id="301" w:name="_Toc98813637"/>
      <w:bookmarkStart w:id="302" w:name="_Toc101048145"/>
      <w:r w:rsidRPr="008E2CD0">
        <w:t>Impact of infestation on NF activity.</w:t>
      </w:r>
      <w:bookmarkEnd w:id="299"/>
      <w:bookmarkEnd w:id="300"/>
      <w:bookmarkEnd w:id="301"/>
      <w:bookmarkEnd w:id="302"/>
    </w:p>
    <w:p w14:paraId="76F4D260" w14:textId="77777777" w:rsidR="00D20476" w:rsidRPr="002A4326" w:rsidRDefault="00D20476" w:rsidP="008C1194">
      <w:pPr>
        <w:pStyle w:val="Paragraph"/>
        <w:spacing w:before="0" w:line="360" w:lineRule="auto"/>
        <w:ind w:left="720" w:firstLine="720"/>
      </w:pPr>
      <w:r w:rsidRPr="002A4326">
        <w:t>Out of the nine observations of NF activity, the activity of SCN-infested plants of PI 88788 was low (P = 0.03) during only two observations as compared to non-infested plants (Fig</w:t>
      </w:r>
      <w:r>
        <w:t>ure 3.</w:t>
      </w:r>
      <w:r w:rsidRPr="002A4326">
        <w:t xml:space="preserve">1a). The low NF activity was observed on the seventh (Sept. 18) and ninth (Sept. 23) observations, which </w:t>
      </w:r>
      <w:r>
        <w:t>were</w:t>
      </w:r>
      <w:r w:rsidRPr="002A4326">
        <w:t xml:space="preserve"> 38 43 day</w:t>
      </w:r>
      <w:r>
        <w:t>s</w:t>
      </w:r>
      <w:r w:rsidRPr="002A4326">
        <w:t xml:space="preserve"> after infestation, </w:t>
      </w:r>
      <w:r>
        <w:t>respectively (Figure 3.</w:t>
      </w:r>
      <w:r w:rsidRPr="002A4326">
        <w:t xml:space="preserve">1a). However, the overall NF activity mean (across all observations) for the SCN-infested plants of PI 88788 was not lower than that of the </w:t>
      </w:r>
      <w:r>
        <w:t>un</w:t>
      </w:r>
      <w:r w:rsidRPr="002A4326">
        <w:t xml:space="preserve">infested plants (P = 0.09). Out of nine observations, the NF activity of the infested plants of Williams 82 was low in only three observations as compared to </w:t>
      </w:r>
      <w:r>
        <w:t>un</w:t>
      </w:r>
      <w:r w:rsidRPr="002A4326">
        <w:t xml:space="preserve">infested plants. </w:t>
      </w:r>
      <w:r>
        <w:t>L</w:t>
      </w:r>
      <w:r w:rsidRPr="002A4326">
        <w:t>ow NF activity was observed on the first (Sept. 4), fourth (Sept. 11), and eighth (Sept. 20) observations (P=0.03, 0.04, and 0.01), which were at 22, 29, and 40 day</w:t>
      </w:r>
      <w:r>
        <w:t>s</w:t>
      </w:r>
      <w:r w:rsidRPr="002A4326">
        <w:t xml:space="preserve"> after infestation, respectively (Fig</w:t>
      </w:r>
      <w:r>
        <w:t>ure 3.</w:t>
      </w:r>
      <w:r w:rsidRPr="002A4326">
        <w:t xml:space="preserve">1b). The overall NF activity mean for the SCN-infested plants of Williams 82 was lower than that of </w:t>
      </w:r>
      <w:r>
        <w:t>un</w:t>
      </w:r>
      <w:r w:rsidRPr="002A4326">
        <w:t>infested plants (P = 0.04)</w:t>
      </w:r>
      <w:r>
        <w:t xml:space="preserve"> (Table 3.2)</w:t>
      </w:r>
      <w:r w:rsidRPr="002A4326">
        <w:t>. The NF activity of Ellis was not affected by SCN infestation (P = 0.9) (Fig</w:t>
      </w:r>
      <w:r>
        <w:t>ure 3.</w:t>
      </w:r>
      <w:r w:rsidRPr="002A4326">
        <w:t xml:space="preserve">1c). </w:t>
      </w:r>
    </w:p>
    <w:p w14:paraId="2937A92F" w14:textId="77777777" w:rsidR="00D20476" w:rsidRPr="002A4326" w:rsidRDefault="00D20476" w:rsidP="008C1194">
      <w:pPr>
        <w:spacing w:line="360" w:lineRule="auto"/>
        <w:ind w:left="720"/>
      </w:pPr>
    </w:p>
    <w:p w14:paraId="576230BC" w14:textId="77777777" w:rsidR="00D20476" w:rsidRPr="002A4326" w:rsidRDefault="00D20476" w:rsidP="00FD1FC5">
      <w:pPr>
        <w:pStyle w:val="Heading2"/>
      </w:pPr>
      <w:bookmarkStart w:id="303" w:name="_Toc101048146"/>
      <w:r w:rsidRPr="002A4326">
        <w:t>Impact of infestation on leaf color</w:t>
      </w:r>
      <w:bookmarkEnd w:id="303"/>
      <w:r w:rsidRPr="002A4326">
        <w:t xml:space="preserve"> </w:t>
      </w:r>
    </w:p>
    <w:p w14:paraId="6CF49321" w14:textId="77777777" w:rsidR="00D20476" w:rsidRPr="002A4326" w:rsidRDefault="00D20476" w:rsidP="008C1194">
      <w:pPr>
        <w:pStyle w:val="Paragraph"/>
        <w:spacing w:before="0" w:line="360" w:lineRule="auto"/>
        <w:ind w:left="720" w:firstLine="720"/>
      </w:pPr>
      <w:r w:rsidRPr="002A4326">
        <w:t>The overall mean leaf color of Williams 82 was decreased (P = 0.04) compared to non-infested plants. For analysis based on each sampling time, in two out of the six observation dates the leaf color decreased on infested plants (P = 0.02, 0.001</w:t>
      </w:r>
      <w:r>
        <w:t>) compared to uninfested (Figure 3.</w:t>
      </w:r>
      <w:r w:rsidRPr="002A4326">
        <w:t xml:space="preserve">2). </w:t>
      </w:r>
      <w:r>
        <w:t>L</w:t>
      </w:r>
      <w:r w:rsidRPr="002A4326">
        <w:t xml:space="preserve">eaf color was not impacted by </w:t>
      </w:r>
      <w:r>
        <w:t>SCN</w:t>
      </w:r>
      <w:r w:rsidRPr="002A4326">
        <w:t xml:space="preserve"> on PI 88788 and Ellis (Table 3</w:t>
      </w:r>
      <w:r>
        <w:t>.3</w:t>
      </w:r>
      <w:r w:rsidRPr="002A4326">
        <w:t xml:space="preserve">). </w:t>
      </w:r>
    </w:p>
    <w:p w14:paraId="1B593372" w14:textId="77777777" w:rsidR="004111C2" w:rsidRDefault="004111C2" w:rsidP="00FD1FC5">
      <w:pPr>
        <w:pStyle w:val="Heading2"/>
      </w:pPr>
      <w:bookmarkStart w:id="304" w:name="_Toc101048147"/>
    </w:p>
    <w:p w14:paraId="648C391D" w14:textId="4051C0AB" w:rsidR="00D20476" w:rsidRPr="002A4326" w:rsidRDefault="00D20476" w:rsidP="00FD1FC5">
      <w:pPr>
        <w:pStyle w:val="Heading2"/>
      </w:pPr>
      <w:r w:rsidRPr="002A4326">
        <w:t>Impact of infestation on leaf area</w:t>
      </w:r>
      <w:bookmarkEnd w:id="304"/>
      <w:r w:rsidRPr="002A4326">
        <w:t xml:space="preserve"> </w:t>
      </w:r>
    </w:p>
    <w:p w14:paraId="727800B2" w14:textId="77777777" w:rsidR="00D20476" w:rsidRPr="002A4326" w:rsidRDefault="00D20476" w:rsidP="008C1194">
      <w:pPr>
        <w:pStyle w:val="Paragraph"/>
        <w:spacing w:before="0" w:line="360" w:lineRule="auto"/>
        <w:ind w:left="720" w:firstLine="720"/>
      </w:pPr>
      <w:r w:rsidRPr="002A4326">
        <w:t>The mean value for the total leaf area per plant of non-infested plants was 371, 430, and 517 cm</w:t>
      </w:r>
      <w:r w:rsidRPr="002A4326">
        <w:rPr>
          <w:vertAlign w:val="superscript"/>
        </w:rPr>
        <w:t xml:space="preserve">2 </w:t>
      </w:r>
      <w:r w:rsidRPr="002A4326">
        <w:t>for Ellis, Williams 82, and PI 88788, respectively. The leaf area of nematode-infested Williams 82 was decreased (P = 0.01) by 30% compared to non-infested plants. The leaf area of the infested plants of PI 88788 (P = 0.7) and Ellis (P = 0.9) was not decreased by the SCN infestation (Fig</w:t>
      </w:r>
      <w:r>
        <w:t>ure 3.</w:t>
      </w:r>
      <w:r w:rsidRPr="002A4326">
        <w:t xml:space="preserve">3). </w:t>
      </w:r>
    </w:p>
    <w:p w14:paraId="00BFB3D7" w14:textId="77777777" w:rsidR="00D20476" w:rsidRPr="002A4326" w:rsidRDefault="00D20476" w:rsidP="008C1194">
      <w:pPr>
        <w:adjustRightInd w:val="0"/>
        <w:spacing w:line="360" w:lineRule="auto"/>
        <w:ind w:left="720"/>
      </w:pPr>
    </w:p>
    <w:p w14:paraId="5562E64B" w14:textId="77777777" w:rsidR="00D20476" w:rsidRPr="002A4326" w:rsidRDefault="00D20476" w:rsidP="00FD1FC5">
      <w:pPr>
        <w:pStyle w:val="Heading2"/>
      </w:pPr>
      <w:bookmarkStart w:id="305" w:name="_Toc101048148"/>
      <w:r w:rsidRPr="002A4326">
        <w:t>Impact of infestation on leaf N content</w:t>
      </w:r>
      <w:bookmarkEnd w:id="305"/>
    </w:p>
    <w:p w14:paraId="4E29A503" w14:textId="37BE3053" w:rsidR="00D20476" w:rsidRPr="002A4326" w:rsidRDefault="00D20476" w:rsidP="008C1194">
      <w:pPr>
        <w:pStyle w:val="Paragraph"/>
        <w:spacing w:before="0" w:line="360" w:lineRule="auto"/>
        <w:ind w:left="720"/>
        <w:rPr>
          <w:i/>
        </w:rPr>
      </w:pPr>
      <w:r w:rsidRPr="002A4326">
        <w:rPr>
          <w:i/>
        </w:rPr>
        <w:t xml:space="preserve"> </w:t>
      </w:r>
      <w:r w:rsidR="008C1194">
        <w:rPr>
          <w:i/>
        </w:rPr>
        <w:tab/>
      </w:r>
      <w:r w:rsidRPr="002A4326">
        <w:t>The leaf N concentration for non-infested plants was 18, 21, and 25 mg g</w:t>
      </w:r>
      <w:r w:rsidRPr="002A4326">
        <w:rPr>
          <w:vertAlign w:val="superscript"/>
        </w:rPr>
        <w:t>-1</w:t>
      </w:r>
      <w:r w:rsidRPr="002A4326" w:rsidDel="00966603">
        <w:t xml:space="preserve"> </w:t>
      </w:r>
      <w:r w:rsidRPr="002A4326">
        <w:t xml:space="preserve">for PI 88788, Williams 82, and Ellis, respectively. The leaf N concentration was not impacted by SCN infestation.  </w:t>
      </w:r>
    </w:p>
    <w:p w14:paraId="2EAC3A42" w14:textId="77777777" w:rsidR="00D20476" w:rsidRPr="002A4326" w:rsidRDefault="00D20476" w:rsidP="008C1194">
      <w:pPr>
        <w:adjustRightInd w:val="0"/>
        <w:spacing w:line="360" w:lineRule="auto"/>
        <w:ind w:left="720"/>
        <w:rPr>
          <w:i/>
        </w:rPr>
      </w:pPr>
    </w:p>
    <w:p w14:paraId="2043CB79" w14:textId="77777777" w:rsidR="00D20476" w:rsidRPr="002A4326" w:rsidRDefault="00D20476" w:rsidP="00FD1FC5">
      <w:pPr>
        <w:pStyle w:val="Heading2"/>
      </w:pPr>
      <w:bookmarkStart w:id="306" w:name="_Toc101048149"/>
      <w:r w:rsidRPr="002A4326">
        <w:t>Impact of infestation on root length and surface area</w:t>
      </w:r>
      <w:bookmarkEnd w:id="306"/>
    </w:p>
    <w:p w14:paraId="63E19E19" w14:textId="65C9056A" w:rsidR="00D20476" w:rsidRPr="002A4326" w:rsidRDefault="00D20476" w:rsidP="008C1194">
      <w:pPr>
        <w:pStyle w:val="Paragraph"/>
        <w:spacing w:before="0" w:line="360" w:lineRule="auto"/>
        <w:ind w:left="720" w:firstLine="720"/>
      </w:pPr>
      <w:r w:rsidRPr="002A4326">
        <w:rPr>
          <w:i/>
        </w:rPr>
        <w:t xml:space="preserve"> </w:t>
      </w:r>
      <w:r w:rsidRPr="002A4326">
        <w:t>The mean value for total root length (TRL) per plant of non-infested plants was 1200, 1194, and 974 cm for PI 88788, Williams 82, and Ellis, respectively. The TRL values were not impacted by SCN infestation (data not shown). The mean value for the total root sur</w:t>
      </w:r>
      <w:r w:rsidR="00335573">
        <w:t>face area (TRSA) per plant was 110</w:t>
      </w:r>
      <w:r w:rsidRPr="002A4326">
        <w:t>, 6</w:t>
      </w:r>
      <w:r w:rsidR="00335573">
        <w:t>6</w:t>
      </w:r>
      <w:r w:rsidRPr="002A4326">
        <w:t>, and 59 cm</w:t>
      </w:r>
      <w:r w:rsidRPr="002A4326">
        <w:rPr>
          <w:vertAlign w:val="superscript"/>
        </w:rPr>
        <w:t>2</w:t>
      </w:r>
      <w:r w:rsidRPr="002A4326">
        <w:t xml:space="preserve"> for PI 88788, Williams 82, and Ellis, respectively. The TRSA of infested plants of Ellis was decreased compared to non-infested (P = 0.03) by up to 31%, but the TRSA of Williams 82 and PI 88788 was not affected by the SCN infestation (Fig</w:t>
      </w:r>
      <w:r>
        <w:t>ure 3.</w:t>
      </w:r>
      <w:r w:rsidRPr="002A4326">
        <w:t>4).</w:t>
      </w:r>
    </w:p>
    <w:p w14:paraId="617B0750" w14:textId="77777777" w:rsidR="00D20476" w:rsidRPr="002A4326" w:rsidRDefault="00D20476" w:rsidP="008C1194">
      <w:pPr>
        <w:adjustRightInd w:val="0"/>
        <w:spacing w:line="360" w:lineRule="auto"/>
        <w:ind w:left="720"/>
        <w:rPr>
          <w:b/>
        </w:rPr>
      </w:pPr>
    </w:p>
    <w:p w14:paraId="47D466EC" w14:textId="77777777" w:rsidR="00D20476" w:rsidRPr="002A4326" w:rsidRDefault="00D20476" w:rsidP="00FD1FC5">
      <w:pPr>
        <w:pStyle w:val="Heading2"/>
      </w:pPr>
      <w:bookmarkStart w:id="307" w:name="_Toc101048150"/>
      <w:r w:rsidRPr="002A4326">
        <w:rPr>
          <w:noProof/>
        </w:rPr>
        <w:t xml:space="preserve">SCN egg </w:t>
      </w:r>
      <w:r w:rsidRPr="002A4326">
        <w:t>densities</w:t>
      </w:r>
      <w:bookmarkEnd w:id="307"/>
      <w:r w:rsidRPr="002A4326">
        <w:t xml:space="preserve"> </w:t>
      </w:r>
    </w:p>
    <w:p w14:paraId="3A7D43ED" w14:textId="482A38C9" w:rsidR="00D20476" w:rsidRDefault="00D20476" w:rsidP="008C1194">
      <w:pPr>
        <w:pStyle w:val="Paragraph"/>
        <w:spacing w:before="0" w:line="360" w:lineRule="auto"/>
        <w:ind w:left="720" w:firstLine="720"/>
      </w:pPr>
      <w:r w:rsidRPr="002A4326">
        <w:rPr>
          <w:noProof/>
        </w:rPr>
        <w:t>The density of</w:t>
      </w:r>
      <w:r w:rsidRPr="002A4326">
        <w:rPr>
          <w:i/>
          <w:noProof/>
        </w:rPr>
        <w:t xml:space="preserve"> </w:t>
      </w:r>
      <w:r w:rsidRPr="002A4326">
        <w:rPr>
          <w:noProof/>
        </w:rPr>
        <w:t>SCN</w:t>
      </w:r>
      <w:r w:rsidRPr="002A4326">
        <w:rPr>
          <w:i/>
          <w:noProof/>
        </w:rPr>
        <w:t xml:space="preserve"> </w:t>
      </w:r>
      <w:r w:rsidRPr="002A4326">
        <w:t>eggs on Ellis and Williams 82 was similar but higher than that on PI 88788. The density (eggs plant</w:t>
      </w:r>
      <w:r w:rsidRPr="002A4326">
        <w:rPr>
          <w:vertAlign w:val="superscript"/>
        </w:rPr>
        <w:t>-1</w:t>
      </w:r>
      <w:r w:rsidRPr="002A4326">
        <w:t>) was approximately 66,000 on Ellis, 78,000 on Williams 82, and 18,000 eggs plant</w:t>
      </w:r>
      <w:r w:rsidRPr="002A4326">
        <w:rPr>
          <w:vertAlign w:val="superscript"/>
        </w:rPr>
        <w:t xml:space="preserve">-1 </w:t>
      </w:r>
      <w:r w:rsidRPr="002A4326">
        <w:t>on PI88788 (Fig</w:t>
      </w:r>
      <w:r>
        <w:t>ure 3.</w:t>
      </w:r>
      <w:r w:rsidRPr="002A4326">
        <w:t>5). Simple regression analysis showed that SCN density on Williams 82 was associated with a 30% decrease in its NF activity (P = 0.02). Root surface area of Ellis was negatively correlated with nematode egg density (r = - 0.38, P = 0.02).  No relationship was found between</w:t>
      </w:r>
      <w:r w:rsidRPr="002A4326">
        <w:rPr>
          <w:noProof/>
        </w:rPr>
        <w:t xml:space="preserve"> SCN density </w:t>
      </w:r>
      <w:r w:rsidRPr="002A4326">
        <w:t>and NF activity on PI 88788 and Ellis, and no relationship was found between SCN density and root length on any of the three genotypes.</w:t>
      </w:r>
      <w:r>
        <w:t xml:space="preserve"> </w:t>
      </w:r>
    </w:p>
    <w:p w14:paraId="72A3ACEB" w14:textId="77777777" w:rsidR="00D20476" w:rsidRPr="00937400" w:rsidRDefault="00D20476" w:rsidP="00C66483">
      <w:pPr>
        <w:pStyle w:val="Newparagraph"/>
        <w:spacing w:line="360" w:lineRule="auto"/>
      </w:pPr>
    </w:p>
    <w:p w14:paraId="0C2D9AB3" w14:textId="77777777" w:rsidR="00D20476" w:rsidRPr="002A4326" w:rsidRDefault="00D20476" w:rsidP="00C66483">
      <w:pPr>
        <w:pStyle w:val="Heading1"/>
        <w:spacing w:line="360" w:lineRule="auto"/>
        <w:ind w:left="720"/>
        <w:jc w:val="center"/>
      </w:pPr>
      <w:bookmarkStart w:id="308" w:name="_Toc101048151"/>
      <w:r w:rsidRPr="002A4326">
        <w:t>Discussion</w:t>
      </w:r>
      <w:bookmarkEnd w:id="308"/>
    </w:p>
    <w:p w14:paraId="4C948B16" w14:textId="77777777" w:rsidR="00D20476" w:rsidRPr="002A4326" w:rsidRDefault="00D20476" w:rsidP="00C66483">
      <w:pPr>
        <w:pStyle w:val="Paragraph"/>
        <w:spacing w:line="360" w:lineRule="auto"/>
        <w:ind w:left="720" w:firstLine="720"/>
      </w:pPr>
      <w:r w:rsidRPr="002A4326">
        <w:t xml:space="preserve">The first objective of this study was to evaluate the impact of </w:t>
      </w:r>
      <w:r w:rsidRPr="002A4326">
        <w:rPr>
          <w:noProof/>
        </w:rPr>
        <w:t xml:space="preserve">SCN </w:t>
      </w:r>
      <w:r w:rsidRPr="002A4326">
        <w:rPr>
          <w:bCs/>
        </w:rPr>
        <w:t>HG type 1.2.5.7</w:t>
      </w:r>
      <w:r w:rsidRPr="002A4326">
        <w:rPr>
          <w:noProof/>
        </w:rPr>
        <w:t xml:space="preserve"> on</w:t>
      </w:r>
      <w:r w:rsidRPr="002A4326">
        <w:t xml:space="preserve"> the NF activity at the early stages of plant development </w:t>
      </w:r>
      <w:r w:rsidRPr="002A4326">
        <w:rPr>
          <w:noProof/>
        </w:rPr>
        <w:t xml:space="preserve">of three soybean genotypes </w:t>
      </w:r>
      <w:r w:rsidRPr="002A4326">
        <w:t>at various time intervals</w:t>
      </w:r>
      <w:r w:rsidRPr="002A4326">
        <w:rPr>
          <w:noProof/>
        </w:rPr>
        <w:t xml:space="preserve">. This objective </w:t>
      </w:r>
      <w:r>
        <w:rPr>
          <w:noProof/>
        </w:rPr>
        <w:t>tested</w:t>
      </w:r>
      <w:r w:rsidRPr="002A4326">
        <w:rPr>
          <w:noProof/>
        </w:rPr>
        <w:t xml:space="preserve"> the hypothesis that SCN will decrease NF to different levels among the three tested genotypes. </w:t>
      </w:r>
      <w:r w:rsidRPr="002A4326">
        <w:t xml:space="preserve">The results showed that SCN did not impact NF activity on Ellis (Table </w:t>
      </w:r>
      <w:r>
        <w:t>3.</w:t>
      </w:r>
      <w:r w:rsidRPr="002A4326">
        <w:t>2), even though SCN population density on it was relatively high compared to the population on the resistant line PI 88788 (Fig</w:t>
      </w:r>
      <w:r>
        <w:t>ure 3.</w:t>
      </w:r>
      <w:r w:rsidRPr="002A4326">
        <w:t xml:space="preserve">5). This finding is surprising and </w:t>
      </w:r>
      <w:r>
        <w:t>did not support</w:t>
      </w:r>
      <w:r w:rsidRPr="002A4326">
        <w:t xml:space="preserve"> the initial hypothesis that SCN will decrease NF activity </w:t>
      </w:r>
      <w:r>
        <w:t>in the variety Ellis</w:t>
      </w:r>
      <w:r w:rsidRPr="002A4326">
        <w:t xml:space="preserve">. It was </w:t>
      </w:r>
      <w:r w:rsidRPr="002A4326">
        <w:rPr>
          <w:noProof/>
        </w:rPr>
        <w:t xml:space="preserve">expected that NF activity </w:t>
      </w:r>
      <w:r>
        <w:rPr>
          <w:noProof/>
        </w:rPr>
        <w:t>would</w:t>
      </w:r>
      <w:r w:rsidRPr="002A4326">
        <w:rPr>
          <w:noProof/>
        </w:rPr>
        <w:t xml:space="preserve"> decrease in Ellis because it is susceptible to SCN. </w:t>
      </w:r>
      <w:r w:rsidRPr="002A4326">
        <w:t>This result indicates that Ellis exhibits an</w:t>
      </w:r>
      <w:r>
        <w:t xml:space="preserve"> “SCN-insensitive NF” trait, but it is unknown what impact this could have on </w:t>
      </w:r>
      <w:r w:rsidRPr="002A4326">
        <w:t xml:space="preserve">yield level when grown in fields infested with virulent SCN biotypes. </w:t>
      </w:r>
    </w:p>
    <w:p w14:paraId="79A89E76" w14:textId="77777777" w:rsidR="00D20476" w:rsidRDefault="00D20476" w:rsidP="00C66483">
      <w:pPr>
        <w:pStyle w:val="Newparagraph"/>
        <w:spacing w:line="360" w:lineRule="auto"/>
        <w:ind w:left="720" w:firstLine="0"/>
      </w:pPr>
      <w:r w:rsidRPr="002A4326">
        <w:t xml:space="preserve">The results also showed that the SCN population did not affect the nitrogen fixation activity of PI 88788 (Table </w:t>
      </w:r>
      <w:r>
        <w:t>3.</w:t>
      </w:r>
      <w:r w:rsidRPr="002A4326">
        <w:t xml:space="preserve">2). This study was based on the hypothesis that the test SCN population will feed and reproduce enough on PI 88788 to decrease NF activity. This hypothesis </w:t>
      </w:r>
      <w:r>
        <w:t>was not supported</w:t>
      </w:r>
      <w:r w:rsidRPr="002A4326">
        <w:t xml:space="preserve"> by the finding that the total NF activity of PI 88788 was not decreased by the nematode infestation (Table </w:t>
      </w:r>
      <w:r>
        <w:t>3.</w:t>
      </w:r>
      <w:r w:rsidRPr="002A4326">
        <w:t>2). The results showed that SCN population density on PI 88788 was relatively low compared to tha</w:t>
      </w:r>
      <w:r>
        <w:t>t of Williams 82 and Ellis (Figure 3.</w:t>
      </w:r>
      <w:r w:rsidRPr="002A4326">
        <w:t xml:space="preserve">5), thus </w:t>
      </w:r>
      <w:r>
        <w:t xml:space="preserve">this may support </w:t>
      </w:r>
      <w:r w:rsidRPr="002A4326">
        <w:t xml:space="preserve">the observation of a lack </w:t>
      </w:r>
      <w:r>
        <w:t xml:space="preserve">of decrease in NF activity on PI 88788. This could also mean </w:t>
      </w:r>
      <w:r w:rsidRPr="002A4326">
        <w:t>that even though this SCN population is virulent on PI 88788, it was not sufficiently viru</w:t>
      </w:r>
      <w:r>
        <w:t>lent to cause a reduction in NF, or the population just does not have an effect on the NF of PI 88788 like Ellis.</w:t>
      </w:r>
    </w:p>
    <w:p w14:paraId="54D3FC0B" w14:textId="77777777" w:rsidR="00D20476" w:rsidRDefault="00D20476" w:rsidP="00C66483">
      <w:pPr>
        <w:pStyle w:val="Newparagraph"/>
        <w:spacing w:line="360" w:lineRule="auto"/>
        <w:ind w:left="720"/>
        <w:rPr>
          <w:shd w:val="clear" w:color="auto" w:fill="FFFFFF"/>
        </w:rPr>
      </w:pPr>
      <w:r w:rsidRPr="002A4326">
        <w:t xml:space="preserve">The results for Williams 82 </w:t>
      </w:r>
      <w:r>
        <w:t>did support</w:t>
      </w:r>
      <w:r w:rsidRPr="002A4326">
        <w:t xml:space="preserve"> the hypothesis that SCN infestation would decrease NF activity. The NF activity of Williams 82 was decreased in three out of nine individual observations (Fig</w:t>
      </w:r>
      <w:r>
        <w:t>ure 3.</w:t>
      </w:r>
      <w:r w:rsidRPr="002A4326">
        <w:t xml:space="preserve">1b), as well as in the total NF activity (Table </w:t>
      </w:r>
      <w:r>
        <w:t>3.</w:t>
      </w:r>
      <w:r w:rsidRPr="002A4326">
        <w:t>2).  Two of the three times NF activity decreased was early during the experiment, indicating that SCN can begin to decrease NF activity on a susceptible soybean as early as 22 days to 29 days after infestation. In addition, a decrease in NF activity was observed towards the end of the experiment at 40 days after infestation (Fig</w:t>
      </w:r>
      <w:r>
        <w:t>ure 3.</w:t>
      </w:r>
      <w:r w:rsidRPr="002A4326">
        <w:t>1b). This may imply that SCN can continue to decrease the NF of susceptible soybean throughout the infection period. However, the fact that there was no impact on NF during some periods of six observations, probably dispute</w:t>
      </w:r>
      <w:r>
        <w:t>s</w:t>
      </w:r>
      <w:r w:rsidRPr="002A4326">
        <w:t xml:space="preserve"> this or indicate</w:t>
      </w:r>
      <w:r>
        <w:t>s</w:t>
      </w:r>
      <w:r w:rsidRPr="002A4326">
        <w:t xml:space="preserve"> that other factors may have affected the impact of SCN on NF activity during the no-impact periods. One factor that may have contributed to the variability in the impact of SCN on NF is the SCN life cycle. The three SCN impacts on NF occurred at 22, 29, and 40 days after infestation. These periods seem to coincide around the SCN life stage with maximum adult activity (</w:t>
      </w:r>
      <w:r w:rsidRPr="002A4326">
        <w:rPr>
          <w:shd w:val="clear" w:color="auto" w:fill="FFFFFF"/>
        </w:rPr>
        <w:t>Schmitt et al., 2004). </w:t>
      </w:r>
    </w:p>
    <w:p w14:paraId="6379107B" w14:textId="77777777" w:rsidR="00D20476" w:rsidRDefault="00D20476" w:rsidP="00C66483">
      <w:pPr>
        <w:pStyle w:val="Newparagraph"/>
        <w:spacing w:line="360" w:lineRule="auto"/>
        <w:ind w:left="720"/>
        <w:rPr>
          <w:shd w:val="clear" w:color="auto" w:fill="FFFFFF"/>
        </w:rPr>
      </w:pPr>
      <w:r w:rsidRPr="002A4326">
        <w:t xml:space="preserve">The present study is the first to show directly that SCN HG type 1.2.5.7 decreased NF activity on a susceptible cultivar, </w:t>
      </w:r>
      <w:r>
        <w:t>i.e., Williams 82 (Figure 3.</w:t>
      </w:r>
      <w:r w:rsidRPr="002A4326">
        <w:t xml:space="preserve">1b).  While it decreased NF on Williams 82, it did not impact NF negatively on Ellis. This indicates that not all soybean cultivars labeled as “susceptible to SCN” will exhibit a low NF activity when infested by virulent SCN biotypes. </w:t>
      </w:r>
      <w:r>
        <w:t xml:space="preserve">Thus, regarding </w:t>
      </w:r>
      <w:r w:rsidRPr="002A4326">
        <w:t>NF activity, not all susceptible cultivars are sensitive to SCN HG type 1.2.5.7. What is unknown is whether susceptible cultivars with SCN-insensitive NF activity can incur or prevent yield loss to SCN infestation. If such susceptible cultivars can prevent yield loss to SCN infestation, it means an SCN-insensitive NF trait may be a rapid cultivar-screening criterion when looking for a susceptible soybean to grow in SCN-infested fields. Such cultivars can prevent high yield losses to virulent SCN biotypes. Furthermore, the result of this study indicates that labe</w:t>
      </w:r>
      <w:r>
        <w:t>l</w:t>
      </w:r>
      <w:r w:rsidRPr="002A4326">
        <w:t>ing a variety as susceptible based on SCN reproducibility may be misleading, especially if SCN reproduction will not affect major physiological activities in soybean.</w:t>
      </w:r>
      <w:r>
        <w:t xml:space="preserve"> S</w:t>
      </w:r>
      <w:r w:rsidRPr="002A4326">
        <w:t xml:space="preserve">oybean susceptibility status should be based on both SCN reproduction and its effects on the physiological attributes. </w:t>
      </w:r>
    </w:p>
    <w:p w14:paraId="367A1A66" w14:textId="77777777" w:rsidR="00D20476" w:rsidRPr="00142990" w:rsidRDefault="00D20476" w:rsidP="00C66483">
      <w:pPr>
        <w:pStyle w:val="Newparagraph"/>
        <w:spacing w:line="360" w:lineRule="auto"/>
        <w:ind w:left="720"/>
        <w:rPr>
          <w:shd w:val="clear" w:color="auto" w:fill="FFFFFF"/>
        </w:rPr>
      </w:pPr>
      <w:r w:rsidRPr="002A4326">
        <w:rPr>
          <w:noProof/>
        </w:rPr>
        <w:t xml:space="preserve">The second </w:t>
      </w:r>
      <w:r w:rsidRPr="002A4326">
        <w:t xml:space="preserve">objective of this study was to </w:t>
      </w:r>
      <w:r w:rsidRPr="002A4326">
        <w:rPr>
          <w:noProof/>
        </w:rPr>
        <w:t xml:space="preserve">evaluate the impact of SCN infestation on soybean root and leaf growth. The results showed that </w:t>
      </w:r>
      <w:r w:rsidRPr="002A4326">
        <w:t xml:space="preserve">leaf area was decreased by 30% on SCN-infected Williams 82 plants, but no decrease was observed for PI 88788 or Ellis (Figure </w:t>
      </w:r>
      <w:r>
        <w:t>3.</w:t>
      </w:r>
      <w:r w:rsidRPr="002A4326">
        <w:t xml:space="preserve">3). These results agree with previous studies (Asmus and Ferraz 2002; </w:t>
      </w:r>
      <w:r w:rsidRPr="002A4326">
        <w:rPr>
          <w:noProof/>
        </w:rPr>
        <w:t xml:space="preserve">Schans and Arntzen, 1991). </w:t>
      </w:r>
      <w:r w:rsidRPr="002A4326">
        <w:t xml:space="preserve">Asmus and Ferraz (2002) reported a decrease in soybean leaf area at different SCN population densities. Likewise, a report by </w:t>
      </w:r>
      <w:r w:rsidRPr="002A4326">
        <w:rPr>
          <w:noProof/>
        </w:rPr>
        <w:t>Schans and Arntzen (1991)</w:t>
      </w:r>
      <w:r w:rsidRPr="002A4326">
        <w:t xml:space="preserve"> also showed that the potato cyst nematode, </w:t>
      </w:r>
      <w:r w:rsidRPr="002A4326">
        <w:rPr>
          <w:i/>
        </w:rPr>
        <w:t>Globodera pallida,</w:t>
      </w:r>
      <w:r w:rsidRPr="002A4326">
        <w:t xml:space="preserve"> decreased leaf area of potato plants, and different populations of </w:t>
      </w:r>
      <w:r w:rsidRPr="002A4326">
        <w:rPr>
          <w:i/>
        </w:rPr>
        <w:t>Heterodera avenae</w:t>
      </w:r>
      <w:r w:rsidRPr="002A4326">
        <w:t xml:space="preserve"> (the cereal cyst nematode) decreased leaf area of triticale (x </w:t>
      </w:r>
      <w:r w:rsidRPr="002A4326">
        <w:rPr>
          <w:i/>
        </w:rPr>
        <w:t>Triticosecale</w:t>
      </w:r>
      <w:r w:rsidRPr="002A4326">
        <w:t xml:space="preserve"> Wittmack) plants. </w:t>
      </w:r>
    </w:p>
    <w:p w14:paraId="05537B1F" w14:textId="77777777" w:rsidR="00D20476" w:rsidRPr="002A4326" w:rsidRDefault="00D20476" w:rsidP="00C66483">
      <w:pPr>
        <w:pStyle w:val="Newparagraph"/>
        <w:spacing w:line="360" w:lineRule="auto"/>
        <w:ind w:left="720"/>
      </w:pPr>
      <w:r w:rsidRPr="002A4326">
        <w:t xml:space="preserve">Leaf color was slightly decreased (5%) by SCN in Williams 82 in the present study. Similar to this result, a decrease in soybean leaf color by SCN has been previously reported </w:t>
      </w:r>
      <w:r w:rsidRPr="002A4326">
        <w:fldChar w:fldCharType="begin" w:fldLock="1"/>
      </w:r>
      <w:r>
        <w:instrText>ADDIN CSL_CITATION {"citationItems":[{"id":"ITEM-1","itemData":{"DOI":"10.1590/s0100-41582002000300006","ISSN":"0100-4158","abstract":"The effect of Heterodera glycines on photosynthesis, leaf area and yield of soybean (Glycine max) was studied in two experiments carried out under greenhouse condition. Soybean seeds were sown in 1.5 l (Experiment 1) or 5.0 l (Experiment 2) clay pots filled with a mixture of field soil + sand (1:1) sterilized with methyl bromide. Eight days after sowing, seedlings were thinned to one per pot, and one day later inoculated with 0; 1.200; 3.600; 10.800; 32.400 or 97.200 J2 juveniles of H. glycines. Experiment 1 was carried out during the first 45 days of the inoculation while Experiment 2 was conducted during the whole cycle of the crop. Measurements of photosynthetic rate, stomatic conductance, chlorophyll fluorescence, leaf color, leaf area, and chlorophyll leaf content were taken at ten-day intervals throughout the experiments. Data on fresh root weight, top dry weight, grain yield, number of eggs/gram of roots, and nematode reproduction factor were obtained at the end of the trials. Each treatment was replicated ten times. There was a marked reduction in both photosynthetic rate and chlorophyll content, as well as an evident yellowing of the leaves of the infected plants. Even at the lowest Pi, the effects of H. glycines on the top dry weight or grain yield were quite severe. Despite the parasitism, soybean yield was highly correlated with the integrated leaf area and, accordingly, the use of this parameter was suggested for the design of potential damage prediction models that include physiological aspects of nematode-diseased plants.Os efeitos do parasitismo de Heterodera glycines sobre a fotossíntese, a área foliar e a produção da soja (Glycine Max) foram estudados em casa de vegetação. Dois experimentos foram realizados: Experimento 1, em recipientes menores, até 45 dias após as inoculações e Experimento 2, em recipientes maiores, até o final do ciclo vegetativo da soja . Plantas com nove dias da germinação foram individualmente inoculadas com 0, 1.200, 3.600, 10.800, 32.400 ou 97.200 juvenis J2 (= Pi). A cada dez dias após a inoculação, foram tomadas medidas da taxa fotossintética, condutância estomática, fluorescência da clorofila a, cor das folhas, teor de clorofila e área foliar. Ao final dos experimentos, foram determinadas a massa fresca do sistema radicular, massa seca total da parte aérea, produção de grãos (Experimento 2) e taxa reprodutiva dos nematóides. Nos dois experimentos, os tratamentos foram dispostos em blocos ao acaso, com dez re…","author":[{"dropping-particle":"","family":"ASMUS","given":"GUILHERME L.","non-dropping-particle":"","parse-names":false,"suffix":""},{"dropping-particle":"","family":"FERRAZ","given":"LUIZ CARLOS C. B.","non-dropping-particle":"","parse-names":false,"suffix":""}],"container-title":"Fitopatologia Brasileira","id":"ITEM-1","issued":{"date-parts":[["2002"]]},"title":"Effect of population densities of Heterodera glycines race 3 on leaf area, photosynthesis and yield of soybean","type":"article-journal"},"uris":["http://www.mendeley.com/documents/?uuid=a8351b3a-d38e-4d2a-8b30-b497035b69b8"]}],"mendeley":{"formattedCitation":"(ASMUS &amp; FERRAZ, 2002)","manualFormatting":"(Asmus and Ferraz, 2002)","plainTextFormattedCitation":"(ASMUS &amp; FERRAZ, 2002)","previouslyFormattedCitation":"(ASMUS &amp; FERRAZ, 2002)"},"properties":{"noteIndex":0},"schema":"https://github.com/citation-style-language/schema/raw/master/csl-citation.json"}</w:instrText>
      </w:r>
      <w:r w:rsidRPr="002A4326">
        <w:fldChar w:fldCharType="separate"/>
      </w:r>
      <w:r w:rsidRPr="002A4326">
        <w:rPr>
          <w:noProof/>
        </w:rPr>
        <w:t>(Asmus and Ferraz, 2002)</w:t>
      </w:r>
      <w:r w:rsidRPr="002A4326">
        <w:fldChar w:fldCharType="end"/>
      </w:r>
      <w:r w:rsidRPr="002A4326">
        <w:t xml:space="preserve">. Asmus and Ferraz (2002) attributed the decrease in leaf color by SCN to a decrease in leaf chlorophyll content. </w:t>
      </w:r>
      <w:r w:rsidRPr="002A4326">
        <w:rPr>
          <w:shd w:val="clear" w:color="auto" w:fill="FFFFFF"/>
        </w:rPr>
        <w:t>Leaf N and leaf color were affected by SCN differentl</w:t>
      </w:r>
      <w:r w:rsidRPr="002A4326">
        <w:t>y in the present study; while leaf N was not decrease</w:t>
      </w:r>
      <w:r>
        <w:t>d</w:t>
      </w:r>
      <w:r w:rsidRPr="002A4326">
        <w:t xml:space="preserve"> by SCN in any of the soybean genotypes, leaf color was decreased by SCN in Williams 82. This indicates that the impact of SCN on leaf color in this study was not associated with leaf N content; other unidentified factors may also be affecting soybean leaf color. </w:t>
      </w:r>
    </w:p>
    <w:p w14:paraId="6EA71359" w14:textId="77777777" w:rsidR="00D20476" w:rsidRPr="002A4326" w:rsidRDefault="00D20476" w:rsidP="00C66483">
      <w:pPr>
        <w:pStyle w:val="Newparagraph"/>
        <w:spacing w:line="360" w:lineRule="auto"/>
        <w:ind w:left="720"/>
      </w:pPr>
      <w:r w:rsidRPr="002A4326">
        <w:t>Root length was not affected by SCN in this study, but root surface area was decreased in Ellis (Fig</w:t>
      </w:r>
      <w:r>
        <w:t>ure 3.</w:t>
      </w:r>
      <w:r w:rsidRPr="002A4326">
        <w:t>4). This indicates that nematode infections may have more impact on root diameter than on root length. It may also indicate that selecting and growing soybean varieties with a large root system growth potential may help to reduce potential soybean damage or yield loss caused by virulent SCN populations. In summary, this study showed that the effect of the virulent SCN biotype (HG type 1.2.5.7) on NF activity varied among soybean genotypes. The virulent SCN biotype (HG type 1.2.5.7) population had a low reproduction rate and did not affect NF activity in the PI 88788 genotype. This means that the population was not virulent enough to affect NF activity in the resistant genotype. But it is unknown whether a similar observation will occur in SCN-resistant cultivars developed from the PI 88788 since most of the PI-88788-derived resistant cultivars may have a lesser resistance potential. Reproduction of SCN was not associated with NF decrease in Ellis. This means that a soybean genotype can support a high SCN population without experiencing a loss in NF activity (e.g., in Ellis), but it is unknown whether such an attribute can prevent yield loss from SCN infection. This attribute needs to be tested to find out whether such an “SCN-insensitive NF activity” trait can be used as a criterion for rapid screening of susceptible genotypes to prevent yield loss from SCN infestation. Also, when SCN affected NF in a susceptible genotype</w:t>
      </w:r>
      <w:r>
        <w:t xml:space="preserve"> </w:t>
      </w:r>
      <w:r w:rsidRPr="00950176">
        <w:t>(e.g., Williams 82)</w:t>
      </w:r>
      <w:r w:rsidRPr="002A4326">
        <w:t>, the impact was not continuous but occurred at different stages. Looking at the periods in which the impacts were observed, it seems possible that SCN impacts the NF activity of susceptible genotypes mostly when the SCN population is high and active. This implies that it takes the presence of a high SCN population with high activity to affect NF activity in susceptible soybean. Finally, SCN affected leaf color, leaf area, and root area but did not affect leaf N and root length. A decrease in leaf color and leaf area is a frequent occurrence associated with SCN activity in soybean</w:t>
      </w:r>
      <w:r>
        <w:t>. T</w:t>
      </w:r>
      <w:r w:rsidRPr="002A4326">
        <w:t xml:space="preserve">his means SCN exhibits a high tendency to cause damage </w:t>
      </w:r>
      <w:r>
        <w:t>to</w:t>
      </w:r>
      <w:r w:rsidRPr="002A4326">
        <w:t xml:space="preserve"> soybean by impairing these major physiological traits. Any approach that can strengthen soybean leaf color and leaf area, or the growing of cultivars with high leaf and root growth potentials may help to lessen the SCN damaging effect in the field. SCN activity did not affect leaf N and root length in this study</w:t>
      </w:r>
      <w:r>
        <w:t xml:space="preserve">, which </w:t>
      </w:r>
      <w:r w:rsidRPr="002A4326">
        <w:t xml:space="preserve">may mean that an unidentified factor may influence the effect of SCN on leaf N, while damage to root length by SCN is rare.  </w:t>
      </w:r>
    </w:p>
    <w:p w14:paraId="1A9E3B4A" w14:textId="77777777" w:rsidR="00D20476" w:rsidRPr="002A4326" w:rsidRDefault="00D20476" w:rsidP="00C66483">
      <w:pPr>
        <w:pStyle w:val="Acknowledgements"/>
        <w:ind w:left="720"/>
      </w:pPr>
    </w:p>
    <w:p w14:paraId="43554665" w14:textId="77777777" w:rsidR="00D20476" w:rsidRPr="008E2CD0" w:rsidRDefault="00D20476" w:rsidP="00C66483">
      <w:pPr>
        <w:pStyle w:val="BodyText"/>
        <w:spacing w:line="360" w:lineRule="auto"/>
        <w:ind w:left="720" w:right="1077"/>
        <w:rPr>
          <w:rFonts w:cs="Times New Roman"/>
        </w:rPr>
        <w:sectPr w:rsidR="00D20476" w:rsidRPr="008E2CD0" w:rsidSect="00FA1E10">
          <w:pgSz w:w="12240" w:h="15840" w:code="1"/>
          <w:pgMar w:top="1440" w:right="1440" w:bottom="1440" w:left="1440" w:header="0" w:footer="1440" w:gutter="0"/>
          <w:cols w:space="720"/>
          <w:docGrid w:linePitch="326"/>
        </w:sectPr>
      </w:pPr>
    </w:p>
    <w:p w14:paraId="397A7997" w14:textId="4DAAD793" w:rsidR="00D20476" w:rsidRPr="00102AAA" w:rsidRDefault="00D20476" w:rsidP="00C66483">
      <w:pPr>
        <w:pStyle w:val="Heading1"/>
        <w:spacing w:line="360" w:lineRule="auto"/>
        <w:ind w:left="720"/>
        <w:jc w:val="center"/>
      </w:pPr>
      <w:bookmarkStart w:id="309" w:name="_bookmark62"/>
      <w:bookmarkStart w:id="310" w:name="_Toc98812770"/>
      <w:bookmarkStart w:id="311" w:name="_Toc98812978"/>
      <w:bookmarkStart w:id="312" w:name="_Toc98813644"/>
      <w:bookmarkStart w:id="313" w:name="_Toc101048152"/>
      <w:bookmarkEnd w:id="309"/>
      <w:r w:rsidRPr="00102AAA">
        <w:t>References</w:t>
      </w:r>
      <w:bookmarkEnd w:id="310"/>
      <w:bookmarkEnd w:id="311"/>
      <w:bookmarkEnd w:id="312"/>
      <w:bookmarkEnd w:id="313"/>
    </w:p>
    <w:p w14:paraId="2E1CEEAE" w14:textId="77777777" w:rsidR="008C1194" w:rsidRPr="00102AAA" w:rsidRDefault="008C1194" w:rsidP="00C66483">
      <w:pPr>
        <w:pStyle w:val="Heading1"/>
        <w:spacing w:line="360" w:lineRule="auto"/>
        <w:ind w:left="720"/>
        <w:jc w:val="center"/>
      </w:pPr>
    </w:p>
    <w:p w14:paraId="1059BDAE" w14:textId="77777777" w:rsidR="00D20476" w:rsidRPr="007A39B7" w:rsidRDefault="00D20476" w:rsidP="00557E1F">
      <w:pPr>
        <w:spacing w:line="360" w:lineRule="auto"/>
        <w:ind w:left="720" w:hanging="630"/>
        <w:rPr>
          <w:rFonts w:cs="Times New Roman"/>
          <w:szCs w:val="24"/>
        </w:rPr>
      </w:pPr>
      <w:r w:rsidRPr="007A39B7">
        <w:rPr>
          <w:rFonts w:cs="Times New Roman"/>
          <w:szCs w:val="24"/>
          <w:shd w:val="clear" w:color="auto" w:fill="FFFFFF"/>
          <w:lang w:val="en-GB"/>
        </w:rPr>
        <w:t xml:space="preserve">Acedo, J. R., V. H. Dropkin, and V. D. Luedders. </w:t>
      </w:r>
      <w:r w:rsidRPr="007A39B7">
        <w:rPr>
          <w:shd w:val="clear" w:color="auto" w:fill="FFFFFF"/>
          <w:lang w:val="en-GB"/>
        </w:rPr>
        <w:t>(</w:t>
      </w:r>
      <w:r w:rsidRPr="007A39B7">
        <w:rPr>
          <w:rFonts w:cs="Times New Roman"/>
          <w:szCs w:val="24"/>
          <w:shd w:val="clear" w:color="auto" w:fill="FFFFFF"/>
          <w:lang w:val="en-GB"/>
        </w:rPr>
        <w:t>1984</w:t>
      </w:r>
      <w:r w:rsidRPr="007A39B7">
        <w:rPr>
          <w:shd w:val="clear" w:color="auto" w:fill="FFFFFF"/>
          <w:lang w:val="en-GB"/>
        </w:rPr>
        <w:t>)</w:t>
      </w:r>
      <w:r w:rsidRPr="007A39B7">
        <w:rPr>
          <w:rFonts w:cs="Times New Roman"/>
          <w:szCs w:val="24"/>
          <w:shd w:val="clear" w:color="auto" w:fill="FFFFFF"/>
          <w:lang w:val="en-GB"/>
        </w:rPr>
        <w:t xml:space="preserve">. "Nematode population attrition and histopathology of </w:t>
      </w:r>
      <w:r w:rsidRPr="007A39B7">
        <w:rPr>
          <w:rFonts w:cs="Times New Roman"/>
          <w:i/>
          <w:iCs/>
          <w:szCs w:val="24"/>
          <w:shd w:val="clear" w:color="auto" w:fill="FFFFFF"/>
          <w:lang w:val="en-GB"/>
        </w:rPr>
        <w:t>Heterodera glycines</w:t>
      </w:r>
      <w:r w:rsidRPr="007A39B7">
        <w:rPr>
          <w:rFonts w:cs="Times New Roman"/>
          <w:szCs w:val="24"/>
          <w:shd w:val="clear" w:color="auto" w:fill="FFFFFF"/>
          <w:lang w:val="en-GB"/>
        </w:rPr>
        <w:t>-soybean associations." </w:t>
      </w:r>
      <w:r w:rsidRPr="007A39B7">
        <w:rPr>
          <w:rFonts w:cs="Times New Roman"/>
          <w:i/>
          <w:iCs/>
          <w:szCs w:val="24"/>
          <w:shd w:val="clear" w:color="auto" w:fill="FFFFFF"/>
          <w:lang w:val="en-GB"/>
        </w:rPr>
        <w:t>Journal of Nematology</w:t>
      </w:r>
      <w:r w:rsidRPr="007A39B7">
        <w:rPr>
          <w:rFonts w:cs="Times New Roman"/>
          <w:szCs w:val="24"/>
          <w:shd w:val="clear" w:color="auto" w:fill="FFFFFF"/>
          <w:lang w:val="en-GB"/>
        </w:rPr>
        <w:t xml:space="preserve"> 16 (1): 48.</w:t>
      </w:r>
    </w:p>
    <w:p w14:paraId="5DCE8903"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lang w:val="en-GB"/>
        </w:rPr>
        <w:t xml:space="preserve">Acharya, K., C. Tande, and E. Byamukama. (2016). "Determination of </w:t>
      </w:r>
      <w:r w:rsidRPr="007A39B7">
        <w:rPr>
          <w:i/>
          <w:iCs/>
          <w:shd w:val="clear" w:color="auto" w:fill="FFFFFF"/>
          <w:lang w:val="en-GB"/>
        </w:rPr>
        <w:t>Heterodera glycines</w:t>
      </w:r>
      <w:r w:rsidRPr="007A39B7">
        <w:rPr>
          <w:shd w:val="clear" w:color="auto" w:fill="FFFFFF"/>
          <w:lang w:val="en-GB"/>
        </w:rPr>
        <w:t xml:space="preserve"> virulence phenotypes occurring in South Dakota."</w:t>
      </w:r>
      <w:r w:rsidRPr="007A39B7">
        <w:rPr>
          <w:i/>
          <w:iCs/>
          <w:shd w:val="clear" w:color="auto" w:fill="FFFFFF"/>
          <w:lang w:val="en-GB"/>
        </w:rPr>
        <w:t>Plant Disease</w:t>
      </w:r>
      <w:r w:rsidRPr="007A39B7">
        <w:rPr>
          <w:shd w:val="clear" w:color="auto" w:fill="FFFFFF"/>
          <w:lang w:val="en-GB"/>
        </w:rPr>
        <w:t xml:space="preserve"> 100 (11): 2281-2286. </w:t>
      </w:r>
      <w:r w:rsidRPr="007A39B7">
        <w:rPr>
          <w:lang w:val="en-GB"/>
        </w:rPr>
        <w:t>doi:10.1094/PDIS-04-16-0572-RE.</w:t>
      </w:r>
    </w:p>
    <w:p w14:paraId="576B18E5"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lang w:val="en-GB"/>
        </w:rPr>
        <w:t xml:space="preserve">Akinrinlola, R. J., G. Y. Yuen, R. A. Drijber, and A. O. Adesemoye. (2018). "Evaluation of </w:t>
      </w:r>
      <w:r w:rsidRPr="007A39B7">
        <w:rPr>
          <w:i/>
          <w:iCs/>
          <w:shd w:val="clear" w:color="auto" w:fill="FFFFFF"/>
          <w:lang w:val="en-GB"/>
        </w:rPr>
        <w:t>Bacillus</w:t>
      </w:r>
      <w:r w:rsidRPr="007A39B7">
        <w:rPr>
          <w:shd w:val="clear" w:color="auto" w:fill="FFFFFF"/>
          <w:lang w:val="en-GB"/>
        </w:rPr>
        <w:t xml:space="preserve"> strains for plant growth promotion and predictability of efficacy by in vitro physiological traits." </w:t>
      </w:r>
      <w:r w:rsidRPr="007A39B7">
        <w:rPr>
          <w:i/>
          <w:iCs/>
          <w:shd w:val="clear" w:color="auto" w:fill="FFFFFF"/>
          <w:lang w:val="en-GB"/>
        </w:rPr>
        <w:t xml:space="preserve">International Journal of Microbiology </w:t>
      </w:r>
      <w:r w:rsidRPr="007A39B7">
        <w:rPr>
          <w:shd w:val="clear" w:color="auto" w:fill="FFFFFF"/>
          <w:lang w:val="en-GB"/>
        </w:rPr>
        <w:t xml:space="preserve">2018. </w:t>
      </w:r>
      <w:r w:rsidRPr="007A39B7">
        <w:rPr>
          <w:lang w:val="en-GB"/>
        </w:rPr>
        <w:t>doi:10.1155/2018/5686874.</w:t>
      </w:r>
    </w:p>
    <w:p w14:paraId="42A6FD1B"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lang w:val="en-GB"/>
        </w:rPr>
        <w:t xml:space="preserve">Asmus, G. L., and L. C. C. Ferraz. (2002). "Effect of population densities of </w:t>
      </w:r>
      <w:r w:rsidRPr="007A39B7">
        <w:rPr>
          <w:i/>
          <w:iCs/>
          <w:shd w:val="clear" w:color="auto" w:fill="FFFFFF"/>
          <w:lang w:val="en-GB"/>
        </w:rPr>
        <w:t>Heterodera glycines</w:t>
      </w:r>
      <w:r w:rsidRPr="007A39B7">
        <w:rPr>
          <w:shd w:val="clear" w:color="auto" w:fill="FFFFFF"/>
          <w:lang w:val="en-GB"/>
        </w:rPr>
        <w:t xml:space="preserve"> race 3 on leaf area, photosynthesis and yield of soybean." </w:t>
      </w:r>
      <w:r w:rsidRPr="007A39B7">
        <w:rPr>
          <w:i/>
          <w:iCs/>
          <w:shd w:val="clear" w:color="auto" w:fill="FFFFFF"/>
          <w:lang w:val="en-GB"/>
        </w:rPr>
        <w:t>Fitopatologia Brasileira</w:t>
      </w:r>
      <w:r w:rsidRPr="007A39B7">
        <w:rPr>
          <w:shd w:val="clear" w:color="auto" w:fill="FFFFFF"/>
          <w:lang w:val="en-GB"/>
        </w:rPr>
        <w:t xml:space="preserve"> 27, 273-278. </w:t>
      </w:r>
      <w:r w:rsidRPr="007A39B7">
        <w:rPr>
          <w:lang w:val="en-GB"/>
        </w:rPr>
        <w:t>doi:10.1590/s0100-41582002000300006.</w:t>
      </w:r>
    </w:p>
    <w:p w14:paraId="1B48CE93"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Barker, K. R., &amp; Olthof, T. H. A. (1976). Relationships Between Nematode Population Densities and Crop Responses. </w:t>
      </w:r>
      <w:r w:rsidRPr="007A39B7">
        <w:rPr>
          <w:rFonts w:cs="Times New Roman"/>
          <w:i/>
          <w:szCs w:val="24"/>
        </w:rPr>
        <w:t>Annual Review of Phytopathology</w:t>
      </w:r>
      <w:r w:rsidRPr="007A39B7">
        <w:rPr>
          <w:rFonts w:cs="Times New Roman"/>
          <w:szCs w:val="24"/>
        </w:rPr>
        <w:t>, 14(1), 327–353. https://doi.org/10.1146/annurev.py.14.090176.001551</w:t>
      </w:r>
    </w:p>
    <w:p w14:paraId="5329A81B" w14:textId="77777777" w:rsidR="00D20476" w:rsidRPr="007A39B7" w:rsidRDefault="00D20476" w:rsidP="00557E1F">
      <w:pPr>
        <w:spacing w:line="360" w:lineRule="auto"/>
        <w:ind w:left="720" w:hanging="630"/>
        <w:rPr>
          <w:rFonts w:cs="Times New Roman"/>
          <w:szCs w:val="24"/>
        </w:rPr>
      </w:pPr>
      <w:r w:rsidRPr="007A39B7">
        <w:rPr>
          <w:rFonts w:cs="Times New Roman"/>
          <w:szCs w:val="24"/>
        </w:rPr>
        <w:t>Bernard EC. (1980). Identification, distribution, and plant associations of plant-parasitic nematodes in Tennessee. University of Tennessee Agricultural Experiment Station Bulletin, 594, 1–18.</w:t>
      </w:r>
    </w:p>
    <w:p w14:paraId="0022F153" w14:textId="77777777" w:rsidR="00D20476" w:rsidRPr="007A39B7" w:rsidRDefault="00D20476" w:rsidP="00557E1F">
      <w:pPr>
        <w:spacing w:line="360" w:lineRule="auto"/>
        <w:ind w:left="720" w:hanging="630"/>
        <w:rPr>
          <w:rFonts w:cs="Times New Roman"/>
          <w:szCs w:val="24"/>
        </w:rPr>
      </w:pPr>
      <w:r w:rsidRPr="007A39B7">
        <w:rPr>
          <w:rFonts w:cs="Times New Roman"/>
          <w:szCs w:val="24"/>
        </w:rPr>
        <w:t>Bernard, E. C., &amp; Montgomery-Dee, M. E. (1993). Reproduction of plant-parasitic nematodes on winter rapeseed (</w:t>
      </w:r>
      <w:r w:rsidRPr="007A39B7">
        <w:rPr>
          <w:rFonts w:cs="Times New Roman"/>
          <w:i/>
          <w:szCs w:val="24"/>
        </w:rPr>
        <w:t>Brassica napus</w:t>
      </w:r>
      <w:r w:rsidRPr="007A39B7">
        <w:rPr>
          <w:rFonts w:cs="Times New Roman"/>
          <w:szCs w:val="24"/>
        </w:rPr>
        <w:t xml:space="preserve"> ssp. oleifera). </w:t>
      </w:r>
      <w:r w:rsidRPr="00557E1F">
        <w:rPr>
          <w:rFonts w:cs="Times New Roman"/>
          <w:i/>
          <w:szCs w:val="24"/>
        </w:rPr>
        <w:t>Journal of Nematology</w:t>
      </w:r>
      <w:r w:rsidRPr="007A39B7">
        <w:rPr>
          <w:rFonts w:cs="Times New Roman"/>
          <w:szCs w:val="24"/>
        </w:rPr>
        <w:t>, 25(4 Supp.), 863–868.</w:t>
      </w:r>
    </w:p>
    <w:p w14:paraId="5790A4A3" w14:textId="77777777" w:rsidR="00D20476" w:rsidRPr="007A39B7" w:rsidRDefault="00D20476" w:rsidP="00557E1F">
      <w:pPr>
        <w:spacing w:line="360" w:lineRule="auto"/>
        <w:ind w:left="720" w:hanging="630"/>
        <w:rPr>
          <w:rFonts w:cs="Times New Roman"/>
          <w:szCs w:val="24"/>
        </w:rPr>
      </w:pPr>
      <w:r w:rsidRPr="007A39B7">
        <w:rPr>
          <w:rFonts w:cs="Times New Roman"/>
          <w:szCs w:val="24"/>
          <w:lang w:val="en-GB"/>
        </w:rPr>
        <w:t xml:space="preserve">Bernard, R. L., and C. R. Cremeens. (1988). "Registration of ‘Williams 82’ soybean." </w:t>
      </w:r>
      <w:r w:rsidRPr="007A39B7">
        <w:rPr>
          <w:rFonts w:cs="Times New Roman"/>
          <w:i/>
          <w:iCs/>
          <w:szCs w:val="24"/>
          <w:lang w:val="en-GB"/>
        </w:rPr>
        <w:t>Crop Science</w:t>
      </w:r>
      <w:r w:rsidRPr="007A39B7">
        <w:rPr>
          <w:rFonts w:cs="Times New Roman"/>
          <w:szCs w:val="24"/>
          <w:lang w:val="en-GB"/>
        </w:rPr>
        <w:t xml:space="preserve"> 28 (6): 1027–1028. doi:10.2135/cropsci1988.0011183x002800060049x.</w:t>
      </w:r>
    </w:p>
    <w:p w14:paraId="6308F6DA" w14:textId="77777777" w:rsidR="00D20476" w:rsidRPr="007A39B7" w:rsidRDefault="00D20476" w:rsidP="00557E1F">
      <w:pPr>
        <w:pStyle w:val="NormalWeb"/>
        <w:spacing w:before="0" w:beforeAutospacing="0" w:after="0" w:afterAutospacing="0" w:line="360" w:lineRule="auto"/>
        <w:ind w:left="720"/>
        <w:rPr>
          <w:lang w:val="en-GB"/>
        </w:rPr>
      </w:pPr>
      <w:r w:rsidRPr="007A39B7">
        <w:rPr>
          <w:shd w:val="clear" w:color="auto" w:fill="FFFFFF"/>
          <w:lang w:val="en-GB"/>
        </w:rPr>
        <w:t>Bradley, C. A., T. W. Allen, A. J. Sisson, G. C. Bergstrom, K. M. Bissonnette, J. Bond, and K. A. Wise. 2021. Soybean yield loss estimates due to diseases in the united states and Ontario, Canada, from 2015 to 2019.” </w:t>
      </w:r>
      <w:r w:rsidRPr="007A39B7">
        <w:rPr>
          <w:i/>
          <w:iCs/>
          <w:shd w:val="clear" w:color="auto" w:fill="FFFFFF"/>
          <w:lang w:val="en-GB"/>
        </w:rPr>
        <w:t>Plant Health Progress</w:t>
      </w:r>
      <w:r w:rsidRPr="007A39B7">
        <w:rPr>
          <w:shd w:val="clear" w:color="auto" w:fill="FFFFFF"/>
          <w:lang w:val="en-GB"/>
        </w:rPr>
        <w:t>, PHP-01.</w:t>
      </w:r>
    </w:p>
    <w:p w14:paraId="69F2F829"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lang w:val="en-GB"/>
        </w:rPr>
        <w:t>Caliskan, S., and E. Makineci. (2015). "Effects of carbon and nitrogen content on seed germination of Calabrian pine (</w:t>
      </w:r>
      <w:r w:rsidRPr="007A39B7">
        <w:rPr>
          <w:i/>
          <w:iCs/>
          <w:shd w:val="clear" w:color="auto" w:fill="FFFFFF"/>
          <w:lang w:val="en-GB"/>
        </w:rPr>
        <w:t>Pinus brutia</w:t>
      </w:r>
      <w:r w:rsidRPr="007A39B7">
        <w:rPr>
          <w:shd w:val="clear" w:color="auto" w:fill="FFFFFF"/>
          <w:lang w:val="en-GB"/>
        </w:rPr>
        <w:t xml:space="preserve">) populations." </w:t>
      </w:r>
      <w:r w:rsidRPr="007A39B7">
        <w:rPr>
          <w:i/>
          <w:iCs/>
          <w:shd w:val="clear" w:color="auto" w:fill="FFFFFF"/>
          <w:lang w:val="en-GB"/>
        </w:rPr>
        <w:t xml:space="preserve">Bosque (Valdivia) </w:t>
      </w:r>
      <w:r w:rsidRPr="007A39B7">
        <w:rPr>
          <w:shd w:val="clear" w:color="auto" w:fill="FFFFFF"/>
          <w:lang w:val="en-GB"/>
        </w:rPr>
        <w:t xml:space="preserve">36 (3): 435-443. </w:t>
      </w:r>
      <w:r w:rsidRPr="007A39B7">
        <w:rPr>
          <w:lang w:val="en-GB"/>
        </w:rPr>
        <w:t>doi.org/10.4067/S0717-92002015000300010.</w:t>
      </w:r>
    </w:p>
    <w:p w14:paraId="29273D79"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lang w:val="en-GB"/>
        </w:rPr>
        <w:t>Devi, M. J., and T. R. Sinclair. 2013. "Nitrogen fixation drought tolerance of the slow-wilting soybean PI 471938." C</w:t>
      </w:r>
      <w:r w:rsidRPr="007A39B7">
        <w:rPr>
          <w:i/>
          <w:iCs/>
          <w:lang w:val="en-GB"/>
        </w:rPr>
        <w:t xml:space="preserve">rop Science </w:t>
      </w:r>
      <w:r w:rsidRPr="007A39B7">
        <w:rPr>
          <w:lang w:val="en-GB"/>
        </w:rPr>
        <w:t>53 (5): 2072–2078. doi:10.2135/cropsci2013.02.0095.</w:t>
      </w:r>
    </w:p>
    <w:p w14:paraId="616E191B"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Hussey, R. S., &amp; Barker, K. R. (1976). Influence of nematodes and light sources on growth and nodulation of soybean. </w:t>
      </w:r>
      <w:r w:rsidRPr="007A39B7">
        <w:rPr>
          <w:rFonts w:cs="Times New Roman"/>
          <w:i/>
          <w:szCs w:val="24"/>
        </w:rPr>
        <w:t>Journal of Nematology</w:t>
      </w:r>
      <w:r w:rsidRPr="007A39B7">
        <w:rPr>
          <w:rFonts w:cs="Times New Roman"/>
          <w:szCs w:val="24"/>
        </w:rPr>
        <w:t>, 8(1), 48–52.</w:t>
      </w:r>
    </w:p>
    <w:p w14:paraId="57C60BF4"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Jiao, Y., Vuong, T. D., Liu, Y., Meinhardt, C., Liu, Y., Joshi, T., Cregan, P. B., Xu, D., Shannon, J. G., &amp; Nguyen, H. T. (2015). Identification and evaluation of quantitative trait loci underlying resistance to multiple HG types of soybean cyst nematode in soybean PI 437655. </w:t>
      </w:r>
      <w:r w:rsidRPr="007A39B7">
        <w:rPr>
          <w:rFonts w:cs="Times New Roman"/>
          <w:i/>
          <w:szCs w:val="24"/>
        </w:rPr>
        <w:t>Theoretical and Applied Genetics</w:t>
      </w:r>
      <w:r w:rsidRPr="007A39B7">
        <w:rPr>
          <w:rFonts w:cs="Times New Roman"/>
          <w:szCs w:val="24"/>
        </w:rPr>
        <w:t>, 128(1), 15–23. https://doi.org/10.1007/s00122-014-2409-5</w:t>
      </w:r>
    </w:p>
    <w:p w14:paraId="63C5861A" w14:textId="77777777" w:rsidR="00D20476" w:rsidRPr="007A39B7" w:rsidRDefault="00D20476" w:rsidP="00557E1F">
      <w:pPr>
        <w:spacing w:line="360" w:lineRule="auto"/>
        <w:ind w:left="720" w:hanging="630"/>
        <w:rPr>
          <w:rFonts w:cs="Times New Roman"/>
          <w:szCs w:val="24"/>
        </w:rPr>
      </w:pPr>
      <w:r w:rsidRPr="007A39B7">
        <w:rPr>
          <w:rFonts w:cs="Times New Roman"/>
          <w:szCs w:val="24"/>
        </w:rPr>
        <w:t>Jones, J. T., Haegeman, A., Danchin, E. G. J., Gaur, H. S., Helder, J., Jones, M. G. K., Kikuchi, T., Manzanilla-López, R., Palomares-Rius, J. E., Wesemael, W. M. L., &amp; Perry, R. N. (2013). Top 10 plant-parasitic nematodes in molecular plant pathology. Molecular Plant Pathology, 14(9), 946–961. https://doi.org/10.1111/mpp.12057</w:t>
      </w:r>
    </w:p>
    <w:p w14:paraId="2BB673F4"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Ko, M. P., Barker, K. R., &amp; Huang, J. S. (1984). Nodulation of Soybeans as Affected by Half-root Infection with </w:t>
      </w:r>
      <w:r w:rsidRPr="007A39B7">
        <w:rPr>
          <w:rFonts w:cs="Times New Roman"/>
          <w:i/>
          <w:szCs w:val="24"/>
        </w:rPr>
        <w:t>Heterodera glycines</w:t>
      </w:r>
      <w:r w:rsidRPr="007A39B7">
        <w:rPr>
          <w:rFonts w:cs="Times New Roman"/>
          <w:szCs w:val="24"/>
        </w:rPr>
        <w:t xml:space="preserve">. </w:t>
      </w:r>
      <w:r w:rsidRPr="007A39B7">
        <w:rPr>
          <w:rFonts w:cs="Times New Roman"/>
          <w:i/>
          <w:szCs w:val="24"/>
        </w:rPr>
        <w:t>Journal of Nematology</w:t>
      </w:r>
      <w:r w:rsidRPr="007A39B7">
        <w:rPr>
          <w:rFonts w:cs="Times New Roman"/>
          <w:szCs w:val="24"/>
        </w:rPr>
        <w:t>, 16(1), 97–105.</w:t>
      </w:r>
    </w:p>
    <w:p w14:paraId="118B2FAF" w14:textId="77777777" w:rsidR="00D20476" w:rsidRPr="007A39B7" w:rsidRDefault="00D20476" w:rsidP="00557E1F">
      <w:pPr>
        <w:spacing w:line="360" w:lineRule="auto"/>
        <w:ind w:left="720" w:hanging="630"/>
        <w:rPr>
          <w:rFonts w:cs="Times New Roman"/>
          <w:szCs w:val="24"/>
        </w:rPr>
      </w:pPr>
      <w:r w:rsidRPr="007A39B7">
        <w:rPr>
          <w:rFonts w:cs="Times New Roman"/>
          <w:szCs w:val="24"/>
        </w:rPr>
        <w:t>Koenning, S. R., Wrather, J. A., Kirkpatrick, T. L., Walker, N. R., Starr, J. L., &amp; Mueller, J. D. (2004). Plant-parasitic nematodes attacking cotton in the United States: Old and emerging production challenges. Plant Disease, 88(2), 100–113. https://doi.org/10.1094/PDIS.2004.88.2.100</w:t>
      </w:r>
    </w:p>
    <w:p w14:paraId="23B11076"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Lambert, K., &amp; Bekal, S. (2002). Introduction to Plant-Parasitic Nematodes. </w:t>
      </w:r>
      <w:r w:rsidRPr="007A39B7">
        <w:rPr>
          <w:rFonts w:cs="Times New Roman"/>
          <w:i/>
          <w:szCs w:val="24"/>
        </w:rPr>
        <w:t>The Plant Health Instructor</w:t>
      </w:r>
      <w:r w:rsidRPr="007A39B7">
        <w:rPr>
          <w:rFonts w:cs="Times New Roman"/>
          <w:szCs w:val="24"/>
        </w:rPr>
        <w:t xml:space="preserve">, Poinar 1983, 1–23. </w:t>
      </w:r>
      <w:hyperlink r:id="rId95" w:history="1">
        <w:r w:rsidRPr="007A39B7">
          <w:rPr>
            <w:rStyle w:val="Hyperlink"/>
            <w:rFonts w:cs="Times New Roman"/>
            <w:color w:val="auto"/>
            <w:szCs w:val="24"/>
            <w:u w:val="none"/>
          </w:rPr>
          <w:t>https://doi.org/10.1094/phi-i-2002-1218-01</w:t>
        </w:r>
      </w:hyperlink>
    </w:p>
    <w:p w14:paraId="5AD14812" w14:textId="77777777" w:rsidR="00D20476" w:rsidRPr="007A39B7" w:rsidRDefault="00D20476" w:rsidP="00557E1F">
      <w:pPr>
        <w:spacing w:line="360" w:lineRule="auto"/>
        <w:ind w:left="720" w:hanging="630"/>
        <w:rPr>
          <w:rFonts w:cs="Times New Roman"/>
          <w:szCs w:val="24"/>
        </w:rPr>
      </w:pPr>
      <w:r w:rsidRPr="007A39B7">
        <w:rPr>
          <w:rFonts w:cs="Times New Roman"/>
          <w:szCs w:val="24"/>
          <w:shd w:val="clear" w:color="auto" w:fill="FFFFFF"/>
        </w:rPr>
        <w:t xml:space="preserve">Lambert, K. N., Bekal, S., Domier, L. L., Niblack, T. L., Noel, G. R., &amp; Smyth, C. A. (2005). Selection of </w:t>
      </w:r>
      <w:r w:rsidRPr="007A39B7">
        <w:rPr>
          <w:rFonts w:cs="Times New Roman"/>
          <w:i/>
          <w:szCs w:val="24"/>
          <w:shd w:val="clear" w:color="auto" w:fill="FFFFFF"/>
        </w:rPr>
        <w:t>Heterodera glycines</w:t>
      </w:r>
      <w:r w:rsidRPr="007A39B7">
        <w:rPr>
          <w:rFonts w:cs="Times New Roman"/>
          <w:szCs w:val="24"/>
          <w:shd w:val="clear" w:color="auto" w:fill="FFFFFF"/>
        </w:rPr>
        <w:t xml:space="preserve"> chorismate mutase-1 alleles on nematode-resistant soybean. </w:t>
      </w:r>
      <w:r w:rsidRPr="007A39B7">
        <w:rPr>
          <w:rFonts w:cs="Times New Roman"/>
          <w:i/>
          <w:iCs/>
          <w:szCs w:val="24"/>
          <w:shd w:val="clear" w:color="auto" w:fill="FFFFFF"/>
        </w:rPr>
        <w:t>Molecular plant-microbe interactions</w:t>
      </w:r>
      <w:r w:rsidRPr="007A39B7">
        <w:rPr>
          <w:rFonts w:cs="Times New Roman"/>
          <w:szCs w:val="24"/>
          <w:shd w:val="clear" w:color="auto" w:fill="FFFFFF"/>
        </w:rPr>
        <w:t>, </w:t>
      </w:r>
      <w:r w:rsidRPr="007A39B7">
        <w:rPr>
          <w:rFonts w:cs="Times New Roman"/>
          <w:i/>
          <w:iCs/>
          <w:szCs w:val="24"/>
          <w:shd w:val="clear" w:color="auto" w:fill="FFFFFF"/>
        </w:rPr>
        <w:t>18</w:t>
      </w:r>
      <w:r w:rsidRPr="007A39B7">
        <w:rPr>
          <w:rFonts w:cs="Times New Roman"/>
          <w:szCs w:val="24"/>
          <w:shd w:val="clear" w:color="auto" w:fill="FFFFFF"/>
        </w:rPr>
        <w:t>(6), 593-601.</w:t>
      </w:r>
    </w:p>
    <w:p w14:paraId="29C6C623"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Lehman, P. S. (1971). The Influence of Races of </w:t>
      </w:r>
      <w:r w:rsidRPr="007A39B7">
        <w:rPr>
          <w:rFonts w:cs="Times New Roman"/>
          <w:i/>
          <w:szCs w:val="24"/>
        </w:rPr>
        <w:t>Heterodera glycines</w:t>
      </w:r>
      <w:r w:rsidRPr="007A39B7">
        <w:rPr>
          <w:rFonts w:cs="Times New Roman"/>
          <w:szCs w:val="24"/>
        </w:rPr>
        <w:t xml:space="preserve"> on Nodulation and Nitrogen-Fixing Capacity of Soybean. </w:t>
      </w:r>
      <w:r w:rsidRPr="007A39B7">
        <w:rPr>
          <w:rFonts w:cs="Times New Roman"/>
          <w:i/>
          <w:szCs w:val="24"/>
        </w:rPr>
        <w:t>Phytopathology</w:t>
      </w:r>
      <w:r w:rsidRPr="007A39B7">
        <w:rPr>
          <w:rFonts w:cs="Times New Roman"/>
          <w:szCs w:val="24"/>
        </w:rPr>
        <w:t xml:space="preserve">. </w:t>
      </w:r>
      <w:hyperlink r:id="rId96" w:history="1">
        <w:r w:rsidRPr="007A39B7">
          <w:rPr>
            <w:rStyle w:val="Hyperlink"/>
            <w:rFonts w:cs="Times New Roman"/>
            <w:color w:val="auto"/>
            <w:szCs w:val="24"/>
            <w:u w:val="none"/>
          </w:rPr>
          <w:t>https://doi.org/10.1094/phyto-61-1239</w:t>
        </w:r>
      </w:hyperlink>
    </w:p>
    <w:p w14:paraId="49AC0042" w14:textId="77777777" w:rsidR="00D20476" w:rsidRPr="007A39B7" w:rsidRDefault="00D20476" w:rsidP="00557E1F">
      <w:pPr>
        <w:spacing w:line="360" w:lineRule="auto"/>
        <w:ind w:left="720" w:hanging="630"/>
        <w:rPr>
          <w:rFonts w:cs="Times New Roman"/>
          <w:szCs w:val="24"/>
        </w:rPr>
      </w:pPr>
      <w:r w:rsidRPr="007A39B7">
        <w:rPr>
          <w:rFonts w:cs="Times New Roman"/>
          <w:szCs w:val="24"/>
          <w:shd w:val="clear" w:color="auto" w:fill="FFFFFF"/>
        </w:rPr>
        <w:t>Markwell, J., Osterman, J. C., &amp; Mitchell, J. L. (1995). Calibration of the Minolta SPAD-502 leaf chlorophyll meter. </w:t>
      </w:r>
      <w:r w:rsidRPr="007A39B7">
        <w:rPr>
          <w:rFonts w:cs="Times New Roman"/>
          <w:i/>
          <w:iCs/>
          <w:szCs w:val="24"/>
          <w:shd w:val="clear" w:color="auto" w:fill="FFFFFF"/>
        </w:rPr>
        <w:t>Photosynthesis research</w:t>
      </w:r>
      <w:r w:rsidRPr="007A39B7">
        <w:rPr>
          <w:rFonts w:cs="Times New Roman"/>
          <w:szCs w:val="24"/>
          <w:shd w:val="clear" w:color="auto" w:fill="FFFFFF"/>
        </w:rPr>
        <w:t>, </w:t>
      </w:r>
      <w:r w:rsidRPr="007A39B7">
        <w:rPr>
          <w:rFonts w:cs="Times New Roman"/>
          <w:i/>
          <w:iCs/>
          <w:szCs w:val="24"/>
          <w:shd w:val="clear" w:color="auto" w:fill="FFFFFF"/>
        </w:rPr>
        <w:t>46</w:t>
      </w:r>
      <w:r w:rsidRPr="007A39B7">
        <w:rPr>
          <w:rFonts w:cs="Times New Roman"/>
          <w:szCs w:val="24"/>
          <w:shd w:val="clear" w:color="auto" w:fill="FFFFFF"/>
        </w:rPr>
        <w:t>(3), 467-472.</w:t>
      </w:r>
    </w:p>
    <w:p w14:paraId="6692D21E"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lang w:val="en-GB"/>
        </w:rPr>
        <w:t xml:space="preserve">McCarville, M. T., C.C. Marett, M. P. Mullaney, G. D Gebhart, and G. L. Tylka. </w:t>
      </w:r>
      <w:r w:rsidRPr="007A39B7">
        <w:rPr>
          <w:lang w:val="en-GB"/>
        </w:rPr>
        <w:t xml:space="preserve">2017. "Increase in soybean cyst nematode virulence and reproduction on resistant soybean varieties in Iowa from 2001 to 2015 and the effects on soybean yields." </w:t>
      </w:r>
      <w:r w:rsidRPr="007A39B7">
        <w:rPr>
          <w:i/>
          <w:iCs/>
          <w:lang w:val="en-GB"/>
        </w:rPr>
        <w:t xml:space="preserve">Plant Health Progress </w:t>
      </w:r>
      <w:r w:rsidRPr="007A39B7">
        <w:rPr>
          <w:lang w:val="en-GB"/>
        </w:rPr>
        <w:t>18 (3): 146–155. doi:10.1094/PHP-RS-16-0062.</w:t>
      </w:r>
    </w:p>
    <w:p w14:paraId="2993C98D"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McGinnity, P. J., Kapusta, G., &amp; Myers, O. (1980). Soybean Cyst Nematode and Rhizobium Strain Influences on Soybean Nodulation and N2-fixation1. </w:t>
      </w:r>
      <w:r w:rsidRPr="007A39B7">
        <w:rPr>
          <w:rFonts w:cs="Times New Roman"/>
          <w:i/>
          <w:szCs w:val="24"/>
        </w:rPr>
        <w:t>Agronomy Journal</w:t>
      </w:r>
      <w:r w:rsidRPr="007A39B7">
        <w:rPr>
          <w:rFonts w:cs="Times New Roman"/>
          <w:szCs w:val="24"/>
        </w:rPr>
        <w:t>, 72(5), 785. https://doi.org/10.2134/agronj1980.00021962007200050023x</w:t>
      </w:r>
    </w:p>
    <w:p w14:paraId="25A7FB58"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Niblack, T. L., Arelli, P. R., Noel, G. R., Opperman, C. H., Orf, J. H., Schmitt, D. P., Shannon, J. G., &amp; Tylka, G. L. (2002). A revised classification scheme for genetically diverse populations </w:t>
      </w:r>
      <w:r w:rsidRPr="007A39B7">
        <w:rPr>
          <w:rFonts w:cs="Times New Roman"/>
          <w:i/>
          <w:szCs w:val="24"/>
        </w:rPr>
        <w:t>of Heterodera glycines</w:t>
      </w:r>
      <w:r w:rsidRPr="007A39B7">
        <w:rPr>
          <w:rFonts w:cs="Times New Roman"/>
          <w:szCs w:val="24"/>
        </w:rPr>
        <w:t xml:space="preserve">. </w:t>
      </w:r>
      <w:r w:rsidRPr="007A39B7">
        <w:rPr>
          <w:rFonts w:cs="Times New Roman"/>
          <w:i/>
          <w:szCs w:val="24"/>
        </w:rPr>
        <w:t>Journal of Nematology</w:t>
      </w:r>
      <w:r w:rsidRPr="007A39B7">
        <w:rPr>
          <w:rFonts w:cs="Times New Roman"/>
          <w:szCs w:val="24"/>
        </w:rPr>
        <w:t>, 34(4), 279–288.</w:t>
      </w:r>
    </w:p>
    <w:p w14:paraId="38621FA2"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Niblack, T. L., Colgrove, A. L., Colgrove, K., &amp; Bond, J. P. (2008). Shift in Virulence of Soybean Cyst Nematode is Associated with Use of Resistance from PI 88788. </w:t>
      </w:r>
      <w:r w:rsidRPr="007A39B7">
        <w:rPr>
          <w:rFonts w:cs="Times New Roman"/>
          <w:i/>
          <w:szCs w:val="24"/>
        </w:rPr>
        <w:t>Plant Health Progress</w:t>
      </w:r>
      <w:r w:rsidRPr="007A39B7">
        <w:rPr>
          <w:rFonts w:cs="Times New Roman"/>
          <w:szCs w:val="24"/>
        </w:rPr>
        <w:t>. https://doi.org/10.1094/php-2008-0118-01-rs</w:t>
      </w:r>
    </w:p>
    <w:p w14:paraId="27645A54" w14:textId="77777777" w:rsidR="00D20476" w:rsidRPr="007A39B7" w:rsidRDefault="00D20476" w:rsidP="00557E1F">
      <w:pPr>
        <w:pStyle w:val="NormalWeb"/>
        <w:spacing w:before="0" w:beforeAutospacing="0" w:after="0" w:afterAutospacing="0" w:line="360" w:lineRule="auto"/>
        <w:ind w:left="720" w:hanging="630"/>
        <w:rPr>
          <w:shd w:val="clear" w:color="auto" w:fill="FFFFFF"/>
          <w:lang w:val="en-GB"/>
        </w:rPr>
      </w:pPr>
      <w:r w:rsidRPr="007A39B7">
        <w:rPr>
          <w:shd w:val="clear" w:color="auto" w:fill="FFFFFF"/>
          <w:lang w:val="en-GB"/>
        </w:rPr>
        <w:t>Pantalone, V., C. Smallwood, and B. Fallen. (2017). “Development of ‘Ellis’ soybean with high soymeal protein, resistance to stem canker, southern root-knot nematode, and frogeye leaf spot.” </w:t>
      </w:r>
      <w:r w:rsidRPr="007A39B7">
        <w:rPr>
          <w:i/>
          <w:iCs/>
          <w:shd w:val="clear" w:color="auto" w:fill="FFFFFF"/>
          <w:lang w:val="en-GB"/>
        </w:rPr>
        <w:t>Journal of Plant Registrations</w:t>
      </w:r>
      <w:r w:rsidRPr="007A39B7">
        <w:rPr>
          <w:shd w:val="clear" w:color="auto" w:fill="FFFFFF"/>
          <w:lang w:val="en-GB"/>
        </w:rPr>
        <w:t>, </w:t>
      </w:r>
      <w:r w:rsidRPr="007A39B7">
        <w:rPr>
          <w:i/>
          <w:iCs/>
          <w:shd w:val="clear" w:color="auto" w:fill="FFFFFF"/>
          <w:lang w:val="en-GB"/>
        </w:rPr>
        <w:t>11</w:t>
      </w:r>
      <w:r w:rsidRPr="007A39B7">
        <w:rPr>
          <w:shd w:val="clear" w:color="auto" w:fill="FFFFFF"/>
          <w:lang w:val="en-GB"/>
        </w:rPr>
        <w:t>(3), 250-255.</w:t>
      </w:r>
    </w:p>
    <w:p w14:paraId="4FE9FF23"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rPr>
        <w:t xml:space="preserve">Parsons, R., Raven, J. A., &amp; Sprent, J. I. (1992). A simple open flow system used to measure acetylene reduction activity of </w:t>
      </w:r>
      <w:r w:rsidRPr="007A39B7">
        <w:rPr>
          <w:i/>
          <w:shd w:val="clear" w:color="auto" w:fill="FFFFFF"/>
        </w:rPr>
        <w:t>Sesbania rostrata</w:t>
      </w:r>
      <w:r w:rsidRPr="007A39B7">
        <w:rPr>
          <w:shd w:val="clear" w:color="auto" w:fill="FFFFFF"/>
        </w:rPr>
        <w:t xml:space="preserve"> stem and root nodules. </w:t>
      </w:r>
      <w:r w:rsidRPr="007A39B7">
        <w:rPr>
          <w:i/>
          <w:iCs/>
          <w:shd w:val="clear" w:color="auto" w:fill="FFFFFF"/>
        </w:rPr>
        <w:t>Journal of Experimental Botany</w:t>
      </w:r>
      <w:r w:rsidRPr="007A39B7">
        <w:rPr>
          <w:shd w:val="clear" w:color="auto" w:fill="FFFFFF"/>
        </w:rPr>
        <w:t>, </w:t>
      </w:r>
      <w:r w:rsidRPr="007A39B7">
        <w:rPr>
          <w:i/>
          <w:iCs/>
          <w:shd w:val="clear" w:color="auto" w:fill="FFFFFF"/>
        </w:rPr>
        <w:t>43</w:t>
      </w:r>
      <w:r w:rsidRPr="007A39B7">
        <w:rPr>
          <w:shd w:val="clear" w:color="auto" w:fill="FFFFFF"/>
        </w:rPr>
        <w:t>(5), 595-604.</w:t>
      </w:r>
    </w:p>
    <w:p w14:paraId="5EEDCB83"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Riggs, R. D., &amp; Schmitt, D. P. (1991). Optimization of the </w:t>
      </w:r>
      <w:r w:rsidRPr="007A39B7">
        <w:rPr>
          <w:rFonts w:cs="Times New Roman"/>
          <w:i/>
          <w:szCs w:val="24"/>
        </w:rPr>
        <w:t>Heterodera glycines</w:t>
      </w:r>
      <w:r w:rsidRPr="007A39B7">
        <w:rPr>
          <w:rFonts w:cs="Times New Roman"/>
          <w:szCs w:val="24"/>
        </w:rPr>
        <w:t xml:space="preserve"> Race Test Procedure. </w:t>
      </w:r>
      <w:r w:rsidRPr="007A39B7">
        <w:rPr>
          <w:rFonts w:cs="Times New Roman"/>
          <w:i/>
          <w:szCs w:val="24"/>
        </w:rPr>
        <w:t>Journal of Nematology</w:t>
      </w:r>
      <w:r w:rsidRPr="007A39B7">
        <w:rPr>
          <w:rFonts w:cs="Times New Roman"/>
          <w:szCs w:val="24"/>
        </w:rPr>
        <w:t>, 23(2), 149–14954.</w:t>
      </w:r>
    </w:p>
    <w:p w14:paraId="63A54CB6"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lang w:val="en-GB"/>
        </w:rPr>
        <w:t xml:space="preserve">Schans, J., and F. K. Arntzen. (1991). "Photosynthesis, transpiration and plant growth characters of different potato cultivars at various densities of </w:t>
      </w:r>
      <w:r w:rsidRPr="007A39B7">
        <w:rPr>
          <w:i/>
          <w:iCs/>
          <w:lang w:val="en-GB"/>
        </w:rPr>
        <w:t xml:space="preserve">Globodera pallida." Netherlands Journal of Plant Pathology </w:t>
      </w:r>
      <w:r w:rsidRPr="007A39B7">
        <w:rPr>
          <w:lang w:val="en-GB"/>
        </w:rPr>
        <w:t>97 (5): 297–310. doi:10.1007/BF01974225.</w:t>
      </w:r>
    </w:p>
    <w:p w14:paraId="577CC013"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lang w:val="en-GB"/>
        </w:rPr>
        <w:t>Schmitt, D. P., R. D. Riggs, and J. A. Wrather. (2004). "Biology and management of soybean cyst nematode (Vol. 11)." 2nd ed. Marceline: Schmitt &amp; Associates of Marceline, MO.</w:t>
      </w:r>
    </w:p>
    <w:p w14:paraId="67E19090" w14:textId="77777777" w:rsidR="00D20476" w:rsidRPr="007A39B7" w:rsidRDefault="00D20476" w:rsidP="00557E1F">
      <w:pPr>
        <w:pStyle w:val="NormalWeb"/>
        <w:spacing w:before="0" w:beforeAutospacing="0" w:after="0" w:afterAutospacing="0" w:line="360" w:lineRule="auto"/>
        <w:ind w:left="720" w:hanging="630"/>
        <w:rPr>
          <w:lang w:val="en-GB"/>
        </w:rPr>
      </w:pPr>
      <w:r w:rsidRPr="007A39B7">
        <w:rPr>
          <w:shd w:val="clear" w:color="auto" w:fill="FFFFFF"/>
          <w:lang w:val="en-GB"/>
        </w:rPr>
        <w:t>Shaibu, A. S., B. Li, S. Zhang, and J. Sun. (2020). “Soybean cyst nematode-resistance: gene identification and breeding strategies.” </w:t>
      </w:r>
      <w:r w:rsidRPr="007A39B7">
        <w:rPr>
          <w:i/>
          <w:iCs/>
          <w:shd w:val="clear" w:color="auto" w:fill="FFFFFF"/>
          <w:lang w:val="en-GB"/>
        </w:rPr>
        <w:t xml:space="preserve">The Crop Journal </w:t>
      </w:r>
      <w:r w:rsidRPr="007A39B7">
        <w:rPr>
          <w:shd w:val="clear" w:color="auto" w:fill="FFFFFF"/>
          <w:lang w:val="en-GB"/>
        </w:rPr>
        <w:t> 8: 892–904. doi: 10.1016/j.cj.2020.03.001.</w:t>
      </w:r>
    </w:p>
    <w:p w14:paraId="5373C139"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Sikora, E. J., &amp; Noel, G. R. (1991). Distribution of </w:t>
      </w:r>
      <w:r w:rsidRPr="007A39B7">
        <w:rPr>
          <w:rFonts w:cs="Times New Roman"/>
          <w:i/>
          <w:szCs w:val="24"/>
        </w:rPr>
        <w:t>Heterodera glycines</w:t>
      </w:r>
      <w:r w:rsidRPr="007A39B7">
        <w:rPr>
          <w:rFonts w:cs="Times New Roman"/>
          <w:szCs w:val="24"/>
        </w:rPr>
        <w:t xml:space="preserve"> Races in Illinois. Journal of Nematology, 23(4S), 624–628.</w:t>
      </w:r>
    </w:p>
    <w:p w14:paraId="1AC88A8A"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Sinclair, T. R., Purcell, L. C., King, C. A., Sneller, C. H., Chen, P., &amp; Vadez, V. (2007). Drought tolerance and yield increase of soybean resulting from improved symbiotic N2 fixation. </w:t>
      </w:r>
      <w:r w:rsidRPr="007A39B7">
        <w:rPr>
          <w:rFonts w:cs="Times New Roman"/>
          <w:i/>
          <w:szCs w:val="24"/>
        </w:rPr>
        <w:t>Field Crops Research</w:t>
      </w:r>
      <w:r w:rsidRPr="007A39B7">
        <w:rPr>
          <w:rFonts w:cs="Times New Roman"/>
          <w:szCs w:val="24"/>
        </w:rPr>
        <w:t>, 101(1), 68–71. https://doi.org/10.1016/j.fcr.2006.09.010</w:t>
      </w:r>
    </w:p>
    <w:p w14:paraId="1A779A04"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Sobczak, M., &amp; Golinowski, W. (2009). Structure of cyst nematode feeding sites. </w:t>
      </w:r>
      <w:r w:rsidRPr="007A39B7">
        <w:rPr>
          <w:rFonts w:cs="Times New Roman"/>
          <w:i/>
          <w:szCs w:val="24"/>
        </w:rPr>
        <w:t>Plant Cell Monographs</w:t>
      </w:r>
      <w:r w:rsidRPr="007A39B7">
        <w:rPr>
          <w:rFonts w:cs="Times New Roman"/>
          <w:szCs w:val="24"/>
        </w:rPr>
        <w:t>, 15, 153–187. https://doi.org/10.1007/978-3-540-85215-5_6</w:t>
      </w:r>
    </w:p>
    <w:p w14:paraId="795C42AC"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Villordon, A., &amp; Clark, C. (2018). Variation in root architecture attributes at the onset of storage root formation among resistant and susceptible sweetpotato cultivars infected with </w:t>
      </w:r>
      <w:r w:rsidRPr="007A39B7">
        <w:rPr>
          <w:rFonts w:cs="Times New Roman"/>
          <w:i/>
          <w:szCs w:val="24"/>
        </w:rPr>
        <w:t>Meloidogyne incognita</w:t>
      </w:r>
      <w:r w:rsidRPr="007A39B7">
        <w:rPr>
          <w:rFonts w:cs="Times New Roman"/>
          <w:szCs w:val="24"/>
        </w:rPr>
        <w:t xml:space="preserve">. </w:t>
      </w:r>
      <w:r w:rsidRPr="007A39B7">
        <w:rPr>
          <w:rFonts w:cs="Times New Roman"/>
          <w:i/>
          <w:szCs w:val="24"/>
        </w:rPr>
        <w:t>HortScience</w:t>
      </w:r>
      <w:r w:rsidRPr="007A39B7">
        <w:rPr>
          <w:rFonts w:cs="Times New Roman"/>
          <w:szCs w:val="24"/>
        </w:rPr>
        <w:t>, 53(12), 1924–1929. https://doi.org/10.21273/HORTSCI10746-18</w:t>
      </w:r>
    </w:p>
    <w:p w14:paraId="6376BBAA"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Weisz, P. R., Denison, R. F., &amp; Sinclair, T. R. (1985). Response to drought stress of nitrogen fixation (acetylene reduction) rates by field-grown soybeans. </w:t>
      </w:r>
      <w:r w:rsidRPr="007A39B7">
        <w:rPr>
          <w:rFonts w:cs="Times New Roman"/>
          <w:i/>
          <w:szCs w:val="24"/>
        </w:rPr>
        <w:t>Plant Physiology</w:t>
      </w:r>
      <w:r w:rsidRPr="007A39B7">
        <w:rPr>
          <w:rFonts w:cs="Times New Roman"/>
          <w:szCs w:val="24"/>
        </w:rPr>
        <w:t>, 78(3), 525–530. https://doi.org/10.1104/pp.78.3.525</w:t>
      </w:r>
    </w:p>
    <w:p w14:paraId="5D0A5A46"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Wesemael, W. M. L., Moens, M., Viaene, N., &amp; Taning, L. M. (2014). Life cycle and damage of the root-knot nematode </w:t>
      </w:r>
      <w:r w:rsidRPr="007A39B7">
        <w:rPr>
          <w:rFonts w:cs="Times New Roman"/>
          <w:i/>
          <w:szCs w:val="24"/>
        </w:rPr>
        <w:t>Meloidogyne minor</w:t>
      </w:r>
      <w:r w:rsidRPr="007A39B7">
        <w:rPr>
          <w:rFonts w:cs="Times New Roman"/>
          <w:szCs w:val="24"/>
        </w:rPr>
        <w:t xml:space="preserve"> on potato, </w:t>
      </w:r>
      <w:r w:rsidRPr="007A39B7">
        <w:rPr>
          <w:rFonts w:cs="Times New Roman"/>
          <w:i/>
          <w:szCs w:val="24"/>
        </w:rPr>
        <w:t>Solanum tuberosum</w:t>
      </w:r>
      <w:r w:rsidRPr="007A39B7">
        <w:rPr>
          <w:rFonts w:cs="Times New Roman"/>
          <w:szCs w:val="24"/>
        </w:rPr>
        <w:t>. Nematology, 16(2), 185–192. https://doi.org/10.1163/15685411-00002756</w:t>
      </w:r>
    </w:p>
    <w:p w14:paraId="71361062" w14:textId="77777777" w:rsidR="00D20476" w:rsidRPr="007A39B7" w:rsidRDefault="00D20476" w:rsidP="00557E1F">
      <w:pPr>
        <w:spacing w:line="360" w:lineRule="auto"/>
        <w:ind w:left="720" w:hanging="630"/>
        <w:rPr>
          <w:rFonts w:cs="Times New Roman"/>
          <w:szCs w:val="24"/>
        </w:rPr>
      </w:pPr>
      <w:r w:rsidRPr="007A39B7">
        <w:rPr>
          <w:rFonts w:cs="Times New Roman"/>
          <w:szCs w:val="24"/>
        </w:rPr>
        <w:t xml:space="preserve">Young, L. D. (1990). Survey of soybean cyst nematode races in Tennessee. </w:t>
      </w:r>
      <w:r w:rsidRPr="007A39B7">
        <w:rPr>
          <w:rFonts w:cs="Times New Roman"/>
          <w:i/>
          <w:szCs w:val="24"/>
        </w:rPr>
        <w:t>Journal of Nematology</w:t>
      </w:r>
      <w:r w:rsidRPr="007A39B7">
        <w:rPr>
          <w:rFonts w:cs="Times New Roman"/>
          <w:szCs w:val="24"/>
        </w:rPr>
        <w:t>, 22(4S), 672–675.</w:t>
      </w:r>
    </w:p>
    <w:p w14:paraId="421F8174" w14:textId="77777777" w:rsidR="00D20476" w:rsidRPr="007A39B7" w:rsidRDefault="00D20476" w:rsidP="00557E1F">
      <w:pPr>
        <w:spacing w:line="360" w:lineRule="auto"/>
        <w:rPr>
          <w:rFonts w:cs="Times New Roman"/>
        </w:rPr>
      </w:pPr>
    </w:p>
    <w:p w14:paraId="4DB610BD" w14:textId="77777777" w:rsidR="00D20476" w:rsidRPr="00102AAA" w:rsidRDefault="00D20476" w:rsidP="00D20476">
      <w:pPr>
        <w:rPr>
          <w:rFonts w:cs="Times New Roman"/>
        </w:rPr>
      </w:pPr>
    </w:p>
    <w:p w14:paraId="5CACF514" w14:textId="77777777" w:rsidR="00D20476" w:rsidRPr="00102AAA" w:rsidRDefault="00D20476" w:rsidP="00D20476">
      <w:pPr>
        <w:rPr>
          <w:rFonts w:cs="Times New Roman"/>
        </w:rPr>
      </w:pPr>
    </w:p>
    <w:p w14:paraId="7242F8F9" w14:textId="77777777" w:rsidR="00D20476" w:rsidRPr="00102AAA" w:rsidRDefault="00D20476" w:rsidP="00D20476">
      <w:pPr>
        <w:rPr>
          <w:rFonts w:cs="Times New Roman"/>
        </w:rPr>
      </w:pPr>
    </w:p>
    <w:p w14:paraId="0E565A34" w14:textId="77777777" w:rsidR="00D20476" w:rsidRPr="00102AAA" w:rsidRDefault="00D20476" w:rsidP="00D20476">
      <w:pPr>
        <w:rPr>
          <w:rFonts w:cs="Times New Roman"/>
        </w:rPr>
      </w:pPr>
    </w:p>
    <w:p w14:paraId="21CF262E" w14:textId="77777777" w:rsidR="00D20476" w:rsidRPr="00102AAA" w:rsidRDefault="00D20476" w:rsidP="00D20476">
      <w:pPr>
        <w:jc w:val="right"/>
        <w:rPr>
          <w:rFonts w:cs="Times New Roman"/>
        </w:rPr>
      </w:pPr>
    </w:p>
    <w:p w14:paraId="22F86969" w14:textId="77777777" w:rsidR="00D20476" w:rsidRPr="00102AAA" w:rsidRDefault="00D20476" w:rsidP="00D20476">
      <w:pPr>
        <w:rPr>
          <w:rFonts w:cs="Times New Roman"/>
        </w:rPr>
      </w:pPr>
    </w:p>
    <w:p w14:paraId="2EF0AB8D" w14:textId="77777777" w:rsidR="00D20476" w:rsidRPr="00BD0EA8" w:rsidRDefault="00D20476" w:rsidP="00D20476">
      <w:pPr>
        <w:rPr>
          <w:rFonts w:cs="Times New Roman"/>
        </w:rPr>
        <w:sectPr w:rsidR="00D20476" w:rsidRPr="00BD0EA8" w:rsidSect="00FA1E10">
          <w:pgSz w:w="12240" w:h="15840" w:code="1"/>
          <w:pgMar w:top="1440" w:right="1440" w:bottom="1440" w:left="1440" w:header="0" w:footer="1440" w:gutter="0"/>
          <w:cols w:space="720"/>
          <w:docGrid w:linePitch="326"/>
        </w:sectPr>
      </w:pPr>
    </w:p>
    <w:p w14:paraId="61F201DC" w14:textId="77777777" w:rsidR="00D20476" w:rsidRDefault="00D20476" w:rsidP="00D20476">
      <w:pPr>
        <w:pStyle w:val="Heading1"/>
        <w:jc w:val="center"/>
      </w:pPr>
      <w:bookmarkStart w:id="314" w:name="_bookmark63"/>
      <w:bookmarkStart w:id="315" w:name="_Toc98812771"/>
      <w:bookmarkStart w:id="316" w:name="_Toc98812979"/>
      <w:bookmarkStart w:id="317" w:name="_Toc98813645"/>
      <w:bookmarkStart w:id="318" w:name="_Toc101048153"/>
      <w:bookmarkEnd w:id="314"/>
      <w:r w:rsidRPr="008E2CD0">
        <w:t>Appendix</w:t>
      </w:r>
      <w:bookmarkEnd w:id="315"/>
      <w:bookmarkEnd w:id="316"/>
      <w:bookmarkEnd w:id="317"/>
      <w:bookmarkEnd w:id="318"/>
    </w:p>
    <w:p w14:paraId="22FF2DAB" w14:textId="1896EE8E" w:rsidR="00AB65D6" w:rsidRPr="00AB65D6" w:rsidRDefault="00AB65D6" w:rsidP="005F275F">
      <w:pPr>
        <w:pStyle w:val="Caption"/>
        <w:framePr w:wrap="around" w:hAnchor="page" w:x="1771" w:y="399"/>
      </w:pPr>
      <w:bookmarkStart w:id="319" w:name="_Toc101347351"/>
      <w:r w:rsidRPr="00AB65D6">
        <w:t xml:space="preserve">Table 3. </w:t>
      </w:r>
      <w:r w:rsidR="00035AE8">
        <w:fldChar w:fldCharType="begin"/>
      </w:r>
      <w:r w:rsidR="00035AE8">
        <w:instrText xml:space="preserve"> SEQ Table_3. \* ARABIC </w:instrText>
      </w:r>
      <w:r w:rsidR="00035AE8">
        <w:fldChar w:fldCharType="separate"/>
      </w:r>
      <w:r w:rsidR="009C2EDC">
        <w:rPr>
          <w:noProof/>
        </w:rPr>
        <w:t>1</w:t>
      </w:r>
      <w:r w:rsidR="00035AE8">
        <w:rPr>
          <w:noProof/>
        </w:rPr>
        <w:fldChar w:fldCharType="end"/>
      </w:r>
      <w:r w:rsidRPr="00AB65D6">
        <w:t>. Details of test soybean genotypes</w:t>
      </w:r>
      <w:bookmarkEnd w:id="319"/>
    </w:p>
    <w:p w14:paraId="1C3E3342" w14:textId="77777777" w:rsidR="00D20476" w:rsidRPr="00AB65D6" w:rsidRDefault="00D20476" w:rsidP="00D20476">
      <w:pPr>
        <w:pStyle w:val="Heading1"/>
        <w:ind w:left="720"/>
        <w:rPr>
          <w:b w:val="0"/>
        </w:rPr>
      </w:pPr>
    </w:p>
    <w:tbl>
      <w:tblPr>
        <w:tblStyle w:val="ListTable1Light-Accent5"/>
        <w:tblW w:w="8690" w:type="dxa"/>
        <w:tblInd w:w="330" w:type="dxa"/>
        <w:tblLayout w:type="fixed"/>
        <w:tblLook w:val="04A0" w:firstRow="1" w:lastRow="0" w:firstColumn="1" w:lastColumn="0" w:noHBand="0" w:noVBand="1"/>
      </w:tblPr>
      <w:tblGrid>
        <w:gridCol w:w="1210"/>
        <w:gridCol w:w="1320"/>
        <w:gridCol w:w="1210"/>
        <w:gridCol w:w="990"/>
        <w:gridCol w:w="1210"/>
        <w:gridCol w:w="1540"/>
        <w:gridCol w:w="1210"/>
      </w:tblGrid>
      <w:tr w:rsidR="00D20476" w:rsidRPr="003C484D" w14:paraId="0EA09B43" w14:textId="77777777" w:rsidTr="002C5D13">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1210" w:type="dxa"/>
            <w:tcBorders>
              <w:top w:val="single" w:sz="4" w:space="0" w:color="auto"/>
              <w:bottom w:val="single" w:sz="4" w:space="0" w:color="auto"/>
            </w:tcBorders>
            <w:vAlign w:val="bottom"/>
          </w:tcPr>
          <w:p w14:paraId="762B0C6B" w14:textId="77777777" w:rsidR="00D20476" w:rsidRPr="008E0C49" w:rsidRDefault="00D20476" w:rsidP="002C5D13">
            <w:pPr>
              <w:rPr>
                <w:b w:val="0"/>
                <w:sz w:val="20"/>
                <w:szCs w:val="20"/>
              </w:rPr>
            </w:pPr>
            <w:bookmarkStart w:id="320" w:name="_bookmark64"/>
            <w:bookmarkEnd w:id="320"/>
            <w:r w:rsidRPr="008E0C49">
              <w:rPr>
                <w:b w:val="0"/>
                <w:sz w:val="20"/>
                <w:szCs w:val="20"/>
              </w:rPr>
              <w:t>Genotype</w:t>
            </w:r>
          </w:p>
        </w:tc>
        <w:tc>
          <w:tcPr>
            <w:tcW w:w="1320" w:type="dxa"/>
            <w:tcBorders>
              <w:top w:val="single" w:sz="4" w:space="0" w:color="auto"/>
              <w:bottom w:val="single" w:sz="4" w:space="0" w:color="auto"/>
            </w:tcBorders>
            <w:vAlign w:val="bottom"/>
          </w:tcPr>
          <w:p w14:paraId="6C884993" w14:textId="77777777" w:rsidR="00D20476" w:rsidRPr="008E0C49" w:rsidRDefault="00D20476" w:rsidP="002C5D13">
            <w:pPr>
              <w:cnfStyle w:val="100000000000" w:firstRow="1" w:lastRow="0" w:firstColumn="0" w:lastColumn="0" w:oddVBand="0" w:evenVBand="0" w:oddHBand="0" w:evenHBand="0" w:firstRowFirstColumn="0" w:firstRowLastColumn="0" w:lastRowFirstColumn="0" w:lastRowLastColumn="0"/>
              <w:rPr>
                <w:b w:val="0"/>
                <w:sz w:val="20"/>
                <w:szCs w:val="20"/>
              </w:rPr>
            </w:pPr>
            <w:r w:rsidRPr="008E0C49">
              <w:rPr>
                <w:b w:val="0"/>
                <w:sz w:val="20"/>
                <w:szCs w:val="20"/>
              </w:rPr>
              <w:t>Susceptibility to SCN</w:t>
            </w:r>
          </w:p>
        </w:tc>
        <w:tc>
          <w:tcPr>
            <w:tcW w:w="1210" w:type="dxa"/>
            <w:tcBorders>
              <w:top w:val="single" w:sz="4" w:space="0" w:color="auto"/>
              <w:bottom w:val="single" w:sz="4" w:space="0" w:color="auto"/>
            </w:tcBorders>
            <w:vAlign w:val="bottom"/>
          </w:tcPr>
          <w:p w14:paraId="437B6B09" w14:textId="77777777" w:rsidR="00D20476" w:rsidRPr="008E0C49" w:rsidRDefault="00D20476" w:rsidP="002C5D13">
            <w:pPr>
              <w:cnfStyle w:val="100000000000" w:firstRow="1" w:lastRow="0" w:firstColumn="0" w:lastColumn="0" w:oddVBand="0" w:evenVBand="0" w:oddHBand="0" w:evenHBand="0" w:firstRowFirstColumn="0" w:firstRowLastColumn="0" w:lastRowFirstColumn="0" w:lastRowLastColumn="0"/>
              <w:rPr>
                <w:b w:val="0"/>
                <w:sz w:val="20"/>
                <w:szCs w:val="20"/>
              </w:rPr>
            </w:pPr>
            <w:r w:rsidRPr="008E0C49">
              <w:rPr>
                <w:b w:val="0"/>
                <w:sz w:val="20"/>
                <w:szCs w:val="20"/>
              </w:rPr>
              <w:t>Use</w:t>
            </w:r>
          </w:p>
        </w:tc>
        <w:tc>
          <w:tcPr>
            <w:tcW w:w="990" w:type="dxa"/>
            <w:tcBorders>
              <w:top w:val="single" w:sz="4" w:space="0" w:color="auto"/>
              <w:bottom w:val="single" w:sz="4" w:space="0" w:color="auto"/>
            </w:tcBorders>
            <w:vAlign w:val="bottom"/>
          </w:tcPr>
          <w:p w14:paraId="70C621FE" w14:textId="77777777" w:rsidR="00D20476" w:rsidRPr="008E0C49" w:rsidRDefault="00D20476" w:rsidP="002C5D13">
            <w:pPr>
              <w:cnfStyle w:val="100000000000" w:firstRow="1" w:lastRow="0" w:firstColumn="0" w:lastColumn="0" w:oddVBand="0" w:evenVBand="0" w:oddHBand="0" w:evenHBand="0" w:firstRowFirstColumn="0" w:firstRowLastColumn="0" w:lastRowFirstColumn="0" w:lastRowLastColumn="0"/>
              <w:rPr>
                <w:b w:val="0"/>
                <w:sz w:val="20"/>
                <w:szCs w:val="20"/>
              </w:rPr>
            </w:pPr>
            <w:r w:rsidRPr="008E0C49">
              <w:rPr>
                <w:b w:val="0"/>
                <w:sz w:val="20"/>
                <w:szCs w:val="20"/>
              </w:rPr>
              <w:t>Maturity group</w:t>
            </w:r>
          </w:p>
        </w:tc>
        <w:tc>
          <w:tcPr>
            <w:tcW w:w="1210" w:type="dxa"/>
            <w:tcBorders>
              <w:top w:val="single" w:sz="4" w:space="0" w:color="auto"/>
              <w:bottom w:val="single" w:sz="4" w:space="0" w:color="auto"/>
            </w:tcBorders>
            <w:vAlign w:val="bottom"/>
          </w:tcPr>
          <w:p w14:paraId="7C12F26C" w14:textId="77777777" w:rsidR="00D20476" w:rsidRPr="008E0C49" w:rsidRDefault="00D20476" w:rsidP="002C5D13">
            <w:pPr>
              <w:cnfStyle w:val="100000000000" w:firstRow="1" w:lastRow="0" w:firstColumn="0" w:lastColumn="0" w:oddVBand="0" w:evenVBand="0" w:oddHBand="0" w:evenHBand="0" w:firstRowFirstColumn="0" w:firstRowLastColumn="0" w:lastRowFirstColumn="0" w:lastRowLastColumn="0"/>
              <w:rPr>
                <w:b w:val="0"/>
                <w:sz w:val="20"/>
                <w:szCs w:val="20"/>
              </w:rPr>
            </w:pPr>
            <w:r w:rsidRPr="008E0C49">
              <w:rPr>
                <w:b w:val="0"/>
                <w:sz w:val="20"/>
                <w:szCs w:val="20"/>
              </w:rPr>
              <w:t>Year of introduction/ release</w:t>
            </w:r>
          </w:p>
        </w:tc>
        <w:tc>
          <w:tcPr>
            <w:tcW w:w="1540" w:type="dxa"/>
            <w:tcBorders>
              <w:top w:val="single" w:sz="4" w:space="0" w:color="auto"/>
              <w:bottom w:val="single" w:sz="4" w:space="0" w:color="auto"/>
            </w:tcBorders>
            <w:vAlign w:val="bottom"/>
          </w:tcPr>
          <w:p w14:paraId="7DEB21D3" w14:textId="77777777" w:rsidR="00D20476" w:rsidRPr="008E0C49" w:rsidRDefault="00D20476" w:rsidP="002C5D13">
            <w:pPr>
              <w:cnfStyle w:val="100000000000" w:firstRow="1" w:lastRow="0" w:firstColumn="0" w:lastColumn="0" w:oddVBand="0" w:evenVBand="0" w:oddHBand="0" w:evenHBand="0" w:firstRowFirstColumn="0" w:firstRowLastColumn="0" w:lastRowFirstColumn="0" w:lastRowLastColumn="0"/>
              <w:rPr>
                <w:b w:val="0"/>
                <w:sz w:val="20"/>
                <w:szCs w:val="20"/>
              </w:rPr>
            </w:pPr>
            <w:r w:rsidRPr="008E0C49">
              <w:rPr>
                <w:b w:val="0"/>
                <w:sz w:val="20"/>
                <w:szCs w:val="20"/>
              </w:rPr>
              <w:t>Origin/</w:t>
            </w:r>
          </w:p>
          <w:p w14:paraId="407DA0F3" w14:textId="77777777" w:rsidR="00D20476" w:rsidRPr="008E0C49" w:rsidRDefault="00D20476" w:rsidP="002C5D13">
            <w:pPr>
              <w:cnfStyle w:val="100000000000" w:firstRow="1" w:lastRow="0" w:firstColumn="0" w:lastColumn="0" w:oddVBand="0" w:evenVBand="0" w:oddHBand="0" w:evenHBand="0" w:firstRowFirstColumn="0" w:firstRowLastColumn="0" w:lastRowFirstColumn="0" w:lastRowLastColumn="0"/>
              <w:rPr>
                <w:b w:val="0"/>
                <w:sz w:val="20"/>
                <w:szCs w:val="20"/>
              </w:rPr>
            </w:pPr>
            <w:r w:rsidRPr="008E0C49">
              <w:rPr>
                <w:b w:val="0"/>
                <w:sz w:val="20"/>
                <w:szCs w:val="20"/>
              </w:rPr>
              <w:t>Developed by</w:t>
            </w:r>
          </w:p>
        </w:tc>
        <w:tc>
          <w:tcPr>
            <w:tcW w:w="1210" w:type="dxa"/>
            <w:tcBorders>
              <w:top w:val="single" w:sz="4" w:space="0" w:color="auto"/>
              <w:bottom w:val="single" w:sz="4" w:space="0" w:color="auto"/>
            </w:tcBorders>
            <w:vAlign w:val="bottom"/>
          </w:tcPr>
          <w:p w14:paraId="2E946983" w14:textId="77777777" w:rsidR="00D20476" w:rsidRPr="008E0C49" w:rsidRDefault="00D20476" w:rsidP="002C5D13">
            <w:pPr>
              <w:cnfStyle w:val="100000000000" w:firstRow="1" w:lastRow="0" w:firstColumn="0" w:lastColumn="0" w:oddVBand="0" w:evenVBand="0" w:oddHBand="0" w:evenHBand="0" w:firstRowFirstColumn="0" w:firstRowLastColumn="0" w:lastRowFirstColumn="0" w:lastRowLastColumn="0"/>
              <w:rPr>
                <w:b w:val="0"/>
                <w:sz w:val="20"/>
                <w:szCs w:val="20"/>
              </w:rPr>
            </w:pPr>
            <w:r w:rsidRPr="008E0C49">
              <w:rPr>
                <w:b w:val="0"/>
                <w:sz w:val="20"/>
                <w:szCs w:val="20"/>
              </w:rPr>
              <w:t>Reference</w:t>
            </w:r>
          </w:p>
        </w:tc>
      </w:tr>
      <w:tr w:rsidR="00D20476" w:rsidRPr="003C484D" w14:paraId="1DE6F372" w14:textId="77777777" w:rsidTr="002C5D13">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210" w:type="dxa"/>
            <w:tcBorders>
              <w:top w:val="single" w:sz="4" w:space="0" w:color="auto"/>
            </w:tcBorders>
            <w:vAlign w:val="bottom"/>
          </w:tcPr>
          <w:p w14:paraId="4271168E" w14:textId="77777777" w:rsidR="00D20476" w:rsidRPr="008E0C49" w:rsidRDefault="00D20476" w:rsidP="002C5D13">
            <w:pPr>
              <w:rPr>
                <w:b w:val="0"/>
                <w:sz w:val="20"/>
                <w:szCs w:val="20"/>
              </w:rPr>
            </w:pPr>
            <w:r w:rsidRPr="008E0C49">
              <w:rPr>
                <w:b w:val="0"/>
                <w:sz w:val="20"/>
                <w:szCs w:val="20"/>
              </w:rPr>
              <w:t>Ellis</w:t>
            </w:r>
          </w:p>
        </w:tc>
        <w:tc>
          <w:tcPr>
            <w:tcW w:w="1320" w:type="dxa"/>
            <w:tcBorders>
              <w:top w:val="single" w:sz="4" w:space="0" w:color="auto"/>
            </w:tcBorders>
            <w:vAlign w:val="bottom"/>
          </w:tcPr>
          <w:p w14:paraId="077B2ECA"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 xml:space="preserve">Susceptible </w:t>
            </w:r>
          </w:p>
        </w:tc>
        <w:tc>
          <w:tcPr>
            <w:tcW w:w="1210" w:type="dxa"/>
            <w:tcBorders>
              <w:top w:val="single" w:sz="4" w:space="0" w:color="auto"/>
            </w:tcBorders>
            <w:vAlign w:val="bottom"/>
          </w:tcPr>
          <w:p w14:paraId="1BBEAFC3"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 xml:space="preserve">Commercial </w:t>
            </w:r>
          </w:p>
        </w:tc>
        <w:tc>
          <w:tcPr>
            <w:tcW w:w="990" w:type="dxa"/>
            <w:tcBorders>
              <w:top w:val="single" w:sz="4" w:space="0" w:color="auto"/>
            </w:tcBorders>
            <w:vAlign w:val="bottom"/>
          </w:tcPr>
          <w:p w14:paraId="7D697E0A"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IV</w:t>
            </w:r>
          </w:p>
        </w:tc>
        <w:tc>
          <w:tcPr>
            <w:tcW w:w="1210" w:type="dxa"/>
            <w:tcBorders>
              <w:top w:val="single" w:sz="4" w:space="0" w:color="auto"/>
            </w:tcBorders>
            <w:vAlign w:val="bottom"/>
          </w:tcPr>
          <w:p w14:paraId="53153A4C"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2013</w:t>
            </w:r>
          </w:p>
        </w:tc>
        <w:tc>
          <w:tcPr>
            <w:tcW w:w="1540" w:type="dxa"/>
            <w:tcBorders>
              <w:top w:val="single" w:sz="4" w:space="0" w:color="auto"/>
            </w:tcBorders>
            <w:vAlign w:val="bottom"/>
          </w:tcPr>
          <w:p w14:paraId="706A4867"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University of Tennessee</w:t>
            </w:r>
          </w:p>
        </w:tc>
        <w:tc>
          <w:tcPr>
            <w:tcW w:w="1210" w:type="dxa"/>
            <w:tcBorders>
              <w:top w:val="single" w:sz="4" w:space="0" w:color="auto"/>
            </w:tcBorders>
            <w:vAlign w:val="bottom"/>
          </w:tcPr>
          <w:p w14:paraId="38688C9B"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color w:val="222222"/>
                <w:sz w:val="20"/>
                <w:szCs w:val="20"/>
                <w:shd w:val="clear" w:color="auto" w:fill="FFFFFF"/>
              </w:rPr>
              <w:t>Pantalone et al. 2017</w:t>
            </w:r>
          </w:p>
        </w:tc>
      </w:tr>
      <w:tr w:rsidR="00D20476" w:rsidRPr="003C484D" w14:paraId="5E183B5F" w14:textId="77777777" w:rsidTr="002C5D13">
        <w:trPr>
          <w:trHeight w:val="208"/>
        </w:trPr>
        <w:tc>
          <w:tcPr>
            <w:cnfStyle w:val="001000000000" w:firstRow="0" w:lastRow="0" w:firstColumn="1" w:lastColumn="0" w:oddVBand="0" w:evenVBand="0" w:oddHBand="0" w:evenHBand="0" w:firstRowFirstColumn="0" w:firstRowLastColumn="0" w:lastRowFirstColumn="0" w:lastRowLastColumn="0"/>
            <w:tcW w:w="1210" w:type="dxa"/>
            <w:vAlign w:val="bottom"/>
          </w:tcPr>
          <w:p w14:paraId="40162DC9" w14:textId="77777777" w:rsidR="00D20476" w:rsidRPr="008E0C49" w:rsidRDefault="00D20476" w:rsidP="002C5D13">
            <w:pPr>
              <w:rPr>
                <w:b w:val="0"/>
                <w:sz w:val="20"/>
                <w:szCs w:val="20"/>
              </w:rPr>
            </w:pPr>
            <w:r w:rsidRPr="008E0C49">
              <w:rPr>
                <w:b w:val="0"/>
                <w:sz w:val="20"/>
                <w:szCs w:val="20"/>
              </w:rPr>
              <w:t>PI 88788</w:t>
            </w:r>
          </w:p>
        </w:tc>
        <w:tc>
          <w:tcPr>
            <w:tcW w:w="1320" w:type="dxa"/>
            <w:vAlign w:val="bottom"/>
          </w:tcPr>
          <w:p w14:paraId="2DE75BE6" w14:textId="77777777" w:rsidR="00D20476" w:rsidRPr="008E0C49" w:rsidRDefault="00D20476" w:rsidP="002C5D13">
            <w:pPr>
              <w:cnfStyle w:val="000000000000" w:firstRow="0" w:lastRow="0" w:firstColumn="0" w:lastColumn="0" w:oddVBand="0" w:evenVBand="0" w:oddHBand="0" w:evenHBand="0" w:firstRowFirstColumn="0" w:firstRowLastColumn="0" w:lastRowFirstColumn="0" w:lastRowLastColumn="0"/>
              <w:rPr>
                <w:sz w:val="20"/>
                <w:szCs w:val="20"/>
              </w:rPr>
            </w:pPr>
            <w:r w:rsidRPr="008E0C49">
              <w:rPr>
                <w:sz w:val="20"/>
                <w:szCs w:val="20"/>
              </w:rPr>
              <w:t xml:space="preserve">Resistant </w:t>
            </w:r>
          </w:p>
        </w:tc>
        <w:tc>
          <w:tcPr>
            <w:tcW w:w="1210" w:type="dxa"/>
            <w:vAlign w:val="bottom"/>
          </w:tcPr>
          <w:p w14:paraId="1FBD6544" w14:textId="77777777" w:rsidR="00D20476" w:rsidRPr="008E0C49" w:rsidRDefault="00D20476" w:rsidP="002C5D13">
            <w:pPr>
              <w:cnfStyle w:val="000000000000" w:firstRow="0" w:lastRow="0" w:firstColumn="0" w:lastColumn="0" w:oddVBand="0" w:evenVBand="0" w:oddHBand="0" w:evenHBand="0" w:firstRowFirstColumn="0" w:firstRowLastColumn="0" w:lastRowFirstColumn="0" w:lastRowLastColumn="0"/>
              <w:rPr>
                <w:sz w:val="20"/>
                <w:szCs w:val="20"/>
              </w:rPr>
            </w:pPr>
            <w:r w:rsidRPr="008E0C49">
              <w:rPr>
                <w:sz w:val="20"/>
                <w:szCs w:val="20"/>
              </w:rPr>
              <w:t xml:space="preserve">Breeding line </w:t>
            </w:r>
          </w:p>
        </w:tc>
        <w:tc>
          <w:tcPr>
            <w:tcW w:w="990" w:type="dxa"/>
            <w:vAlign w:val="bottom"/>
          </w:tcPr>
          <w:p w14:paraId="3FE2ABF5" w14:textId="77777777" w:rsidR="00D20476" w:rsidRPr="008E0C49" w:rsidRDefault="00D20476" w:rsidP="002C5D13">
            <w:pPr>
              <w:cnfStyle w:val="000000000000" w:firstRow="0" w:lastRow="0" w:firstColumn="0" w:lastColumn="0" w:oddVBand="0" w:evenVBand="0" w:oddHBand="0" w:evenHBand="0" w:firstRowFirstColumn="0" w:firstRowLastColumn="0" w:lastRowFirstColumn="0" w:lastRowLastColumn="0"/>
              <w:rPr>
                <w:sz w:val="20"/>
                <w:szCs w:val="20"/>
              </w:rPr>
            </w:pPr>
            <w:r w:rsidRPr="008E0C49">
              <w:rPr>
                <w:sz w:val="20"/>
                <w:szCs w:val="20"/>
              </w:rPr>
              <w:t>III</w:t>
            </w:r>
          </w:p>
        </w:tc>
        <w:tc>
          <w:tcPr>
            <w:tcW w:w="1210" w:type="dxa"/>
            <w:vAlign w:val="bottom"/>
          </w:tcPr>
          <w:p w14:paraId="75EBB011" w14:textId="77777777" w:rsidR="00D20476" w:rsidRPr="008E0C49" w:rsidRDefault="00D20476" w:rsidP="002C5D13">
            <w:pPr>
              <w:cnfStyle w:val="000000000000" w:firstRow="0" w:lastRow="0" w:firstColumn="0" w:lastColumn="0" w:oddVBand="0" w:evenVBand="0" w:oddHBand="0" w:evenHBand="0" w:firstRowFirstColumn="0" w:firstRowLastColumn="0" w:lastRowFirstColumn="0" w:lastRowLastColumn="0"/>
              <w:rPr>
                <w:sz w:val="20"/>
                <w:szCs w:val="20"/>
              </w:rPr>
            </w:pPr>
            <w:r w:rsidRPr="008E0C49">
              <w:rPr>
                <w:sz w:val="20"/>
                <w:szCs w:val="20"/>
              </w:rPr>
              <w:t>1930</w:t>
            </w:r>
          </w:p>
        </w:tc>
        <w:tc>
          <w:tcPr>
            <w:tcW w:w="1540" w:type="dxa"/>
            <w:vAlign w:val="bottom"/>
          </w:tcPr>
          <w:p w14:paraId="6DCE62C0" w14:textId="77777777" w:rsidR="00D20476" w:rsidRPr="008E0C49" w:rsidRDefault="00D20476" w:rsidP="002C5D13">
            <w:pPr>
              <w:cnfStyle w:val="000000000000" w:firstRow="0" w:lastRow="0" w:firstColumn="0" w:lastColumn="0" w:oddVBand="0" w:evenVBand="0" w:oddHBand="0" w:evenHBand="0" w:firstRowFirstColumn="0" w:firstRowLastColumn="0" w:lastRowFirstColumn="0" w:lastRowLastColumn="0"/>
              <w:rPr>
                <w:sz w:val="20"/>
                <w:szCs w:val="20"/>
              </w:rPr>
            </w:pPr>
            <w:r w:rsidRPr="008E0C49">
              <w:rPr>
                <w:sz w:val="20"/>
                <w:szCs w:val="20"/>
              </w:rPr>
              <w:t>China</w:t>
            </w:r>
          </w:p>
        </w:tc>
        <w:tc>
          <w:tcPr>
            <w:tcW w:w="1210" w:type="dxa"/>
            <w:vAlign w:val="bottom"/>
          </w:tcPr>
          <w:p w14:paraId="21AF5337" w14:textId="77777777" w:rsidR="00D20476" w:rsidRPr="008E0C49" w:rsidRDefault="00D20476" w:rsidP="002C5D13">
            <w:pPr>
              <w:cnfStyle w:val="000000000000" w:firstRow="0" w:lastRow="0" w:firstColumn="0" w:lastColumn="0" w:oddVBand="0" w:evenVBand="0" w:oddHBand="0" w:evenHBand="0" w:firstRowFirstColumn="0" w:firstRowLastColumn="0" w:lastRowFirstColumn="0" w:lastRowLastColumn="0"/>
              <w:rPr>
                <w:sz w:val="20"/>
                <w:szCs w:val="20"/>
              </w:rPr>
            </w:pPr>
            <w:r w:rsidRPr="008E0C49">
              <w:rPr>
                <w:noProof/>
                <w:sz w:val="20"/>
                <w:szCs w:val="20"/>
              </w:rPr>
              <w:t>Bernard and Cremeens 1988</w:t>
            </w:r>
          </w:p>
        </w:tc>
      </w:tr>
      <w:tr w:rsidR="00D20476" w:rsidRPr="003C484D" w14:paraId="749C2BF1" w14:textId="77777777" w:rsidTr="002C5D13">
        <w:trPr>
          <w:cnfStyle w:val="000000100000" w:firstRow="0" w:lastRow="0" w:firstColumn="0" w:lastColumn="0" w:oddVBand="0" w:evenVBand="0" w:oddHBand="1" w:evenHBand="0" w:firstRowFirstColumn="0" w:firstRowLastColumn="0" w:lastRowFirstColumn="0" w:lastRowLastColumn="0"/>
          <w:trHeight w:val="208"/>
        </w:trPr>
        <w:tc>
          <w:tcPr>
            <w:cnfStyle w:val="001000000000" w:firstRow="0" w:lastRow="0" w:firstColumn="1" w:lastColumn="0" w:oddVBand="0" w:evenVBand="0" w:oddHBand="0" w:evenHBand="0" w:firstRowFirstColumn="0" w:firstRowLastColumn="0" w:lastRowFirstColumn="0" w:lastRowLastColumn="0"/>
            <w:tcW w:w="1210" w:type="dxa"/>
            <w:tcBorders>
              <w:bottom w:val="single" w:sz="4" w:space="0" w:color="auto"/>
            </w:tcBorders>
            <w:vAlign w:val="bottom"/>
          </w:tcPr>
          <w:p w14:paraId="62AA95E8" w14:textId="77777777" w:rsidR="00D20476" w:rsidRPr="008E0C49" w:rsidRDefault="00D20476" w:rsidP="002C5D13">
            <w:pPr>
              <w:rPr>
                <w:b w:val="0"/>
                <w:sz w:val="20"/>
                <w:szCs w:val="20"/>
              </w:rPr>
            </w:pPr>
            <w:r w:rsidRPr="008E0C49">
              <w:rPr>
                <w:b w:val="0"/>
                <w:sz w:val="20"/>
                <w:szCs w:val="20"/>
              </w:rPr>
              <w:t>Williams 82</w:t>
            </w:r>
          </w:p>
        </w:tc>
        <w:tc>
          <w:tcPr>
            <w:tcW w:w="1320" w:type="dxa"/>
            <w:tcBorders>
              <w:bottom w:val="single" w:sz="4" w:space="0" w:color="auto"/>
            </w:tcBorders>
            <w:vAlign w:val="bottom"/>
          </w:tcPr>
          <w:p w14:paraId="4545E2C9"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 xml:space="preserve">Susceptible </w:t>
            </w:r>
          </w:p>
        </w:tc>
        <w:tc>
          <w:tcPr>
            <w:tcW w:w="1210" w:type="dxa"/>
            <w:tcBorders>
              <w:bottom w:val="single" w:sz="4" w:space="0" w:color="auto"/>
            </w:tcBorders>
            <w:vAlign w:val="bottom"/>
          </w:tcPr>
          <w:p w14:paraId="251A1C60"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Breeding line</w:t>
            </w:r>
          </w:p>
        </w:tc>
        <w:tc>
          <w:tcPr>
            <w:tcW w:w="990" w:type="dxa"/>
            <w:tcBorders>
              <w:bottom w:val="single" w:sz="4" w:space="0" w:color="auto"/>
            </w:tcBorders>
            <w:vAlign w:val="bottom"/>
          </w:tcPr>
          <w:p w14:paraId="75BF632B"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III</w:t>
            </w:r>
          </w:p>
        </w:tc>
        <w:tc>
          <w:tcPr>
            <w:tcW w:w="1210" w:type="dxa"/>
            <w:tcBorders>
              <w:bottom w:val="single" w:sz="4" w:space="0" w:color="auto"/>
            </w:tcBorders>
            <w:vAlign w:val="bottom"/>
          </w:tcPr>
          <w:p w14:paraId="4A4C4FB9"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1981</w:t>
            </w:r>
          </w:p>
        </w:tc>
        <w:tc>
          <w:tcPr>
            <w:tcW w:w="1540" w:type="dxa"/>
            <w:tcBorders>
              <w:bottom w:val="single" w:sz="4" w:space="0" w:color="auto"/>
            </w:tcBorders>
            <w:vAlign w:val="bottom"/>
          </w:tcPr>
          <w:p w14:paraId="6C9B43A5"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sz w:val="20"/>
                <w:szCs w:val="20"/>
              </w:rPr>
              <w:t>USDA-ARS</w:t>
            </w:r>
          </w:p>
        </w:tc>
        <w:tc>
          <w:tcPr>
            <w:tcW w:w="1210" w:type="dxa"/>
            <w:tcBorders>
              <w:bottom w:val="single" w:sz="4" w:space="0" w:color="auto"/>
            </w:tcBorders>
            <w:vAlign w:val="bottom"/>
          </w:tcPr>
          <w:p w14:paraId="1B7F102C"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sz w:val="20"/>
                <w:szCs w:val="20"/>
              </w:rPr>
            </w:pPr>
            <w:r w:rsidRPr="008E0C49">
              <w:rPr>
                <w:noProof/>
                <w:sz w:val="20"/>
                <w:szCs w:val="20"/>
              </w:rPr>
              <w:t>Bernard and Cremeens 1988</w:t>
            </w:r>
          </w:p>
        </w:tc>
      </w:tr>
    </w:tbl>
    <w:p w14:paraId="264EB317" w14:textId="77777777" w:rsidR="00D20476" w:rsidRPr="001128CA" w:rsidRDefault="00D20476" w:rsidP="00D20476">
      <w:pPr>
        <w:ind w:left="720"/>
        <w:rPr>
          <w:sz w:val="20"/>
          <w:szCs w:val="20"/>
        </w:rPr>
      </w:pPr>
    </w:p>
    <w:p w14:paraId="34393A9E" w14:textId="77777777" w:rsidR="00D20476" w:rsidRPr="001128CA" w:rsidRDefault="00D20476" w:rsidP="00D20476">
      <w:pPr>
        <w:ind w:left="720"/>
        <w:rPr>
          <w:sz w:val="20"/>
          <w:szCs w:val="20"/>
        </w:rPr>
      </w:pPr>
      <w:r w:rsidRPr="001128CA">
        <w:rPr>
          <w:sz w:val="20"/>
          <w:szCs w:val="20"/>
        </w:rPr>
        <w:br w:type="page"/>
      </w:r>
    </w:p>
    <w:p w14:paraId="128AA142" w14:textId="76D41526" w:rsidR="00D20476" w:rsidRPr="00C42ACC" w:rsidRDefault="00D20476" w:rsidP="00D20476">
      <w:pPr>
        <w:pStyle w:val="Caption"/>
        <w:framePr w:wrap="around"/>
        <w:rPr>
          <w:b w:val="0"/>
        </w:rPr>
      </w:pPr>
      <w:bookmarkStart w:id="321" w:name="_Toc101347352"/>
      <w:r w:rsidRPr="00AB65D6">
        <w:t xml:space="preserve">Table 3. </w:t>
      </w:r>
      <w:r w:rsidR="00035AE8">
        <w:fldChar w:fldCharType="begin"/>
      </w:r>
      <w:r w:rsidR="00035AE8">
        <w:instrText xml:space="preserve"> SEQ Table_3. \* ARABIC </w:instrText>
      </w:r>
      <w:r w:rsidR="00035AE8">
        <w:fldChar w:fldCharType="separate"/>
      </w:r>
      <w:r w:rsidR="009C2EDC">
        <w:rPr>
          <w:noProof/>
        </w:rPr>
        <w:t>2</w:t>
      </w:r>
      <w:r w:rsidR="00035AE8">
        <w:rPr>
          <w:noProof/>
        </w:rPr>
        <w:fldChar w:fldCharType="end"/>
      </w:r>
      <w:r w:rsidRPr="00AB65D6">
        <w:t>. E</w:t>
      </w:r>
      <w:r w:rsidRPr="00AB65D6">
        <w:rPr>
          <w:bCs/>
        </w:rPr>
        <w:t xml:space="preserve">ffect of </w:t>
      </w:r>
      <w:r w:rsidRPr="00AB65D6">
        <w:rPr>
          <w:bCs/>
          <w:i/>
          <w:iCs w:val="0"/>
        </w:rPr>
        <w:t>Heterodera glycine</w:t>
      </w:r>
      <w:r w:rsidRPr="00AB65D6">
        <w:rPr>
          <w:i/>
          <w:iCs w:val="0"/>
        </w:rPr>
        <w:t>s</w:t>
      </w:r>
      <w:r w:rsidRPr="00AB65D6">
        <w:t xml:space="preserve"> on total NF activity of three soybean genotypes</w:t>
      </w:r>
      <w:r>
        <w:rPr>
          <w:b w:val="0"/>
        </w:rPr>
        <w:t>.</w:t>
      </w:r>
      <w:bookmarkEnd w:id="321"/>
    </w:p>
    <w:tbl>
      <w:tblPr>
        <w:tblStyle w:val="ListTable1Light-Accent5"/>
        <w:tblpPr w:leftFromText="180" w:rightFromText="180" w:vertAnchor="text" w:horzAnchor="margin" w:tblpX="220" w:tblpY="885"/>
        <w:tblW w:w="8470" w:type="dxa"/>
        <w:tblLook w:val="04A0" w:firstRow="1" w:lastRow="0" w:firstColumn="1" w:lastColumn="0" w:noHBand="0" w:noVBand="1"/>
      </w:tblPr>
      <w:tblGrid>
        <w:gridCol w:w="2304"/>
        <w:gridCol w:w="2631"/>
        <w:gridCol w:w="1559"/>
        <w:gridCol w:w="697"/>
        <w:gridCol w:w="1279"/>
      </w:tblGrid>
      <w:tr w:rsidR="00D20476" w:rsidRPr="00C42ACC" w14:paraId="6089A827" w14:textId="77777777" w:rsidTr="002C5D13">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304" w:type="dxa"/>
            <w:tcBorders>
              <w:top w:val="single" w:sz="4" w:space="0" w:color="auto"/>
              <w:bottom w:val="single" w:sz="4" w:space="0" w:color="auto"/>
            </w:tcBorders>
            <w:vAlign w:val="bottom"/>
          </w:tcPr>
          <w:p w14:paraId="6B591CFE"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Soybean genotype</w:t>
            </w:r>
          </w:p>
        </w:tc>
        <w:tc>
          <w:tcPr>
            <w:tcW w:w="2631" w:type="dxa"/>
            <w:tcBorders>
              <w:top w:val="single" w:sz="4" w:space="0" w:color="auto"/>
              <w:bottom w:val="single" w:sz="4" w:space="0" w:color="auto"/>
            </w:tcBorders>
            <w:vAlign w:val="bottom"/>
          </w:tcPr>
          <w:p w14:paraId="54BA2912"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Total N</w:t>
            </w:r>
            <w:r w:rsidRPr="008E0C49">
              <w:rPr>
                <w:rFonts w:ascii="Times New Roman" w:hAnsi="Times New Roman" w:cs="Times New Roman"/>
                <w:b w:val="0"/>
                <w:sz w:val="20"/>
                <w:szCs w:val="20"/>
                <w:vertAlign w:val="subscript"/>
              </w:rPr>
              <w:t>2</w:t>
            </w:r>
            <w:r w:rsidRPr="008E0C49">
              <w:rPr>
                <w:rFonts w:ascii="Times New Roman" w:hAnsi="Times New Roman" w:cs="Times New Roman"/>
                <w:b w:val="0"/>
                <w:sz w:val="20"/>
                <w:szCs w:val="20"/>
              </w:rPr>
              <w:t>-fixation activity</w:t>
            </w:r>
          </w:p>
          <w:p w14:paraId="04C6677E"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(µmoles C</w:t>
            </w:r>
            <w:r w:rsidRPr="008E0C49">
              <w:rPr>
                <w:rFonts w:ascii="Times New Roman" w:hAnsi="Times New Roman" w:cs="Times New Roman"/>
                <w:b w:val="0"/>
                <w:sz w:val="20"/>
                <w:szCs w:val="20"/>
                <w:vertAlign w:val="subscript"/>
              </w:rPr>
              <w:t>2</w:t>
            </w:r>
            <w:r w:rsidRPr="008E0C49">
              <w:rPr>
                <w:rFonts w:ascii="Times New Roman" w:hAnsi="Times New Roman" w:cs="Times New Roman"/>
                <w:b w:val="0"/>
                <w:sz w:val="20"/>
                <w:szCs w:val="20"/>
              </w:rPr>
              <w:t>H</w:t>
            </w:r>
            <w:r w:rsidRPr="008E0C49">
              <w:rPr>
                <w:rFonts w:ascii="Times New Roman" w:hAnsi="Times New Roman" w:cs="Times New Roman"/>
                <w:b w:val="0"/>
                <w:sz w:val="20"/>
                <w:szCs w:val="20"/>
                <w:vertAlign w:val="subscript"/>
              </w:rPr>
              <w:t>4</w:t>
            </w:r>
            <w:r w:rsidRPr="008E0C49">
              <w:rPr>
                <w:rFonts w:ascii="Times New Roman" w:hAnsi="Times New Roman" w:cs="Times New Roman"/>
                <w:b w:val="0"/>
                <w:sz w:val="20"/>
                <w:szCs w:val="20"/>
              </w:rPr>
              <w:t xml:space="preserve"> plant</w:t>
            </w:r>
            <w:r w:rsidRPr="008E0C49">
              <w:rPr>
                <w:rFonts w:ascii="Times New Roman" w:hAnsi="Times New Roman" w:cs="Times New Roman"/>
                <w:b w:val="0"/>
                <w:sz w:val="20"/>
                <w:szCs w:val="20"/>
                <w:vertAlign w:val="superscript"/>
              </w:rPr>
              <w:t>-1</w:t>
            </w:r>
            <w:r w:rsidRPr="008E0C49">
              <w:rPr>
                <w:rFonts w:ascii="Times New Roman" w:hAnsi="Times New Roman" w:cs="Times New Roman"/>
                <w:b w:val="0"/>
                <w:sz w:val="20"/>
                <w:szCs w:val="20"/>
              </w:rPr>
              <w:t>minute</w:t>
            </w:r>
            <w:r w:rsidRPr="008E0C49">
              <w:rPr>
                <w:rFonts w:ascii="Times New Roman" w:hAnsi="Times New Roman" w:cs="Times New Roman"/>
                <w:b w:val="0"/>
                <w:sz w:val="20"/>
                <w:szCs w:val="20"/>
                <w:vertAlign w:val="superscript"/>
              </w:rPr>
              <w:t>-1</w:t>
            </w:r>
            <w:r w:rsidRPr="008E0C49">
              <w:rPr>
                <w:rFonts w:ascii="Times New Roman" w:hAnsi="Times New Roman" w:cs="Times New Roman"/>
                <w:b w:val="0"/>
                <w:sz w:val="20"/>
                <w:szCs w:val="20"/>
              </w:rPr>
              <w:t>)</w:t>
            </w:r>
          </w:p>
        </w:tc>
        <w:tc>
          <w:tcPr>
            <w:tcW w:w="1559" w:type="dxa"/>
            <w:tcBorders>
              <w:top w:val="single" w:sz="4" w:space="0" w:color="auto"/>
              <w:bottom w:val="single" w:sz="4" w:space="0" w:color="auto"/>
            </w:tcBorders>
            <w:vAlign w:val="bottom"/>
          </w:tcPr>
          <w:p w14:paraId="4A7CF8FB"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Standard error of the mean</w:t>
            </w:r>
          </w:p>
        </w:tc>
        <w:tc>
          <w:tcPr>
            <w:tcW w:w="697" w:type="dxa"/>
            <w:tcBorders>
              <w:top w:val="single" w:sz="4" w:space="0" w:color="auto"/>
              <w:bottom w:val="single" w:sz="4" w:space="0" w:color="auto"/>
            </w:tcBorders>
            <w:vAlign w:val="bottom"/>
          </w:tcPr>
          <w:p w14:paraId="37689578"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DF</w:t>
            </w:r>
          </w:p>
        </w:tc>
        <w:tc>
          <w:tcPr>
            <w:tcW w:w="1279" w:type="dxa"/>
            <w:tcBorders>
              <w:top w:val="single" w:sz="4" w:space="0" w:color="auto"/>
              <w:bottom w:val="single" w:sz="4" w:space="0" w:color="auto"/>
            </w:tcBorders>
            <w:vAlign w:val="bottom"/>
          </w:tcPr>
          <w:p w14:paraId="423ADFBB"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Mean</w:t>
            </w:r>
          </w:p>
          <w:p w14:paraId="67A5D92E"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squares</w:t>
            </w:r>
          </w:p>
        </w:tc>
      </w:tr>
      <w:tr w:rsidR="00D20476" w:rsidRPr="00C42ACC" w14:paraId="1E6B1794" w14:textId="77777777" w:rsidTr="002C5D13">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304" w:type="dxa"/>
            <w:tcBorders>
              <w:top w:val="single" w:sz="4" w:space="0" w:color="auto"/>
            </w:tcBorders>
            <w:vAlign w:val="bottom"/>
          </w:tcPr>
          <w:p w14:paraId="1C04D655"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Williams 82 only </w:t>
            </w:r>
          </w:p>
        </w:tc>
        <w:tc>
          <w:tcPr>
            <w:tcW w:w="2631" w:type="dxa"/>
            <w:tcBorders>
              <w:top w:val="single" w:sz="4" w:space="0" w:color="auto"/>
            </w:tcBorders>
            <w:vAlign w:val="bottom"/>
          </w:tcPr>
          <w:p w14:paraId="009F3F8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8.53a*</w:t>
            </w:r>
          </w:p>
        </w:tc>
        <w:tc>
          <w:tcPr>
            <w:tcW w:w="1559" w:type="dxa"/>
            <w:tcBorders>
              <w:top w:val="single" w:sz="4" w:space="0" w:color="auto"/>
            </w:tcBorders>
            <w:vAlign w:val="bottom"/>
          </w:tcPr>
          <w:p w14:paraId="78546D1D"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hAnsi="Times New Roman" w:cs="Times New Roman"/>
                <w:sz w:val="20"/>
                <w:szCs w:val="20"/>
              </w:rPr>
              <w:t>0.45</w:t>
            </w:r>
          </w:p>
        </w:tc>
        <w:tc>
          <w:tcPr>
            <w:tcW w:w="697" w:type="dxa"/>
            <w:tcBorders>
              <w:top w:val="single" w:sz="4" w:space="0" w:color="auto"/>
            </w:tcBorders>
            <w:vAlign w:val="bottom"/>
          </w:tcPr>
          <w:p w14:paraId="59EADA49"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1</w:t>
            </w:r>
          </w:p>
        </w:tc>
        <w:tc>
          <w:tcPr>
            <w:tcW w:w="1279" w:type="dxa"/>
            <w:tcBorders>
              <w:top w:val="single" w:sz="4" w:space="0" w:color="auto"/>
            </w:tcBorders>
            <w:vAlign w:val="bottom"/>
          </w:tcPr>
          <w:p w14:paraId="21C5055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hAnsi="Times New Roman" w:cs="Times New Roman"/>
                <w:sz w:val="20"/>
                <w:szCs w:val="20"/>
              </w:rPr>
              <w:t>86.2</w:t>
            </w:r>
          </w:p>
        </w:tc>
      </w:tr>
      <w:tr w:rsidR="00D20476" w:rsidRPr="00C42ACC" w14:paraId="025253BB" w14:textId="77777777" w:rsidTr="002C5D13">
        <w:trPr>
          <w:trHeight w:val="251"/>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0D743FFE"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Williams 82 + SCN</w:t>
            </w:r>
          </w:p>
        </w:tc>
        <w:tc>
          <w:tcPr>
            <w:tcW w:w="2631" w:type="dxa"/>
            <w:vAlign w:val="bottom"/>
          </w:tcPr>
          <w:p w14:paraId="3FC7A1BB"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6.93b</w:t>
            </w:r>
          </w:p>
        </w:tc>
        <w:tc>
          <w:tcPr>
            <w:tcW w:w="1559" w:type="dxa"/>
            <w:vAlign w:val="bottom"/>
          </w:tcPr>
          <w:p w14:paraId="68944E16"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hAnsi="Times New Roman" w:cs="Times New Roman"/>
                <w:sz w:val="20"/>
                <w:szCs w:val="20"/>
              </w:rPr>
              <w:t>0.42</w:t>
            </w:r>
          </w:p>
        </w:tc>
        <w:tc>
          <w:tcPr>
            <w:tcW w:w="697" w:type="dxa"/>
            <w:vAlign w:val="bottom"/>
          </w:tcPr>
          <w:p w14:paraId="1C8482F4"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279" w:type="dxa"/>
            <w:vAlign w:val="bottom"/>
          </w:tcPr>
          <w:p w14:paraId="22A07FC4"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D20476" w:rsidRPr="00C42ACC" w14:paraId="7CE2D26C" w14:textId="77777777" w:rsidTr="002C5D1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2B62D206"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P - value </w:t>
            </w:r>
          </w:p>
        </w:tc>
        <w:tc>
          <w:tcPr>
            <w:tcW w:w="2631" w:type="dxa"/>
            <w:vAlign w:val="bottom"/>
          </w:tcPr>
          <w:p w14:paraId="092006A7"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0.04</w:t>
            </w:r>
          </w:p>
        </w:tc>
        <w:tc>
          <w:tcPr>
            <w:tcW w:w="1559" w:type="dxa"/>
            <w:vAlign w:val="bottom"/>
          </w:tcPr>
          <w:p w14:paraId="2CABF050"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97" w:type="dxa"/>
            <w:vAlign w:val="bottom"/>
          </w:tcPr>
          <w:p w14:paraId="5B2EF70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9" w:type="dxa"/>
            <w:vAlign w:val="bottom"/>
          </w:tcPr>
          <w:p w14:paraId="33C73902"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20476" w:rsidRPr="00C42ACC" w14:paraId="035E8A59" w14:textId="77777777" w:rsidTr="002C5D13">
        <w:trPr>
          <w:trHeight w:val="251"/>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24AF6B21" w14:textId="77777777" w:rsidR="00D20476" w:rsidRPr="008E0C49" w:rsidRDefault="00D20476" w:rsidP="002C5D13">
            <w:pPr>
              <w:pStyle w:val="NoSpacing"/>
              <w:rPr>
                <w:rFonts w:ascii="Times New Roman" w:hAnsi="Times New Roman" w:cs="Times New Roman"/>
                <w:b w:val="0"/>
                <w:sz w:val="20"/>
                <w:szCs w:val="20"/>
              </w:rPr>
            </w:pPr>
          </w:p>
        </w:tc>
        <w:tc>
          <w:tcPr>
            <w:tcW w:w="2631" w:type="dxa"/>
            <w:vAlign w:val="bottom"/>
          </w:tcPr>
          <w:p w14:paraId="78AD880F"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59" w:type="dxa"/>
            <w:vAlign w:val="bottom"/>
          </w:tcPr>
          <w:p w14:paraId="344994B2"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97" w:type="dxa"/>
            <w:vAlign w:val="bottom"/>
          </w:tcPr>
          <w:p w14:paraId="05DA4437"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9" w:type="dxa"/>
            <w:vAlign w:val="bottom"/>
          </w:tcPr>
          <w:p w14:paraId="21779367"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0476" w:rsidRPr="00C42ACC" w14:paraId="528E1089" w14:textId="77777777" w:rsidTr="002C5D1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5CEE2716" w14:textId="77777777" w:rsidR="00D20476" w:rsidRPr="008E0C49" w:rsidRDefault="00D20476" w:rsidP="002C5D13">
            <w:pPr>
              <w:pStyle w:val="NoSpacing"/>
              <w:rPr>
                <w:rFonts w:ascii="Times New Roman" w:hAnsi="Times New Roman" w:cs="Times New Roman"/>
                <w:b w:val="0"/>
                <w:sz w:val="20"/>
                <w:szCs w:val="20"/>
              </w:rPr>
            </w:pPr>
          </w:p>
        </w:tc>
        <w:tc>
          <w:tcPr>
            <w:tcW w:w="2631" w:type="dxa"/>
            <w:vAlign w:val="bottom"/>
          </w:tcPr>
          <w:p w14:paraId="375E5E05"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Align w:val="bottom"/>
          </w:tcPr>
          <w:p w14:paraId="3A49B64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97" w:type="dxa"/>
            <w:vAlign w:val="bottom"/>
          </w:tcPr>
          <w:p w14:paraId="38E311DF"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9" w:type="dxa"/>
            <w:vAlign w:val="bottom"/>
          </w:tcPr>
          <w:p w14:paraId="7A315B72"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20476" w:rsidRPr="00C42ACC" w14:paraId="16381544" w14:textId="77777777" w:rsidTr="002C5D13">
        <w:trPr>
          <w:trHeight w:val="251"/>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2F1D35CE"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PI 88788 only </w:t>
            </w:r>
          </w:p>
        </w:tc>
        <w:tc>
          <w:tcPr>
            <w:tcW w:w="2631" w:type="dxa"/>
            <w:vAlign w:val="bottom"/>
          </w:tcPr>
          <w:p w14:paraId="0EA5F81B"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8.5a</w:t>
            </w:r>
          </w:p>
        </w:tc>
        <w:tc>
          <w:tcPr>
            <w:tcW w:w="1559" w:type="dxa"/>
            <w:vAlign w:val="bottom"/>
          </w:tcPr>
          <w:p w14:paraId="102BD63D"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0.54</w:t>
            </w:r>
          </w:p>
        </w:tc>
        <w:tc>
          <w:tcPr>
            <w:tcW w:w="697" w:type="dxa"/>
            <w:vAlign w:val="bottom"/>
          </w:tcPr>
          <w:p w14:paraId="7CC69F00"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1</w:t>
            </w:r>
          </w:p>
        </w:tc>
        <w:tc>
          <w:tcPr>
            <w:tcW w:w="1279" w:type="dxa"/>
            <w:vAlign w:val="bottom"/>
          </w:tcPr>
          <w:p w14:paraId="6ACEAFB8"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hAnsi="Times New Roman" w:cs="Times New Roman"/>
                <w:sz w:val="20"/>
                <w:szCs w:val="20"/>
              </w:rPr>
              <w:t>49.3</w:t>
            </w:r>
          </w:p>
        </w:tc>
      </w:tr>
      <w:tr w:rsidR="00D20476" w:rsidRPr="00C42ACC" w14:paraId="48C7E8FF" w14:textId="77777777" w:rsidTr="002C5D13">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00948914"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PI 88788 + SCN</w:t>
            </w:r>
          </w:p>
        </w:tc>
        <w:tc>
          <w:tcPr>
            <w:tcW w:w="2631" w:type="dxa"/>
            <w:vAlign w:val="bottom"/>
          </w:tcPr>
          <w:p w14:paraId="5D5B80A8"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6.9a</w:t>
            </w:r>
          </w:p>
        </w:tc>
        <w:tc>
          <w:tcPr>
            <w:tcW w:w="1559" w:type="dxa"/>
            <w:vAlign w:val="bottom"/>
          </w:tcPr>
          <w:p w14:paraId="1A63964F"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0.38</w:t>
            </w:r>
          </w:p>
        </w:tc>
        <w:tc>
          <w:tcPr>
            <w:tcW w:w="697" w:type="dxa"/>
            <w:vAlign w:val="bottom"/>
          </w:tcPr>
          <w:p w14:paraId="798A1B81"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279" w:type="dxa"/>
            <w:vAlign w:val="bottom"/>
          </w:tcPr>
          <w:p w14:paraId="424E16A7"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D20476" w:rsidRPr="00C42ACC" w14:paraId="2D047891" w14:textId="77777777" w:rsidTr="002C5D13">
        <w:trPr>
          <w:trHeight w:val="193"/>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384260CB"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P - value</w:t>
            </w:r>
          </w:p>
        </w:tc>
        <w:tc>
          <w:tcPr>
            <w:tcW w:w="2631" w:type="dxa"/>
            <w:vAlign w:val="bottom"/>
          </w:tcPr>
          <w:p w14:paraId="658823A3"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0.09</w:t>
            </w:r>
          </w:p>
        </w:tc>
        <w:tc>
          <w:tcPr>
            <w:tcW w:w="1559" w:type="dxa"/>
            <w:vAlign w:val="bottom"/>
          </w:tcPr>
          <w:p w14:paraId="32CC0087"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97" w:type="dxa"/>
            <w:vAlign w:val="bottom"/>
          </w:tcPr>
          <w:p w14:paraId="573D0C7D"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9" w:type="dxa"/>
            <w:vAlign w:val="bottom"/>
          </w:tcPr>
          <w:p w14:paraId="5C150242"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0476" w:rsidRPr="00C42ACC" w14:paraId="4D010D33" w14:textId="77777777" w:rsidTr="002C5D13">
        <w:trPr>
          <w:cnfStyle w:val="000000100000" w:firstRow="0" w:lastRow="0" w:firstColumn="0" w:lastColumn="0" w:oddVBand="0" w:evenVBand="0" w:oddHBand="1" w:evenHBand="0" w:firstRowFirstColumn="0" w:firstRowLastColumn="0" w:lastRowFirstColumn="0" w:lastRowLastColumn="0"/>
          <w:trHeight w:val="145"/>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1F921D4F" w14:textId="77777777" w:rsidR="00D20476" w:rsidRPr="008E0C49" w:rsidRDefault="00D20476" w:rsidP="002C5D13">
            <w:pPr>
              <w:pStyle w:val="NoSpacing"/>
              <w:rPr>
                <w:rFonts w:ascii="Times New Roman" w:hAnsi="Times New Roman" w:cs="Times New Roman"/>
                <w:b w:val="0"/>
                <w:sz w:val="20"/>
                <w:szCs w:val="20"/>
              </w:rPr>
            </w:pPr>
          </w:p>
        </w:tc>
        <w:tc>
          <w:tcPr>
            <w:tcW w:w="2631" w:type="dxa"/>
            <w:vAlign w:val="bottom"/>
          </w:tcPr>
          <w:p w14:paraId="437B0FE1"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559" w:type="dxa"/>
            <w:vAlign w:val="bottom"/>
          </w:tcPr>
          <w:p w14:paraId="631CFCB5"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697" w:type="dxa"/>
            <w:vAlign w:val="bottom"/>
          </w:tcPr>
          <w:p w14:paraId="6A17A10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279" w:type="dxa"/>
            <w:vAlign w:val="bottom"/>
          </w:tcPr>
          <w:p w14:paraId="2788FA8F"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20476" w:rsidRPr="00C42ACC" w14:paraId="2E369306" w14:textId="77777777" w:rsidTr="002C5D13">
        <w:trPr>
          <w:trHeight w:val="145"/>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3C6441C8" w14:textId="77777777" w:rsidR="00D20476" w:rsidRPr="008E0C49" w:rsidRDefault="00D20476" w:rsidP="002C5D13">
            <w:pPr>
              <w:pStyle w:val="NoSpacing"/>
              <w:rPr>
                <w:rFonts w:ascii="Times New Roman" w:hAnsi="Times New Roman" w:cs="Times New Roman"/>
                <w:b w:val="0"/>
                <w:sz w:val="20"/>
                <w:szCs w:val="20"/>
              </w:rPr>
            </w:pPr>
          </w:p>
        </w:tc>
        <w:tc>
          <w:tcPr>
            <w:tcW w:w="2631" w:type="dxa"/>
            <w:vAlign w:val="bottom"/>
          </w:tcPr>
          <w:p w14:paraId="6D3C70D7"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559" w:type="dxa"/>
            <w:vAlign w:val="bottom"/>
          </w:tcPr>
          <w:p w14:paraId="42C1EA7B"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697" w:type="dxa"/>
            <w:vAlign w:val="bottom"/>
          </w:tcPr>
          <w:p w14:paraId="244D4C9F"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279" w:type="dxa"/>
            <w:vAlign w:val="bottom"/>
          </w:tcPr>
          <w:p w14:paraId="448144BB"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0476" w:rsidRPr="00C42ACC" w14:paraId="49932550" w14:textId="77777777" w:rsidTr="002C5D1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7EB325E4"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Ellis only </w:t>
            </w:r>
          </w:p>
        </w:tc>
        <w:tc>
          <w:tcPr>
            <w:tcW w:w="2631" w:type="dxa"/>
            <w:vAlign w:val="bottom"/>
          </w:tcPr>
          <w:p w14:paraId="39C19E6E"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6.5a</w:t>
            </w:r>
          </w:p>
        </w:tc>
        <w:tc>
          <w:tcPr>
            <w:tcW w:w="1559" w:type="dxa"/>
            <w:vAlign w:val="bottom"/>
          </w:tcPr>
          <w:p w14:paraId="53E7AC8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0.70</w:t>
            </w:r>
          </w:p>
        </w:tc>
        <w:tc>
          <w:tcPr>
            <w:tcW w:w="697" w:type="dxa"/>
            <w:vAlign w:val="bottom"/>
          </w:tcPr>
          <w:p w14:paraId="79D21386"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1</w:t>
            </w:r>
          </w:p>
        </w:tc>
        <w:tc>
          <w:tcPr>
            <w:tcW w:w="1279" w:type="dxa"/>
            <w:vAlign w:val="bottom"/>
          </w:tcPr>
          <w:p w14:paraId="0B43F82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hAnsi="Times New Roman" w:cs="Times New Roman"/>
                <w:sz w:val="20"/>
                <w:szCs w:val="20"/>
              </w:rPr>
              <w:t>0.21</w:t>
            </w:r>
          </w:p>
        </w:tc>
      </w:tr>
      <w:tr w:rsidR="00D20476" w:rsidRPr="00C42ACC" w14:paraId="3643A5F3" w14:textId="77777777" w:rsidTr="008D457B">
        <w:trPr>
          <w:trHeight w:val="245"/>
        </w:trPr>
        <w:tc>
          <w:tcPr>
            <w:cnfStyle w:val="001000000000" w:firstRow="0" w:lastRow="0" w:firstColumn="1" w:lastColumn="0" w:oddVBand="0" w:evenVBand="0" w:oddHBand="0" w:evenHBand="0" w:firstRowFirstColumn="0" w:firstRowLastColumn="0" w:lastRowFirstColumn="0" w:lastRowLastColumn="0"/>
            <w:tcW w:w="2304" w:type="dxa"/>
            <w:vAlign w:val="bottom"/>
          </w:tcPr>
          <w:p w14:paraId="2D0B5CA8"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Ellis + SCN</w:t>
            </w:r>
          </w:p>
        </w:tc>
        <w:tc>
          <w:tcPr>
            <w:tcW w:w="2631" w:type="dxa"/>
            <w:vAlign w:val="bottom"/>
          </w:tcPr>
          <w:p w14:paraId="27EE76C5"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6.6a</w:t>
            </w:r>
          </w:p>
        </w:tc>
        <w:tc>
          <w:tcPr>
            <w:tcW w:w="1559" w:type="dxa"/>
            <w:vAlign w:val="bottom"/>
          </w:tcPr>
          <w:p w14:paraId="024F1FF6"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0.70</w:t>
            </w:r>
          </w:p>
        </w:tc>
        <w:tc>
          <w:tcPr>
            <w:tcW w:w="697" w:type="dxa"/>
            <w:vAlign w:val="bottom"/>
          </w:tcPr>
          <w:p w14:paraId="3089E348"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1279" w:type="dxa"/>
            <w:vAlign w:val="bottom"/>
          </w:tcPr>
          <w:p w14:paraId="34E0FC81"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D20476" w:rsidRPr="00C42ACC" w14:paraId="307902EE" w14:textId="77777777" w:rsidTr="008D457B">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2304" w:type="dxa"/>
            <w:tcBorders>
              <w:bottom w:val="single" w:sz="4" w:space="0" w:color="auto"/>
            </w:tcBorders>
            <w:vAlign w:val="bottom"/>
          </w:tcPr>
          <w:p w14:paraId="5C4220E2"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P - value</w:t>
            </w:r>
          </w:p>
        </w:tc>
        <w:tc>
          <w:tcPr>
            <w:tcW w:w="2631" w:type="dxa"/>
            <w:tcBorders>
              <w:bottom w:val="single" w:sz="4" w:space="0" w:color="auto"/>
            </w:tcBorders>
            <w:vAlign w:val="bottom"/>
          </w:tcPr>
          <w:p w14:paraId="6FF4747C"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0.94</w:t>
            </w:r>
          </w:p>
        </w:tc>
        <w:tc>
          <w:tcPr>
            <w:tcW w:w="1559" w:type="dxa"/>
            <w:tcBorders>
              <w:bottom w:val="single" w:sz="4" w:space="0" w:color="auto"/>
            </w:tcBorders>
            <w:vAlign w:val="bottom"/>
          </w:tcPr>
          <w:p w14:paraId="1025B8F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697" w:type="dxa"/>
            <w:tcBorders>
              <w:bottom w:val="single" w:sz="4" w:space="0" w:color="auto"/>
            </w:tcBorders>
            <w:vAlign w:val="bottom"/>
          </w:tcPr>
          <w:p w14:paraId="12351E8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1279" w:type="dxa"/>
            <w:tcBorders>
              <w:bottom w:val="single" w:sz="4" w:space="0" w:color="auto"/>
            </w:tcBorders>
            <w:vAlign w:val="bottom"/>
          </w:tcPr>
          <w:p w14:paraId="1AE0786F"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D20476" w:rsidRPr="00C42ACC" w14:paraId="12DB4100" w14:textId="77777777" w:rsidTr="008D457B">
        <w:trPr>
          <w:trHeight w:val="77"/>
        </w:trPr>
        <w:tc>
          <w:tcPr>
            <w:cnfStyle w:val="001000000000" w:firstRow="0" w:lastRow="0" w:firstColumn="1" w:lastColumn="0" w:oddVBand="0" w:evenVBand="0" w:oddHBand="0" w:evenHBand="0" w:firstRowFirstColumn="0" w:firstRowLastColumn="0" w:lastRowFirstColumn="0" w:lastRowLastColumn="0"/>
            <w:tcW w:w="8470" w:type="dxa"/>
            <w:gridSpan w:val="5"/>
            <w:tcBorders>
              <w:top w:val="single" w:sz="4" w:space="0" w:color="auto"/>
            </w:tcBorders>
            <w:vAlign w:val="bottom"/>
          </w:tcPr>
          <w:p w14:paraId="2D723EAD" w14:textId="77777777" w:rsidR="00D20476" w:rsidRPr="008E0C49" w:rsidRDefault="00D20476" w:rsidP="002C5D13">
            <w:pPr>
              <w:pStyle w:val="NoSpacing"/>
              <w:rPr>
                <w:rFonts w:ascii="Times New Roman" w:hAnsi="Times New Roman" w:cs="Times New Roman"/>
                <w:b w:val="0"/>
                <w:color w:val="000000" w:themeColor="text1"/>
                <w:kern w:val="24"/>
                <w:sz w:val="20"/>
                <w:szCs w:val="20"/>
              </w:rPr>
            </w:pPr>
            <w:r w:rsidRPr="008E0C49">
              <w:rPr>
                <w:rFonts w:ascii="Times New Roman" w:hAnsi="Times New Roman" w:cs="Times New Roman"/>
                <w:b w:val="0"/>
                <w:color w:val="000000" w:themeColor="text1"/>
                <w:kern w:val="24"/>
                <w:sz w:val="20"/>
                <w:szCs w:val="20"/>
              </w:rPr>
              <w:t>*</w:t>
            </w:r>
            <w:r w:rsidRPr="008D457B">
              <w:rPr>
                <w:rFonts w:ascii="Times New Roman" w:hAnsi="Times New Roman" w:cs="Times New Roman"/>
                <w:b w:val="0"/>
                <w:color w:val="000000" w:themeColor="text1"/>
                <w:kern w:val="24"/>
                <w:sz w:val="20"/>
                <w:szCs w:val="20"/>
              </w:rPr>
              <w:t xml:space="preserve">Means followed by different letters in a column are different significantly (LSD test, </w:t>
            </w:r>
            <w:r w:rsidRPr="008D457B">
              <w:rPr>
                <w:rFonts w:ascii="Times New Roman" w:hAnsi="Times New Roman" w:cs="Times New Roman"/>
                <w:b w:val="0"/>
                <w:sz w:val="20"/>
                <w:szCs w:val="20"/>
              </w:rPr>
              <w:t xml:space="preserve"> α = 0.05)</w:t>
            </w:r>
          </w:p>
        </w:tc>
      </w:tr>
    </w:tbl>
    <w:p w14:paraId="00092C1F" w14:textId="77777777" w:rsidR="00D20476" w:rsidRPr="001128CA" w:rsidRDefault="00D20476" w:rsidP="00D20476">
      <w:pPr>
        <w:ind w:left="720"/>
      </w:pPr>
    </w:p>
    <w:p w14:paraId="7AEE5B67" w14:textId="77777777" w:rsidR="00D20476" w:rsidRPr="001128CA" w:rsidRDefault="00D20476" w:rsidP="00D20476">
      <w:pPr>
        <w:spacing w:after="160" w:line="259" w:lineRule="auto"/>
        <w:ind w:left="720"/>
      </w:pPr>
    </w:p>
    <w:p w14:paraId="25358B33" w14:textId="77777777" w:rsidR="00D20476" w:rsidRPr="001128CA" w:rsidRDefault="00D20476" w:rsidP="00D20476">
      <w:pPr>
        <w:spacing w:after="160" w:line="259" w:lineRule="auto"/>
        <w:ind w:left="720"/>
      </w:pPr>
      <w:r w:rsidRPr="001128CA">
        <w:br w:type="page"/>
      </w:r>
    </w:p>
    <w:tbl>
      <w:tblPr>
        <w:tblStyle w:val="ListTable1Light-Accent5"/>
        <w:tblpPr w:leftFromText="180" w:rightFromText="180" w:vertAnchor="text" w:horzAnchor="margin" w:tblpX="330" w:tblpY="1078"/>
        <w:tblW w:w="8140" w:type="dxa"/>
        <w:tblLook w:val="04A0" w:firstRow="1" w:lastRow="0" w:firstColumn="1" w:lastColumn="0" w:noHBand="0" w:noVBand="1"/>
      </w:tblPr>
      <w:tblGrid>
        <w:gridCol w:w="2270"/>
        <w:gridCol w:w="2350"/>
        <w:gridCol w:w="1966"/>
        <w:gridCol w:w="718"/>
        <w:gridCol w:w="836"/>
      </w:tblGrid>
      <w:tr w:rsidR="00D20476" w:rsidRPr="001128CA" w14:paraId="7F879C8E" w14:textId="77777777" w:rsidTr="002C5D13">
        <w:trPr>
          <w:cnfStyle w:val="100000000000" w:firstRow="1" w:lastRow="0" w:firstColumn="0" w:lastColumn="0" w:oddVBand="0" w:evenVBand="0" w:oddHBand="0"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auto"/>
              <w:bottom w:val="single" w:sz="4" w:space="0" w:color="auto"/>
            </w:tcBorders>
            <w:vAlign w:val="bottom"/>
          </w:tcPr>
          <w:p w14:paraId="1229DC67"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Soybean genotype</w:t>
            </w:r>
          </w:p>
        </w:tc>
        <w:tc>
          <w:tcPr>
            <w:tcW w:w="2350" w:type="dxa"/>
            <w:tcBorders>
              <w:top w:val="single" w:sz="4" w:space="0" w:color="auto"/>
              <w:bottom w:val="single" w:sz="4" w:space="0" w:color="auto"/>
            </w:tcBorders>
            <w:vAlign w:val="bottom"/>
          </w:tcPr>
          <w:p w14:paraId="6AF909B9"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Leaf color (SPAD values)</w:t>
            </w:r>
          </w:p>
        </w:tc>
        <w:tc>
          <w:tcPr>
            <w:tcW w:w="1966" w:type="dxa"/>
            <w:tcBorders>
              <w:top w:val="single" w:sz="4" w:space="0" w:color="auto"/>
              <w:bottom w:val="single" w:sz="4" w:space="0" w:color="auto"/>
            </w:tcBorders>
            <w:vAlign w:val="bottom"/>
          </w:tcPr>
          <w:p w14:paraId="6EF6E1C9"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Standard error of the mean</w:t>
            </w:r>
          </w:p>
        </w:tc>
        <w:tc>
          <w:tcPr>
            <w:tcW w:w="718" w:type="dxa"/>
            <w:tcBorders>
              <w:top w:val="single" w:sz="4" w:space="0" w:color="auto"/>
              <w:bottom w:val="single" w:sz="4" w:space="0" w:color="auto"/>
            </w:tcBorders>
            <w:vAlign w:val="bottom"/>
          </w:tcPr>
          <w:p w14:paraId="1040C54C"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DF</w:t>
            </w:r>
          </w:p>
        </w:tc>
        <w:tc>
          <w:tcPr>
            <w:tcW w:w="836" w:type="dxa"/>
            <w:tcBorders>
              <w:top w:val="single" w:sz="4" w:space="0" w:color="auto"/>
              <w:bottom w:val="single" w:sz="4" w:space="0" w:color="auto"/>
            </w:tcBorders>
            <w:vAlign w:val="bottom"/>
          </w:tcPr>
          <w:p w14:paraId="1FDDB008"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Mean</w:t>
            </w:r>
          </w:p>
          <w:p w14:paraId="16B6D7F5" w14:textId="77777777" w:rsidR="00D20476" w:rsidRPr="008E0C49" w:rsidRDefault="00D20476" w:rsidP="002C5D13">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C49">
              <w:rPr>
                <w:rFonts w:ascii="Times New Roman" w:hAnsi="Times New Roman" w:cs="Times New Roman"/>
                <w:b w:val="0"/>
                <w:sz w:val="20"/>
                <w:szCs w:val="20"/>
              </w:rPr>
              <w:t>squares</w:t>
            </w:r>
          </w:p>
        </w:tc>
      </w:tr>
      <w:tr w:rsidR="00D20476" w:rsidRPr="001128CA" w14:paraId="3BA5BF70" w14:textId="77777777" w:rsidTr="002C5D13">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70" w:type="dxa"/>
            <w:tcBorders>
              <w:top w:val="single" w:sz="4" w:space="0" w:color="auto"/>
            </w:tcBorders>
            <w:vAlign w:val="bottom"/>
          </w:tcPr>
          <w:p w14:paraId="108DE987"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Williams 82 only </w:t>
            </w:r>
          </w:p>
        </w:tc>
        <w:tc>
          <w:tcPr>
            <w:tcW w:w="2350" w:type="dxa"/>
            <w:tcBorders>
              <w:top w:val="single" w:sz="4" w:space="0" w:color="auto"/>
            </w:tcBorders>
            <w:vAlign w:val="bottom"/>
          </w:tcPr>
          <w:p w14:paraId="2F448FEC"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33.2a*</w:t>
            </w:r>
          </w:p>
        </w:tc>
        <w:tc>
          <w:tcPr>
            <w:tcW w:w="1966" w:type="dxa"/>
            <w:tcBorders>
              <w:top w:val="single" w:sz="4" w:space="0" w:color="auto"/>
            </w:tcBorders>
            <w:vAlign w:val="bottom"/>
          </w:tcPr>
          <w:p w14:paraId="74522D31"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0.48</w:t>
            </w:r>
          </w:p>
        </w:tc>
        <w:tc>
          <w:tcPr>
            <w:tcW w:w="718" w:type="dxa"/>
            <w:tcBorders>
              <w:top w:val="single" w:sz="4" w:space="0" w:color="auto"/>
            </w:tcBorders>
            <w:vAlign w:val="bottom"/>
          </w:tcPr>
          <w:p w14:paraId="0F9CB68D"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1</w:t>
            </w:r>
          </w:p>
        </w:tc>
        <w:tc>
          <w:tcPr>
            <w:tcW w:w="836" w:type="dxa"/>
            <w:tcBorders>
              <w:top w:val="single" w:sz="4" w:space="0" w:color="auto"/>
            </w:tcBorders>
            <w:vAlign w:val="bottom"/>
          </w:tcPr>
          <w:p w14:paraId="0A13FB8B"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49.6</w:t>
            </w:r>
          </w:p>
        </w:tc>
      </w:tr>
      <w:tr w:rsidR="00D20476" w:rsidRPr="001128CA" w14:paraId="73320803" w14:textId="77777777" w:rsidTr="002C5D13">
        <w:trPr>
          <w:trHeight w:val="2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60AE1183"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Williams 82 + SCN</w:t>
            </w:r>
          </w:p>
        </w:tc>
        <w:tc>
          <w:tcPr>
            <w:tcW w:w="2350" w:type="dxa"/>
            <w:vAlign w:val="bottom"/>
          </w:tcPr>
          <w:p w14:paraId="10E2C907"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31.7b</w:t>
            </w:r>
          </w:p>
        </w:tc>
        <w:tc>
          <w:tcPr>
            <w:tcW w:w="1966" w:type="dxa"/>
            <w:vAlign w:val="bottom"/>
          </w:tcPr>
          <w:p w14:paraId="6746BD60"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0.33</w:t>
            </w:r>
          </w:p>
        </w:tc>
        <w:tc>
          <w:tcPr>
            <w:tcW w:w="718" w:type="dxa"/>
            <w:vAlign w:val="bottom"/>
          </w:tcPr>
          <w:p w14:paraId="1FDBEFAF"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836" w:type="dxa"/>
            <w:vAlign w:val="bottom"/>
          </w:tcPr>
          <w:p w14:paraId="5386BDF3"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D20476" w:rsidRPr="001128CA" w14:paraId="35ABDF25" w14:textId="77777777" w:rsidTr="002C5D1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616A5B24"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P - value </w:t>
            </w:r>
          </w:p>
        </w:tc>
        <w:tc>
          <w:tcPr>
            <w:tcW w:w="2350" w:type="dxa"/>
            <w:vAlign w:val="bottom"/>
          </w:tcPr>
          <w:p w14:paraId="48375E40"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0.04</w:t>
            </w:r>
          </w:p>
        </w:tc>
        <w:tc>
          <w:tcPr>
            <w:tcW w:w="1966" w:type="dxa"/>
            <w:vAlign w:val="bottom"/>
          </w:tcPr>
          <w:p w14:paraId="0F27A5D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8" w:type="dxa"/>
            <w:vAlign w:val="bottom"/>
          </w:tcPr>
          <w:p w14:paraId="7F12658C"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36" w:type="dxa"/>
            <w:vAlign w:val="bottom"/>
          </w:tcPr>
          <w:p w14:paraId="7FCEA56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20476" w:rsidRPr="001128CA" w14:paraId="5B19DFC7" w14:textId="77777777" w:rsidTr="002C5D13">
        <w:trPr>
          <w:trHeight w:val="2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1D9C64FC" w14:textId="77777777" w:rsidR="00D20476" w:rsidRPr="008E0C49" w:rsidRDefault="00D20476" w:rsidP="002C5D13">
            <w:pPr>
              <w:pStyle w:val="NoSpacing"/>
              <w:rPr>
                <w:rFonts w:ascii="Times New Roman" w:hAnsi="Times New Roman" w:cs="Times New Roman"/>
                <w:b w:val="0"/>
                <w:sz w:val="20"/>
                <w:szCs w:val="20"/>
              </w:rPr>
            </w:pPr>
          </w:p>
        </w:tc>
        <w:tc>
          <w:tcPr>
            <w:tcW w:w="2350" w:type="dxa"/>
            <w:vAlign w:val="bottom"/>
          </w:tcPr>
          <w:p w14:paraId="13DAE985"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66" w:type="dxa"/>
            <w:vAlign w:val="bottom"/>
          </w:tcPr>
          <w:p w14:paraId="503D6237"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18" w:type="dxa"/>
            <w:vAlign w:val="bottom"/>
          </w:tcPr>
          <w:p w14:paraId="5DEDBC15"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36" w:type="dxa"/>
            <w:vAlign w:val="bottom"/>
          </w:tcPr>
          <w:p w14:paraId="0455653F"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0476" w:rsidRPr="001128CA" w14:paraId="5849C3CC" w14:textId="77777777" w:rsidTr="002C5D1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0AAAB07C" w14:textId="77777777" w:rsidR="00D20476" w:rsidRPr="008E0C49" w:rsidRDefault="00D20476" w:rsidP="002C5D13">
            <w:pPr>
              <w:pStyle w:val="NoSpacing"/>
              <w:rPr>
                <w:rFonts w:ascii="Times New Roman" w:hAnsi="Times New Roman" w:cs="Times New Roman"/>
                <w:b w:val="0"/>
                <w:sz w:val="20"/>
                <w:szCs w:val="20"/>
              </w:rPr>
            </w:pPr>
          </w:p>
        </w:tc>
        <w:tc>
          <w:tcPr>
            <w:tcW w:w="2350" w:type="dxa"/>
            <w:vAlign w:val="bottom"/>
          </w:tcPr>
          <w:p w14:paraId="51413AB2"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66" w:type="dxa"/>
            <w:vAlign w:val="bottom"/>
          </w:tcPr>
          <w:p w14:paraId="4E759A9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8" w:type="dxa"/>
            <w:vAlign w:val="bottom"/>
          </w:tcPr>
          <w:p w14:paraId="10B8DAEB"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36" w:type="dxa"/>
            <w:vAlign w:val="bottom"/>
          </w:tcPr>
          <w:p w14:paraId="1EB31C1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20476" w:rsidRPr="001128CA" w14:paraId="636BC0F9" w14:textId="77777777" w:rsidTr="002C5D13">
        <w:trPr>
          <w:trHeight w:val="2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20E94559"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PI 88788 only </w:t>
            </w:r>
          </w:p>
        </w:tc>
        <w:tc>
          <w:tcPr>
            <w:tcW w:w="2350" w:type="dxa"/>
            <w:vAlign w:val="bottom"/>
          </w:tcPr>
          <w:p w14:paraId="301631D0"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31.5a</w:t>
            </w:r>
          </w:p>
        </w:tc>
        <w:tc>
          <w:tcPr>
            <w:tcW w:w="1966" w:type="dxa"/>
            <w:vAlign w:val="bottom"/>
          </w:tcPr>
          <w:p w14:paraId="5E81C12B" w14:textId="77777777" w:rsidR="00D20476" w:rsidRPr="008E0C49" w:rsidRDefault="00D20476" w:rsidP="002C5D1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E0C49">
              <w:rPr>
                <w:rFonts w:cs="Times New Roman"/>
                <w:sz w:val="20"/>
                <w:szCs w:val="20"/>
              </w:rPr>
              <w:t>0.36</w:t>
            </w:r>
          </w:p>
        </w:tc>
        <w:tc>
          <w:tcPr>
            <w:tcW w:w="718" w:type="dxa"/>
            <w:vAlign w:val="bottom"/>
          </w:tcPr>
          <w:p w14:paraId="32DC68D6"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1</w:t>
            </w:r>
          </w:p>
        </w:tc>
        <w:tc>
          <w:tcPr>
            <w:tcW w:w="836" w:type="dxa"/>
            <w:vAlign w:val="bottom"/>
          </w:tcPr>
          <w:p w14:paraId="4CAEA7E4"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11.3</w:t>
            </w:r>
          </w:p>
        </w:tc>
      </w:tr>
      <w:tr w:rsidR="00D20476" w:rsidRPr="001128CA" w14:paraId="77A283B2" w14:textId="77777777" w:rsidTr="002C5D13">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37D706EB"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PI 88788 + SCN</w:t>
            </w:r>
          </w:p>
        </w:tc>
        <w:tc>
          <w:tcPr>
            <w:tcW w:w="2350" w:type="dxa"/>
            <w:vAlign w:val="bottom"/>
          </w:tcPr>
          <w:p w14:paraId="4F3145E1"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31.0a</w:t>
            </w:r>
          </w:p>
        </w:tc>
        <w:tc>
          <w:tcPr>
            <w:tcW w:w="1966" w:type="dxa"/>
            <w:vAlign w:val="bottom"/>
          </w:tcPr>
          <w:p w14:paraId="3052A0C8" w14:textId="77777777" w:rsidR="00D20476" w:rsidRPr="008E0C49" w:rsidRDefault="00D20476" w:rsidP="002C5D1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0.29</w:t>
            </w:r>
          </w:p>
        </w:tc>
        <w:tc>
          <w:tcPr>
            <w:tcW w:w="718" w:type="dxa"/>
            <w:vAlign w:val="bottom"/>
          </w:tcPr>
          <w:p w14:paraId="6CEEDC8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36" w:type="dxa"/>
            <w:vAlign w:val="bottom"/>
          </w:tcPr>
          <w:p w14:paraId="228F89B4"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D20476" w:rsidRPr="001128CA" w14:paraId="5847A3FB" w14:textId="77777777" w:rsidTr="002C5D13">
        <w:trPr>
          <w:trHeight w:val="183"/>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30A3448B"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P - value</w:t>
            </w:r>
          </w:p>
        </w:tc>
        <w:tc>
          <w:tcPr>
            <w:tcW w:w="2350" w:type="dxa"/>
            <w:vAlign w:val="bottom"/>
          </w:tcPr>
          <w:p w14:paraId="02894C29"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eastAsia="Times New Roman" w:hAnsi="Times New Roman" w:cs="Times New Roman"/>
                <w:sz w:val="20"/>
                <w:szCs w:val="20"/>
              </w:rPr>
              <w:t>0.20</w:t>
            </w:r>
          </w:p>
        </w:tc>
        <w:tc>
          <w:tcPr>
            <w:tcW w:w="1966" w:type="dxa"/>
            <w:vAlign w:val="bottom"/>
          </w:tcPr>
          <w:p w14:paraId="683B7531"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18" w:type="dxa"/>
            <w:vAlign w:val="bottom"/>
          </w:tcPr>
          <w:p w14:paraId="4C0BD0C3"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36" w:type="dxa"/>
            <w:vAlign w:val="bottom"/>
          </w:tcPr>
          <w:p w14:paraId="7C54B243"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0476" w:rsidRPr="001128CA" w14:paraId="6D9E3D7F" w14:textId="77777777" w:rsidTr="002C5D13">
        <w:trPr>
          <w:cnfStyle w:val="000000100000" w:firstRow="0" w:lastRow="0" w:firstColumn="0" w:lastColumn="0" w:oddVBand="0" w:evenVBand="0" w:oddHBand="1" w:evenHBand="0" w:firstRowFirstColumn="0" w:firstRowLastColumn="0" w:lastRowFirstColumn="0" w:lastRowLastColumn="0"/>
          <w:trHeight w:val="1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4F6AC6E6" w14:textId="77777777" w:rsidR="00D20476" w:rsidRPr="008E0C49" w:rsidRDefault="00D20476" w:rsidP="002C5D13">
            <w:pPr>
              <w:pStyle w:val="NoSpacing"/>
              <w:rPr>
                <w:rFonts w:ascii="Times New Roman" w:hAnsi="Times New Roman" w:cs="Times New Roman"/>
                <w:b w:val="0"/>
                <w:sz w:val="20"/>
                <w:szCs w:val="20"/>
              </w:rPr>
            </w:pPr>
          </w:p>
        </w:tc>
        <w:tc>
          <w:tcPr>
            <w:tcW w:w="2350" w:type="dxa"/>
            <w:vAlign w:val="bottom"/>
          </w:tcPr>
          <w:p w14:paraId="4E5D42E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1966" w:type="dxa"/>
            <w:vAlign w:val="bottom"/>
          </w:tcPr>
          <w:p w14:paraId="6ADCF148"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718" w:type="dxa"/>
            <w:vAlign w:val="bottom"/>
          </w:tcPr>
          <w:p w14:paraId="39215509"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836" w:type="dxa"/>
            <w:vAlign w:val="bottom"/>
          </w:tcPr>
          <w:p w14:paraId="4EC81A1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20476" w:rsidRPr="001128CA" w14:paraId="141558EC" w14:textId="77777777" w:rsidTr="002C5D13">
        <w:trPr>
          <w:trHeight w:val="1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6AAA1A1C" w14:textId="77777777" w:rsidR="00D20476" w:rsidRPr="008E0C49" w:rsidRDefault="00D20476" w:rsidP="002C5D13">
            <w:pPr>
              <w:pStyle w:val="NoSpacing"/>
              <w:rPr>
                <w:rFonts w:ascii="Times New Roman" w:hAnsi="Times New Roman" w:cs="Times New Roman"/>
                <w:b w:val="0"/>
                <w:sz w:val="20"/>
                <w:szCs w:val="20"/>
              </w:rPr>
            </w:pPr>
          </w:p>
        </w:tc>
        <w:tc>
          <w:tcPr>
            <w:tcW w:w="2350" w:type="dxa"/>
            <w:vAlign w:val="bottom"/>
          </w:tcPr>
          <w:p w14:paraId="1AB89072"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66" w:type="dxa"/>
            <w:vAlign w:val="bottom"/>
          </w:tcPr>
          <w:p w14:paraId="358A2AF3"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718" w:type="dxa"/>
            <w:vAlign w:val="bottom"/>
          </w:tcPr>
          <w:p w14:paraId="109E7556"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836" w:type="dxa"/>
            <w:vAlign w:val="bottom"/>
          </w:tcPr>
          <w:p w14:paraId="2A081B8A"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20476" w:rsidRPr="001128CA" w14:paraId="140B5A95" w14:textId="77777777" w:rsidTr="002C5D13">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12011CC5"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 xml:space="preserve">Ellis only </w:t>
            </w:r>
          </w:p>
        </w:tc>
        <w:tc>
          <w:tcPr>
            <w:tcW w:w="2350" w:type="dxa"/>
            <w:vAlign w:val="bottom"/>
          </w:tcPr>
          <w:p w14:paraId="4FB96C89"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33.5a</w:t>
            </w:r>
          </w:p>
        </w:tc>
        <w:tc>
          <w:tcPr>
            <w:tcW w:w="1966" w:type="dxa"/>
            <w:vAlign w:val="bottom"/>
          </w:tcPr>
          <w:p w14:paraId="17859BBD"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0.43</w:t>
            </w:r>
          </w:p>
        </w:tc>
        <w:tc>
          <w:tcPr>
            <w:tcW w:w="718" w:type="dxa"/>
            <w:vAlign w:val="bottom"/>
          </w:tcPr>
          <w:p w14:paraId="7BB45E93"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1</w:t>
            </w:r>
          </w:p>
        </w:tc>
        <w:tc>
          <w:tcPr>
            <w:tcW w:w="836" w:type="dxa"/>
            <w:vAlign w:val="bottom"/>
          </w:tcPr>
          <w:p w14:paraId="519D2117"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32.4</w:t>
            </w:r>
          </w:p>
        </w:tc>
      </w:tr>
      <w:tr w:rsidR="00D20476" w:rsidRPr="001128CA" w14:paraId="362DF21D" w14:textId="77777777" w:rsidTr="002C5D13">
        <w:trPr>
          <w:trHeight w:val="232"/>
        </w:trPr>
        <w:tc>
          <w:tcPr>
            <w:cnfStyle w:val="001000000000" w:firstRow="0" w:lastRow="0" w:firstColumn="1" w:lastColumn="0" w:oddVBand="0" w:evenVBand="0" w:oddHBand="0" w:evenHBand="0" w:firstRowFirstColumn="0" w:firstRowLastColumn="0" w:lastRowFirstColumn="0" w:lastRowLastColumn="0"/>
            <w:tcW w:w="2270" w:type="dxa"/>
            <w:vAlign w:val="bottom"/>
          </w:tcPr>
          <w:p w14:paraId="129EB6D6"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Ellis + SCN</w:t>
            </w:r>
          </w:p>
        </w:tc>
        <w:tc>
          <w:tcPr>
            <w:tcW w:w="2350" w:type="dxa"/>
            <w:vAlign w:val="bottom"/>
          </w:tcPr>
          <w:p w14:paraId="6DD8E5C3"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32.0a</w:t>
            </w:r>
          </w:p>
        </w:tc>
        <w:tc>
          <w:tcPr>
            <w:tcW w:w="1966" w:type="dxa"/>
            <w:vAlign w:val="bottom"/>
          </w:tcPr>
          <w:p w14:paraId="34F3689F"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8E0C49">
              <w:rPr>
                <w:rFonts w:ascii="Times New Roman" w:eastAsia="Times New Roman" w:hAnsi="Times New Roman" w:cs="Times New Roman"/>
                <w:sz w:val="20"/>
                <w:szCs w:val="20"/>
              </w:rPr>
              <w:t>0.43</w:t>
            </w:r>
          </w:p>
        </w:tc>
        <w:tc>
          <w:tcPr>
            <w:tcW w:w="718" w:type="dxa"/>
            <w:vAlign w:val="bottom"/>
          </w:tcPr>
          <w:p w14:paraId="79015C1F"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c>
          <w:tcPr>
            <w:tcW w:w="836" w:type="dxa"/>
            <w:vAlign w:val="bottom"/>
          </w:tcPr>
          <w:p w14:paraId="44381297" w14:textId="77777777" w:rsidR="00D20476" w:rsidRPr="008E0C49" w:rsidRDefault="00D20476" w:rsidP="002C5D13">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D20476" w:rsidRPr="001128CA" w14:paraId="6895BF65" w14:textId="77777777" w:rsidTr="002C5D13">
        <w:trPr>
          <w:cnfStyle w:val="000000100000" w:firstRow="0" w:lastRow="0" w:firstColumn="0" w:lastColumn="0" w:oddVBand="0" w:evenVBand="0" w:oddHBand="1" w:evenHBand="0"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270" w:type="dxa"/>
            <w:tcBorders>
              <w:bottom w:val="single" w:sz="4" w:space="0" w:color="auto"/>
            </w:tcBorders>
            <w:vAlign w:val="bottom"/>
          </w:tcPr>
          <w:p w14:paraId="1BAE1269" w14:textId="77777777" w:rsidR="00D20476" w:rsidRPr="008E0C49" w:rsidRDefault="00D20476" w:rsidP="002C5D13">
            <w:pPr>
              <w:pStyle w:val="NoSpacing"/>
              <w:rPr>
                <w:rFonts w:ascii="Times New Roman" w:hAnsi="Times New Roman" w:cs="Times New Roman"/>
                <w:b w:val="0"/>
                <w:sz w:val="20"/>
                <w:szCs w:val="20"/>
              </w:rPr>
            </w:pPr>
            <w:r w:rsidRPr="008E0C49">
              <w:rPr>
                <w:rFonts w:ascii="Times New Roman" w:hAnsi="Times New Roman" w:cs="Times New Roman"/>
                <w:b w:val="0"/>
                <w:sz w:val="20"/>
                <w:szCs w:val="20"/>
              </w:rPr>
              <w:t>P - value</w:t>
            </w:r>
          </w:p>
        </w:tc>
        <w:tc>
          <w:tcPr>
            <w:tcW w:w="2350" w:type="dxa"/>
            <w:tcBorders>
              <w:bottom w:val="single" w:sz="4" w:space="0" w:color="auto"/>
            </w:tcBorders>
            <w:vAlign w:val="bottom"/>
          </w:tcPr>
          <w:p w14:paraId="000511C0"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0.08</w:t>
            </w:r>
          </w:p>
        </w:tc>
        <w:tc>
          <w:tcPr>
            <w:tcW w:w="1966" w:type="dxa"/>
            <w:tcBorders>
              <w:bottom w:val="single" w:sz="4" w:space="0" w:color="auto"/>
            </w:tcBorders>
            <w:vAlign w:val="bottom"/>
          </w:tcPr>
          <w:p w14:paraId="5D86B0CA"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718" w:type="dxa"/>
            <w:tcBorders>
              <w:bottom w:val="single" w:sz="4" w:space="0" w:color="auto"/>
            </w:tcBorders>
            <w:vAlign w:val="bottom"/>
          </w:tcPr>
          <w:p w14:paraId="13391E83"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836" w:type="dxa"/>
            <w:tcBorders>
              <w:bottom w:val="single" w:sz="4" w:space="0" w:color="auto"/>
            </w:tcBorders>
            <w:vAlign w:val="bottom"/>
          </w:tcPr>
          <w:p w14:paraId="115442DC" w14:textId="77777777" w:rsidR="00D20476" w:rsidRPr="008E0C49" w:rsidRDefault="00D20476" w:rsidP="002C5D13">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D20476" w:rsidRPr="001128CA" w14:paraId="5DD3DCF3" w14:textId="77777777" w:rsidTr="002C5D13">
        <w:trPr>
          <w:trHeight w:val="232"/>
        </w:trPr>
        <w:tc>
          <w:tcPr>
            <w:cnfStyle w:val="001000000000" w:firstRow="0" w:lastRow="0" w:firstColumn="1" w:lastColumn="0" w:oddVBand="0" w:evenVBand="0" w:oddHBand="0" w:evenHBand="0" w:firstRowFirstColumn="0" w:firstRowLastColumn="0" w:lastRowFirstColumn="0" w:lastRowLastColumn="0"/>
            <w:tcW w:w="8140" w:type="dxa"/>
            <w:gridSpan w:val="5"/>
            <w:tcBorders>
              <w:top w:val="single" w:sz="4" w:space="0" w:color="auto"/>
            </w:tcBorders>
          </w:tcPr>
          <w:p w14:paraId="53DC7ED9" w14:textId="77777777" w:rsidR="00D20476" w:rsidRPr="008E0C49" w:rsidRDefault="00D20476" w:rsidP="002C5D13">
            <w:pPr>
              <w:pStyle w:val="NoSpacing"/>
              <w:rPr>
                <w:rFonts w:ascii="Times New Roman" w:hAnsi="Times New Roman" w:cs="Times New Roman"/>
                <w:b w:val="0"/>
                <w:color w:val="000000" w:themeColor="text1"/>
                <w:kern w:val="24"/>
                <w:sz w:val="20"/>
                <w:szCs w:val="20"/>
              </w:rPr>
            </w:pPr>
            <w:r w:rsidRPr="008E0C49">
              <w:rPr>
                <w:rFonts w:ascii="Times New Roman" w:hAnsi="Times New Roman" w:cs="Times New Roman"/>
                <w:b w:val="0"/>
                <w:color w:val="000000" w:themeColor="text1"/>
                <w:kern w:val="24"/>
                <w:sz w:val="20"/>
                <w:szCs w:val="20"/>
              </w:rPr>
              <w:t xml:space="preserve">*Means followed by different letters in a column are different significantly (LSD test, </w:t>
            </w:r>
            <w:r w:rsidRPr="008E0C49">
              <w:rPr>
                <w:rFonts w:ascii="Times New Roman" w:hAnsi="Times New Roman" w:cs="Times New Roman"/>
                <w:b w:val="0"/>
                <w:sz w:val="20"/>
                <w:szCs w:val="20"/>
              </w:rPr>
              <w:t>α = 0.05)</w:t>
            </w:r>
          </w:p>
          <w:p w14:paraId="4CFB4005" w14:textId="77777777" w:rsidR="00D20476" w:rsidRPr="008E0C49" w:rsidRDefault="00D20476" w:rsidP="002C5D13">
            <w:pPr>
              <w:pStyle w:val="NoSpacing"/>
              <w:rPr>
                <w:rFonts w:ascii="Times New Roman" w:hAnsi="Times New Roman" w:cs="Times New Roman"/>
                <w:b w:val="0"/>
                <w:sz w:val="20"/>
                <w:szCs w:val="20"/>
              </w:rPr>
            </w:pPr>
          </w:p>
        </w:tc>
      </w:tr>
    </w:tbl>
    <w:p w14:paraId="23D04E04" w14:textId="77777777" w:rsidR="00D20476" w:rsidRPr="001128CA" w:rsidRDefault="00D20476" w:rsidP="00D20476">
      <w:pPr>
        <w:ind w:left="720"/>
      </w:pPr>
    </w:p>
    <w:p w14:paraId="094DACF9" w14:textId="02A089FD" w:rsidR="00D20476" w:rsidRPr="00AB65D6" w:rsidRDefault="00D20476" w:rsidP="00D20476">
      <w:pPr>
        <w:pStyle w:val="Caption"/>
        <w:framePr w:wrap="around" w:hAnchor="page" w:x="1525" w:y="217"/>
      </w:pPr>
      <w:bookmarkStart w:id="322" w:name="_Toc101347353"/>
      <w:r w:rsidRPr="004A488E">
        <w:t>Table 3</w:t>
      </w:r>
      <w:r w:rsidRPr="00AB65D6">
        <w:t xml:space="preserve">. </w:t>
      </w:r>
      <w:r w:rsidR="00035AE8">
        <w:fldChar w:fldCharType="begin"/>
      </w:r>
      <w:r w:rsidR="00035AE8">
        <w:instrText xml:space="preserve"> SEQ Table_3. \* ARABIC </w:instrText>
      </w:r>
      <w:r w:rsidR="00035AE8">
        <w:fldChar w:fldCharType="separate"/>
      </w:r>
      <w:r w:rsidR="009C2EDC">
        <w:rPr>
          <w:noProof/>
        </w:rPr>
        <w:t>3</w:t>
      </w:r>
      <w:r w:rsidR="00035AE8">
        <w:rPr>
          <w:noProof/>
        </w:rPr>
        <w:fldChar w:fldCharType="end"/>
      </w:r>
      <w:r w:rsidRPr="00AB65D6">
        <w:t>.  E</w:t>
      </w:r>
      <w:r w:rsidRPr="00AB65D6">
        <w:rPr>
          <w:bCs/>
        </w:rPr>
        <w:t xml:space="preserve">ffect of </w:t>
      </w:r>
      <w:r w:rsidRPr="00AB65D6">
        <w:rPr>
          <w:bCs/>
          <w:i/>
          <w:iCs w:val="0"/>
        </w:rPr>
        <w:t>Heterodera glycine</w:t>
      </w:r>
      <w:r w:rsidRPr="00AB65D6">
        <w:rPr>
          <w:i/>
          <w:iCs w:val="0"/>
        </w:rPr>
        <w:t>s</w:t>
      </w:r>
      <w:r w:rsidRPr="00AB65D6">
        <w:t xml:space="preserve"> on leaf color of three soybean genotypes</w:t>
      </w:r>
      <w:bookmarkEnd w:id="322"/>
    </w:p>
    <w:p w14:paraId="03F184CF" w14:textId="77777777" w:rsidR="00D20476" w:rsidRPr="001128CA" w:rsidRDefault="00D20476" w:rsidP="00D20476">
      <w:pPr>
        <w:pStyle w:val="Paragraph"/>
        <w:ind w:left="720"/>
      </w:pPr>
    </w:p>
    <w:p w14:paraId="63809D17" w14:textId="77777777" w:rsidR="00D20476" w:rsidRPr="001128CA" w:rsidRDefault="00D20476" w:rsidP="00D20476">
      <w:pPr>
        <w:spacing w:after="160" w:line="259" w:lineRule="auto"/>
        <w:ind w:left="720"/>
      </w:pPr>
      <w:r w:rsidRPr="001128CA">
        <w:br w:type="page"/>
      </w:r>
    </w:p>
    <w:p w14:paraId="5817556B" w14:textId="4BEC5D0C" w:rsidR="00D20476" w:rsidRDefault="002C5D13" w:rsidP="00D20476">
      <w:pPr>
        <w:pStyle w:val="Heading1"/>
      </w:pPr>
      <w:bookmarkStart w:id="323" w:name="_Toc101048154"/>
      <w:bookmarkStart w:id="324" w:name="_Toc99119054"/>
      <w:r w:rsidRPr="005B16C6">
        <w:rPr>
          <w:noProof/>
        </w:rPr>
        <w:drawing>
          <wp:anchor distT="0" distB="0" distL="114300" distR="114300" simplePos="0" relativeHeight="251734016" behindDoc="1" locked="0" layoutInCell="1" allowOverlap="1" wp14:anchorId="3CB61DA9" wp14:editId="32093AA3">
            <wp:simplePos x="0" y="0"/>
            <wp:positionH relativeFrom="column">
              <wp:posOffset>106680</wp:posOffset>
            </wp:positionH>
            <wp:positionV relativeFrom="paragraph">
              <wp:posOffset>243840</wp:posOffset>
            </wp:positionV>
            <wp:extent cx="5615940" cy="4785360"/>
            <wp:effectExtent l="0" t="0" r="3810" b="0"/>
            <wp:wrapTight wrapText="bothSides">
              <wp:wrapPolygon edited="0">
                <wp:start x="293" y="172"/>
                <wp:lineTo x="0" y="2494"/>
                <wp:lineTo x="0" y="7481"/>
                <wp:lineTo x="733" y="8599"/>
                <wp:lineTo x="513" y="8599"/>
                <wp:lineTo x="513" y="8943"/>
                <wp:lineTo x="806" y="9975"/>
                <wp:lineTo x="293" y="11006"/>
                <wp:lineTo x="293" y="11350"/>
                <wp:lineTo x="953" y="11350"/>
                <wp:lineTo x="440" y="11952"/>
                <wp:lineTo x="0" y="12554"/>
                <wp:lineTo x="0" y="17713"/>
                <wp:lineTo x="366" y="18229"/>
                <wp:lineTo x="953" y="18229"/>
                <wp:lineTo x="513" y="18917"/>
                <wp:lineTo x="513" y="19175"/>
                <wp:lineTo x="953" y="19605"/>
                <wp:lineTo x="879" y="20637"/>
                <wp:lineTo x="2784" y="20895"/>
                <wp:lineTo x="9305" y="21067"/>
                <wp:lineTo x="10991" y="21067"/>
                <wp:lineTo x="10844" y="11350"/>
                <wp:lineTo x="18537" y="11350"/>
                <wp:lineTo x="21541" y="11006"/>
                <wp:lineTo x="21541" y="602"/>
                <wp:lineTo x="19343" y="516"/>
                <wp:lineTo x="879" y="172"/>
                <wp:lineTo x="293" y="172"/>
              </wp:wrapPolygon>
            </wp:wrapTight>
            <wp:docPr id="2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pic:cNvPicPr>
                      <a:picLocks noChangeAspect="1"/>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615940" cy="4785360"/>
                    </a:xfrm>
                    <a:prstGeom prst="rect">
                      <a:avLst/>
                    </a:prstGeom>
                    <a:ln w="19050">
                      <a:noFill/>
                    </a:ln>
                  </pic:spPr>
                </pic:pic>
              </a:graphicData>
            </a:graphic>
            <wp14:sizeRelH relativeFrom="margin">
              <wp14:pctWidth>0</wp14:pctWidth>
            </wp14:sizeRelH>
            <wp14:sizeRelV relativeFrom="margin">
              <wp14:pctHeight>0</wp14:pctHeight>
            </wp14:sizeRelV>
          </wp:anchor>
        </w:drawing>
      </w:r>
      <w:bookmarkEnd w:id="323"/>
      <w:r w:rsidR="00D20476" w:rsidRPr="005B16C6">
        <w:rPr>
          <w:noProof/>
        </w:rPr>
        <w:t xml:space="preserve"> </w:t>
      </w:r>
      <w:bookmarkEnd w:id="324"/>
    </w:p>
    <w:p w14:paraId="1234D073" w14:textId="45BA6D40" w:rsidR="00D20476" w:rsidRDefault="002C5D13" w:rsidP="00D20476">
      <w:pPr>
        <w:rPr>
          <w:rFonts w:cs="Times New Roman"/>
          <w:b/>
          <w:bCs/>
          <w:sz w:val="28"/>
          <w:szCs w:val="28"/>
        </w:rPr>
      </w:pPr>
      <w:r>
        <w:rPr>
          <w:noProof/>
        </w:rPr>
        <mc:AlternateContent>
          <mc:Choice Requires="wps">
            <w:drawing>
              <wp:anchor distT="0" distB="0" distL="114300" distR="114300" simplePos="0" relativeHeight="251739136" behindDoc="1" locked="0" layoutInCell="1" allowOverlap="1" wp14:anchorId="117299B0" wp14:editId="624CD9B5">
                <wp:simplePos x="0" y="0"/>
                <wp:positionH relativeFrom="column">
                  <wp:posOffset>211455</wp:posOffset>
                </wp:positionH>
                <wp:positionV relativeFrom="paragraph">
                  <wp:posOffset>4824730</wp:posOffset>
                </wp:positionV>
                <wp:extent cx="5969000" cy="1028700"/>
                <wp:effectExtent l="0" t="0" r="0" b="0"/>
                <wp:wrapTight wrapText="bothSides">
                  <wp:wrapPolygon edited="0">
                    <wp:start x="0" y="0"/>
                    <wp:lineTo x="0" y="21200"/>
                    <wp:lineTo x="21508" y="21200"/>
                    <wp:lineTo x="21508"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5969000" cy="1028700"/>
                        </a:xfrm>
                        <a:prstGeom prst="rect">
                          <a:avLst/>
                        </a:prstGeom>
                        <a:solidFill>
                          <a:prstClr val="white"/>
                        </a:solidFill>
                        <a:ln>
                          <a:noFill/>
                        </a:ln>
                      </wps:spPr>
                      <wps:txbx>
                        <w:txbxContent>
                          <w:p w14:paraId="5B31F541" w14:textId="77777777" w:rsidR="009C2EDC" w:rsidRDefault="009C2EDC" w:rsidP="00D20476">
                            <w:pPr>
                              <w:rPr>
                                <w:b/>
                              </w:rPr>
                            </w:pPr>
                          </w:p>
                          <w:p w14:paraId="269A9741" w14:textId="3C9029DF" w:rsidR="009C2EDC" w:rsidRPr="009065BA" w:rsidRDefault="009C2EDC" w:rsidP="00D20476">
                            <w:bookmarkStart w:id="325" w:name="_Toc101049094"/>
                            <w:r w:rsidRPr="009065BA">
                              <w:rPr>
                                <w:b/>
                              </w:rPr>
                              <w:t>Figure 3.</w:t>
                            </w:r>
                            <w:r w:rsidRPr="009065BA">
                              <w:rPr>
                                <w:b/>
                              </w:rPr>
                              <w:fldChar w:fldCharType="begin"/>
                            </w:r>
                            <w:r w:rsidRPr="009065BA">
                              <w:rPr>
                                <w:b/>
                              </w:rPr>
                              <w:instrText xml:space="preserve"> SEQ Figure_3. \* ARABIC </w:instrText>
                            </w:r>
                            <w:r w:rsidRPr="009065BA">
                              <w:rPr>
                                <w:b/>
                              </w:rPr>
                              <w:fldChar w:fldCharType="separate"/>
                            </w:r>
                            <w:r>
                              <w:rPr>
                                <w:b/>
                                <w:noProof/>
                              </w:rPr>
                              <w:t>1</w:t>
                            </w:r>
                            <w:r w:rsidRPr="009065BA">
                              <w:rPr>
                                <w:b/>
                              </w:rPr>
                              <w:fldChar w:fldCharType="end"/>
                            </w:r>
                            <w:r w:rsidRPr="009065BA">
                              <w:rPr>
                                <w:b/>
                              </w:rPr>
                              <w:t>.</w:t>
                            </w:r>
                            <w:r w:rsidRPr="009065BA">
                              <w:t xml:space="preserve"> Impact of SCN on NF activity on soybean genotypes (a) PI88788, (b) Williams 82, and (c) Ellis. An asterisk denotes mean values statistically different at the given sampling date. (LSD test, </w:t>
                            </w:r>
                            <w:r w:rsidRPr="009065BA">
                              <w:rPr>
                                <w:rFonts w:cs="Times New Roman"/>
                              </w:rPr>
                              <w:t>α</w:t>
                            </w:r>
                            <w:r w:rsidRPr="009065BA">
                              <w:t xml:space="preserve"> = 0.05).</w:t>
                            </w:r>
                            <w:bookmarkEnd w:id="325"/>
                          </w:p>
                          <w:p w14:paraId="13A96DE2" w14:textId="77777777" w:rsidR="009C2EDC" w:rsidRPr="009065BA" w:rsidRDefault="009C2EDC" w:rsidP="00D2047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299B0" id="Text Box 37" o:spid="_x0000_s1036" type="#_x0000_t202" style="position:absolute;margin-left:16.65pt;margin-top:379.9pt;width:470pt;height:81pt;z-index:-25157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" stroked="f">
                <v:textbox inset="0,0,0,0">
                  <w:txbxContent>
                    <w:p w14:paraId="5B31F541" w14:textId="77777777" w:rsidR="009C2EDC" w:rsidRDefault="009C2EDC" w:rsidP="00D20476">
                      <w:pPr>
                        <w:rPr>
                          <w:b/>
                        </w:rPr>
                      </w:pPr>
                    </w:p>
                    <w:p w14:paraId="269A9741" w14:textId="3C9029DF" w:rsidR="009C2EDC" w:rsidRPr="009065BA" w:rsidRDefault="009C2EDC" w:rsidP="00D20476">
                      <w:bookmarkStart w:id="331" w:name="_Toc101049094"/>
                      <w:r w:rsidRPr="009065BA">
                        <w:rPr>
                          <w:b/>
                        </w:rPr>
                        <w:t>Figure 3.</w:t>
                      </w:r>
                      <w:r w:rsidRPr="009065BA">
                        <w:rPr>
                          <w:b/>
                        </w:rPr>
                        <w:fldChar w:fldCharType="begin"/>
                      </w:r>
                      <w:r w:rsidRPr="009065BA">
                        <w:rPr>
                          <w:b/>
                        </w:rPr>
                        <w:instrText xml:space="preserve"> SEQ Figure_3. \* ARABIC </w:instrText>
                      </w:r>
                      <w:r w:rsidRPr="009065BA">
                        <w:rPr>
                          <w:b/>
                        </w:rPr>
                        <w:fldChar w:fldCharType="separate"/>
                      </w:r>
                      <w:r>
                        <w:rPr>
                          <w:b/>
                          <w:noProof/>
                        </w:rPr>
                        <w:t>1</w:t>
                      </w:r>
                      <w:r w:rsidRPr="009065BA">
                        <w:rPr>
                          <w:b/>
                        </w:rPr>
                        <w:fldChar w:fldCharType="end"/>
                      </w:r>
                      <w:r w:rsidRPr="009065BA">
                        <w:rPr>
                          <w:b/>
                        </w:rPr>
                        <w:t>.</w:t>
                      </w:r>
                      <w:r w:rsidRPr="009065BA">
                        <w:t xml:space="preserve"> Impact of SCN on NF activity on soybean genotypes (a) PI88788, (b) Williams 82, and (c) Ellis. An asterisk denotes mean values statistically different at the given sampling date. (LSD test, </w:t>
                      </w:r>
                      <w:r w:rsidRPr="009065BA">
                        <w:rPr>
                          <w:rFonts w:cs="Times New Roman"/>
                        </w:rPr>
                        <w:t>α</w:t>
                      </w:r>
                      <w:r w:rsidRPr="009065BA">
                        <w:t xml:space="preserve"> = 0.05).</w:t>
                      </w:r>
                      <w:bookmarkEnd w:id="331"/>
                    </w:p>
                    <w:p w14:paraId="13A96DE2" w14:textId="77777777" w:rsidR="009C2EDC" w:rsidRPr="009065BA" w:rsidRDefault="009C2EDC" w:rsidP="00D20476"/>
                  </w:txbxContent>
                </v:textbox>
                <w10:wrap type="tight"/>
              </v:shape>
            </w:pict>
          </mc:Fallback>
        </mc:AlternateContent>
      </w:r>
      <w:r w:rsidR="00D20476">
        <w:br w:type="page"/>
      </w:r>
    </w:p>
    <w:p w14:paraId="0F2D98CF" w14:textId="77777777" w:rsidR="00D20476" w:rsidRPr="001128CA" w:rsidRDefault="00D20476" w:rsidP="00D20476">
      <w:pPr>
        <w:pStyle w:val="Heading1"/>
        <w:rPr>
          <w:b w:val="0"/>
          <w:sz w:val="20"/>
          <w:szCs w:val="20"/>
        </w:rPr>
      </w:pPr>
    </w:p>
    <w:p w14:paraId="634BE62F" w14:textId="77777777" w:rsidR="00D20476" w:rsidRPr="001128CA" w:rsidRDefault="00D20476" w:rsidP="00D20476">
      <w:pPr>
        <w:rPr>
          <w:b/>
          <w:sz w:val="20"/>
          <w:szCs w:val="20"/>
        </w:rPr>
      </w:pPr>
    </w:p>
    <w:p w14:paraId="71CA809F" w14:textId="77777777" w:rsidR="00D20476" w:rsidRPr="001128CA" w:rsidRDefault="00D20476" w:rsidP="00D20476">
      <w:pPr>
        <w:spacing w:line="360" w:lineRule="auto"/>
        <w:rPr>
          <w:b/>
          <w:sz w:val="20"/>
          <w:szCs w:val="20"/>
        </w:rPr>
      </w:pPr>
      <w:r>
        <w:rPr>
          <w:b/>
          <w:noProof/>
          <w:sz w:val="20"/>
          <w:szCs w:val="20"/>
        </w:rPr>
        <w:drawing>
          <wp:anchor distT="0" distB="0" distL="114300" distR="114300" simplePos="0" relativeHeight="251735040" behindDoc="0" locked="0" layoutInCell="1" allowOverlap="1" wp14:anchorId="61F70543" wp14:editId="5BE445E8">
            <wp:simplePos x="0" y="0"/>
            <wp:positionH relativeFrom="column">
              <wp:posOffset>257175</wp:posOffset>
            </wp:positionH>
            <wp:positionV relativeFrom="paragraph">
              <wp:posOffset>60325</wp:posOffset>
            </wp:positionV>
            <wp:extent cx="5173980" cy="3529079"/>
            <wp:effectExtent l="0" t="0" r="7620" b="0"/>
            <wp:wrapTight wrapText="bothSides">
              <wp:wrapPolygon edited="0">
                <wp:start x="0" y="0"/>
                <wp:lineTo x="0" y="21456"/>
                <wp:lineTo x="21552" y="21456"/>
                <wp:lineTo x="21552"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rotWithShape="1">
                    <a:blip r:embed="rId98" cstate="print">
                      <a:extLst>
                        <a:ext uri="{28A0092B-C50C-407E-A947-70E740481C1C}">
                          <a14:useLocalDpi xmlns:a14="http://schemas.microsoft.com/office/drawing/2010/main" val="0"/>
                        </a:ext>
                      </a:extLst>
                    </a:blip>
                    <a:srcRect l="21347" t="15119" r="29762" b="24593"/>
                    <a:stretch/>
                  </pic:blipFill>
                  <pic:spPr bwMode="auto">
                    <a:xfrm>
                      <a:off x="0" y="0"/>
                      <a:ext cx="5173980" cy="3529079"/>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00B55504" w14:textId="77777777" w:rsidR="00D20476" w:rsidRPr="001128CA" w:rsidRDefault="00D20476" w:rsidP="00D20476">
      <w:pPr>
        <w:spacing w:line="360" w:lineRule="auto"/>
        <w:rPr>
          <w:b/>
          <w:sz w:val="20"/>
          <w:szCs w:val="20"/>
        </w:rPr>
      </w:pPr>
    </w:p>
    <w:p w14:paraId="478B3AAB" w14:textId="77777777" w:rsidR="00D20476" w:rsidRPr="001128CA" w:rsidRDefault="00D20476" w:rsidP="00D20476">
      <w:pPr>
        <w:spacing w:line="360" w:lineRule="auto"/>
        <w:rPr>
          <w:b/>
          <w:sz w:val="20"/>
          <w:szCs w:val="20"/>
        </w:rPr>
      </w:pPr>
    </w:p>
    <w:p w14:paraId="43567F26" w14:textId="77777777" w:rsidR="00D20476" w:rsidRPr="001128CA" w:rsidRDefault="00D20476" w:rsidP="00D20476">
      <w:pPr>
        <w:spacing w:line="360" w:lineRule="auto"/>
        <w:rPr>
          <w:b/>
          <w:sz w:val="20"/>
          <w:szCs w:val="20"/>
        </w:rPr>
      </w:pPr>
    </w:p>
    <w:p w14:paraId="6858AF9E" w14:textId="77777777" w:rsidR="00D20476" w:rsidRPr="001128CA" w:rsidRDefault="00D20476" w:rsidP="00D20476">
      <w:pPr>
        <w:spacing w:line="360" w:lineRule="auto"/>
        <w:rPr>
          <w:b/>
          <w:sz w:val="20"/>
          <w:szCs w:val="20"/>
        </w:rPr>
      </w:pPr>
    </w:p>
    <w:p w14:paraId="2D561FEF" w14:textId="77777777" w:rsidR="00D20476" w:rsidRPr="00F51CAA" w:rsidRDefault="00D20476" w:rsidP="00D20476">
      <w:pPr>
        <w:spacing w:line="360" w:lineRule="auto"/>
        <w:rPr>
          <w:b/>
          <w:sz w:val="28"/>
          <w:szCs w:val="28"/>
        </w:rPr>
      </w:pPr>
      <w:r w:rsidRPr="00F51CAA">
        <w:rPr>
          <w:noProof/>
          <w:sz w:val="28"/>
          <w:szCs w:val="28"/>
        </w:rPr>
        <mc:AlternateContent>
          <mc:Choice Requires="wps">
            <w:drawing>
              <wp:anchor distT="0" distB="0" distL="114300" distR="114300" simplePos="0" relativeHeight="251740160" behindDoc="1" locked="0" layoutInCell="1" allowOverlap="1" wp14:anchorId="61360576" wp14:editId="5F5AC91E">
                <wp:simplePos x="0" y="0"/>
                <wp:positionH relativeFrom="column">
                  <wp:posOffset>466090</wp:posOffset>
                </wp:positionH>
                <wp:positionV relativeFrom="paragraph">
                  <wp:posOffset>2660650</wp:posOffset>
                </wp:positionV>
                <wp:extent cx="5173980" cy="635"/>
                <wp:effectExtent l="0" t="0" r="0" b="0"/>
                <wp:wrapTight wrapText="bothSides">
                  <wp:wrapPolygon edited="0">
                    <wp:start x="0" y="0"/>
                    <wp:lineTo x="0" y="21600"/>
                    <wp:lineTo x="21600" y="21600"/>
                    <wp:lineTo x="21600" y="0"/>
                  </wp:wrapPolygon>
                </wp:wrapTight>
                <wp:docPr id="1" name="Text Box 1"/>
                <wp:cNvGraphicFramePr/>
                <a:graphic xmlns:a="http://schemas.openxmlformats.org/drawingml/2006/main">
                  <a:graphicData uri="http://schemas.microsoft.com/office/word/2010/wordprocessingShape">
                    <wps:wsp>
                      <wps:cNvSpPr txBox="1"/>
                      <wps:spPr>
                        <a:xfrm>
                          <a:off x="0" y="0"/>
                          <a:ext cx="5173980" cy="635"/>
                        </a:xfrm>
                        <a:prstGeom prst="rect">
                          <a:avLst/>
                        </a:prstGeom>
                        <a:solidFill>
                          <a:prstClr val="white"/>
                        </a:solidFill>
                        <a:ln>
                          <a:noFill/>
                        </a:ln>
                      </wps:spPr>
                      <wps:txbx>
                        <w:txbxContent>
                          <w:p w14:paraId="65E945B3" w14:textId="22278186" w:rsidR="009C2EDC" w:rsidRPr="00D33253" w:rsidRDefault="009C2EDC" w:rsidP="00D20476">
                            <w:pPr>
                              <w:pStyle w:val="Caption"/>
                              <w:rPr>
                                <w:noProof/>
                              </w:rPr>
                            </w:pPr>
                            <w:bookmarkStart w:id="326" w:name="_Toc101049095"/>
                            <w:r>
                              <w:t>Figure 3.</w:t>
                            </w:r>
                            <w:r w:rsidR="00035AE8">
                              <w:fldChar w:fldCharType="begin"/>
                            </w:r>
                            <w:r w:rsidR="00035AE8">
                              <w:instrText xml:space="preserve"> SEQ Figure_3. \* ARABIC </w:instrText>
                            </w:r>
                            <w:r w:rsidR="00035AE8">
                              <w:fldChar w:fldCharType="separate"/>
                            </w:r>
                            <w:r>
                              <w:rPr>
                                <w:noProof/>
                              </w:rPr>
                              <w:t>2</w:t>
                            </w:r>
                            <w:r w:rsidR="00035AE8">
                              <w:rPr>
                                <w:noProof/>
                              </w:rPr>
                              <w:fldChar w:fldCharType="end"/>
                            </w:r>
                            <w:r>
                              <w:t xml:space="preserve">. </w:t>
                            </w:r>
                            <w:r>
                              <w:rPr>
                                <w:b w:val="0"/>
                                <w:bCs/>
                              </w:rPr>
                              <w:t xml:space="preserve">Effect of </w:t>
                            </w:r>
                            <w:r w:rsidRPr="003F57FD">
                              <w:rPr>
                                <w:b w:val="0"/>
                                <w:bCs/>
                              </w:rPr>
                              <w:t>SCN on</w:t>
                            </w:r>
                            <w:r w:rsidRPr="009C7735">
                              <w:rPr>
                                <w:b w:val="0"/>
                                <w:bCs/>
                              </w:rPr>
                              <w:t xml:space="preserve"> l</w:t>
                            </w:r>
                            <w:r w:rsidRPr="0052214C">
                              <w:rPr>
                                <w:b w:val="0"/>
                                <w:bCs/>
                              </w:rPr>
                              <w:t>eaf</w:t>
                            </w:r>
                            <w:r>
                              <w:rPr>
                                <w:b w:val="0"/>
                              </w:rPr>
                              <w:t xml:space="preserve"> color. A</w:t>
                            </w:r>
                            <w:r w:rsidRPr="00C42ACC">
                              <w:rPr>
                                <w:b w:val="0"/>
                              </w:rPr>
                              <w:t xml:space="preserve">n asterisk denotes values statistically different (LSD test, </w:t>
                            </w:r>
                            <w:r w:rsidRPr="00C42ACC">
                              <w:rPr>
                                <w:rFonts w:cs="Times New Roman"/>
                                <w:b w:val="0"/>
                              </w:rPr>
                              <w:t>α</w:t>
                            </w:r>
                            <w:r w:rsidRPr="00C42ACC">
                              <w:rPr>
                                <w:b w:val="0"/>
                              </w:rPr>
                              <w:t xml:space="preserve"> = 0.05)).</w:t>
                            </w:r>
                            <w:bookmarkEnd w:id="3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1360576" id="Text Box 1" o:spid="_x0000_s1037" type="#_x0000_t202" style="position:absolute;margin-left:36.7pt;margin-top:209.5pt;width:407.4pt;height:.05pt;z-index:-2515763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" stroked="f">
                <v:textbox style="mso-fit-shape-to-text:t" inset="0,0,0,0">
                  <w:txbxContent>
                    <w:p w14:paraId="65E945B3" w14:textId="22278186" w:rsidR="009C2EDC" w:rsidRPr="00D33253" w:rsidRDefault="009C2EDC" w:rsidP="00D20476">
                      <w:pPr>
                        <w:pStyle w:val="Caption"/>
                        <w:rPr>
                          <w:noProof/>
                        </w:rPr>
                      </w:pPr>
                      <w:bookmarkStart w:id="333" w:name="_Toc101049095"/>
                      <w:r>
                        <w:t>Figure 3.</w:t>
                      </w:r>
                      <w:fldSimple w:instr=" SEQ Figure_3. \* ARABIC ">
                        <w:r>
                          <w:rPr>
                            <w:noProof/>
                          </w:rPr>
                          <w:t>2</w:t>
                        </w:r>
                      </w:fldSimple>
                      <w:r>
                        <w:t xml:space="preserve">. </w:t>
                      </w:r>
                      <w:r>
                        <w:rPr>
                          <w:b w:val="0"/>
                          <w:bCs/>
                        </w:rPr>
                        <w:t xml:space="preserve">Effect of </w:t>
                      </w:r>
                      <w:r w:rsidRPr="003F57FD">
                        <w:rPr>
                          <w:b w:val="0"/>
                          <w:bCs/>
                        </w:rPr>
                        <w:t>SCN on</w:t>
                      </w:r>
                      <w:r w:rsidRPr="009C7735">
                        <w:rPr>
                          <w:b w:val="0"/>
                          <w:bCs/>
                        </w:rPr>
                        <w:t xml:space="preserve"> l</w:t>
                      </w:r>
                      <w:r w:rsidRPr="0052214C">
                        <w:rPr>
                          <w:b w:val="0"/>
                          <w:bCs/>
                        </w:rPr>
                        <w:t>eaf</w:t>
                      </w:r>
                      <w:r>
                        <w:rPr>
                          <w:b w:val="0"/>
                        </w:rPr>
                        <w:t xml:space="preserve"> color. A</w:t>
                      </w:r>
                      <w:r w:rsidRPr="00C42ACC">
                        <w:rPr>
                          <w:b w:val="0"/>
                        </w:rPr>
                        <w:t xml:space="preserve">n asterisk denotes values statistically different (LSD test, </w:t>
                      </w:r>
                      <w:r w:rsidRPr="00C42ACC">
                        <w:rPr>
                          <w:rFonts w:cs="Times New Roman"/>
                          <w:b w:val="0"/>
                        </w:rPr>
                        <w:t>α</w:t>
                      </w:r>
                      <w:r w:rsidRPr="00C42ACC">
                        <w:rPr>
                          <w:b w:val="0"/>
                        </w:rPr>
                        <w:t xml:space="preserve"> = 0.05)).</w:t>
                      </w:r>
                      <w:bookmarkEnd w:id="333"/>
                    </w:p>
                  </w:txbxContent>
                </v:textbox>
                <w10:wrap type="tight"/>
              </v:shape>
            </w:pict>
          </mc:Fallback>
        </mc:AlternateContent>
      </w:r>
      <w:r w:rsidRPr="00F51CAA">
        <w:rPr>
          <w:b/>
          <w:sz w:val="28"/>
          <w:szCs w:val="28"/>
        </w:rPr>
        <w:br w:type="page"/>
      </w:r>
    </w:p>
    <w:p w14:paraId="5C13DE00" w14:textId="77777777" w:rsidR="00D20476" w:rsidRPr="001128CA" w:rsidRDefault="00D20476" w:rsidP="00D20476">
      <w:pPr>
        <w:spacing w:line="360" w:lineRule="auto"/>
        <w:rPr>
          <w:b/>
          <w:sz w:val="20"/>
          <w:szCs w:val="20"/>
        </w:rPr>
      </w:pPr>
    </w:p>
    <w:p w14:paraId="01389F77" w14:textId="77777777" w:rsidR="00D20476" w:rsidRPr="001128CA" w:rsidRDefault="00D20476" w:rsidP="00D20476">
      <w:pPr>
        <w:rPr>
          <w:b/>
          <w:sz w:val="20"/>
          <w:szCs w:val="20"/>
        </w:rPr>
      </w:pPr>
      <w:r>
        <w:rPr>
          <w:noProof/>
        </w:rPr>
        <mc:AlternateContent>
          <mc:Choice Requires="wps">
            <w:drawing>
              <wp:anchor distT="0" distB="0" distL="114300" distR="114300" simplePos="0" relativeHeight="251741184" behindDoc="1" locked="0" layoutInCell="1" allowOverlap="1" wp14:anchorId="708CA3C4" wp14:editId="38E27D0F">
                <wp:simplePos x="0" y="0"/>
                <wp:positionH relativeFrom="column">
                  <wp:posOffset>1051560</wp:posOffset>
                </wp:positionH>
                <wp:positionV relativeFrom="paragraph">
                  <wp:posOffset>4391025</wp:posOffset>
                </wp:positionV>
                <wp:extent cx="4213860" cy="693420"/>
                <wp:effectExtent l="0" t="0" r="0" b="0"/>
                <wp:wrapTight wrapText="bothSides">
                  <wp:wrapPolygon edited="0">
                    <wp:start x="0" y="0"/>
                    <wp:lineTo x="0" y="20769"/>
                    <wp:lineTo x="21483" y="20769"/>
                    <wp:lineTo x="21483" y="0"/>
                    <wp:lineTo x="0" y="0"/>
                  </wp:wrapPolygon>
                </wp:wrapTight>
                <wp:docPr id="42" name="Text Box 42"/>
                <wp:cNvGraphicFramePr/>
                <a:graphic xmlns:a="http://schemas.openxmlformats.org/drawingml/2006/main">
                  <a:graphicData uri="http://schemas.microsoft.com/office/word/2010/wordprocessingShape">
                    <wps:wsp>
                      <wps:cNvSpPr txBox="1"/>
                      <wps:spPr>
                        <a:xfrm>
                          <a:off x="0" y="0"/>
                          <a:ext cx="4213860" cy="693420"/>
                        </a:xfrm>
                        <a:prstGeom prst="rect">
                          <a:avLst/>
                        </a:prstGeom>
                        <a:solidFill>
                          <a:prstClr val="white"/>
                        </a:solidFill>
                        <a:ln>
                          <a:noFill/>
                        </a:ln>
                      </wps:spPr>
                      <wps:txbx>
                        <w:txbxContent>
                          <w:p w14:paraId="4123D29F" w14:textId="5F0C26DB" w:rsidR="009C2EDC" w:rsidRPr="00C42ACC" w:rsidRDefault="009C2EDC" w:rsidP="00D20476">
                            <w:pPr>
                              <w:pStyle w:val="Caption"/>
                              <w:rPr>
                                <w:b w:val="0"/>
                                <w:noProof/>
                              </w:rPr>
                            </w:pPr>
                            <w:bookmarkStart w:id="327" w:name="_Toc101049096"/>
                            <w:r>
                              <w:t>Figure 3.</w:t>
                            </w:r>
                            <w:r w:rsidR="00035AE8">
                              <w:fldChar w:fldCharType="begin"/>
                            </w:r>
                            <w:r w:rsidR="00035AE8">
                              <w:instrText xml:space="preserve"> SEQ Figure_3. \* ARABIC </w:instrText>
                            </w:r>
                            <w:r w:rsidR="00035AE8">
                              <w:fldChar w:fldCharType="separate"/>
                            </w:r>
                            <w:r>
                              <w:rPr>
                                <w:noProof/>
                              </w:rPr>
                              <w:t>3</w:t>
                            </w:r>
                            <w:r w:rsidR="00035AE8">
                              <w:rPr>
                                <w:noProof/>
                              </w:rPr>
                              <w:fldChar w:fldCharType="end"/>
                            </w:r>
                            <w:r w:rsidRPr="00C42ACC">
                              <w:rPr>
                                <w:b w:val="0"/>
                              </w:rPr>
                              <w:t xml:space="preserve">. Impact of SCN on leaf area of soybean genotypes. An asterisk denotes values statistically different (LSD test, </w:t>
                            </w:r>
                            <w:r w:rsidRPr="00C42ACC">
                              <w:rPr>
                                <w:rFonts w:cs="Times New Roman"/>
                                <w:b w:val="0"/>
                              </w:rPr>
                              <w:t>α</w:t>
                            </w:r>
                            <w:r w:rsidRPr="00C42ACC">
                              <w:rPr>
                                <w:b w:val="0"/>
                              </w:rPr>
                              <w:t xml:space="preserve"> = 0.05</w:t>
                            </w:r>
                            <w:r>
                              <w:rPr>
                                <w:b w:val="0"/>
                              </w:rPr>
                              <w:t>)</w:t>
                            </w:r>
                            <w:bookmarkEnd w:id="32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8CA3C4" id="Text Box 42" o:spid="_x0000_s1038" type="#_x0000_t202" style="position:absolute;margin-left:82.8pt;margin-top:345.75pt;width:331.8pt;height:54.6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" stroked="f">
                <v:textbox inset="0,0,0,0">
                  <w:txbxContent>
                    <w:p w14:paraId="4123D29F" w14:textId="5F0C26DB" w:rsidR="009C2EDC" w:rsidRPr="00C42ACC" w:rsidRDefault="009C2EDC" w:rsidP="00D20476">
                      <w:pPr>
                        <w:pStyle w:val="Caption"/>
                        <w:rPr>
                          <w:b w:val="0"/>
                          <w:noProof/>
                        </w:rPr>
                      </w:pPr>
                      <w:bookmarkStart w:id="335" w:name="_Toc101049096"/>
                      <w:r>
                        <w:t>Figure 3.</w:t>
                      </w:r>
                      <w:fldSimple w:instr=" SEQ Figure_3. \* ARABIC ">
                        <w:r>
                          <w:rPr>
                            <w:noProof/>
                          </w:rPr>
                          <w:t>3</w:t>
                        </w:r>
                      </w:fldSimple>
                      <w:r w:rsidRPr="00C42ACC">
                        <w:rPr>
                          <w:b w:val="0"/>
                        </w:rPr>
                        <w:t xml:space="preserve">. Impact of SCN on leaf area of soybean genotypes. An asterisk denotes values statistically different (LSD test, </w:t>
                      </w:r>
                      <w:r w:rsidRPr="00C42ACC">
                        <w:rPr>
                          <w:rFonts w:cs="Times New Roman"/>
                          <w:b w:val="0"/>
                        </w:rPr>
                        <w:t>α</w:t>
                      </w:r>
                      <w:r w:rsidRPr="00C42ACC">
                        <w:rPr>
                          <w:b w:val="0"/>
                        </w:rPr>
                        <w:t xml:space="preserve"> = 0.05</w:t>
                      </w:r>
                      <w:r>
                        <w:rPr>
                          <w:b w:val="0"/>
                        </w:rPr>
                        <w:t>)</w:t>
                      </w:r>
                      <w:bookmarkEnd w:id="335"/>
                    </w:p>
                  </w:txbxContent>
                </v:textbox>
                <w10:wrap type="tight"/>
              </v:shape>
            </w:pict>
          </mc:Fallback>
        </mc:AlternateContent>
      </w:r>
      <w:r>
        <w:rPr>
          <w:noProof/>
        </w:rPr>
        <w:drawing>
          <wp:anchor distT="0" distB="0" distL="114300" distR="114300" simplePos="0" relativeHeight="251736064" behindDoc="0" locked="0" layoutInCell="1" allowOverlap="1" wp14:anchorId="0EC91A4C" wp14:editId="63E47746">
            <wp:simplePos x="0" y="0"/>
            <wp:positionH relativeFrom="column">
              <wp:posOffset>1390650</wp:posOffset>
            </wp:positionH>
            <wp:positionV relativeFrom="paragraph">
              <wp:posOffset>485775</wp:posOffset>
            </wp:positionV>
            <wp:extent cx="3020695" cy="3695700"/>
            <wp:effectExtent l="19050" t="19050" r="27305" b="19050"/>
            <wp:wrapTight wrapText="bothSides">
              <wp:wrapPolygon edited="0">
                <wp:start x="-136" y="-111"/>
                <wp:lineTo x="-136" y="21600"/>
                <wp:lineTo x="21659" y="21600"/>
                <wp:lineTo x="21659" y="-111"/>
                <wp:lineTo x="-136" y="-111"/>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rotWithShape="1">
                    <a:blip r:embed="rId99" cstate="print">
                      <a:extLst>
                        <a:ext uri="{28A0092B-C50C-407E-A947-70E740481C1C}">
                          <a14:useLocalDpi xmlns:a14="http://schemas.microsoft.com/office/drawing/2010/main" val="0"/>
                        </a:ext>
                      </a:extLst>
                    </a:blip>
                    <a:srcRect l="26389" t="9117" r="38675" b="14910"/>
                    <a:stretch/>
                  </pic:blipFill>
                  <pic:spPr bwMode="auto">
                    <a:xfrm>
                      <a:off x="0" y="0"/>
                      <a:ext cx="3020695" cy="36957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sidRPr="001128CA">
        <w:rPr>
          <w:b/>
          <w:sz w:val="20"/>
          <w:szCs w:val="20"/>
        </w:rPr>
        <w:br w:type="page"/>
      </w:r>
      <w:r>
        <w:rPr>
          <w:noProof/>
        </w:rPr>
        <w:drawing>
          <wp:anchor distT="0" distB="0" distL="114300" distR="114300" simplePos="0" relativeHeight="251738112" behindDoc="0" locked="0" layoutInCell="1" allowOverlap="1" wp14:anchorId="004F02CC" wp14:editId="4EC09591">
            <wp:simplePos x="0" y="0"/>
            <wp:positionH relativeFrom="column">
              <wp:posOffset>964565</wp:posOffset>
            </wp:positionH>
            <wp:positionV relativeFrom="paragraph">
              <wp:posOffset>220980</wp:posOffset>
            </wp:positionV>
            <wp:extent cx="3267075" cy="4108450"/>
            <wp:effectExtent l="19050" t="19050" r="28575" b="2540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rotWithShape="1">
                    <a:blip r:embed="rId100" cstate="print">
                      <a:extLst>
                        <a:ext uri="{28A0092B-C50C-407E-A947-70E740481C1C}">
                          <a14:useLocalDpi xmlns:a14="http://schemas.microsoft.com/office/drawing/2010/main" val="0"/>
                        </a:ext>
                      </a:extLst>
                    </a:blip>
                    <a:srcRect l="25748" t="4179" r="38142" b="15100"/>
                    <a:stretch/>
                  </pic:blipFill>
                  <pic:spPr bwMode="auto">
                    <a:xfrm>
                      <a:off x="0" y="0"/>
                      <a:ext cx="3267075" cy="410845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742208" behindDoc="0" locked="0" layoutInCell="1" allowOverlap="1" wp14:anchorId="7728C8D3" wp14:editId="4D36AD0C">
                <wp:simplePos x="0" y="0"/>
                <wp:positionH relativeFrom="column">
                  <wp:posOffset>676275</wp:posOffset>
                </wp:positionH>
                <wp:positionV relativeFrom="paragraph">
                  <wp:posOffset>4438650</wp:posOffset>
                </wp:positionV>
                <wp:extent cx="5143500" cy="635"/>
                <wp:effectExtent l="0" t="0" r="0" b="7620"/>
                <wp:wrapNone/>
                <wp:docPr id="43" name="Text Box 43"/>
                <wp:cNvGraphicFramePr/>
                <a:graphic xmlns:a="http://schemas.openxmlformats.org/drawingml/2006/main">
                  <a:graphicData uri="http://schemas.microsoft.com/office/word/2010/wordprocessingShape">
                    <wps:wsp>
                      <wps:cNvSpPr txBox="1"/>
                      <wps:spPr>
                        <a:xfrm>
                          <a:off x="0" y="0"/>
                          <a:ext cx="5143500" cy="635"/>
                        </a:xfrm>
                        <a:prstGeom prst="rect">
                          <a:avLst/>
                        </a:prstGeom>
                        <a:solidFill>
                          <a:prstClr val="white"/>
                        </a:solidFill>
                        <a:ln>
                          <a:noFill/>
                        </a:ln>
                      </wps:spPr>
                      <wps:txbx>
                        <w:txbxContent>
                          <w:p w14:paraId="1653FB80" w14:textId="610BA2AA" w:rsidR="009C2EDC" w:rsidRPr="00C42ACC" w:rsidRDefault="009C2EDC" w:rsidP="00D20476">
                            <w:pPr>
                              <w:pStyle w:val="Caption"/>
                              <w:rPr>
                                <w:b w:val="0"/>
                                <w:noProof/>
                              </w:rPr>
                            </w:pPr>
                            <w:bookmarkStart w:id="328" w:name="_Toc101049097"/>
                            <w:r>
                              <w:t>Figure 3.</w:t>
                            </w:r>
                            <w:r w:rsidR="00035AE8">
                              <w:fldChar w:fldCharType="begin"/>
                            </w:r>
                            <w:r w:rsidR="00035AE8">
                              <w:instrText xml:space="preserve"> SEQ Figure_3. \* ARABIC </w:instrText>
                            </w:r>
                            <w:r w:rsidR="00035AE8">
                              <w:fldChar w:fldCharType="separate"/>
                            </w:r>
                            <w:r>
                              <w:rPr>
                                <w:noProof/>
                              </w:rPr>
                              <w:t>4</w:t>
                            </w:r>
                            <w:r w:rsidR="00035AE8">
                              <w:rPr>
                                <w:noProof/>
                              </w:rPr>
                              <w:fldChar w:fldCharType="end"/>
                            </w:r>
                            <w:r w:rsidRPr="00405102">
                              <w:t xml:space="preserve">. </w:t>
                            </w:r>
                            <w:r w:rsidRPr="00C42ACC">
                              <w:rPr>
                                <w:b w:val="0"/>
                              </w:rPr>
                              <w:t>Impact of SC</w:t>
                            </w:r>
                            <w:r>
                              <w:rPr>
                                <w:b w:val="0"/>
                              </w:rPr>
                              <w:t xml:space="preserve">N on soybean root surface area. </w:t>
                            </w:r>
                            <w:r w:rsidRPr="00C42ACC">
                              <w:rPr>
                                <w:b w:val="0"/>
                              </w:rPr>
                              <w:t>An asterisk denotes values statistically different (LSD test, P &lt; 0.05).</w:t>
                            </w:r>
                            <w:bookmarkEnd w:id="32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728C8D3" id="Text Box 43" o:spid="_x0000_s1039" type="#_x0000_t202" style="position:absolute;margin-left:53.25pt;margin-top:349.5pt;width:405pt;height:.05pt;z-index:2517422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" stroked="f">
                <v:textbox style="mso-fit-shape-to-text:t" inset="0,0,0,0">
                  <w:txbxContent>
                    <w:p w14:paraId="1653FB80" w14:textId="610BA2AA" w:rsidR="009C2EDC" w:rsidRPr="00C42ACC" w:rsidRDefault="009C2EDC" w:rsidP="00D20476">
                      <w:pPr>
                        <w:pStyle w:val="Caption"/>
                        <w:rPr>
                          <w:b w:val="0"/>
                          <w:noProof/>
                        </w:rPr>
                      </w:pPr>
                      <w:bookmarkStart w:id="337" w:name="_Toc101049097"/>
                      <w:r>
                        <w:t>Figure 3.</w:t>
                      </w:r>
                      <w:fldSimple w:instr=" SEQ Figure_3. \* ARABIC ">
                        <w:r>
                          <w:rPr>
                            <w:noProof/>
                          </w:rPr>
                          <w:t>4</w:t>
                        </w:r>
                      </w:fldSimple>
                      <w:r w:rsidRPr="00405102">
                        <w:t xml:space="preserve">. </w:t>
                      </w:r>
                      <w:r w:rsidRPr="00C42ACC">
                        <w:rPr>
                          <w:b w:val="0"/>
                        </w:rPr>
                        <w:t>Impact of SC</w:t>
                      </w:r>
                      <w:r>
                        <w:rPr>
                          <w:b w:val="0"/>
                        </w:rPr>
                        <w:t xml:space="preserve">N on soybean root surface area. </w:t>
                      </w:r>
                      <w:r w:rsidRPr="00C42ACC">
                        <w:rPr>
                          <w:b w:val="0"/>
                        </w:rPr>
                        <w:t>An asterisk denotes values statistically different (LSD test, P &lt; 0.05).</w:t>
                      </w:r>
                      <w:bookmarkEnd w:id="337"/>
                    </w:p>
                  </w:txbxContent>
                </v:textbox>
              </v:shape>
            </w:pict>
          </mc:Fallback>
        </mc:AlternateContent>
      </w:r>
      <w:r w:rsidRPr="001128CA">
        <w:rPr>
          <w:b/>
          <w:sz w:val="20"/>
          <w:szCs w:val="20"/>
        </w:rPr>
        <w:br w:type="page"/>
      </w:r>
    </w:p>
    <w:p w14:paraId="744A3633" w14:textId="685B36F6" w:rsidR="00D20476" w:rsidRPr="001128CA" w:rsidRDefault="00D20476" w:rsidP="00D20476">
      <w:pPr>
        <w:spacing w:line="360" w:lineRule="auto"/>
        <w:rPr>
          <w:b/>
          <w:sz w:val="20"/>
          <w:szCs w:val="20"/>
        </w:rPr>
      </w:pPr>
    </w:p>
    <w:p w14:paraId="5E0E358B" w14:textId="636CED73" w:rsidR="00D20476" w:rsidRPr="001128CA" w:rsidRDefault="00D20476" w:rsidP="00D20476">
      <w:pPr>
        <w:spacing w:line="360" w:lineRule="auto"/>
        <w:rPr>
          <w:b/>
          <w:sz w:val="20"/>
          <w:szCs w:val="20"/>
        </w:rPr>
      </w:pPr>
    </w:p>
    <w:p w14:paraId="6228F3FB" w14:textId="11EF1B15" w:rsidR="00D20476" w:rsidRPr="001128CA" w:rsidRDefault="00D20476" w:rsidP="00D20476">
      <w:pPr>
        <w:spacing w:line="360" w:lineRule="auto"/>
        <w:rPr>
          <w:b/>
          <w:sz w:val="20"/>
          <w:szCs w:val="20"/>
        </w:rPr>
      </w:pPr>
    </w:p>
    <w:p w14:paraId="5824BFE5" w14:textId="512B1F95" w:rsidR="00D20476" w:rsidRPr="001128CA" w:rsidRDefault="002C5D13" w:rsidP="00D20476">
      <w:pPr>
        <w:spacing w:line="360" w:lineRule="auto"/>
        <w:rPr>
          <w:b/>
          <w:sz w:val="20"/>
          <w:szCs w:val="20"/>
        </w:rPr>
      </w:pPr>
      <w:r>
        <w:rPr>
          <w:noProof/>
        </w:rPr>
        <w:drawing>
          <wp:anchor distT="0" distB="0" distL="114300" distR="114300" simplePos="0" relativeHeight="251737088" behindDoc="0" locked="0" layoutInCell="1" allowOverlap="1" wp14:anchorId="7D198A94" wp14:editId="4599893D">
            <wp:simplePos x="0" y="0"/>
            <wp:positionH relativeFrom="column">
              <wp:posOffset>1189355</wp:posOffset>
            </wp:positionH>
            <wp:positionV relativeFrom="paragraph">
              <wp:posOffset>146685</wp:posOffset>
            </wp:positionV>
            <wp:extent cx="3073400" cy="45593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a:picLocks noChangeAspect="1"/>
                    </pic:cNvPicPr>
                  </pic:nvPicPr>
                  <pic:blipFill rotWithShape="1">
                    <a:blip r:embed="rId101" cstate="print">
                      <a:extLst>
                        <a:ext uri="{28A0092B-C50C-407E-A947-70E740481C1C}">
                          <a14:useLocalDpi xmlns:a14="http://schemas.microsoft.com/office/drawing/2010/main" val="0"/>
                        </a:ext>
                      </a:extLst>
                    </a:blip>
                    <a:srcRect l="32906" t="1519" r="37927" b="21558"/>
                    <a:stretch/>
                  </pic:blipFill>
                  <pic:spPr bwMode="auto">
                    <a:xfrm>
                      <a:off x="0" y="0"/>
                      <a:ext cx="3073400" cy="45593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14E29A9F" w14:textId="705D9507" w:rsidR="00D20476" w:rsidRPr="001128CA" w:rsidRDefault="00D20476" w:rsidP="00D20476">
      <w:pPr>
        <w:spacing w:line="360" w:lineRule="auto"/>
        <w:rPr>
          <w:sz w:val="20"/>
          <w:szCs w:val="20"/>
        </w:rPr>
      </w:pPr>
    </w:p>
    <w:p w14:paraId="545284DA" w14:textId="77777777" w:rsidR="00D20476" w:rsidRPr="001128CA" w:rsidRDefault="00D20476" w:rsidP="00D20476">
      <w:pPr>
        <w:spacing w:line="360" w:lineRule="auto"/>
        <w:rPr>
          <w:sz w:val="20"/>
          <w:szCs w:val="20"/>
        </w:rPr>
      </w:pPr>
    </w:p>
    <w:p w14:paraId="7CBF76C8" w14:textId="77777777" w:rsidR="00D20476" w:rsidRPr="001128CA" w:rsidRDefault="00D20476" w:rsidP="00D20476">
      <w:pPr>
        <w:spacing w:line="360" w:lineRule="auto"/>
        <w:rPr>
          <w:sz w:val="20"/>
          <w:szCs w:val="20"/>
        </w:rPr>
      </w:pPr>
    </w:p>
    <w:p w14:paraId="583CE3D2" w14:textId="77777777" w:rsidR="00D20476" w:rsidRPr="001128CA" w:rsidRDefault="00D20476" w:rsidP="00D20476">
      <w:pPr>
        <w:spacing w:line="360" w:lineRule="auto"/>
        <w:rPr>
          <w:sz w:val="20"/>
          <w:szCs w:val="20"/>
        </w:rPr>
      </w:pPr>
    </w:p>
    <w:p w14:paraId="32FCD139" w14:textId="77777777" w:rsidR="00D20476" w:rsidRPr="001128CA" w:rsidRDefault="00D20476" w:rsidP="00D20476">
      <w:pPr>
        <w:spacing w:line="360" w:lineRule="auto"/>
        <w:rPr>
          <w:sz w:val="20"/>
          <w:szCs w:val="20"/>
        </w:rPr>
      </w:pPr>
    </w:p>
    <w:p w14:paraId="27F33AB2" w14:textId="77777777" w:rsidR="00D20476" w:rsidRPr="001128CA" w:rsidRDefault="00D20476" w:rsidP="00D20476">
      <w:pPr>
        <w:spacing w:line="360" w:lineRule="auto"/>
        <w:rPr>
          <w:sz w:val="20"/>
          <w:szCs w:val="20"/>
        </w:rPr>
      </w:pPr>
    </w:p>
    <w:p w14:paraId="391F80FA" w14:textId="77777777" w:rsidR="00D20476" w:rsidRPr="001128CA" w:rsidRDefault="00D20476" w:rsidP="00D20476">
      <w:pPr>
        <w:spacing w:line="360" w:lineRule="auto"/>
        <w:rPr>
          <w:sz w:val="20"/>
          <w:szCs w:val="20"/>
        </w:rPr>
      </w:pPr>
    </w:p>
    <w:p w14:paraId="08A3C726" w14:textId="77777777" w:rsidR="00D20476" w:rsidRPr="001128CA" w:rsidRDefault="00D20476" w:rsidP="00D20476">
      <w:pPr>
        <w:spacing w:line="360" w:lineRule="auto"/>
        <w:rPr>
          <w:sz w:val="20"/>
          <w:szCs w:val="20"/>
        </w:rPr>
      </w:pPr>
    </w:p>
    <w:p w14:paraId="0E1BA57E" w14:textId="77777777" w:rsidR="00D20476" w:rsidRPr="001128CA" w:rsidRDefault="00D20476" w:rsidP="00D20476">
      <w:pPr>
        <w:spacing w:line="360" w:lineRule="auto"/>
        <w:rPr>
          <w:sz w:val="20"/>
          <w:szCs w:val="20"/>
        </w:rPr>
      </w:pPr>
    </w:p>
    <w:p w14:paraId="55A89E73" w14:textId="77777777" w:rsidR="00D20476" w:rsidRPr="001128CA" w:rsidRDefault="00D20476" w:rsidP="00D20476">
      <w:pPr>
        <w:spacing w:line="360" w:lineRule="auto"/>
        <w:rPr>
          <w:sz w:val="20"/>
          <w:szCs w:val="20"/>
        </w:rPr>
      </w:pPr>
    </w:p>
    <w:p w14:paraId="40D38D26" w14:textId="77777777" w:rsidR="00D20476" w:rsidRPr="001128CA" w:rsidRDefault="00D20476" w:rsidP="00D20476">
      <w:pPr>
        <w:spacing w:line="360" w:lineRule="auto"/>
        <w:rPr>
          <w:sz w:val="20"/>
          <w:szCs w:val="20"/>
        </w:rPr>
      </w:pPr>
    </w:p>
    <w:p w14:paraId="0EDACFD0" w14:textId="77777777" w:rsidR="00D20476" w:rsidRPr="001128CA" w:rsidRDefault="00D20476" w:rsidP="00D20476">
      <w:pPr>
        <w:spacing w:line="360" w:lineRule="auto"/>
        <w:rPr>
          <w:sz w:val="20"/>
          <w:szCs w:val="20"/>
        </w:rPr>
      </w:pPr>
    </w:p>
    <w:p w14:paraId="7B630C57" w14:textId="77777777" w:rsidR="00D20476" w:rsidRPr="001128CA" w:rsidRDefault="00D20476" w:rsidP="00D20476">
      <w:pPr>
        <w:spacing w:line="360" w:lineRule="auto"/>
        <w:rPr>
          <w:sz w:val="20"/>
          <w:szCs w:val="20"/>
        </w:rPr>
      </w:pPr>
    </w:p>
    <w:p w14:paraId="21DD6523" w14:textId="77777777" w:rsidR="00D20476" w:rsidRPr="001128CA" w:rsidRDefault="00D20476" w:rsidP="00D20476">
      <w:pPr>
        <w:spacing w:line="360" w:lineRule="auto"/>
        <w:rPr>
          <w:sz w:val="20"/>
          <w:szCs w:val="20"/>
        </w:rPr>
      </w:pPr>
    </w:p>
    <w:p w14:paraId="457DA92F" w14:textId="77777777" w:rsidR="00D20476" w:rsidRPr="001128CA" w:rsidRDefault="00D20476" w:rsidP="00D20476">
      <w:pPr>
        <w:spacing w:line="360" w:lineRule="auto"/>
        <w:rPr>
          <w:sz w:val="20"/>
          <w:szCs w:val="20"/>
        </w:rPr>
      </w:pPr>
    </w:p>
    <w:p w14:paraId="00D05621" w14:textId="77777777" w:rsidR="00D20476" w:rsidRPr="001128CA" w:rsidRDefault="00D20476" w:rsidP="00D20476">
      <w:pPr>
        <w:spacing w:line="360" w:lineRule="auto"/>
        <w:rPr>
          <w:sz w:val="20"/>
          <w:szCs w:val="20"/>
        </w:rPr>
      </w:pPr>
    </w:p>
    <w:p w14:paraId="5384F299" w14:textId="7F99FB26" w:rsidR="00D20476" w:rsidRPr="001128CA" w:rsidRDefault="00D20476" w:rsidP="00D20476">
      <w:pPr>
        <w:pStyle w:val="Paragraph"/>
      </w:pPr>
    </w:p>
    <w:p w14:paraId="2E5BC3C8" w14:textId="4217BFED" w:rsidR="00D20476" w:rsidRDefault="00D20476" w:rsidP="00D20476"/>
    <w:p w14:paraId="13795BC4" w14:textId="5144D88A" w:rsidR="00D20476" w:rsidRDefault="002C5D13">
      <w:pPr>
        <w:rPr>
          <w:rFonts w:cs="Times New Roman"/>
          <w:b/>
          <w:bCs/>
          <w:sz w:val="28"/>
          <w:szCs w:val="28"/>
        </w:rPr>
      </w:pPr>
      <w:r>
        <w:rPr>
          <w:noProof/>
        </w:rPr>
        <mc:AlternateContent>
          <mc:Choice Requires="wps">
            <w:drawing>
              <wp:anchor distT="0" distB="0" distL="114300" distR="114300" simplePos="0" relativeHeight="251743232" behindDoc="0" locked="0" layoutInCell="1" allowOverlap="1" wp14:anchorId="37354A42" wp14:editId="2E32C7DF">
                <wp:simplePos x="0" y="0"/>
                <wp:positionH relativeFrom="column">
                  <wp:posOffset>488950</wp:posOffset>
                </wp:positionH>
                <wp:positionV relativeFrom="paragraph">
                  <wp:posOffset>541655</wp:posOffset>
                </wp:positionV>
                <wp:extent cx="4555490" cy="5715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4555490" cy="571500"/>
                        </a:xfrm>
                        <a:prstGeom prst="rect">
                          <a:avLst/>
                        </a:prstGeom>
                        <a:solidFill>
                          <a:prstClr val="white"/>
                        </a:solidFill>
                        <a:ln>
                          <a:noFill/>
                        </a:ln>
                      </wps:spPr>
                      <wps:txbx>
                        <w:txbxContent>
                          <w:p w14:paraId="2EE419E5" w14:textId="326D315C" w:rsidR="009C2EDC" w:rsidRPr="002C5D13" w:rsidRDefault="009C2EDC" w:rsidP="00D20476">
                            <w:pPr>
                              <w:pStyle w:val="Caption"/>
                              <w:rPr>
                                <w:b w:val="0"/>
                                <w:noProof/>
                              </w:rPr>
                            </w:pPr>
                            <w:bookmarkStart w:id="329" w:name="_Toc101049098"/>
                            <w:r w:rsidRPr="002C5D13">
                              <w:t xml:space="preserve">Figure 3. </w:t>
                            </w:r>
                            <w:r w:rsidR="00035AE8">
                              <w:fldChar w:fldCharType="begin"/>
                            </w:r>
                            <w:r w:rsidR="00035AE8">
                              <w:instrText xml:space="preserve"> SEQ Figure_3. \* ARABIC </w:instrText>
                            </w:r>
                            <w:r w:rsidR="00035AE8">
                              <w:fldChar w:fldCharType="separate"/>
                            </w:r>
                            <w:r>
                              <w:rPr>
                                <w:noProof/>
                              </w:rPr>
                              <w:t>5</w:t>
                            </w:r>
                            <w:r w:rsidR="00035AE8">
                              <w:rPr>
                                <w:noProof/>
                              </w:rPr>
                              <w:fldChar w:fldCharType="end"/>
                            </w:r>
                            <w:r w:rsidRPr="002C5D13">
                              <w:rPr>
                                <w:b w:val="0"/>
                              </w:rPr>
                              <w:t>. Density of SCN eggs on the roots of test soybean genotypes at harvest. Bars with different letters are significantly different (LSD test, P &lt; 0.05).</w:t>
                            </w:r>
                            <w:bookmarkEnd w:id="3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354A42" id="Text Box 44" o:spid="_x0000_s1040" type="#_x0000_t202" style="position:absolute;margin-left:38.5pt;margin-top:42.65pt;width:358.7pt;height: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" stroked="f">
                <v:textbox inset="0,0,0,0">
                  <w:txbxContent>
                    <w:p w14:paraId="2EE419E5" w14:textId="326D315C" w:rsidR="009C2EDC" w:rsidRPr="002C5D13" w:rsidRDefault="009C2EDC" w:rsidP="00D20476">
                      <w:pPr>
                        <w:pStyle w:val="Caption"/>
                        <w:rPr>
                          <w:b w:val="0"/>
                          <w:noProof/>
                        </w:rPr>
                      </w:pPr>
                      <w:bookmarkStart w:id="339" w:name="_Toc101049098"/>
                      <w:r w:rsidRPr="002C5D13">
                        <w:t xml:space="preserve">Figure 3. </w:t>
                      </w:r>
                      <w:fldSimple w:instr=" SEQ Figure_3. \* ARABIC ">
                        <w:r>
                          <w:rPr>
                            <w:noProof/>
                          </w:rPr>
                          <w:t>5</w:t>
                        </w:r>
                      </w:fldSimple>
                      <w:r w:rsidRPr="002C5D13">
                        <w:rPr>
                          <w:b w:val="0"/>
                        </w:rPr>
                        <w:t>. Density of SCN eggs on the roots of test soybean genotypes at harvest. Bars with different letters are significantly different (LSD test, P &lt; 0.05).</w:t>
                      </w:r>
                      <w:bookmarkEnd w:id="339"/>
                    </w:p>
                  </w:txbxContent>
                </v:textbox>
              </v:shape>
            </w:pict>
          </mc:Fallback>
        </mc:AlternateContent>
      </w:r>
      <w:r w:rsidR="00D20476">
        <w:br w:type="page"/>
      </w:r>
    </w:p>
    <w:p w14:paraId="205D311A" w14:textId="77777777" w:rsidR="00D20476" w:rsidRPr="008E2CD0" w:rsidRDefault="00D20476" w:rsidP="00D20476">
      <w:pPr>
        <w:pStyle w:val="Heading1"/>
        <w:ind w:left="720"/>
        <w:jc w:val="center"/>
      </w:pPr>
      <w:bookmarkStart w:id="330" w:name="_Toc101048155"/>
      <w:bookmarkStart w:id="331" w:name="_Toc98812791"/>
      <w:bookmarkStart w:id="332" w:name="_Toc98812999"/>
      <w:bookmarkStart w:id="333" w:name="_Toc98813665"/>
      <w:bookmarkEnd w:id="265"/>
      <w:bookmarkEnd w:id="266"/>
      <w:bookmarkEnd w:id="267"/>
      <w:r w:rsidRPr="008E2CD0">
        <w:t xml:space="preserve">CHAPTER IV. </w:t>
      </w:r>
      <w:r w:rsidRPr="008E2CD0">
        <w:rPr>
          <w:i/>
        </w:rPr>
        <w:t>MACROPHOMINA PHASEOLINA</w:t>
      </w:r>
      <w:r>
        <w:t xml:space="preserve"> MICROSCLEROTIAL</w:t>
      </w:r>
      <w:r w:rsidRPr="008E2CD0">
        <w:t xml:space="preserve"> PATHOGENICITY ON SOYBEAN</w:t>
      </w:r>
      <w:r>
        <w:t>,</w:t>
      </w:r>
      <w:r w:rsidRPr="008E2CD0">
        <w:t xml:space="preserve"> AND SOYBEAN VARIETY INFLUENCE ON CHARCOAL ROT</w:t>
      </w:r>
      <w:bookmarkEnd w:id="330"/>
    </w:p>
    <w:p w14:paraId="32317608" w14:textId="77777777" w:rsidR="00D20476" w:rsidRDefault="00D20476" w:rsidP="00D20476">
      <w:pPr>
        <w:pStyle w:val="Heading1"/>
        <w:ind w:left="720"/>
        <w:jc w:val="center"/>
      </w:pPr>
    </w:p>
    <w:p w14:paraId="2E89E49A" w14:textId="77777777" w:rsidR="00D20476" w:rsidRDefault="00D20476" w:rsidP="00D20476">
      <w:pPr>
        <w:pStyle w:val="Heading1"/>
        <w:ind w:left="720"/>
        <w:jc w:val="center"/>
      </w:pPr>
    </w:p>
    <w:p w14:paraId="7B13BDA9" w14:textId="77777777" w:rsidR="00D20476" w:rsidRPr="008E2CD0" w:rsidRDefault="00D20476" w:rsidP="00D20476">
      <w:pPr>
        <w:pStyle w:val="Heading1"/>
        <w:ind w:left="720"/>
        <w:jc w:val="center"/>
      </w:pPr>
    </w:p>
    <w:p w14:paraId="3F5FF4CE" w14:textId="77777777" w:rsidR="00D20476" w:rsidRPr="008E2CD0" w:rsidRDefault="00D20476" w:rsidP="00D20476">
      <w:pPr>
        <w:pStyle w:val="Heading1"/>
        <w:ind w:left="720"/>
      </w:pPr>
    </w:p>
    <w:p w14:paraId="5F3F58C7" w14:textId="77777777" w:rsidR="00D20476" w:rsidRPr="008E2CD0" w:rsidRDefault="00D20476" w:rsidP="00D20476">
      <w:pPr>
        <w:ind w:left="720"/>
        <w:rPr>
          <w:rFonts w:cs="Times New Roman"/>
        </w:rPr>
        <w:sectPr w:rsidR="00D20476" w:rsidRPr="008E2CD0" w:rsidSect="00FA1E10">
          <w:footerReference w:type="default" r:id="rId102"/>
          <w:pgSz w:w="12240" w:h="15840" w:code="1"/>
          <w:pgMar w:top="1440" w:right="1440" w:bottom="1440" w:left="1440" w:header="0" w:footer="1440" w:gutter="0"/>
          <w:cols w:space="720"/>
          <w:docGrid w:linePitch="326"/>
        </w:sectPr>
      </w:pPr>
    </w:p>
    <w:p w14:paraId="1C3DB13F" w14:textId="77777777" w:rsidR="00D20476" w:rsidRPr="008E2CD0" w:rsidRDefault="00D20476" w:rsidP="00D20476">
      <w:pPr>
        <w:pStyle w:val="Heading1"/>
        <w:ind w:left="720"/>
        <w:jc w:val="center"/>
      </w:pPr>
      <w:bookmarkStart w:id="334" w:name="_bookmark70"/>
      <w:bookmarkStart w:id="335" w:name="_Toc98812773"/>
      <w:bookmarkStart w:id="336" w:name="_Toc98812981"/>
      <w:bookmarkStart w:id="337" w:name="_Toc98813647"/>
      <w:bookmarkStart w:id="338" w:name="_Toc101048156"/>
      <w:bookmarkEnd w:id="334"/>
      <w:r w:rsidRPr="008E2CD0">
        <w:t>Abstract</w:t>
      </w:r>
      <w:bookmarkEnd w:id="335"/>
      <w:bookmarkEnd w:id="336"/>
      <w:bookmarkEnd w:id="337"/>
      <w:bookmarkEnd w:id="338"/>
    </w:p>
    <w:p w14:paraId="05C58765" w14:textId="77777777" w:rsidR="00D20476" w:rsidRPr="008E2CD0" w:rsidRDefault="00D20476" w:rsidP="00D20476">
      <w:pPr>
        <w:ind w:left="720"/>
        <w:rPr>
          <w:rFonts w:cs="Times New Roman"/>
          <w:szCs w:val="24"/>
        </w:rPr>
      </w:pPr>
    </w:p>
    <w:p w14:paraId="05E7E870" w14:textId="77777777" w:rsidR="00D20476" w:rsidRPr="008E2CD0" w:rsidRDefault="00D20476" w:rsidP="00D20476">
      <w:pPr>
        <w:pStyle w:val="CommentText"/>
        <w:spacing w:line="360" w:lineRule="auto"/>
        <w:ind w:left="720" w:firstLine="720"/>
        <w:rPr>
          <w:rFonts w:ascii="Times New Roman" w:hAnsi="Times New Roman" w:cs="Times New Roman"/>
          <w:sz w:val="24"/>
          <w:szCs w:val="24"/>
        </w:rPr>
      </w:pPr>
      <w:r w:rsidRPr="008E2CD0">
        <w:rPr>
          <w:rFonts w:ascii="Times New Roman" w:hAnsi="Times New Roman" w:cs="Times New Roman"/>
          <w:i/>
          <w:sz w:val="24"/>
          <w:szCs w:val="24"/>
        </w:rPr>
        <w:t xml:space="preserve">Macrophomina phaseolina (mp) </w:t>
      </w:r>
      <w:r w:rsidRPr="008E2CD0">
        <w:rPr>
          <w:rFonts w:ascii="Times New Roman" w:hAnsi="Times New Roman" w:cs="Times New Roman"/>
          <w:sz w:val="24"/>
          <w:szCs w:val="24"/>
        </w:rPr>
        <w:t>(</w:t>
      </w:r>
      <w:r w:rsidRPr="008E2CD0">
        <w:rPr>
          <w:rFonts w:ascii="Times New Roman" w:eastAsia="BemboStd" w:hAnsi="Times New Roman" w:cs="Times New Roman"/>
          <w:sz w:val="24"/>
          <w:szCs w:val="24"/>
        </w:rPr>
        <w:t>Tassi) Goid</w:t>
      </w:r>
      <w:r w:rsidRPr="008E2CD0">
        <w:rPr>
          <w:rFonts w:ascii="Times New Roman" w:hAnsi="Times New Roman" w:cs="Times New Roman"/>
          <w:sz w:val="24"/>
          <w:szCs w:val="24"/>
        </w:rPr>
        <w:t xml:space="preserve"> causes charcoal rot on soybean, </w:t>
      </w:r>
      <w:r w:rsidRPr="008E2CD0">
        <w:rPr>
          <w:rFonts w:ascii="Times New Roman" w:eastAsia="BemboStd" w:hAnsi="Times New Roman" w:cs="Times New Roman"/>
          <w:sz w:val="24"/>
          <w:szCs w:val="24"/>
        </w:rPr>
        <w:t xml:space="preserve">reducing soybean seed quality and yields </w:t>
      </w:r>
      <w:r w:rsidRPr="008E2CD0">
        <w:rPr>
          <w:rFonts w:ascii="Times New Roman" w:hAnsi="Times New Roman" w:cs="Times New Roman"/>
          <w:sz w:val="24"/>
          <w:szCs w:val="24"/>
        </w:rPr>
        <w:t>worldwide</w:t>
      </w:r>
      <w:r w:rsidRPr="008E2CD0">
        <w:rPr>
          <w:rFonts w:ascii="Times New Roman" w:eastAsia="BemboStd" w:hAnsi="Times New Roman" w:cs="Times New Roman"/>
          <w:sz w:val="24"/>
          <w:szCs w:val="24"/>
        </w:rPr>
        <w:t xml:space="preserve">. The severity of the disease can be affected by </w:t>
      </w:r>
      <w:r w:rsidRPr="008E2CD0">
        <w:rPr>
          <w:rFonts w:ascii="Times New Roman" w:hAnsi="Times New Roman" w:cs="Times New Roman"/>
          <w:i/>
          <w:sz w:val="24"/>
          <w:szCs w:val="24"/>
        </w:rPr>
        <w:t>mp</w:t>
      </w:r>
      <w:r w:rsidRPr="008E2CD0">
        <w:rPr>
          <w:rFonts w:ascii="Times New Roman" w:hAnsi="Times New Roman" w:cs="Times New Roman"/>
          <w:sz w:val="24"/>
          <w:szCs w:val="24"/>
        </w:rPr>
        <w:t xml:space="preserve"> </w:t>
      </w:r>
      <w:r w:rsidRPr="008E2CD0">
        <w:rPr>
          <w:rFonts w:ascii="Times New Roman" w:hAnsi="Times New Roman" w:cs="Times New Roman"/>
          <w:sz w:val="24"/>
          <w:szCs w:val="24"/>
          <w:shd w:val="clear" w:color="auto" w:fill="FFFFFF"/>
        </w:rPr>
        <w:t>microsclerotial density and soybean variety. There is a need to a</w:t>
      </w:r>
      <w:r>
        <w:rPr>
          <w:rFonts w:ascii="Times New Roman" w:hAnsi="Times New Roman" w:cs="Times New Roman"/>
          <w:sz w:val="24"/>
          <w:szCs w:val="24"/>
          <w:shd w:val="clear" w:color="auto" w:fill="FFFFFF"/>
        </w:rPr>
        <w:t>ss</w:t>
      </w:r>
      <w:r w:rsidRPr="008E2CD0">
        <w:rPr>
          <w:rFonts w:ascii="Times New Roman" w:hAnsi="Times New Roman" w:cs="Times New Roman"/>
          <w:sz w:val="24"/>
          <w:szCs w:val="24"/>
          <w:shd w:val="clear" w:color="auto" w:fill="FFFFFF"/>
        </w:rPr>
        <w:t xml:space="preserve">ess the </w:t>
      </w:r>
      <w:r>
        <w:rPr>
          <w:rFonts w:ascii="Times New Roman" w:hAnsi="Times New Roman" w:cs="Times New Roman"/>
          <w:sz w:val="24"/>
          <w:szCs w:val="24"/>
          <w:shd w:val="clear" w:color="auto" w:fill="FFFFFF"/>
        </w:rPr>
        <w:t>influence</w:t>
      </w:r>
      <w:r w:rsidRPr="008E2CD0">
        <w:rPr>
          <w:rFonts w:ascii="Times New Roman" w:hAnsi="Times New Roman" w:cs="Times New Roman"/>
          <w:sz w:val="24"/>
          <w:szCs w:val="24"/>
          <w:shd w:val="clear" w:color="auto" w:fill="FFFFFF"/>
        </w:rPr>
        <w:t xml:space="preserve"> of different microsclerotial densities on soybean. Hence, a greenhouse study was conducted </w:t>
      </w:r>
      <w:r w:rsidRPr="00504040">
        <w:rPr>
          <w:rFonts w:ascii="Times New Roman" w:hAnsi="Times New Roman" w:cs="Times New Roman"/>
          <w:sz w:val="24"/>
          <w:szCs w:val="24"/>
          <w:shd w:val="clear" w:color="auto" w:fill="FFFFFF"/>
        </w:rPr>
        <w:t>to</w:t>
      </w:r>
      <w:r w:rsidRPr="008E2CD0">
        <w:rPr>
          <w:rFonts w:ascii="Times New Roman" w:hAnsi="Times New Roman" w:cs="Times New Roman"/>
          <w:sz w:val="24"/>
          <w:szCs w:val="24"/>
          <w:shd w:val="clear" w:color="auto" w:fill="FFFFFF"/>
        </w:rPr>
        <w:t xml:space="preserve"> (1) identify the impact of microsclerotial inoculum density on </w:t>
      </w:r>
      <w:r w:rsidRPr="008E2CD0">
        <w:rPr>
          <w:rFonts w:ascii="Times New Roman" w:hAnsi="Times New Roman" w:cs="Times New Roman"/>
          <w:sz w:val="24"/>
          <w:szCs w:val="24"/>
        </w:rPr>
        <w:t>charcoal rot disease severity o</w:t>
      </w:r>
      <w:r>
        <w:rPr>
          <w:rFonts w:ascii="Times New Roman" w:hAnsi="Times New Roman" w:cs="Times New Roman"/>
          <w:sz w:val="24"/>
          <w:szCs w:val="24"/>
        </w:rPr>
        <w:t>n</w:t>
      </w:r>
      <w:r w:rsidRPr="008E2CD0">
        <w:rPr>
          <w:rFonts w:ascii="Times New Roman" w:hAnsi="Times New Roman" w:cs="Times New Roman"/>
          <w:sz w:val="24"/>
          <w:szCs w:val="24"/>
        </w:rPr>
        <w:t xml:space="preserve"> soybean, (2) determine the </w:t>
      </w:r>
      <w:r>
        <w:rPr>
          <w:rFonts w:ascii="Times New Roman" w:hAnsi="Times New Roman" w:cs="Times New Roman"/>
          <w:sz w:val="24"/>
          <w:szCs w:val="24"/>
        </w:rPr>
        <w:t>effect of</w:t>
      </w:r>
      <w:r w:rsidRPr="008E2CD0">
        <w:rPr>
          <w:rFonts w:ascii="Times New Roman" w:hAnsi="Times New Roman" w:cs="Times New Roman"/>
          <w:sz w:val="24"/>
          <w:szCs w:val="24"/>
        </w:rPr>
        <w:t xml:space="preserve"> microsclerotial </w:t>
      </w:r>
      <w:r w:rsidRPr="008E2CD0">
        <w:rPr>
          <w:rFonts w:ascii="Times New Roman" w:hAnsi="Times New Roman" w:cs="Times New Roman"/>
          <w:sz w:val="24"/>
          <w:szCs w:val="24"/>
          <w:shd w:val="clear" w:color="auto" w:fill="FFFFFF"/>
        </w:rPr>
        <w:t>inoculum</w:t>
      </w:r>
      <w:r w:rsidRPr="008E2CD0">
        <w:rPr>
          <w:rFonts w:ascii="Times New Roman" w:hAnsi="Times New Roman" w:cs="Times New Roman"/>
          <w:sz w:val="24"/>
          <w:szCs w:val="24"/>
        </w:rPr>
        <w:t xml:space="preserve"> densities on soybean growth and yield, and (3) evaluate the impact of two soybean varieties (susceptible</w:t>
      </w:r>
      <w:r>
        <w:rPr>
          <w:rFonts w:ascii="Times New Roman" w:hAnsi="Times New Roman" w:cs="Times New Roman"/>
          <w:sz w:val="24"/>
          <w:szCs w:val="24"/>
        </w:rPr>
        <w:t xml:space="preserve"> </w:t>
      </w:r>
      <w:r w:rsidRPr="008E2CD0">
        <w:rPr>
          <w:rFonts w:ascii="Times New Roman" w:hAnsi="Times New Roman" w:cs="Times New Roman"/>
          <w:sz w:val="24"/>
          <w:szCs w:val="24"/>
        </w:rPr>
        <w:t>LS98-0358 and moderately resistant</w:t>
      </w:r>
      <w:r>
        <w:rPr>
          <w:rFonts w:ascii="Times New Roman" w:hAnsi="Times New Roman" w:cs="Times New Roman"/>
          <w:sz w:val="24"/>
          <w:szCs w:val="24"/>
        </w:rPr>
        <w:t xml:space="preserve"> </w:t>
      </w:r>
      <w:r w:rsidRPr="008E2CD0">
        <w:rPr>
          <w:rFonts w:ascii="Times New Roman" w:hAnsi="Times New Roman" w:cs="Times New Roman"/>
          <w:sz w:val="24"/>
          <w:szCs w:val="24"/>
        </w:rPr>
        <w:t>DT97-4290) on the resulting microsclerotial density in soils and plant tissues</w:t>
      </w:r>
      <w:r>
        <w:rPr>
          <w:rFonts w:ascii="Times New Roman" w:hAnsi="Times New Roman" w:cs="Times New Roman"/>
          <w:sz w:val="24"/>
          <w:szCs w:val="24"/>
        </w:rPr>
        <w:t xml:space="preserve">. </w:t>
      </w:r>
      <w:r w:rsidRPr="008E2CD0">
        <w:rPr>
          <w:rFonts w:ascii="Times New Roman" w:hAnsi="Times New Roman" w:cs="Times New Roman"/>
          <w:sz w:val="24"/>
          <w:szCs w:val="24"/>
        </w:rPr>
        <w:t xml:space="preserve">Three densities (142,660, 332,873, and 380,427 colony forming units (CFU)/treatment) resulted in charcoal rot symptom development on </w:t>
      </w:r>
      <w:r>
        <w:rPr>
          <w:rFonts w:ascii="Times New Roman" w:hAnsi="Times New Roman" w:cs="Times New Roman"/>
          <w:sz w:val="24"/>
          <w:szCs w:val="24"/>
        </w:rPr>
        <w:t>the susceptible soybean</w:t>
      </w:r>
      <w:r w:rsidRPr="008E2CD0">
        <w:rPr>
          <w:rFonts w:ascii="Times New Roman" w:hAnsi="Times New Roman" w:cs="Times New Roman"/>
          <w:sz w:val="24"/>
          <w:szCs w:val="24"/>
        </w:rPr>
        <w:t>, but none of the densities developed disease on</w:t>
      </w:r>
      <w:r>
        <w:rPr>
          <w:rFonts w:ascii="Times New Roman" w:hAnsi="Times New Roman" w:cs="Times New Roman"/>
          <w:sz w:val="24"/>
          <w:szCs w:val="24"/>
        </w:rPr>
        <w:t xml:space="preserve"> the resistant. Soybean growth and yield parameters were not significantly different among microsclerotial treatments across both varieties. </w:t>
      </w:r>
      <w:r w:rsidRPr="008E2CD0">
        <w:rPr>
          <w:rFonts w:ascii="Times New Roman" w:hAnsi="Times New Roman" w:cs="Times New Roman"/>
          <w:sz w:val="24"/>
          <w:szCs w:val="24"/>
        </w:rPr>
        <w:t xml:space="preserve">Compared to LS98-0358, DT97-4290 had a significantly lower microsclerotial density at harvest from the highest inoculum density tested. Results suggest densities of </w:t>
      </w:r>
      <w:r w:rsidRPr="008E2CD0">
        <w:rPr>
          <w:rFonts w:ascii="Times New Roman" w:hAnsi="Times New Roman" w:cs="Times New Roman"/>
          <w:i/>
          <w:sz w:val="24"/>
          <w:szCs w:val="24"/>
        </w:rPr>
        <w:t>M. phaseolina</w:t>
      </w:r>
      <w:r w:rsidRPr="008E2CD0">
        <w:rPr>
          <w:rFonts w:ascii="Times New Roman" w:hAnsi="Times New Roman" w:cs="Times New Roman"/>
          <w:sz w:val="24"/>
          <w:szCs w:val="24"/>
        </w:rPr>
        <w:t xml:space="preserve"> inoculum that are equivalent </w:t>
      </w:r>
      <w:r>
        <w:rPr>
          <w:rFonts w:ascii="Times New Roman" w:hAnsi="Times New Roman" w:cs="Times New Roman"/>
          <w:sz w:val="24"/>
          <w:szCs w:val="24"/>
        </w:rPr>
        <w:t xml:space="preserve">to </w:t>
      </w:r>
      <w:r w:rsidRPr="008E2CD0">
        <w:rPr>
          <w:rFonts w:ascii="Times New Roman" w:hAnsi="Times New Roman" w:cs="Times New Roman"/>
          <w:sz w:val="24"/>
          <w:szCs w:val="24"/>
        </w:rPr>
        <w:t>327 CFU/gram of soil can cause disease and yield loss in a greenhouse setting, but a moderately resistant soybean may aid charcoal rot suppression in fields. Field testing of the highest microsclerotial density is recommended to provide additional information.</w:t>
      </w:r>
    </w:p>
    <w:p w14:paraId="2CCCD3C0" w14:textId="77777777" w:rsidR="00D20476" w:rsidRPr="008E2CD0" w:rsidRDefault="00D20476" w:rsidP="00D20476">
      <w:pPr>
        <w:pStyle w:val="Heading1"/>
        <w:ind w:left="720"/>
      </w:pPr>
    </w:p>
    <w:p w14:paraId="48E43608" w14:textId="77777777" w:rsidR="00D20476" w:rsidRPr="008E2CD0" w:rsidRDefault="00D20476" w:rsidP="00D20476">
      <w:pPr>
        <w:pStyle w:val="Heading1"/>
        <w:ind w:left="720"/>
      </w:pPr>
      <w:r w:rsidRPr="008E2CD0">
        <w:br w:type="page"/>
      </w:r>
    </w:p>
    <w:p w14:paraId="040D0A9A" w14:textId="77777777" w:rsidR="00D20476" w:rsidRDefault="00D20476" w:rsidP="00D20476">
      <w:pPr>
        <w:pStyle w:val="Heading1"/>
        <w:ind w:left="720"/>
        <w:jc w:val="center"/>
      </w:pPr>
      <w:bookmarkStart w:id="339" w:name="_bookmark92"/>
      <w:bookmarkStart w:id="340" w:name="_bookmark71"/>
      <w:bookmarkStart w:id="341" w:name="_Toc98812774"/>
      <w:bookmarkStart w:id="342" w:name="_Toc98812982"/>
      <w:bookmarkStart w:id="343" w:name="_Toc98813648"/>
      <w:bookmarkStart w:id="344" w:name="_Toc101048157"/>
      <w:bookmarkEnd w:id="339"/>
      <w:bookmarkEnd w:id="340"/>
      <w:r w:rsidRPr="008E2CD0">
        <w:t>Introduction</w:t>
      </w:r>
      <w:bookmarkEnd w:id="341"/>
      <w:bookmarkEnd w:id="342"/>
      <w:bookmarkEnd w:id="343"/>
      <w:bookmarkEnd w:id="344"/>
    </w:p>
    <w:p w14:paraId="035C57BE" w14:textId="77777777" w:rsidR="00D20476" w:rsidRPr="008E2CD0" w:rsidRDefault="00D20476" w:rsidP="00D20476">
      <w:pPr>
        <w:pStyle w:val="Heading1"/>
        <w:spacing w:line="360" w:lineRule="auto"/>
        <w:ind w:left="720"/>
      </w:pPr>
    </w:p>
    <w:p w14:paraId="089EC46E" w14:textId="77777777" w:rsidR="00D20476" w:rsidRPr="008E2CD0" w:rsidRDefault="00D20476" w:rsidP="00D20476">
      <w:pPr>
        <w:pStyle w:val="CommentText"/>
        <w:spacing w:after="0" w:line="360" w:lineRule="auto"/>
        <w:ind w:left="720" w:firstLine="720"/>
        <w:rPr>
          <w:rFonts w:ascii="Times New Roman" w:hAnsi="Times New Roman" w:cs="Times New Roman"/>
          <w:sz w:val="24"/>
          <w:szCs w:val="24"/>
        </w:rPr>
      </w:pPr>
      <w:r w:rsidRPr="008E2CD0">
        <w:rPr>
          <w:rFonts w:ascii="Times New Roman" w:hAnsi="Times New Roman" w:cs="Times New Roman"/>
          <w:i/>
          <w:sz w:val="24"/>
          <w:szCs w:val="24"/>
        </w:rPr>
        <w:t xml:space="preserve">Macrophomina phaseolina </w:t>
      </w:r>
      <w:r w:rsidRPr="008E2CD0">
        <w:rPr>
          <w:rFonts w:ascii="Times New Roman" w:hAnsi="Times New Roman" w:cs="Times New Roman"/>
          <w:sz w:val="24"/>
          <w:szCs w:val="24"/>
        </w:rPr>
        <w:t>(</w:t>
      </w:r>
      <w:r w:rsidRPr="008E2CD0">
        <w:rPr>
          <w:rFonts w:ascii="Times New Roman" w:eastAsia="BemboStd" w:hAnsi="Times New Roman" w:cs="Times New Roman"/>
          <w:sz w:val="24"/>
          <w:szCs w:val="24"/>
        </w:rPr>
        <w:t>Tassi) Goid</w:t>
      </w:r>
      <w:r w:rsidRPr="008E2CD0">
        <w:rPr>
          <w:rFonts w:ascii="Times New Roman" w:hAnsi="Times New Roman" w:cs="Times New Roman"/>
          <w:sz w:val="24"/>
          <w:szCs w:val="24"/>
        </w:rPr>
        <w:t xml:space="preserve"> causes charcoal rot worldwide, </w:t>
      </w:r>
      <w:r w:rsidRPr="008E2CD0">
        <w:rPr>
          <w:rFonts w:ascii="Times New Roman" w:eastAsia="BemboStd" w:hAnsi="Times New Roman" w:cs="Times New Roman"/>
          <w:sz w:val="24"/>
          <w:szCs w:val="24"/>
        </w:rPr>
        <w:t>affecting soybean seed quality and reducing yields (</w:t>
      </w:r>
      <w:r w:rsidRPr="008E2CD0">
        <w:rPr>
          <w:rFonts w:ascii="Times New Roman" w:hAnsi="Times New Roman" w:cs="Times New Roman"/>
          <w:sz w:val="24"/>
          <w:szCs w:val="24"/>
          <w:shd w:val="clear" w:color="auto" w:fill="FFFFFF"/>
        </w:rPr>
        <w:t xml:space="preserve">Kaur et al., 2012). </w:t>
      </w:r>
      <w:r>
        <w:rPr>
          <w:rFonts w:ascii="Times New Roman" w:eastAsia="BemboStd" w:hAnsi="Times New Roman" w:cs="Times New Roman"/>
          <w:sz w:val="24"/>
          <w:szCs w:val="24"/>
        </w:rPr>
        <w:t>C</w:t>
      </w:r>
      <w:r w:rsidRPr="008E2CD0">
        <w:rPr>
          <w:rFonts w:ascii="Times New Roman" w:eastAsia="BemboStd" w:hAnsi="Times New Roman" w:cs="Times New Roman"/>
          <w:sz w:val="24"/>
          <w:szCs w:val="24"/>
        </w:rPr>
        <w:t xml:space="preserve">harcoal </w:t>
      </w:r>
      <w:r>
        <w:rPr>
          <w:rFonts w:ascii="Times New Roman" w:eastAsia="BemboStd" w:hAnsi="Times New Roman" w:cs="Times New Roman"/>
          <w:sz w:val="24"/>
          <w:szCs w:val="24"/>
        </w:rPr>
        <w:t>rot</w:t>
      </w:r>
      <w:r w:rsidRPr="008E2CD0">
        <w:rPr>
          <w:rFonts w:ascii="Times New Roman" w:eastAsia="BemboStd" w:hAnsi="Times New Roman" w:cs="Times New Roman"/>
          <w:sz w:val="24"/>
          <w:szCs w:val="24"/>
        </w:rPr>
        <w:t xml:space="preserve"> is the second most damaging soybean disease in </w:t>
      </w:r>
      <w:r w:rsidRPr="008E2CD0">
        <w:rPr>
          <w:rFonts w:ascii="Times New Roman" w:hAnsi="Times New Roman" w:cs="Times New Roman"/>
          <w:sz w:val="24"/>
          <w:szCs w:val="24"/>
        </w:rPr>
        <w:t>the United States</w:t>
      </w:r>
      <w:r>
        <w:rPr>
          <w:rFonts w:ascii="Times New Roman" w:hAnsi="Times New Roman" w:cs="Times New Roman"/>
          <w:sz w:val="24"/>
          <w:szCs w:val="24"/>
        </w:rPr>
        <w:t xml:space="preserve"> behind soybean cyst nematode</w:t>
      </w:r>
      <w:r w:rsidRPr="008E2CD0">
        <w:rPr>
          <w:rFonts w:ascii="Times New Roman" w:hAnsi="Times New Roman" w:cs="Times New Roman"/>
          <w:sz w:val="24"/>
          <w:szCs w:val="24"/>
        </w:rPr>
        <w:t xml:space="preserve">, and the number one cause of soybean yield loss in the Southern U.S States (Allen et al., 2017). Approximately 27 million tons of soybean were lost annually to charcoal </w:t>
      </w:r>
      <w:r>
        <w:rPr>
          <w:rFonts w:ascii="Times New Roman" w:hAnsi="Times New Roman" w:cs="Times New Roman"/>
          <w:sz w:val="24"/>
          <w:szCs w:val="24"/>
        </w:rPr>
        <w:t xml:space="preserve">rot </w:t>
      </w:r>
      <w:r w:rsidRPr="008E2CD0">
        <w:rPr>
          <w:rFonts w:ascii="Times New Roman" w:hAnsi="Times New Roman" w:cs="Times New Roman"/>
          <w:sz w:val="24"/>
          <w:szCs w:val="24"/>
        </w:rPr>
        <w:t xml:space="preserve">between 1996 and 2007 in the United States (Wrather and Koenning, 2009). </w:t>
      </w:r>
      <w:r w:rsidRPr="008E2CD0">
        <w:rPr>
          <w:rFonts w:ascii="Times New Roman" w:hAnsi="Times New Roman" w:cs="Times New Roman"/>
          <w:i/>
          <w:sz w:val="24"/>
          <w:szCs w:val="24"/>
        </w:rPr>
        <w:t>M. phaseolina</w:t>
      </w:r>
      <w:r w:rsidRPr="008E2CD0">
        <w:rPr>
          <w:rFonts w:ascii="Times New Roman" w:hAnsi="Times New Roman" w:cs="Times New Roman"/>
          <w:sz w:val="24"/>
          <w:szCs w:val="24"/>
        </w:rPr>
        <w:t xml:space="preserve"> is known to </w:t>
      </w:r>
      <w:r w:rsidRPr="008E2CD0">
        <w:rPr>
          <w:rFonts w:ascii="Times New Roman" w:eastAsia="BemboStd" w:hAnsi="Times New Roman" w:cs="Times New Roman"/>
          <w:sz w:val="24"/>
          <w:szCs w:val="24"/>
        </w:rPr>
        <w:t>cause disease in many other economically important crops, including corn (</w:t>
      </w:r>
      <w:r w:rsidRPr="008E2CD0">
        <w:rPr>
          <w:rFonts w:ascii="Times New Roman" w:eastAsia="BemboStd" w:hAnsi="Times New Roman" w:cs="Times New Roman"/>
          <w:i/>
          <w:iCs/>
          <w:sz w:val="24"/>
          <w:szCs w:val="24"/>
        </w:rPr>
        <w:t xml:space="preserve">Zea mays </w:t>
      </w:r>
      <w:r w:rsidRPr="008E2CD0">
        <w:rPr>
          <w:rFonts w:ascii="Times New Roman" w:eastAsia="BemboStd" w:hAnsi="Times New Roman" w:cs="Times New Roman"/>
          <w:sz w:val="24"/>
          <w:szCs w:val="24"/>
        </w:rPr>
        <w:t>L.), sorghum (</w:t>
      </w:r>
      <w:r w:rsidRPr="008E2CD0">
        <w:rPr>
          <w:rFonts w:ascii="Times New Roman" w:eastAsia="BemboStd" w:hAnsi="Times New Roman" w:cs="Times New Roman"/>
          <w:i/>
          <w:iCs/>
          <w:sz w:val="24"/>
          <w:szCs w:val="24"/>
        </w:rPr>
        <w:t xml:space="preserve">Sorghum </w:t>
      </w:r>
      <w:r w:rsidRPr="008E2CD0">
        <w:rPr>
          <w:rFonts w:ascii="Times New Roman" w:eastAsia="BemboStd" w:hAnsi="Times New Roman" w:cs="Times New Roman"/>
          <w:sz w:val="24"/>
          <w:szCs w:val="24"/>
        </w:rPr>
        <w:t>Moench), cotton (</w:t>
      </w:r>
      <w:r w:rsidRPr="008E2CD0">
        <w:rPr>
          <w:rFonts w:ascii="Times New Roman" w:eastAsia="BemboStd" w:hAnsi="Times New Roman" w:cs="Times New Roman"/>
          <w:i/>
          <w:iCs/>
          <w:sz w:val="24"/>
          <w:szCs w:val="24"/>
        </w:rPr>
        <w:t xml:space="preserve">Gossypium </w:t>
      </w:r>
      <w:r w:rsidRPr="008E2CD0">
        <w:rPr>
          <w:rFonts w:ascii="Times New Roman" w:eastAsia="BemboStd" w:hAnsi="Times New Roman" w:cs="Times New Roman"/>
          <w:sz w:val="24"/>
          <w:szCs w:val="24"/>
        </w:rPr>
        <w:t>L.), and tobacco (</w:t>
      </w:r>
      <w:r w:rsidRPr="008E2CD0">
        <w:rPr>
          <w:rFonts w:ascii="Times New Roman" w:eastAsia="BemboStd" w:hAnsi="Times New Roman" w:cs="Times New Roman"/>
          <w:i/>
          <w:iCs/>
          <w:sz w:val="24"/>
          <w:szCs w:val="24"/>
        </w:rPr>
        <w:t>Nicotiana</w:t>
      </w:r>
      <w:r>
        <w:rPr>
          <w:rFonts w:ascii="Times New Roman" w:eastAsia="BemboStd" w:hAnsi="Times New Roman" w:cs="Times New Roman"/>
          <w:i/>
          <w:iCs/>
          <w:sz w:val="24"/>
          <w:szCs w:val="24"/>
        </w:rPr>
        <w:t xml:space="preserve"> tabacum</w:t>
      </w:r>
      <w:r>
        <w:rPr>
          <w:rFonts w:ascii="Times New Roman" w:eastAsia="BemboStd" w:hAnsi="Times New Roman" w:cs="Times New Roman"/>
          <w:sz w:val="24"/>
          <w:szCs w:val="24"/>
        </w:rPr>
        <w:t xml:space="preserve">), and </w:t>
      </w:r>
      <w:r w:rsidRPr="008E2CD0">
        <w:rPr>
          <w:rFonts w:ascii="Times New Roman" w:eastAsia="BemboStd" w:hAnsi="Times New Roman" w:cs="Times New Roman"/>
          <w:sz w:val="24"/>
          <w:szCs w:val="24"/>
        </w:rPr>
        <w:t>attack</w:t>
      </w:r>
      <w:r>
        <w:rPr>
          <w:rFonts w:ascii="Times New Roman" w:eastAsia="BemboStd" w:hAnsi="Times New Roman" w:cs="Times New Roman"/>
          <w:sz w:val="24"/>
          <w:szCs w:val="24"/>
        </w:rPr>
        <w:t>s</w:t>
      </w:r>
      <w:r w:rsidRPr="008E2CD0">
        <w:rPr>
          <w:rFonts w:ascii="Times New Roman" w:eastAsia="BemboStd" w:hAnsi="Times New Roman" w:cs="Times New Roman"/>
          <w:sz w:val="24"/>
          <w:szCs w:val="24"/>
        </w:rPr>
        <w:t xml:space="preserve"> over 500 species of plants</w:t>
      </w:r>
      <w:r>
        <w:rPr>
          <w:rFonts w:ascii="Times New Roman" w:eastAsia="BemboStd" w:hAnsi="Times New Roman" w:cs="Times New Roman"/>
          <w:sz w:val="24"/>
          <w:szCs w:val="24"/>
        </w:rPr>
        <w:t xml:space="preserve"> (Su et al., 2001).</w:t>
      </w:r>
    </w:p>
    <w:p w14:paraId="4DE27079" w14:textId="77777777" w:rsidR="00D20476" w:rsidRPr="008E2CD0" w:rsidRDefault="00D20476" w:rsidP="00D20476">
      <w:pPr>
        <w:pStyle w:val="CommentText"/>
        <w:spacing w:after="0" w:line="360" w:lineRule="auto"/>
        <w:ind w:left="720" w:firstLine="720"/>
        <w:rPr>
          <w:rFonts w:ascii="Times New Roman" w:hAnsi="Times New Roman" w:cs="Times New Roman"/>
          <w:sz w:val="24"/>
          <w:szCs w:val="24"/>
          <w:shd w:val="clear" w:color="auto" w:fill="FFFFFF"/>
        </w:rPr>
      </w:pPr>
      <w:r w:rsidRPr="008E2CD0">
        <w:rPr>
          <w:rFonts w:ascii="Times New Roman" w:hAnsi="Times New Roman" w:cs="Times New Roman"/>
          <w:i/>
          <w:sz w:val="24"/>
          <w:szCs w:val="24"/>
          <w:shd w:val="clear" w:color="auto" w:fill="FFFFFF"/>
        </w:rPr>
        <w:t>M. phaseolina</w:t>
      </w:r>
      <w:r w:rsidRPr="008E2CD0">
        <w:rPr>
          <w:rFonts w:ascii="Times New Roman" w:hAnsi="Times New Roman" w:cs="Times New Roman"/>
          <w:sz w:val="24"/>
          <w:szCs w:val="24"/>
          <w:shd w:val="clear" w:color="auto" w:fill="FFFFFF"/>
        </w:rPr>
        <w:t xml:space="preserve"> can adapt to diverse habitats and conditions and is found in agricultural soils where it overwinters as microsclerotia in soil and on residues (S</w:t>
      </w:r>
      <w:r>
        <w:rPr>
          <w:rFonts w:ascii="Times New Roman" w:hAnsi="Times New Roman" w:cs="Times New Roman"/>
          <w:sz w:val="24"/>
          <w:szCs w:val="24"/>
          <w:shd w:val="clear" w:color="auto" w:fill="FFFFFF"/>
        </w:rPr>
        <w:t xml:space="preserve">mith et al., 2014). </w:t>
      </w:r>
      <w:r w:rsidRPr="00375292">
        <w:rPr>
          <w:rFonts w:ascii="Times New Roman" w:hAnsi="Times New Roman" w:cs="Times New Roman"/>
          <w:sz w:val="24"/>
          <w:szCs w:val="24"/>
          <w:shd w:val="clear" w:color="auto" w:fill="FFFFFF"/>
        </w:rPr>
        <w:t xml:space="preserve">During low soil moisture and warm weather, the </w:t>
      </w:r>
      <w:r>
        <w:rPr>
          <w:rFonts w:ascii="Times New Roman" w:hAnsi="Times New Roman" w:cs="Times New Roman"/>
          <w:sz w:val="24"/>
          <w:szCs w:val="24"/>
          <w:shd w:val="clear" w:color="auto" w:fill="FFFFFF"/>
        </w:rPr>
        <w:t>micro</w:t>
      </w:r>
      <w:r w:rsidRPr="00375292">
        <w:rPr>
          <w:rFonts w:ascii="Times New Roman" w:hAnsi="Times New Roman" w:cs="Times New Roman"/>
          <w:sz w:val="24"/>
          <w:szCs w:val="24"/>
          <w:shd w:val="clear" w:color="auto" w:fill="FFFFFF"/>
        </w:rPr>
        <w:t>sclerotia germinate and can infect soybean plants (Arias et al., 2013). The initial infection often remains latent un</w:t>
      </w:r>
      <w:r>
        <w:rPr>
          <w:rFonts w:ascii="Times New Roman" w:hAnsi="Times New Roman" w:cs="Times New Roman"/>
          <w:sz w:val="24"/>
          <w:szCs w:val="24"/>
          <w:shd w:val="clear" w:color="auto" w:fill="FFFFFF"/>
        </w:rPr>
        <w:t xml:space="preserve">til later when soil moisture becomes limiting, </w:t>
      </w:r>
      <w:r w:rsidRPr="00375292">
        <w:rPr>
          <w:rFonts w:ascii="Times New Roman" w:hAnsi="Times New Roman" w:cs="Times New Roman"/>
          <w:sz w:val="24"/>
          <w:szCs w:val="24"/>
          <w:shd w:val="clear" w:color="auto" w:fill="FFFFFF"/>
        </w:rPr>
        <w:t>temperature becomes warmer</w:t>
      </w:r>
      <w:r>
        <w:rPr>
          <w:rFonts w:ascii="Times New Roman" w:hAnsi="Times New Roman" w:cs="Times New Roman"/>
          <w:sz w:val="24"/>
          <w:szCs w:val="24"/>
          <w:shd w:val="clear" w:color="auto" w:fill="FFFFFF"/>
        </w:rPr>
        <w:t xml:space="preserve"> (28 – 35 °C)</w:t>
      </w:r>
      <w:r w:rsidRPr="00375292">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and during </w:t>
      </w:r>
      <w:r w:rsidRPr="00375292">
        <w:rPr>
          <w:rFonts w:ascii="Times New Roman" w:hAnsi="Times New Roman" w:cs="Times New Roman"/>
          <w:sz w:val="24"/>
          <w:szCs w:val="24"/>
          <w:shd w:val="clear" w:color="auto" w:fill="FFFFFF"/>
        </w:rPr>
        <w:t>reproductive growth stages</w:t>
      </w:r>
      <w:r>
        <w:rPr>
          <w:rFonts w:ascii="Times New Roman" w:hAnsi="Times New Roman" w:cs="Times New Roman"/>
          <w:sz w:val="24"/>
          <w:szCs w:val="24"/>
          <w:shd w:val="clear" w:color="auto" w:fill="FFFFFF"/>
        </w:rPr>
        <w:t xml:space="preserve">, starting from R5 to R7, when plants undergo stress as they </w:t>
      </w:r>
      <w:r w:rsidRPr="00E8231E">
        <w:rPr>
          <w:rFonts w:ascii="Times New Roman" w:hAnsi="Times New Roman" w:cs="Times New Roman"/>
          <w:sz w:val="24"/>
          <w:szCs w:val="24"/>
          <w:shd w:val="clear" w:color="auto" w:fill="FFFFFF"/>
        </w:rPr>
        <w:t xml:space="preserve">started to senescence (Short et al., 1978; Hershman, 1993). This makes the early stage of reproductive growth stages the most appropriate for detecting </w:t>
      </w:r>
      <w:r>
        <w:rPr>
          <w:rFonts w:ascii="Times New Roman" w:hAnsi="Times New Roman" w:cs="Times New Roman"/>
          <w:sz w:val="24"/>
          <w:szCs w:val="24"/>
          <w:shd w:val="clear" w:color="auto" w:fill="FFFFFF"/>
        </w:rPr>
        <w:t xml:space="preserve">the </w:t>
      </w:r>
      <w:r w:rsidRPr="00E8231E">
        <w:rPr>
          <w:rFonts w:ascii="Times New Roman" w:hAnsi="Times New Roman" w:cs="Times New Roman"/>
          <w:sz w:val="24"/>
          <w:szCs w:val="24"/>
          <w:shd w:val="clear" w:color="auto" w:fill="FFFFFF"/>
        </w:rPr>
        <w:t xml:space="preserve">early phase of charcoal rot infection (Short et al., 1978; Mengistu et al., 2009). The disease can affect soybean seedlings, </w:t>
      </w:r>
      <w:r w:rsidRPr="00E8231E">
        <w:rPr>
          <w:rFonts w:ascii="Times New Roman" w:hAnsi="Times New Roman" w:cs="Times New Roman"/>
          <w:sz w:val="24"/>
          <w:szCs w:val="24"/>
        </w:rPr>
        <w:t>mature plants</w:t>
      </w:r>
      <w:r w:rsidRPr="00375292">
        <w:rPr>
          <w:rFonts w:ascii="Times New Roman" w:hAnsi="Times New Roman" w:cs="Times New Roman"/>
          <w:sz w:val="24"/>
          <w:szCs w:val="24"/>
        </w:rPr>
        <w:t xml:space="preserve">, and seeds. Usually, seed-borne charcoal rot will affect </w:t>
      </w:r>
      <w:r w:rsidRPr="008E2CD0">
        <w:rPr>
          <w:rFonts w:ascii="Times New Roman" w:hAnsi="Times New Roman" w:cs="Times New Roman"/>
          <w:sz w:val="24"/>
          <w:szCs w:val="24"/>
        </w:rPr>
        <w:t xml:space="preserve">seedling emergence, and infected seedlings can become discolored or die as </w:t>
      </w:r>
      <w:r w:rsidRPr="008E2CD0">
        <w:rPr>
          <w:rFonts w:ascii="Times New Roman" w:hAnsi="Times New Roman" w:cs="Times New Roman"/>
          <w:sz w:val="24"/>
          <w:szCs w:val="24"/>
          <w:shd w:val="clear" w:color="auto" w:fill="FFFFFF"/>
        </w:rPr>
        <w:t xml:space="preserve">early as a few days after seedling emergence. The disease can interrupt water movement in infected mature plants due to the fungus colonizing and clogging the vascular tissue, thereby resulting in </w:t>
      </w:r>
      <w:r w:rsidRPr="008E2CD0">
        <w:rPr>
          <w:rFonts w:ascii="Times New Roman" w:hAnsi="Times New Roman" w:cs="Times New Roman"/>
          <w:sz w:val="24"/>
          <w:szCs w:val="24"/>
        </w:rPr>
        <w:t>reduced plant vigor, leaf yellowing, wilting, and ultimate</w:t>
      </w:r>
      <w:r>
        <w:rPr>
          <w:rFonts w:ascii="Times New Roman" w:hAnsi="Times New Roman" w:cs="Times New Roman"/>
          <w:sz w:val="24"/>
          <w:szCs w:val="24"/>
        </w:rPr>
        <w:t>ly</w:t>
      </w:r>
      <w:r w:rsidRPr="008E2CD0">
        <w:rPr>
          <w:rFonts w:ascii="Times New Roman" w:hAnsi="Times New Roman" w:cs="Times New Roman"/>
          <w:sz w:val="24"/>
          <w:szCs w:val="24"/>
        </w:rPr>
        <w:t xml:space="preserve"> </w:t>
      </w:r>
      <w:r>
        <w:rPr>
          <w:rFonts w:ascii="Times New Roman" w:hAnsi="Times New Roman" w:cs="Times New Roman"/>
          <w:sz w:val="24"/>
          <w:szCs w:val="24"/>
        </w:rPr>
        <w:t>plant death</w:t>
      </w:r>
      <w:r w:rsidRPr="008E2CD0">
        <w:rPr>
          <w:rFonts w:ascii="Times New Roman" w:hAnsi="Times New Roman" w:cs="Times New Roman"/>
          <w:sz w:val="24"/>
          <w:szCs w:val="24"/>
        </w:rPr>
        <w:t xml:space="preserve">, where leaves stay attached to petioles of dead plants </w:t>
      </w:r>
      <w:r w:rsidRPr="008E2CD0">
        <w:rPr>
          <w:rFonts w:ascii="Times New Roman" w:hAnsi="Times New Roman" w:cs="Times New Roman"/>
          <w:sz w:val="24"/>
          <w:szCs w:val="24"/>
          <w:shd w:val="clear" w:color="auto" w:fill="FFFFFF"/>
        </w:rPr>
        <w:t xml:space="preserve">(Smith et al., 2014). </w:t>
      </w:r>
      <w:r w:rsidRPr="008E2CD0">
        <w:rPr>
          <w:rFonts w:ascii="Times New Roman" w:hAnsi="Times New Roman" w:cs="Times New Roman"/>
          <w:sz w:val="24"/>
          <w:szCs w:val="24"/>
        </w:rPr>
        <w:t xml:space="preserve">Often a reddish-brown discoloration may occur in the pith and vascular tissues of the lower stem and root of infected mature plants that died from charcoal rot </w:t>
      </w:r>
      <w:r w:rsidRPr="008E2CD0">
        <w:rPr>
          <w:rFonts w:ascii="Times New Roman" w:hAnsi="Times New Roman" w:cs="Times New Roman"/>
          <w:sz w:val="24"/>
          <w:szCs w:val="24"/>
          <w:shd w:val="clear" w:color="auto" w:fill="FFFFFF"/>
        </w:rPr>
        <w:t>(Smith et al., 2014; ElAraby et al., 2003). Splitting of the stem of the dead plant often reveals many gray</w:t>
      </w:r>
      <w:r w:rsidRPr="008E2CD0">
        <w:rPr>
          <w:rFonts w:ascii="Times New Roman" w:hAnsi="Times New Roman" w:cs="Times New Roman"/>
          <w:sz w:val="24"/>
          <w:szCs w:val="24"/>
        </w:rPr>
        <w:t xml:space="preserve"> to black streaks or specks appearing as specks of charcoal </w:t>
      </w:r>
      <w:r>
        <w:rPr>
          <w:rFonts w:ascii="Times New Roman" w:hAnsi="Times New Roman" w:cs="Times New Roman"/>
          <w:sz w:val="24"/>
          <w:szCs w:val="24"/>
        </w:rPr>
        <w:t xml:space="preserve">rot </w:t>
      </w:r>
      <w:r w:rsidRPr="008E2CD0">
        <w:rPr>
          <w:rFonts w:ascii="Times New Roman" w:hAnsi="Times New Roman" w:cs="Times New Roman"/>
          <w:sz w:val="24"/>
          <w:szCs w:val="24"/>
        </w:rPr>
        <w:t xml:space="preserve">on the lower stem and taproots. These specks are the microsclerotia of the fungus that are the </w:t>
      </w:r>
      <w:r>
        <w:rPr>
          <w:rFonts w:ascii="Times New Roman" w:hAnsi="Times New Roman" w:cs="Times New Roman"/>
          <w:sz w:val="24"/>
          <w:szCs w:val="24"/>
        </w:rPr>
        <w:t>surviving</w:t>
      </w:r>
      <w:r w:rsidRPr="008E2CD0">
        <w:rPr>
          <w:rFonts w:ascii="Times New Roman" w:hAnsi="Times New Roman" w:cs="Times New Roman"/>
          <w:sz w:val="24"/>
          <w:szCs w:val="24"/>
        </w:rPr>
        <w:t xml:space="preserve"> structures. </w:t>
      </w:r>
    </w:p>
    <w:p w14:paraId="0301BADC" w14:textId="77777777" w:rsidR="00D20476" w:rsidRPr="0031795A" w:rsidRDefault="00D20476" w:rsidP="00D20476">
      <w:pPr>
        <w:pStyle w:val="CommentText"/>
        <w:spacing w:after="0" w:line="360" w:lineRule="auto"/>
        <w:ind w:left="720" w:firstLine="720"/>
        <w:rPr>
          <w:rFonts w:ascii="Times New Roman" w:hAnsi="Times New Roman" w:cs="Times New Roman"/>
          <w:sz w:val="24"/>
          <w:szCs w:val="24"/>
          <w:shd w:val="clear" w:color="auto" w:fill="FFFFFF"/>
        </w:rPr>
      </w:pPr>
      <w:r w:rsidRPr="008E2CD0">
        <w:rPr>
          <w:rFonts w:ascii="Times New Roman" w:hAnsi="Times New Roman" w:cs="Times New Roman"/>
          <w:sz w:val="24"/>
          <w:szCs w:val="24"/>
          <w:shd w:val="clear" w:color="auto" w:fill="FFFFFF"/>
        </w:rPr>
        <w:t>The management of charcoal rot is limited due to the lack of completely disease</w:t>
      </w:r>
      <w:r>
        <w:rPr>
          <w:rFonts w:ascii="Times New Roman" w:hAnsi="Times New Roman" w:cs="Times New Roman"/>
          <w:sz w:val="24"/>
          <w:szCs w:val="24"/>
          <w:shd w:val="clear" w:color="auto" w:fill="FFFFFF"/>
        </w:rPr>
        <w:t>-</w:t>
      </w:r>
      <w:r w:rsidRPr="008E2CD0">
        <w:rPr>
          <w:rFonts w:ascii="Times New Roman" w:hAnsi="Times New Roman" w:cs="Times New Roman"/>
          <w:sz w:val="24"/>
          <w:szCs w:val="24"/>
          <w:shd w:val="clear" w:color="auto" w:fill="FFFFFF"/>
        </w:rPr>
        <w:t>resistant soybean varieties (Papavizas, 1977; Smith and Carvil, 1997), and the fungal microsclerotia cannot be eliminated once present in a field (Papavizas, 1977). The microsclerotia can survive under diverse environmental conditions (Csöndes et al., 2012</w:t>
      </w:r>
      <w:r>
        <w:rPr>
          <w:rFonts w:ascii="Times New Roman" w:hAnsi="Times New Roman" w:cs="Times New Roman"/>
          <w:sz w:val="24"/>
          <w:szCs w:val="24"/>
          <w:shd w:val="clear" w:color="auto" w:fill="FFFFFF"/>
        </w:rPr>
        <w:t xml:space="preserve">). The </w:t>
      </w:r>
      <w:r w:rsidRPr="0031795A">
        <w:rPr>
          <w:rFonts w:ascii="Times New Roman" w:hAnsi="Times New Roman" w:cs="Times New Roman"/>
          <w:sz w:val="24"/>
          <w:szCs w:val="24"/>
          <w:shd w:val="clear" w:color="auto" w:fill="FFFFFF"/>
        </w:rPr>
        <w:t xml:space="preserve">propagules can persist in fields with or without residue for many years and serve as an infection source for the next growing season </w:t>
      </w:r>
      <w:r w:rsidRPr="0031795A">
        <w:rPr>
          <w:rFonts w:ascii="Times New Roman" w:hAnsi="Times New Roman" w:cs="Times New Roman"/>
          <w:sz w:val="24"/>
          <w:szCs w:val="24"/>
          <w:shd w:val="clear" w:color="auto" w:fill="FFFFFF"/>
        </w:rPr>
        <w:fldChar w:fldCharType="begin" w:fldLock="1"/>
      </w:r>
      <w:r w:rsidRPr="0031795A">
        <w:rPr>
          <w:rFonts w:ascii="Times New Roman" w:hAnsi="Times New Roman" w:cs="Times New Roman"/>
          <w:sz w:val="24"/>
          <w:szCs w:val="24"/>
          <w:shd w:val="clear" w:color="auto" w:fill="FFFFFF"/>
        </w:rPr>
        <w:instrText>ADDIN CSL_CITATION {"citationItems":[{"id":"ITEM-1","itemData":{"author":[{"dropping-particle":"","family":"Short, G. E., Wyllie, T. D., &amp; Bristow","given":"P. R.","non-dropping-particle":"","parse-names":false,"suffix":""}],"container-title":"Phytopathology","id":"ITEM-1","issue":"1","issued":{"date-parts":[["1980"]]},"page":"17","title":"Survival of Macrophomina phaseolina in soil and in residue of soybean","type":"article-journal","volume":"70"},"uris":["http://www.mendeley.com/documents/?uuid=e01b14f6-00c0-4abf-9257-1cb457f3e311"]},{"id":"ITEM-2","itemData":{"DOI":"10.1094/phyto-68-736","ISSN":"0031949X","author":[{"dropping-particle":"","family":"Short","given":"G. E.","non-dropping-particle":"","parse-names":false,"suffix":""}],"container-title":"Phytopathology","id":"ITEM-2","issue":"5","issued":{"date-parts":[["1978"]]},"page":"736","title":"Quantitative Enumeration of Macrophomina phaseolina in Soybean Tissues","type":"article","volume":"68"},"uris":["http://www.mendeley.com/documents/?uuid=6a75209e-100b-4488-bc09-c57038cd8f51"]}],"mendeley":{"formattedCitation":"(Short, G. E., Wyllie, T. D., &amp; Bristow, 1980; Short, 1978)","manualFormatting":"(Short et al., 1980)","plainTextFormattedCitation":"(Short, G. E., Wyllie, T. D., &amp; Bristow, 1980; Short, 1978)","previouslyFormattedCitation":"(Short, G. E., Wyllie, T. D., &amp; Bristow, 1980; Short, 1978)"},"properties":{"noteIndex":0},"schema":"https://github.com/citation-style-language/schema/raw/master/csl-citation.json"}</w:instrText>
      </w:r>
      <w:r w:rsidRPr="0031795A">
        <w:rPr>
          <w:rFonts w:ascii="Times New Roman" w:hAnsi="Times New Roman" w:cs="Times New Roman"/>
          <w:sz w:val="24"/>
          <w:szCs w:val="24"/>
          <w:shd w:val="clear" w:color="auto" w:fill="FFFFFF"/>
        </w:rPr>
        <w:fldChar w:fldCharType="separate"/>
      </w:r>
      <w:r w:rsidRPr="0031795A">
        <w:rPr>
          <w:rFonts w:ascii="Times New Roman" w:hAnsi="Times New Roman" w:cs="Times New Roman"/>
          <w:noProof/>
          <w:sz w:val="24"/>
          <w:szCs w:val="24"/>
          <w:shd w:val="clear" w:color="auto" w:fill="FFFFFF"/>
        </w:rPr>
        <w:t>(Short et al., 1980)</w:t>
      </w:r>
      <w:r w:rsidRPr="0031795A">
        <w:rPr>
          <w:rFonts w:ascii="Times New Roman" w:hAnsi="Times New Roman" w:cs="Times New Roman"/>
          <w:sz w:val="24"/>
          <w:szCs w:val="24"/>
          <w:shd w:val="clear" w:color="auto" w:fill="FFFFFF"/>
        </w:rPr>
        <w:fldChar w:fldCharType="end"/>
      </w:r>
      <w:r w:rsidRPr="0031795A">
        <w:rPr>
          <w:rFonts w:ascii="Times New Roman" w:hAnsi="Times New Roman" w:cs="Times New Roman"/>
          <w:sz w:val="24"/>
          <w:szCs w:val="24"/>
          <w:shd w:val="clear" w:color="auto" w:fill="FFFFFF"/>
        </w:rPr>
        <w:t>.  Depending on environmental conditions and association with residues, microsclerotia can remain viable for 2 to 15 years (</w:t>
      </w:r>
      <w:r w:rsidRPr="0031795A">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{"citationItems":[{"id":"ITEM-1","itemData":{"DOI":"10.1094/PDIS.2003.87.5.563","ISSN":"01912917","abstract":"Survival of the charcoal rot pathogen (Macrophomina phaseolina) in soybean (Glycine max) on residual root systems was studied over a 2-year period. Root segments colonized by M. phaseolina were placed into fiberglass-mesh bags and buried at depths of 0, 7.6, and 25.4 cm in a Marietta fine sandy loam soil in field microplots. Samples for year 1 and year 2 were buried in October 1999 and 2000, respectively, and sampled every 2 months over a 14-month period. Mean percent frequencies from both years for M. phaseolina showed a decreased linear trend over time from 91% before burial to 24.7% 2 months later, 10.3% at 6 months, and 0.3% after 14 months. Tissues were degraded in the June samplings of both years and this degradation was believed to be partially responsible for the reduced survival of M. phaseolina. Mean isolation frequencies were significantly (P ≤ 0.05) greater at the 0-cm depth than at 7.6 and 25.4 cm across all sampling dates. Other fungi which were present in the preliminary assay, including Fusarium spp. and those in the Phomopsis/Diaporthe complex, also declined by the end of the study. Trichoderma spp. was isolated at significantly (P ≤ 0.05) greater frequencies and a significant positive linear trend over time. It is possible that Trichoderma spp. were involved in direct tissue degradation and nutrient depletion of the root segments, or may have acted as a mycoparasite, reducing the survival of the pathogen M. phaseolina and other associated fungi. Results from this study indicate that farm practices which increase residue destruction immediately after harvest or those that enhance Trichoderma spp. populations may directly or indirectly lower the relative longevity of soilborne pathogens, including M. phaseolina.","author":[{"dropping-particle":"","family":"Baird","given":"Richard E.","non-dropping-particle":"","parse-names":false,"suffix":""},{"dropping-particle":"","family":"Watson","given":"Clarence E.","non-dropping-particle":"","parse-names":false,"suffix":""},{"dropping-particle":"","family":"Scruggs","given":"Mary","non-dropping-particle":"","parse-names":false,"suffix":""}],"container-title":"Plant Disease","id":"ITEM-1","issue":"5","issued":{"date-parts":[["2003"]]},"page":"563-566","title":"Relative longevity of Macrophomina phaseolina and associated mycobiota on residual soybean roots in soil","type":"article-journal","volume":"87"},"uris":["http://www.mendeley.com/documents/?uuid=2a8ad2de-4cdc-4cdc-93a7-5cdea9affa25"]}],"mendeley":{"formattedCitation":"(Baird et al., 2003)","manualFormatting":"Baird et al., 2003)","plainTextFormattedCitation":"(Baird et al., 2003)","previouslyFormattedCitation":"(Baird et al., 2003)"},"properties":{"noteIndex":0},"schema":"https://github.com/citation-style-language/schema/raw/master/csl-citation.json"}</w:instrText>
      </w:r>
      <w:r w:rsidRPr="0031795A">
        <w:rPr>
          <w:rFonts w:ascii="Times New Roman" w:hAnsi="Times New Roman" w:cs="Times New Roman"/>
          <w:sz w:val="24"/>
          <w:szCs w:val="24"/>
          <w:shd w:val="clear" w:color="auto" w:fill="FFFFFF"/>
        </w:rPr>
        <w:fldChar w:fldCharType="separate"/>
      </w:r>
      <w:r w:rsidRPr="0031795A">
        <w:rPr>
          <w:rFonts w:ascii="Times New Roman" w:hAnsi="Times New Roman" w:cs="Times New Roman"/>
          <w:noProof/>
          <w:sz w:val="24"/>
          <w:szCs w:val="24"/>
          <w:shd w:val="clear" w:color="auto" w:fill="FFFFFF"/>
        </w:rPr>
        <w:t>Baird et al.</w:t>
      </w:r>
      <w:r>
        <w:rPr>
          <w:rFonts w:ascii="Times New Roman" w:hAnsi="Times New Roman" w:cs="Times New Roman"/>
          <w:noProof/>
          <w:sz w:val="24"/>
          <w:szCs w:val="24"/>
          <w:shd w:val="clear" w:color="auto" w:fill="FFFFFF"/>
        </w:rPr>
        <w:t>,</w:t>
      </w:r>
      <w:r w:rsidRPr="0031795A">
        <w:rPr>
          <w:rFonts w:ascii="Times New Roman" w:hAnsi="Times New Roman" w:cs="Times New Roman"/>
          <w:noProof/>
          <w:sz w:val="24"/>
          <w:szCs w:val="24"/>
          <w:shd w:val="clear" w:color="auto" w:fill="FFFFFF"/>
        </w:rPr>
        <w:t xml:space="preserve"> 2003)</w:t>
      </w:r>
      <w:r w:rsidRPr="0031795A">
        <w:rPr>
          <w:rFonts w:ascii="Times New Roman" w:hAnsi="Times New Roman" w:cs="Times New Roman"/>
          <w:sz w:val="24"/>
          <w:szCs w:val="24"/>
          <w:shd w:val="clear" w:color="auto" w:fill="FFFFFF"/>
        </w:rPr>
        <w:fldChar w:fldCharType="end"/>
      </w:r>
      <w:r w:rsidRPr="0031795A">
        <w:rPr>
          <w:rFonts w:ascii="Times New Roman" w:hAnsi="Times New Roman" w:cs="Times New Roman"/>
          <w:sz w:val="24"/>
          <w:szCs w:val="24"/>
          <w:shd w:val="clear" w:color="auto" w:fill="FFFFFF"/>
        </w:rPr>
        <w:t xml:space="preserve">. They can also persist in low nutrient soil at above 30 °C for up to 3 years </w:t>
      </w:r>
      <w:r w:rsidRPr="0031795A">
        <w:rPr>
          <w:rFonts w:ascii="Times New Roman" w:hAnsi="Times New Roman" w:cs="Times New Roman"/>
          <w:sz w:val="24"/>
          <w:szCs w:val="24"/>
          <w:shd w:val="clear" w:color="auto" w:fill="FFFFFF"/>
        </w:rPr>
        <w:fldChar w:fldCharType="begin" w:fldLock="1"/>
      </w:r>
      <w:r w:rsidRPr="0031795A">
        <w:rPr>
          <w:rFonts w:ascii="Times New Roman" w:hAnsi="Times New Roman" w:cs="Times New Roman"/>
          <w:sz w:val="24"/>
          <w:szCs w:val="24"/>
          <w:shd w:val="clear" w:color="auto" w:fill="FFFFFF"/>
        </w:rPr>
        <w:instrText>ADDIN CSL_CITATION {"citationItems":[{"id":"ITEM-1","itemData":{"author":[{"dropping-particle":"","family":"Short, G. E., Wyllie, T. D., &amp; Bristow","given":"P. R.","non-dropping-particle":"","parse-names":false,"suffix":""}],"container-title":"Phytopathology","id":"ITEM-1","issue":"1","issued":{"date-parts":[["1980"]]},"page":"17","title":"Survival of Macrophomina phaseolina in soil and in residue of soybean","type":"article-journal","volume":"70"},"uris":["http://www.mendeley.com/documents/?uuid=e01b14f6-00c0-4abf-9257-1cb457f3e311"]},{"id":"ITEM-2","itemData":{"DOI":"10.1094/phyto-68-736","ISSN":"0031949X","author":[{"dropping-particle":"","family":"Short","given":"G. E.","non-dropping-particle":"","parse-names":false,"suffix":""}],"container-title":"Phytopathology","id":"ITEM-2","issue":"5","issued":{"date-parts":[["1978"]]},"page":"736","title":"Quantitative Enumeration of Macrophomina phaseolina in Soybean Tissues","type":"article","volume":"68"},"uris":["http://www.mendeley.com/documents/?uuid=6a75209e-100b-4488-bc09-c57038cd8f51"]}],"mendeley":{"formattedCitation":"(Short, G. E., Wyllie, T. D., &amp; Bristow, 1980; Short, 1978)","manualFormatting":"(Short et al., 1980)","plainTextFormattedCitation":"(Short, G. E., Wyllie, T. D., &amp; Bristow, 1980; Short, 1978)","previouslyFormattedCitation":"(Short, G. E., Wyllie, T. D., &amp; Bristow, 1980; Short, 1978)"},"properties":{"noteIndex":0},"schema":"https://github.com/citation-style-language/schema/raw/master/csl-citation.json"}</w:instrText>
      </w:r>
      <w:r w:rsidRPr="0031795A">
        <w:rPr>
          <w:rFonts w:ascii="Times New Roman" w:hAnsi="Times New Roman" w:cs="Times New Roman"/>
          <w:sz w:val="24"/>
          <w:szCs w:val="24"/>
          <w:shd w:val="clear" w:color="auto" w:fill="FFFFFF"/>
        </w:rPr>
        <w:fldChar w:fldCharType="separate"/>
      </w:r>
      <w:r w:rsidRPr="0031795A">
        <w:rPr>
          <w:rFonts w:ascii="Times New Roman" w:hAnsi="Times New Roman" w:cs="Times New Roman"/>
          <w:noProof/>
          <w:sz w:val="24"/>
          <w:szCs w:val="24"/>
          <w:shd w:val="clear" w:color="auto" w:fill="FFFFFF"/>
        </w:rPr>
        <w:t>(Short et al., 1980)</w:t>
      </w:r>
      <w:r w:rsidRPr="0031795A">
        <w:rPr>
          <w:rFonts w:ascii="Times New Roman" w:hAnsi="Times New Roman" w:cs="Times New Roman"/>
          <w:sz w:val="24"/>
          <w:szCs w:val="24"/>
          <w:shd w:val="clear" w:color="auto" w:fill="FFFFFF"/>
        </w:rPr>
        <w:fldChar w:fldCharType="end"/>
      </w:r>
      <w:r w:rsidRPr="0031795A">
        <w:rPr>
          <w:rFonts w:ascii="Times New Roman" w:hAnsi="Times New Roman" w:cs="Times New Roman"/>
          <w:sz w:val="24"/>
          <w:szCs w:val="24"/>
          <w:shd w:val="clear" w:color="auto" w:fill="FFFFFF"/>
        </w:rPr>
        <w:t>. The density of m</w:t>
      </w:r>
      <w:r w:rsidRPr="0031795A">
        <w:rPr>
          <w:rFonts w:ascii="Times New Roman" w:hAnsi="Times New Roman" w:cs="Times New Roman"/>
          <w:sz w:val="24"/>
          <w:szCs w:val="24"/>
        </w:rPr>
        <w:t>icro</w:t>
      </w:r>
      <w:r w:rsidRPr="0031795A">
        <w:rPr>
          <w:rFonts w:ascii="Times New Roman" w:hAnsi="Times New Roman" w:cs="Times New Roman"/>
          <w:sz w:val="24"/>
          <w:szCs w:val="24"/>
          <w:shd w:val="clear" w:color="auto" w:fill="FFFFFF"/>
        </w:rPr>
        <w:t xml:space="preserve">sclerotial in the soil and the soybean variety grown can affect the severity of charcoal rot disease (Arias et al., 2013; Mengistu et al., 2007). There are limited reports that suggest to some degree that initial microsclerotial density can affect charcoal rot on some crops. For example, Gray et al. (1991) reported that microsclerotial densities were positively associated with charcoal rot incidence on sorghum, and Mengistu et al. (2009) showed in a field study that the initial microsclerotial density affected soybean charcoal rot severity and yields loss. Additional studies are needed to identify what microsclerotial density can elicit disease and cause yield loss on soybean, which would provide baseline information and improve charcoal rot management.  </w:t>
      </w:r>
    </w:p>
    <w:p w14:paraId="746A48C9" w14:textId="77777777" w:rsidR="00D20476" w:rsidRPr="008E2CD0" w:rsidRDefault="00D20476" w:rsidP="00D20476">
      <w:pPr>
        <w:pStyle w:val="CommentText"/>
        <w:spacing w:after="0" w:line="360" w:lineRule="auto"/>
        <w:ind w:left="720" w:firstLine="720"/>
        <w:rPr>
          <w:rFonts w:ascii="Times New Roman" w:hAnsi="Times New Roman" w:cs="Times New Roman"/>
          <w:sz w:val="24"/>
          <w:szCs w:val="24"/>
        </w:rPr>
      </w:pPr>
      <w:r w:rsidRPr="0031795A">
        <w:rPr>
          <w:rFonts w:ascii="Times New Roman" w:hAnsi="Times New Roman" w:cs="Times New Roman"/>
          <w:sz w:val="24"/>
          <w:szCs w:val="24"/>
          <w:shd w:val="clear" w:color="auto" w:fill="FFFFFF"/>
        </w:rPr>
        <w:t xml:space="preserve">While field studies can provide reliable data on the impact of pathogens on crops in a natural environment, they are more demanding in time, labor, and cost. Greenhouse studies provide a less demanding alternative to field studies and can remove the impact of other soil pathogens and environmental factors. No greenhouse study has been reported on the impact of </w:t>
      </w:r>
      <w:r w:rsidRPr="0031795A">
        <w:rPr>
          <w:rFonts w:ascii="Times New Roman" w:hAnsi="Times New Roman" w:cs="Times New Roman"/>
          <w:i/>
          <w:sz w:val="24"/>
          <w:szCs w:val="24"/>
          <w:shd w:val="clear" w:color="auto" w:fill="FFFFFF"/>
        </w:rPr>
        <w:t>M. phaseolina</w:t>
      </w:r>
      <w:r w:rsidRPr="0031795A">
        <w:rPr>
          <w:rFonts w:ascii="Times New Roman" w:hAnsi="Times New Roman" w:cs="Times New Roman"/>
          <w:sz w:val="24"/>
          <w:szCs w:val="24"/>
          <w:shd w:val="clear" w:color="auto" w:fill="FFFFFF"/>
        </w:rPr>
        <w:t xml:space="preserve"> microsclerotia density on soybean or the impact of different soybean varieties on microsclerotial</w:t>
      </w:r>
      <w:r w:rsidRPr="0031795A">
        <w:rPr>
          <w:rFonts w:ascii="Times New Roman" w:hAnsi="Times New Roman" w:cs="Times New Roman"/>
          <w:i/>
          <w:sz w:val="24"/>
          <w:szCs w:val="24"/>
          <w:shd w:val="clear" w:color="auto" w:fill="FFFFFF"/>
        </w:rPr>
        <w:t xml:space="preserve"> </w:t>
      </w:r>
      <w:r w:rsidRPr="0031795A">
        <w:rPr>
          <w:rFonts w:ascii="Times New Roman" w:hAnsi="Times New Roman" w:cs="Times New Roman"/>
          <w:sz w:val="24"/>
          <w:szCs w:val="24"/>
          <w:shd w:val="clear" w:color="auto" w:fill="FFFFFF"/>
        </w:rPr>
        <w:t xml:space="preserve">inoculum development in the soil. Evaluating the impact of microsclerotial density on soybean in the greenhouse can provide useful information for predicting charcoal rot development and severity, which can aid management recommendations. Also, there is a need to know the dynamics of microsclerotial density as influenced by different soybean varieties, especially regarding their potential to suppress or favor the increase of the introduced microsclerotia. Understanding the extent to which a variety can increase or decrease soil inoculum provides valuable information for </w:t>
      </w:r>
      <w:r w:rsidRPr="0031795A">
        <w:rPr>
          <w:rFonts w:ascii="Times New Roman" w:hAnsi="Times New Roman" w:cs="Times New Roman"/>
          <w:sz w:val="24"/>
          <w:szCs w:val="24"/>
        </w:rPr>
        <w:t>charcoal rot ma</w:t>
      </w:r>
      <w:r w:rsidRPr="008E2CD0">
        <w:rPr>
          <w:rFonts w:ascii="Times New Roman" w:hAnsi="Times New Roman" w:cs="Times New Roman"/>
          <w:sz w:val="24"/>
          <w:szCs w:val="24"/>
        </w:rPr>
        <w:t xml:space="preserve">nagement. Subsequently, economic or damage thresholds can be determined for susceptible and moderately resistant varieties to guide management decisions and prevent yield loss. </w:t>
      </w:r>
    </w:p>
    <w:p w14:paraId="2C773013" w14:textId="77777777" w:rsidR="00D20476" w:rsidRDefault="00D20476" w:rsidP="00D20476">
      <w:pPr>
        <w:pStyle w:val="CommentText"/>
        <w:spacing w:after="0" w:line="360" w:lineRule="auto"/>
        <w:ind w:left="720"/>
        <w:rPr>
          <w:rFonts w:ascii="Times New Roman" w:hAnsi="Times New Roman" w:cs="Times New Roman"/>
          <w:sz w:val="24"/>
          <w:szCs w:val="24"/>
        </w:rPr>
      </w:pPr>
      <w:r w:rsidRPr="008E2CD0">
        <w:rPr>
          <w:rFonts w:ascii="Times New Roman" w:hAnsi="Times New Roman" w:cs="Times New Roman"/>
          <w:sz w:val="24"/>
          <w:szCs w:val="24"/>
          <w:shd w:val="clear" w:color="auto" w:fill="FFFFFF"/>
        </w:rPr>
        <w:t>Therefore, the objectives of this study were</w:t>
      </w:r>
      <w:r>
        <w:rPr>
          <w:rFonts w:ascii="Times New Roman" w:hAnsi="Times New Roman" w:cs="Times New Roman"/>
          <w:sz w:val="24"/>
          <w:szCs w:val="24"/>
          <w:shd w:val="clear" w:color="auto" w:fill="FFFFFF"/>
        </w:rPr>
        <w:t xml:space="preserve"> to</w:t>
      </w:r>
      <w:r w:rsidRPr="008E2CD0">
        <w:rPr>
          <w:rFonts w:ascii="Times New Roman" w:hAnsi="Times New Roman" w:cs="Times New Roman"/>
          <w:sz w:val="24"/>
          <w:szCs w:val="24"/>
          <w:shd w:val="clear" w:color="auto" w:fill="FFFFFF"/>
        </w:rPr>
        <w:t xml:space="preserve">: (1) identify the impact of microsclerotial inoculum density on </w:t>
      </w:r>
      <w:r w:rsidRPr="008E2CD0">
        <w:rPr>
          <w:rFonts w:ascii="Times New Roman" w:hAnsi="Times New Roman" w:cs="Times New Roman"/>
          <w:sz w:val="24"/>
          <w:szCs w:val="24"/>
        </w:rPr>
        <w:t xml:space="preserve">charcoal rot disease severity of soybean, (2) determine the microsclerotial </w:t>
      </w:r>
      <w:r w:rsidRPr="008E2CD0">
        <w:rPr>
          <w:rFonts w:ascii="Times New Roman" w:hAnsi="Times New Roman" w:cs="Times New Roman"/>
          <w:sz w:val="24"/>
          <w:szCs w:val="24"/>
          <w:shd w:val="clear" w:color="auto" w:fill="FFFFFF"/>
        </w:rPr>
        <w:t>inoculum</w:t>
      </w:r>
      <w:r w:rsidRPr="008E2CD0">
        <w:rPr>
          <w:rFonts w:ascii="Times New Roman" w:hAnsi="Times New Roman" w:cs="Times New Roman"/>
          <w:sz w:val="24"/>
          <w:szCs w:val="24"/>
        </w:rPr>
        <w:t xml:space="preserve"> densities on soybean growth and yield, and (3) evaluate the impact of two soybean varieties (susceptible and moderately resistant) on the resulting microsclerotial density in soils and plant tissues. </w:t>
      </w:r>
      <w:bookmarkStart w:id="345" w:name="_bookmark72"/>
      <w:bookmarkStart w:id="346" w:name="_bookmark73"/>
      <w:bookmarkStart w:id="347" w:name="_Toc98812776"/>
      <w:bookmarkStart w:id="348" w:name="_Toc98812984"/>
      <w:bookmarkStart w:id="349" w:name="_Toc98813650"/>
      <w:bookmarkEnd w:id="345"/>
      <w:bookmarkEnd w:id="346"/>
    </w:p>
    <w:p w14:paraId="737C066A" w14:textId="77777777" w:rsidR="00D20476" w:rsidRDefault="00D20476" w:rsidP="00D20476">
      <w:pPr>
        <w:pStyle w:val="CommentText"/>
        <w:spacing w:after="0" w:line="360" w:lineRule="auto"/>
        <w:ind w:left="720"/>
        <w:rPr>
          <w:rFonts w:ascii="Times New Roman" w:hAnsi="Times New Roman" w:cs="Times New Roman"/>
          <w:sz w:val="24"/>
          <w:szCs w:val="24"/>
        </w:rPr>
      </w:pPr>
    </w:p>
    <w:p w14:paraId="780F1594" w14:textId="77777777" w:rsidR="00D20476" w:rsidRPr="008E2CD0" w:rsidRDefault="00D20476" w:rsidP="002E4580">
      <w:pPr>
        <w:pStyle w:val="Heading1"/>
        <w:spacing w:line="360" w:lineRule="auto"/>
        <w:ind w:left="720"/>
        <w:jc w:val="center"/>
      </w:pPr>
      <w:bookmarkStart w:id="350" w:name="_Toc101048158"/>
      <w:r w:rsidRPr="008E2CD0">
        <w:t>Materials and methods</w:t>
      </w:r>
      <w:bookmarkEnd w:id="350"/>
    </w:p>
    <w:p w14:paraId="3EA9ECBE" w14:textId="77777777" w:rsidR="00D20476" w:rsidRPr="008E2CD0" w:rsidRDefault="00D20476" w:rsidP="00FD1FC5">
      <w:pPr>
        <w:pStyle w:val="Heading2"/>
      </w:pPr>
      <w:bookmarkStart w:id="351" w:name="_Toc101048159"/>
      <w:r w:rsidRPr="008E2CD0">
        <w:t>Soybean vari</w:t>
      </w:r>
      <w:r>
        <w:t>e</w:t>
      </w:r>
      <w:r w:rsidRPr="008E2CD0">
        <w:t>ties and fungal isolate</w:t>
      </w:r>
      <w:bookmarkEnd w:id="347"/>
      <w:bookmarkEnd w:id="348"/>
      <w:bookmarkEnd w:id="349"/>
      <w:bookmarkEnd w:id="351"/>
      <w:r w:rsidRPr="008E2CD0">
        <w:t xml:space="preserve"> </w:t>
      </w:r>
    </w:p>
    <w:p w14:paraId="17EBFC48" w14:textId="77777777" w:rsidR="00D20476" w:rsidRPr="00D66C7B" w:rsidRDefault="00D20476" w:rsidP="00D20476">
      <w:pPr>
        <w:spacing w:line="360" w:lineRule="auto"/>
        <w:ind w:left="720" w:firstLine="720"/>
        <w:rPr>
          <w:rFonts w:cs="Times New Roman"/>
          <w:szCs w:val="24"/>
          <w:u w:val="single"/>
        </w:rPr>
      </w:pPr>
      <w:r w:rsidRPr="008E2CD0">
        <w:rPr>
          <w:rFonts w:cs="Times New Roman"/>
          <w:szCs w:val="24"/>
        </w:rPr>
        <w:t xml:space="preserve">The soybean varieties and fungal isolate used for this study were provided by Dr. Alemu Mengistu, USDA Soybean Pathologist. </w:t>
      </w:r>
      <w:r>
        <w:rPr>
          <w:rFonts w:cs="Times New Roman"/>
          <w:szCs w:val="24"/>
        </w:rPr>
        <w:t>The soybean varieties were DT</w:t>
      </w:r>
      <w:r w:rsidRPr="008E2CD0">
        <w:rPr>
          <w:rFonts w:cs="Times New Roman"/>
          <w:szCs w:val="24"/>
        </w:rPr>
        <w:t>97-4290</w:t>
      </w:r>
      <w:r>
        <w:rPr>
          <w:rFonts w:cs="Times New Roman"/>
          <w:szCs w:val="24"/>
        </w:rPr>
        <w:t xml:space="preserve">, moderately resistant </w:t>
      </w:r>
      <w:r>
        <w:rPr>
          <w:rFonts w:cs="Times New Roman"/>
          <w:szCs w:val="24"/>
        </w:rPr>
        <w:fldChar w:fldCharType="begin" w:fldLock="1"/>
      </w:r>
      <w:r>
        <w:rPr>
          <w:rFonts w:cs="Times New Roman"/>
          <w:szCs w:val="24"/>
        </w:rPr>
        <w:instrText>ADDIN CSL_CITATION {"citationItems":[{"id":"ITEM-1","itemData":{"ISBN":"0315880678","ISSN":"0091-6749","author":[{"dropping-particle":"","family":"Paris","given":"R. L.","non-dropping-particle":"","parse-names":false,"suffix":""},{"dropping-particle":"","family":"Mengistu","given":"A.","non-dropping-particle":"","parse-names":false,"suffix":""},{"dropping-particle":"","family":"Tyler","given":"J. M.","non-dropping-particle":"","parse-names":false,"suffix":""},{"dropping-particle":"","family":"Smith","given":"J. R.","non-dropping-particle":"","parse-names":false,"suffix":""}],"container-title":"Crop science","id":"ITEM-1","issue":"5","issued":{"date-parts":[["2006"]]},"page":"2324","title":"Registration of soybean germplasm line DT97-4290 with moderate resistance to charcoal rot.","type":"article-journal","volume":"46"},"uris":["http://www.mendeley.com/documents/?uuid=1001cabb-112f-4a73-b1aa-aa534e499622"]}],"mendeley":{"formattedCitation":"(Paris et al., 2006)","plainTextFormattedCitation":"(Paris et al., 2006)"},"properties":{"noteIndex":0},"schema":"https://github.com/citation-style-language/schema/raw/master/csl-citation.json"}</w:instrText>
      </w:r>
      <w:r>
        <w:rPr>
          <w:rFonts w:cs="Times New Roman"/>
          <w:szCs w:val="24"/>
        </w:rPr>
        <w:fldChar w:fldCharType="separate"/>
      </w:r>
      <w:r w:rsidRPr="00641844">
        <w:rPr>
          <w:rFonts w:cs="Times New Roman"/>
          <w:noProof/>
          <w:szCs w:val="24"/>
        </w:rPr>
        <w:t>(Paris et al., 2006)</w:t>
      </w:r>
      <w:r>
        <w:rPr>
          <w:rFonts w:cs="Times New Roman"/>
          <w:szCs w:val="24"/>
        </w:rPr>
        <w:fldChar w:fldCharType="end"/>
      </w:r>
      <w:r>
        <w:rPr>
          <w:rFonts w:cs="Times New Roman"/>
          <w:szCs w:val="24"/>
        </w:rPr>
        <w:t>,</w:t>
      </w:r>
      <w:r w:rsidRPr="008E2CD0">
        <w:rPr>
          <w:rFonts w:cs="Times New Roman"/>
          <w:szCs w:val="24"/>
        </w:rPr>
        <w:t xml:space="preserve"> and </w:t>
      </w:r>
      <w:r>
        <w:rPr>
          <w:rFonts w:cs="Times New Roman"/>
          <w:szCs w:val="24"/>
        </w:rPr>
        <w:t xml:space="preserve">LS 98-0358 which is </w:t>
      </w:r>
      <w:r w:rsidRPr="008E2CD0">
        <w:rPr>
          <w:rFonts w:cs="Times New Roman"/>
          <w:szCs w:val="24"/>
        </w:rPr>
        <w:t>susceptible to charcoal rot</w:t>
      </w:r>
      <w:r>
        <w:rPr>
          <w:rFonts w:cs="Times New Roman"/>
          <w:szCs w:val="24"/>
        </w:rPr>
        <w:t xml:space="preserve"> </w:t>
      </w:r>
      <w:r>
        <w:rPr>
          <w:rFonts w:cs="Times New Roman"/>
          <w:szCs w:val="24"/>
        </w:rPr>
        <w:fldChar w:fldCharType="begin" w:fldLock="1"/>
      </w:r>
      <w:r>
        <w:rPr>
          <w:rFonts w:cs="Times New Roman"/>
          <w:szCs w:val="24"/>
        </w:rPr>
        <w:instrText>ADDIN CSL_CITATION {"citationItems":[{"id":"ITEM-1","itemData":{"DOI":"10.2135/cropsci2007.04.0186","ISSN":"0011183X","abstract":"Charcoal rot [Macrophomina phaseolina (Tassi) Goid] of soybean [Glycine max (L.) Merr.] is a disease of economic significance throughout the world. Progress in developing resistant genotypes has been hampered because of a lack of reliable and efficient methods for assessment of soybean genotypes. Researchers need a common system for classifying soybean genotypes for their reaction to M. phaseolina that is consistent across environments. We propose a classification system based on a colony-forming unit index (CFUI), derived by dividing the colony-forming unit (CFU) value of a given genotype by the CFU value of a susceptible standard. Four other assessment methods were compared and correlated to CFUI: percent height of stem discoloration measured at R7, foliar symptoms taken at R7, area under the disease progress curve based on foliar symptom data collected four times during the growing season up to R7, and the intensity of internal root and stem discoloration taken at R7 (root and stem severity [RSS]). Twenty-four soybean genotypes in Maturity Groups III through V were evaluated in 2002 and 2003 in naturally and artificially infested fields. Based on the CFUI, four genotypes were classified as moderately resistant to M. phaseolina. Among the disease assessment methods, RSS had the highest correlation with CFUI (r = 0.71 in 2002 and r = 0.69 in 2003). The CFUI provided a good measure of disease resistance across environments but was still time consuming. The RSS provided a less-accurate but more-rapid alternative that may be suitable for some breeding strategies. © Crop Science Society of America.","author":[{"dropping-particle":"","family":"Mengistu","given":"Alemu","non-dropping-particle":"","parse-names":false,"suffix":""},{"dropping-particle":"","family":"Ray","given":"Jeffery D.","non-dropping-particle":"","parse-names":false,"suffix":""},{"dropping-particle":"","family":"Smith","given":"James R.","non-dropping-particle":"","parse-names":false,"suffix":""},{"dropping-particle":"","family":"Paris","given":"Robert L.","non-dropping-particle":"","parse-names":false,"suffix":""}],"container-title":"Crop Science","id":"ITEM-1","issue":"6","issued":{"date-parts":[["2007"]]},"page":"2453-2461","title":"Charcoal rot disease assessment of soybean genotypes using a colony-forming unit index","type":"article-journal","volume":"47"},"uris":["http://www.mendeley.com/documents/?uuid=a452e21b-3bdb-4849-801c-7a28780d3003"]}],"mendeley":{"formattedCitation":"(Mengistu et al., 2007)","plainTextFormattedCitation":"(Mengistu et al., 2007)"},"properties":{"noteIndex":0},"schema":"https://github.com/citation-style-language/schema/raw/master/csl-citation.json"}</w:instrText>
      </w:r>
      <w:r>
        <w:rPr>
          <w:rFonts w:cs="Times New Roman"/>
          <w:szCs w:val="24"/>
        </w:rPr>
        <w:fldChar w:fldCharType="separate"/>
      </w:r>
      <w:r w:rsidRPr="00FB5B67">
        <w:rPr>
          <w:rFonts w:cs="Times New Roman"/>
          <w:noProof/>
          <w:szCs w:val="24"/>
        </w:rPr>
        <w:t>(Mengistu et al., 2007)</w:t>
      </w:r>
      <w:r>
        <w:rPr>
          <w:rFonts w:cs="Times New Roman"/>
          <w:szCs w:val="24"/>
        </w:rPr>
        <w:fldChar w:fldCharType="end"/>
      </w:r>
      <w:r w:rsidRPr="008E2CD0">
        <w:rPr>
          <w:rFonts w:cs="Times New Roman"/>
          <w:szCs w:val="24"/>
        </w:rPr>
        <w:t xml:space="preserve">. </w:t>
      </w:r>
      <w:r>
        <w:rPr>
          <w:rFonts w:cs="Times New Roman"/>
          <w:szCs w:val="24"/>
        </w:rPr>
        <w:t xml:space="preserve">The fungal isolate (TN-4) was collected from the research Field 2 in Jackson Tennessee in 2006. </w:t>
      </w:r>
      <w:r w:rsidRPr="0040796E">
        <w:rPr>
          <w:rFonts w:cs="Times New Roman"/>
          <w:szCs w:val="24"/>
        </w:rPr>
        <w:t xml:space="preserve"> </w:t>
      </w:r>
    </w:p>
    <w:p w14:paraId="533A2607" w14:textId="77777777" w:rsidR="00D20476" w:rsidRPr="008E2CD0" w:rsidRDefault="00D20476" w:rsidP="00FD1FC5">
      <w:pPr>
        <w:pStyle w:val="Heading2"/>
      </w:pPr>
    </w:p>
    <w:p w14:paraId="78D1CC81" w14:textId="77777777" w:rsidR="00D20476" w:rsidRPr="008E2CD0" w:rsidRDefault="00D20476" w:rsidP="00FD1FC5">
      <w:pPr>
        <w:pStyle w:val="Heading2"/>
      </w:pPr>
      <w:bookmarkStart w:id="352" w:name="_Toc101048160"/>
      <w:r w:rsidRPr="008E2CD0">
        <w:t>Microsclerotial inoculum preparation</w:t>
      </w:r>
      <w:bookmarkEnd w:id="352"/>
      <w:r w:rsidRPr="008E2CD0">
        <w:t xml:space="preserve"> </w:t>
      </w:r>
    </w:p>
    <w:p w14:paraId="239F7BA2" w14:textId="77777777" w:rsidR="00D20476" w:rsidRPr="008E2CD0" w:rsidRDefault="00D20476" w:rsidP="00D20476">
      <w:pPr>
        <w:spacing w:line="360" w:lineRule="auto"/>
        <w:ind w:left="720" w:firstLine="720"/>
        <w:rPr>
          <w:rFonts w:cs="Times New Roman"/>
          <w:szCs w:val="24"/>
          <w:shd w:val="clear" w:color="auto" w:fill="FFFFFF"/>
        </w:rPr>
      </w:pPr>
      <w:r w:rsidRPr="008E2CD0">
        <w:rPr>
          <w:rFonts w:cs="Times New Roman"/>
          <w:szCs w:val="24"/>
        </w:rPr>
        <w:t>The microsclerotial inoculum was produced using</w:t>
      </w:r>
      <w:r>
        <w:rPr>
          <w:rFonts w:cs="Times New Roman"/>
          <w:szCs w:val="24"/>
        </w:rPr>
        <w:t xml:space="preserve"> </w:t>
      </w:r>
      <w:r w:rsidRPr="008E2CD0">
        <w:rPr>
          <w:rFonts w:cs="Times New Roman"/>
          <w:szCs w:val="24"/>
        </w:rPr>
        <w:t xml:space="preserve">methods described in </w:t>
      </w:r>
      <w:r w:rsidRPr="008E2CD0">
        <w:rPr>
          <w:rFonts w:cs="Times New Roman"/>
          <w:szCs w:val="24"/>
          <w:shd w:val="clear" w:color="auto" w:fill="FFFFFF"/>
        </w:rPr>
        <w:t>Mengistu et al</w:t>
      </w:r>
      <w:r>
        <w:rPr>
          <w:rFonts w:cs="Times New Roman"/>
          <w:szCs w:val="24"/>
          <w:shd w:val="clear" w:color="auto" w:fill="FFFFFF"/>
        </w:rPr>
        <w:t>.</w:t>
      </w:r>
      <w:r w:rsidRPr="008E2CD0">
        <w:rPr>
          <w:rFonts w:cs="Times New Roman"/>
          <w:szCs w:val="24"/>
          <w:shd w:val="clear" w:color="auto" w:fill="FFFFFF"/>
        </w:rPr>
        <w:t xml:space="preserve"> (2007). Briefly, millet seed (400 mL by volume) were soaked for 18 to 20 h in 4 L of a solution containing distilled water and 40 g of table sugar, 0.5 g of yeast extract, and 0.25 g of tartaric acid per liter. </w:t>
      </w:r>
      <w:r>
        <w:rPr>
          <w:rFonts w:cs="Times New Roman"/>
          <w:szCs w:val="24"/>
          <w:shd w:val="clear" w:color="auto" w:fill="FFFFFF"/>
        </w:rPr>
        <w:t>The s</w:t>
      </w:r>
      <w:r w:rsidRPr="008E2CD0">
        <w:rPr>
          <w:rFonts w:cs="Times New Roman"/>
          <w:szCs w:val="24"/>
          <w:shd w:val="clear" w:color="auto" w:fill="FFFFFF"/>
        </w:rPr>
        <w:t xml:space="preserve">olution was decanted and </w:t>
      </w:r>
      <w:r>
        <w:rPr>
          <w:rFonts w:cs="Times New Roman"/>
          <w:szCs w:val="24"/>
          <w:shd w:val="clear" w:color="auto" w:fill="FFFFFF"/>
        </w:rPr>
        <w:t xml:space="preserve">the </w:t>
      </w:r>
      <w:r w:rsidRPr="008E2CD0">
        <w:rPr>
          <w:rFonts w:cs="Times New Roman"/>
          <w:szCs w:val="24"/>
          <w:shd w:val="clear" w:color="auto" w:fill="FFFFFF"/>
        </w:rPr>
        <w:t xml:space="preserve">remaining millet was placed in </w:t>
      </w:r>
      <w:r>
        <w:rPr>
          <w:rFonts w:cs="Times New Roman"/>
          <w:szCs w:val="24"/>
          <w:shd w:val="clear" w:color="auto" w:fill="FFFFFF"/>
        </w:rPr>
        <w:t xml:space="preserve">the </w:t>
      </w:r>
      <w:r w:rsidRPr="008E2CD0">
        <w:rPr>
          <w:rFonts w:cs="Times New Roman"/>
          <w:szCs w:val="24"/>
          <w:shd w:val="clear" w:color="auto" w:fill="FFFFFF"/>
        </w:rPr>
        <w:t xml:space="preserve">autoclavable bag, where a tube 5 cm in diameter and 10 cm in length was inserted halfway into </w:t>
      </w:r>
      <w:r>
        <w:rPr>
          <w:rFonts w:cs="Times New Roman"/>
          <w:szCs w:val="24"/>
          <w:shd w:val="clear" w:color="auto" w:fill="FFFFFF"/>
        </w:rPr>
        <w:t xml:space="preserve">the </w:t>
      </w:r>
      <w:r w:rsidRPr="008E2CD0">
        <w:rPr>
          <w:rFonts w:cs="Times New Roman"/>
          <w:szCs w:val="24"/>
          <w:shd w:val="clear" w:color="auto" w:fill="FFFFFF"/>
        </w:rPr>
        <w:t xml:space="preserve">autoclavable bag and </w:t>
      </w:r>
      <w:r>
        <w:rPr>
          <w:rFonts w:cs="Times New Roman"/>
          <w:szCs w:val="24"/>
          <w:shd w:val="clear" w:color="auto" w:fill="FFFFFF"/>
        </w:rPr>
        <w:t xml:space="preserve">a </w:t>
      </w:r>
      <w:r w:rsidRPr="008E2CD0">
        <w:rPr>
          <w:rFonts w:cs="Times New Roman"/>
          <w:szCs w:val="24"/>
          <w:shd w:val="clear" w:color="auto" w:fill="FFFFFF"/>
        </w:rPr>
        <w:t xml:space="preserve">cotton plug was inserted into </w:t>
      </w:r>
      <w:r>
        <w:rPr>
          <w:rFonts w:cs="Times New Roman"/>
          <w:szCs w:val="24"/>
          <w:shd w:val="clear" w:color="auto" w:fill="FFFFFF"/>
        </w:rPr>
        <w:t xml:space="preserve">a </w:t>
      </w:r>
      <w:r w:rsidRPr="008E2CD0">
        <w:rPr>
          <w:rFonts w:cs="Times New Roman"/>
          <w:szCs w:val="24"/>
          <w:shd w:val="clear" w:color="auto" w:fill="FFFFFF"/>
        </w:rPr>
        <w:t xml:space="preserve">tube before autoclaving at 121 °C for 30 min. Thirty 0.5 cm diameter plugs from 1-week-old cultures of </w:t>
      </w:r>
      <w:r w:rsidRPr="008E2CD0">
        <w:rPr>
          <w:rFonts w:cs="Times New Roman"/>
          <w:i/>
          <w:szCs w:val="24"/>
          <w:shd w:val="clear" w:color="auto" w:fill="FFFFFF"/>
        </w:rPr>
        <w:t xml:space="preserve">M. phaseolina, </w:t>
      </w:r>
      <w:r w:rsidRPr="008E2CD0">
        <w:rPr>
          <w:rFonts w:cs="Times New Roman"/>
          <w:szCs w:val="24"/>
          <w:shd w:val="clear" w:color="auto" w:fill="FFFFFF"/>
        </w:rPr>
        <w:t xml:space="preserve">grown on acidified potato dextrose agar (PDA), were used to inoculate the millet through the tube.  The bag was incubated at 30 °C for 3 weeks, with periodic shaking to spread the inoculum within the bag. After 3 weeks, the millet was completely colonized and darkened with microsclerotia and allowed to air dry, then stored in sealed plastic containers at 4 °C until use. </w:t>
      </w:r>
    </w:p>
    <w:p w14:paraId="3856B89D" w14:textId="77777777" w:rsidR="00D20476" w:rsidRPr="008E2CD0" w:rsidRDefault="00D20476" w:rsidP="00D20476">
      <w:pPr>
        <w:spacing w:line="360" w:lineRule="auto"/>
        <w:ind w:left="720" w:firstLine="720"/>
        <w:rPr>
          <w:rFonts w:cs="Times New Roman"/>
          <w:szCs w:val="24"/>
          <w:shd w:val="clear" w:color="auto" w:fill="FFFFFF"/>
        </w:rPr>
      </w:pPr>
      <w:r w:rsidRPr="008E2CD0">
        <w:rPr>
          <w:rFonts w:cs="Times New Roman"/>
          <w:szCs w:val="24"/>
        </w:rPr>
        <w:t xml:space="preserve">The propagules of </w:t>
      </w:r>
      <w:r w:rsidRPr="008E2CD0">
        <w:rPr>
          <w:rFonts w:cs="Times New Roman"/>
          <w:i/>
          <w:szCs w:val="24"/>
        </w:rPr>
        <w:t xml:space="preserve">M. phaseolina </w:t>
      </w:r>
      <w:r w:rsidRPr="008E2CD0">
        <w:rPr>
          <w:rFonts w:cs="Times New Roman"/>
          <w:szCs w:val="24"/>
        </w:rPr>
        <w:t>inoculum w</w:t>
      </w:r>
      <w:r>
        <w:rPr>
          <w:rFonts w:cs="Times New Roman"/>
          <w:szCs w:val="24"/>
        </w:rPr>
        <w:t>ere</w:t>
      </w:r>
      <w:r w:rsidRPr="008E2CD0">
        <w:rPr>
          <w:rFonts w:cs="Times New Roman"/>
          <w:szCs w:val="24"/>
        </w:rPr>
        <w:t xml:space="preserve"> estimated by the colony-forming units (CFU) methods as described in Mengistu et al</w:t>
      </w:r>
      <w:r>
        <w:rPr>
          <w:rFonts w:cs="Times New Roman"/>
          <w:szCs w:val="24"/>
        </w:rPr>
        <w:t>.</w:t>
      </w:r>
      <w:r w:rsidRPr="008E2CD0">
        <w:rPr>
          <w:rFonts w:cs="Times New Roman"/>
          <w:szCs w:val="24"/>
        </w:rPr>
        <w:t xml:space="preserve"> (2007).  A sub-sample of infested millet was ground into residue using mortar and pestle. One gram of the residue was placed in a 2 ml microtube and disinfected with 1 mL 10% sodium hypochlorite by vortexed three times in 1-minute cycles. The disinfected residue was poured into a sterile 45 µm mesh sieve and then rinsed with sterile water into another sterile test tube. The sterile residue mixture (about 10mL) was then mixed with 50 mL rifampicin–supplemented–potato dextrose agar (PDA) at 54°C. Rifampicin stock solution (2.5 % w/v) was prepared using methanol and was applied to PDA at 0.1% (v/v). The PDA-residue mixture was evenly poured into five pre-labeled Petri plates and set inside a hood chamber to gel. The plates were incubated at 30</w:t>
      </w:r>
      <w:r>
        <w:rPr>
          <w:rFonts w:cs="Times New Roman"/>
          <w:szCs w:val="24"/>
        </w:rPr>
        <w:t xml:space="preserve"> </w:t>
      </w:r>
      <w:r w:rsidRPr="008E2CD0">
        <w:rPr>
          <w:rFonts w:cs="Times New Roman"/>
          <w:szCs w:val="24"/>
        </w:rPr>
        <w:t xml:space="preserve">°C for 5 days, and microsclerotial colonies in all the plates were counted and recorded as CFU per gram infested millet. Then eight microsclerotial treatments consisting of 0.5, 1.0, 1.5, 2.0, 2.5, 3.0, 3.5, and 4.0 grams of microsclerotial-infested millet were prepared as the microsclerotial treatments, which corresponded to </w:t>
      </w:r>
      <w:r w:rsidRPr="008E2CD0">
        <w:t>47,553</w:t>
      </w:r>
      <w:r w:rsidRPr="008E2CD0">
        <w:rPr>
          <w:rFonts w:cs="Times New Roman"/>
          <w:szCs w:val="24"/>
        </w:rPr>
        <w:t xml:space="preserve">, </w:t>
      </w:r>
      <w:r w:rsidRPr="008E2CD0">
        <w:t>95,107</w:t>
      </w:r>
      <w:r w:rsidRPr="008E2CD0">
        <w:rPr>
          <w:rFonts w:cs="Times New Roman"/>
          <w:szCs w:val="24"/>
        </w:rPr>
        <w:t xml:space="preserve">, </w:t>
      </w:r>
      <w:r w:rsidRPr="008E2CD0">
        <w:t>142,660</w:t>
      </w:r>
      <w:r w:rsidRPr="008E2CD0">
        <w:rPr>
          <w:rFonts w:cs="Times New Roman"/>
          <w:szCs w:val="24"/>
        </w:rPr>
        <w:t>,</w:t>
      </w:r>
      <w:r w:rsidRPr="008E2CD0">
        <w:t xml:space="preserve"> 190,213</w:t>
      </w:r>
      <w:r w:rsidRPr="008E2CD0">
        <w:rPr>
          <w:rFonts w:cs="Times New Roman"/>
          <w:szCs w:val="24"/>
        </w:rPr>
        <w:t xml:space="preserve">, </w:t>
      </w:r>
      <w:r w:rsidRPr="008E2CD0">
        <w:t>237,767</w:t>
      </w:r>
      <w:r w:rsidRPr="008E2CD0">
        <w:rPr>
          <w:rFonts w:cs="Times New Roman"/>
          <w:szCs w:val="24"/>
        </w:rPr>
        <w:t xml:space="preserve">, </w:t>
      </w:r>
      <w:r w:rsidRPr="008E2CD0">
        <w:t>285,320</w:t>
      </w:r>
      <w:r w:rsidRPr="008E2CD0">
        <w:rPr>
          <w:rFonts w:cs="Times New Roman"/>
          <w:szCs w:val="24"/>
        </w:rPr>
        <w:t xml:space="preserve">, </w:t>
      </w:r>
      <w:r w:rsidRPr="008E2CD0">
        <w:t>332,873</w:t>
      </w:r>
      <w:r w:rsidRPr="008E2CD0">
        <w:rPr>
          <w:rFonts w:cs="Times New Roman"/>
          <w:szCs w:val="24"/>
        </w:rPr>
        <w:t xml:space="preserve">, and </w:t>
      </w:r>
      <w:r w:rsidRPr="008E2CD0">
        <w:t>380,427</w:t>
      </w:r>
      <w:r w:rsidRPr="008E2CD0">
        <w:rPr>
          <w:rFonts w:cs="Times New Roman"/>
          <w:szCs w:val="24"/>
        </w:rPr>
        <w:t xml:space="preserve"> total CFUs, and two non-inoculum treatments consisting of 0 and 4.0g of sterile mill</w:t>
      </w:r>
      <w:r>
        <w:rPr>
          <w:rFonts w:cs="Times New Roman"/>
          <w:szCs w:val="24"/>
        </w:rPr>
        <w:t>et were used as controls (Table 4.</w:t>
      </w:r>
      <w:r w:rsidRPr="008E2CD0">
        <w:rPr>
          <w:rFonts w:cs="Times New Roman"/>
          <w:szCs w:val="24"/>
        </w:rPr>
        <w:t xml:space="preserve">1). </w:t>
      </w:r>
    </w:p>
    <w:p w14:paraId="71F532CD" w14:textId="77777777" w:rsidR="00D20476" w:rsidRPr="008E2CD0" w:rsidRDefault="00D20476" w:rsidP="00D20476">
      <w:pPr>
        <w:spacing w:line="360" w:lineRule="auto"/>
        <w:ind w:left="720"/>
        <w:rPr>
          <w:rFonts w:cs="Times New Roman"/>
          <w:szCs w:val="24"/>
        </w:rPr>
      </w:pPr>
    </w:p>
    <w:p w14:paraId="66AAE585" w14:textId="77777777" w:rsidR="00D20476" w:rsidRPr="008E2CD0" w:rsidRDefault="00D20476" w:rsidP="00FD1FC5">
      <w:pPr>
        <w:pStyle w:val="Heading2"/>
      </w:pPr>
      <w:bookmarkStart w:id="353" w:name="_Toc101048161"/>
      <w:r w:rsidRPr="008E2CD0">
        <w:t>Greenhouse experiment design</w:t>
      </w:r>
      <w:bookmarkEnd w:id="353"/>
    </w:p>
    <w:p w14:paraId="79E3D76B" w14:textId="15F28878" w:rsidR="00D20476" w:rsidRDefault="00D20476" w:rsidP="006F7E26">
      <w:pPr>
        <w:adjustRightInd w:val="0"/>
        <w:spacing w:line="360" w:lineRule="auto"/>
        <w:ind w:left="720" w:firstLine="720"/>
        <w:rPr>
          <w:rFonts w:cs="Times New Roman"/>
          <w:szCs w:val="24"/>
        </w:rPr>
      </w:pPr>
      <w:r w:rsidRPr="008E2CD0">
        <w:rPr>
          <w:rFonts w:cs="Times New Roman"/>
          <w:szCs w:val="24"/>
        </w:rPr>
        <w:t xml:space="preserve">Three-gallon plastic pots were filled with </w:t>
      </w:r>
      <w:r>
        <w:rPr>
          <w:rFonts w:cs="Times New Roman"/>
          <w:szCs w:val="24"/>
        </w:rPr>
        <w:t xml:space="preserve">a </w:t>
      </w:r>
      <w:r w:rsidRPr="008E2CD0">
        <w:rPr>
          <w:rFonts w:cs="Times New Roman"/>
          <w:szCs w:val="24"/>
        </w:rPr>
        <w:t>pasteurized potting mix comp</w:t>
      </w:r>
      <w:r>
        <w:rPr>
          <w:rFonts w:cs="Times New Roman"/>
          <w:szCs w:val="24"/>
        </w:rPr>
        <w:t>osed</w:t>
      </w:r>
      <w:r w:rsidRPr="008E2CD0">
        <w:rPr>
          <w:rFonts w:cs="Times New Roman"/>
          <w:szCs w:val="24"/>
        </w:rPr>
        <w:t xml:space="preserve"> of loam soil and sand mixed in a 3:1 ratio by volume. Microsclerotial treatments were evenly placed in a circular furrow made at 6 cm depth within the soil and covered with soil until not </w:t>
      </w:r>
      <w:r>
        <w:rPr>
          <w:rFonts w:cs="Times New Roman"/>
          <w:szCs w:val="24"/>
        </w:rPr>
        <w:t>visible</w:t>
      </w:r>
      <w:r w:rsidRPr="008E2CD0">
        <w:rPr>
          <w:rFonts w:cs="Times New Roman"/>
          <w:szCs w:val="24"/>
        </w:rPr>
        <w:t xml:space="preserve">. Eight seeds were then sown in the soil directly over the furrow circumference. Each treatment was replicated four times, organized in a randomized complete block design, and repeated. There was a total of 10 treatments per soybean variety and the experiments were maintained in a greenhouse where </w:t>
      </w:r>
      <w:r>
        <w:rPr>
          <w:rFonts w:cs="Times New Roman"/>
          <w:szCs w:val="24"/>
        </w:rPr>
        <w:t xml:space="preserve">the </w:t>
      </w:r>
      <w:r w:rsidRPr="008E2CD0">
        <w:rPr>
          <w:rFonts w:cs="Times New Roman"/>
          <w:szCs w:val="24"/>
        </w:rPr>
        <w:t>average temperature varied from 24°C (night) to 31°C (day) with a 16-hr photoperiod. Plants were watered as needed and fertilized once a week with Miracle-Gro</w:t>
      </w:r>
      <w:r>
        <w:rPr>
          <w:rFonts w:cs="Times New Roman"/>
          <w:szCs w:val="24"/>
        </w:rPr>
        <w:t xml:space="preserve"> plant nutrients</w:t>
      </w:r>
      <w:r w:rsidRPr="008E2CD0">
        <w:rPr>
          <w:rFonts w:cs="Times New Roman"/>
          <w:szCs w:val="24"/>
        </w:rPr>
        <w:t xml:space="preserve"> (The Scotts Miracle-Gro Company, Ohio). Plant stands were thinned to 6 plants per pot at the V1 stage, and the tests were maintai</w:t>
      </w:r>
      <w:r>
        <w:rPr>
          <w:rFonts w:cs="Times New Roman"/>
          <w:szCs w:val="24"/>
        </w:rPr>
        <w:t>ned to maturity (growth stage R7</w:t>
      </w:r>
      <w:r w:rsidRPr="008E2CD0">
        <w:rPr>
          <w:rFonts w:cs="Times New Roman"/>
          <w:szCs w:val="24"/>
        </w:rPr>
        <w:t xml:space="preserve">). </w:t>
      </w:r>
    </w:p>
    <w:p w14:paraId="146A3066" w14:textId="77777777" w:rsidR="006F7E26" w:rsidRDefault="006F7E26" w:rsidP="006F7E26">
      <w:pPr>
        <w:adjustRightInd w:val="0"/>
        <w:spacing w:line="360" w:lineRule="auto"/>
        <w:ind w:left="720" w:firstLine="720"/>
        <w:rPr>
          <w:rFonts w:cs="Times New Roman"/>
          <w:b/>
          <w:bCs/>
          <w:i/>
          <w:szCs w:val="24"/>
          <w:shd w:val="clear" w:color="auto" w:fill="FFFFFF"/>
        </w:rPr>
      </w:pPr>
    </w:p>
    <w:p w14:paraId="34CC2293" w14:textId="77777777" w:rsidR="00D20476" w:rsidRPr="008E2CD0" w:rsidRDefault="00D20476" w:rsidP="00FD1FC5">
      <w:pPr>
        <w:pStyle w:val="Heading2"/>
      </w:pPr>
      <w:bookmarkStart w:id="354" w:name="_Toc101048162"/>
      <w:r w:rsidRPr="008E2CD0">
        <w:t>Sampling and data collection</w:t>
      </w:r>
      <w:bookmarkEnd w:id="354"/>
    </w:p>
    <w:p w14:paraId="1657413D" w14:textId="77777777" w:rsidR="00D20476" w:rsidRDefault="00D20476" w:rsidP="00D20476">
      <w:pPr>
        <w:adjustRightInd w:val="0"/>
        <w:spacing w:line="360" w:lineRule="auto"/>
        <w:ind w:left="720" w:firstLine="720"/>
        <w:rPr>
          <w:rFonts w:cs="Times New Roman"/>
          <w:szCs w:val="24"/>
        </w:rPr>
      </w:pPr>
      <w:r w:rsidRPr="008E2CD0">
        <w:rPr>
          <w:rFonts w:cs="Times New Roman"/>
          <w:szCs w:val="24"/>
        </w:rPr>
        <w:t>Data were collected at the R</w:t>
      </w:r>
      <w:r>
        <w:rPr>
          <w:rFonts w:cs="Times New Roman"/>
          <w:szCs w:val="24"/>
        </w:rPr>
        <w:t>7</w:t>
      </w:r>
      <w:r w:rsidRPr="008E2CD0">
        <w:rPr>
          <w:rFonts w:cs="Times New Roman"/>
          <w:szCs w:val="24"/>
        </w:rPr>
        <w:t xml:space="preserve"> growth stage.</w:t>
      </w:r>
      <w:r>
        <w:rPr>
          <w:rFonts w:cs="Times New Roman"/>
          <w:szCs w:val="24"/>
        </w:rPr>
        <w:t xml:space="preserve"> Macrophomina phaseolina microsclerotia are known to be abundant in the vascular tissues of charcoal rot infected plants at the R7 growth stage, immediately after plant start senescences (Short et al., 1978; Megistu et al., 2007). </w:t>
      </w:r>
      <w:r w:rsidRPr="008E2CD0">
        <w:rPr>
          <w:rFonts w:cs="Times New Roman"/>
          <w:szCs w:val="24"/>
        </w:rPr>
        <w:t xml:space="preserve">Three random samples were collected per pot by cutting the stem at the cotyledonary node. Secondary roots and the rhizosphere soils were collected from the taproot into paper bags, while the taproot of each plant was collected into a separate paper bag. The samples remained in the greenhouse for up to 20 days for drying. Following this, data related to charcoal rot severity, plant heights, pods and seeds per plant, seed size, yields, and microsclerotial densities at harvest were collected. </w:t>
      </w:r>
    </w:p>
    <w:p w14:paraId="2C6E80DA" w14:textId="77777777" w:rsidR="00D20476" w:rsidRPr="008E2CD0" w:rsidRDefault="00D20476" w:rsidP="00D20476">
      <w:pPr>
        <w:adjustRightInd w:val="0"/>
        <w:spacing w:line="360" w:lineRule="auto"/>
        <w:ind w:left="720"/>
      </w:pPr>
    </w:p>
    <w:p w14:paraId="2651EDCF" w14:textId="77777777" w:rsidR="00D20476" w:rsidRPr="008E2CD0" w:rsidRDefault="00D20476" w:rsidP="00FD1FC5">
      <w:pPr>
        <w:pStyle w:val="Heading2"/>
      </w:pPr>
      <w:bookmarkStart w:id="355" w:name="_Toc101048163"/>
      <w:r w:rsidRPr="008E2CD0">
        <w:t>Charcoal rot severity, and soybean growth and yield</w:t>
      </w:r>
      <w:bookmarkEnd w:id="355"/>
      <w:r w:rsidRPr="008E2CD0">
        <w:t xml:space="preserve">  </w:t>
      </w:r>
    </w:p>
    <w:p w14:paraId="58DB4DF3" w14:textId="253600D4" w:rsidR="00D20476" w:rsidRDefault="00D20476" w:rsidP="004E11C2">
      <w:pPr>
        <w:adjustRightInd w:val="0"/>
        <w:spacing w:line="360" w:lineRule="auto"/>
        <w:ind w:left="720" w:firstLine="720"/>
        <w:rPr>
          <w:rFonts w:cs="Times New Roman"/>
          <w:szCs w:val="24"/>
        </w:rPr>
      </w:pPr>
      <w:r w:rsidRPr="008E2CD0">
        <w:rPr>
          <w:rFonts w:cs="Times New Roman"/>
          <w:szCs w:val="24"/>
        </w:rPr>
        <w:t xml:space="preserve">Samples were removed from paper bags and washed with tap water to remove the soil, and the taproot was split into two halves longitudinally.  Disease severity was rated on a 1 to 5 scale, based on the microsclerotial load where </w:t>
      </w:r>
      <w:r w:rsidRPr="008E2CD0">
        <w:rPr>
          <w:rFonts w:eastAsia="BemboStd" w:cs="Times New Roman"/>
          <w:szCs w:val="24"/>
        </w:rPr>
        <w:t>1 = no discoloration</w:t>
      </w:r>
      <w:r>
        <w:rPr>
          <w:rFonts w:eastAsia="BemboStd" w:cs="Times New Roman"/>
          <w:szCs w:val="24"/>
        </w:rPr>
        <w:t xml:space="preserve">, 2 = </w:t>
      </w:r>
      <w:r w:rsidRPr="005A3B93">
        <w:rPr>
          <w:rFonts w:eastAsia="BemboStd" w:cs="Times New Roman"/>
          <w:szCs w:val="24"/>
        </w:rPr>
        <w:t>very few mi</w:t>
      </w:r>
      <w:r>
        <w:rPr>
          <w:rFonts w:eastAsia="BemboStd" w:cs="Times New Roman"/>
          <w:szCs w:val="24"/>
        </w:rPr>
        <w:t xml:space="preserve">crosclerotia without tissue discoloration, 3 = vascular tissue partly covered with microsclerotia and discolored, 4 = vascular </w:t>
      </w:r>
      <w:r w:rsidR="00E326B2">
        <w:rPr>
          <w:rFonts w:eastAsia="BemboStd" w:cs="Times New Roman"/>
          <w:szCs w:val="24"/>
        </w:rPr>
        <w:t xml:space="preserve">tissue discolored with numerous microsclerotia, </w:t>
      </w:r>
      <w:r w:rsidR="00E326B2" w:rsidRPr="008E2CD0">
        <w:rPr>
          <w:rFonts w:eastAsia="BemboStd" w:cs="Times New Roman"/>
          <w:szCs w:val="24"/>
        </w:rPr>
        <w:t>and</w:t>
      </w:r>
      <w:r w:rsidRPr="008E2CD0">
        <w:rPr>
          <w:rFonts w:eastAsia="BemboStd" w:cs="Times New Roman"/>
          <w:szCs w:val="24"/>
        </w:rPr>
        <w:t xml:space="preserve"> 5 = highly discolored</w:t>
      </w:r>
      <w:r>
        <w:rPr>
          <w:rFonts w:eastAsia="BemboStd" w:cs="Times New Roman"/>
          <w:szCs w:val="24"/>
        </w:rPr>
        <w:t xml:space="preserve"> and covered in dark microsclerotia</w:t>
      </w:r>
      <w:r w:rsidRPr="008E2CD0">
        <w:rPr>
          <w:rFonts w:eastAsia="BemboStd" w:cs="Times New Roman"/>
          <w:szCs w:val="24"/>
        </w:rPr>
        <w:t xml:space="preserve"> (Mengistu et al.</w:t>
      </w:r>
      <w:r>
        <w:rPr>
          <w:rFonts w:eastAsia="BemboStd" w:cs="Times New Roman"/>
          <w:szCs w:val="24"/>
        </w:rPr>
        <w:t>,</w:t>
      </w:r>
      <w:r w:rsidRPr="008E2CD0">
        <w:rPr>
          <w:rFonts w:eastAsia="BemboStd" w:cs="Times New Roman"/>
          <w:szCs w:val="24"/>
        </w:rPr>
        <w:t xml:space="preserve"> 2007). </w:t>
      </w:r>
      <w:r w:rsidRPr="008E2CD0">
        <w:rPr>
          <w:rFonts w:cs="Times New Roman"/>
          <w:szCs w:val="24"/>
        </w:rPr>
        <w:t xml:space="preserve">Plant heights were measured from </w:t>
      </w:r>
      <w:r>
        <w:rPr>
          <w:rFonts w:cs="Times New Roman"/>
          <w:szCs w:val="24"/>
        </w:rPr>
        <w:t xml:space="preserve">the </w:t>
      </w:r>
      <w:r w:rsidRPr="008E2CD0">
        <w:rPr>
          <w:rFonts w:cs="Times New Roman"/>
          <w:szCs w:val="24"/>
        </w:rPr>
        <w:t>cotyledonary node upwards, and the number of pods and seeds per plant w</w:t>
      </w:r>
      <w:r>
        <w:rPr>
          <w:rFonts w:cs="Times New Roman"/>
          <w:szCs w:val="24"/>
        </w:rPr>
        <w:t>as</w:t>
      </w:r>
      <w:r w:rsidRPr="008E2CD0">
        <w:rPr>
          <w:rFonts w:cs="Times New Roman"/>
          <w:szCs w:val="24"/>
        </w:rPr>
        <w:t xml:space="preserve"> counted manually. Seeds were weighed and seed size (average weight of 100 Seeds) was determined for each treatment by dividing the total weight of seeds per plant by the number of seeds per plant and multipl</w:t>
      </w:r>
      <w:r>
        <w:rPr>
          <w:rFonts w:cs="Times New Roman"/>
          <w:szCs w:val="24"/>
        </w:rPr>
        <w:t>ying</w:t>
      </w:r>
      <w:r w:rsidRPr="008E2CD0">
        <w:rPr>
          <w:rFonts w:cs="Times New Roman"/>
          <w:szCs w:val="24"/>
        </w:rPr>
        <w:t xml:space="preserve"> by 100. Also, yield (</w:t>
      </w:r>
      <w:r>
        <w:rPr>
          <w:rFonts w:cs="Times New Roman"/>
          <w:szCs w:val="24"/>
        </w:rPr>
        <w:t>k</w:t>
      </w:r>
      <w:r w:rsidRPr="008E2CD0">
        <w:rPr>
          <w:rFonts w:cs="Times New Roman"/>
          <w:szCs w:val="24"/>
        </w:rPr>
        <w:t xml:space="preserve">g/ha) was </w:t>
      </w:r>
      <w:r w:rsidRPr="008E2CD0">
        <w:t xml:space="preserve">determined based on 247,105 plants per ha (100,000 plants per acre) per </w:t>
      </w:r>
      <w:r>
        <w:t xml:space="preserve">the </w:t>
      </w:r>
      <w:r w:rsidRPr="008E2CD0">
        <w:t>University of Tennessee</w:t>
      </w:r>
      <w:r>
        <w:t>'s</w:t>
      </w:r>
      <w:r w:rsidRPr="008E2CD0">
        <w:t xml:space="preserve"> recommended final soybean population </w:t>
      </w:r>
      <w:r w:rsidRPr="008E2CD0">
        <w:fldChar w:fldCharType="begin" w:fldLock="1"/>
      </w:r>
      <w:r>
        <w:instrText>ADDIN CSL_CITATION {"citationItems":[{"id":"ITEM-1","itemData":{"author":[{"dropping-particle":"","family":"McClure","given":"Angela","non-dropping-particle":"","parse-names":false,"suffix":""}],"id":"ITEM-1","issued":{"date-parts":[["2018"]]},"title":"2018 Tennessee Soybean Quick Facts","type":"article-journal"},"uris":["http://www.mendeley.com/documents/?uuid=f0b9a95b-74fe-43ca-b740-ea84ab4e4de5"]}],"mendeley":{"formattedCitation":"(McClure, 2018)","manualFormatting":"(Davidson, 2018)","plainTextFormattedCitation":"(McClure, 2018)","previouslyFormattedCitation":"(McClure, 2018)"},"properties":{"noteIndex":0},"schema":"https://github.com/citation-style-language/schema/raw/master/csl-citation.json"}</w:instrText>
      </w:r>
      <w:r w:rsidRPr="008E2CD0">
        <w:fldChar w:fldCharType="separate"/>
      </w:r>
      <w:r>
        <w:rPr>
          <w:noProof/>
        </w:rPr>
        <w:t>(Davidson</w:t>
      </w:r>
      <w:r w:rsidRPr="008E2CD0">
        <w:rPr>
          <w:noProof/>
        </w:rPr>
        <w:t>, 2018)</w:t>
      </w:r>
      <w:r w:rsidRPr="008E2CD0">
        <w:fldChar w:fldCharType="end"/>
      </w:r>
      <w:r w:rsidRPr="008E2CD0">
        <w:rPr>
          <w:rFonts w:cs="Times New Roman"/>
          <w:szCs w:val="24"/>
        </w:rPr>
        <w:t>.</w:t>
      </w:r>
    </w:p>
    <w:p w14:paraId="23CA9A23" w14:textId="77777777" w:rsidR="004E11C2" w:rsidRPr="008E2CD0" w:rsidRDefault="004E11C2" w:rsidP="004E11C2">
      <w:pPr>
        <w:adjustRightInd w:val="0"/>
        <w:spacing w:line="360" w:lineRule="auto"/>
        <w:ind w:left="720" w:firstLine="720"/>
        <w:rPr>
          <w:rFonts w:cs="Times New Roman"/>
          <w:szCs w:val="24"/>
        </w:rPr>
      </w:pPr>
    </w:p>
    <w:p w14:paraId="281C1983" w14:textId="77777777" w:rsidR="004E11C2" w:rsidRDefault="004E11C2">
      <w:pPr>
        <w:rPr>
          <w:rFonts w:cs="Times New Roman"/>
          <w:b/>
          <w:bCs/>
          <w:i/>
          <w:szCs w:val="24"/>
          <w:shd w:val="clear" w:color="auto" w:fill="FFFFFF"/>
        </w:rPr>
      </w:pPr>
      <w:bookmarkStart w:id="356" w:name="_Toc101048164"/>
      <w:r>
        <w:br w:type="page"/>
      </w:r>
    </w:p>
    <w:p w14:paraId="3DB83DEB" w14:textId="78CB3E25" w:rsidR="00D20476" w:rsidRPr="008E2CD0" w:rsidRDefault="00D20476" w:rsidP="00FD1FC5">
      <w:pPr>
        <w:pStyle w:val="Heading2"/>
      </w:pPr>
      <w:r w:rsidRPr="008E2CD0">
        <w:t>Microsclerotial densities at harvest</w:t>
      </w:r>
      <w:bookmarkEnd w:id="356"/>
    </w:p>
    <w:p w14:paraId="602C3DA8" w14:textId="77777777" w:rsidR="00D20476" w:rsidRPr="008E2CD0" w:rsidRDefault="00D20476" w:rsidP="00D20476">
      <w:pPr>
        <w:spacing w:line="360" w:lineRule="auto"/>
        <w:ind w:left="720" w:firstLine="720"/>
        <w:rPr>
          <w:rFonts w:cs="Times New Roman"/>
          <w:szCs w:val="24"/>
        </w:rPr>
      </w:pPr>
      <w:r w:rsidRPr="008E2CD0">
        <w:rPr>
          <w:rFonts w:cs="Times New Roman"/>
          <w:szCs w:val="24"/>
        </w:rPr>
        <w:t>Densities of microsclerotia from bulk and rhizosphere soils and stem and root tissues of the soybean varieties were estimated using the colony-forming units (CFU) method (</w:t>
      </w:r>
      <w:r w:rsidRPr="008E2CD0">
        <w:rPr>
          <w:rFonts w:cs="Times New Roman"/>
          <w:szCs w:val="24"/>
          <w:shd w:val="clear" w:color="auto" w:fill="FFFFFF"/>
        </w:rPr>
        <w:t xml:space="preserve">Mengistu et al., 2007) as previously </w:t>
      </w:r>
      <w:r w:rsidRPr="008E2CD0">
        <w:rPr>
          <w:rFonts w:cs="Times New Roman"/>
          <w:szCs w:val="24"/>
        </w:rPr>
        <w:t>described. Soil samples were collected from bulk and rhizosphere regions and ground separately using mortar and pestle, and the microsclerotia present in 1 g of the soil was determined for each. Also, taproots collected from each pot (</w:t>
      </w:r>
      <w:r w:rsidRPr="008E2CD0">
        <w:rPr>
          <w:rFonts w:cs="Times New Roman"/>
          <w:szCs w:val="24"/>
          <w:shd w:val="clear" w:color="auto" w:fill="FFFFFF"/>
        </w:rPr>
        <w:t xml:space="preserve">after rating for charcoal rot severity) were </w:t>
      </w:r>
      <w:r w:rsidRPr="008E2CD0">
        <w:rPr>
          <w:rFonts w:cs="Times New Roman"/>
          <w:szCs w:val="24"/>
        </w:rPr>
        <w:t>ground using the Wiley Mill Model 4 (Philadelphia, PA) milling machine (the machine was thoroughly cleansed between samples with a suction device to prevent cross-contamination) and the microsclerotia present in 0.005 g tissue was determined and multiplied by 200 to arrive at the microsclerotia per 1 g tissue.</w:t>
      </w:r>
    </w:p>
    <w:p w14:paraId="1C463558" w14:textId="77777777" w:rsidR="00D20476" w:rsidRPr="008E2CD0" w:rsidRDefault="00D20476" w:rsidP="00D20476">
      <w:pPr>
        <w:adjustRightInd w:val="0"/>
        <w:spacing w:line="360" w:lineRule="auto"/>
        <w:ind w:left="720"/>
        <w:rPr>
          <w:rFonts w:cs="Times New Roman"/>
          <w:szCs w:val="24"/>
        </w:rPr>
      </w:pPr>
    </w:p>
    <w:p w14:paraId="4C79263E" w14:textId="77777777" w:rsidR="00D20476" w:rsidRPr="008E2CD0" w:rsidRDefault="00D20476" w:rsidP="00FD1FC5">
      <w:pPr>
        <w:pStyle w:val="Heading2"/>
      </w:pPr>
      <w:bookmarkStart w:id="357" w:name="_Toc101048165"/>
      <w:r w:rsidRPr="008E2CD0">
        <w:t>Data analysis</w:t>
      </w:r>
      <w:bookmarkEnd w:id="357"/>
    </w:p>
    <w:p w14:paraId="5EBCF7FB" w14:textId="77777777" w:rsidR="00D20476" w:rsidRPr="008E2CD0" w:rsidRDefault="00D20476" w:rsidP="00D20476">
      <w:pPr>
        <w:adjustRightInd w:val="0"/>
        <w:spacing w:line="360" w:lineRule="auto"/>
        <w:ind w:left="720" w:firstLine="720"/>
        <w:rPr>
          <w:rFonts w:cs="Times New Roman"/>
          <w:b/>
          <w:szCs w:val="24"/>
        </w:rPr>
      </w:pPr>
      <w:r w:rsidRPr="008E2CD0">
        <w:rPr>
          <w:rFonts w:eastAsia="TimesNewRomanPSMT" w:cs="Times New Roman"/>
          <w:szCs w:val="24"/>
        </w:rPr>
        <w:t>A</w:t>
      </w:r>
      <w:r w:rsidRPr="008E2CD0">
        <w:rPr>
          <w:rFonts w:cs="Times New Roman"/>
          <w:szCs w:val="24"/>
        </w:rPr>
        <w:t xml:space="preserve">nalysis of variance (ANOVA) was used to determine any difference in plant height, pod number, seed number, seed size, and yield among treatments using JMP version 15.2 (SAS Institute, Cary, NC), and means were separated using Tukey’s HSD or Student’s T </w:t>
      </w:r>
      <w:r w:rsidRPr="008E2CD0">
        <w:rPr>
          <w:rFonts w:eastAsia="TimesNewRomanPSMT" w:cs="Times New Roman"/>
          <w:szCs w:val="24"/>
        </w:rPr>
        <w:t>(α = 0.05).</w:t>
      </w:r>
      <w:r w:rsidRPr="008E2CD0">
        <w:rPr>
          <w:rFonts w:cs="Times New Roman"/>
          <w:szCs w:val="24"/>
        </w:rPr>
        <w:t xml:space="preserve"> Pearson correlations were conducted in SAS Version 9.4 (SAS Institute, Cary, NC) to show relationships between inoculum treatments and disease severity and plant growth variables. </w:t>
      </w:r>
    </w:p>
    <w:p w14:paraId="128241C3" w14:textId="77777777" w:rsidR="00D20476" w:rsidRPr="008E2CD0" w:rsidRDefault="00D20476" w:rsidP="00D20476">
      <w:pPr>
        <w:spacing w:line="360" w:lineRule="auto"/>
        <w:ind w:left="720"/>
        <w:rPr>
          <w:rFonts w:cs="Times New Roman"/>
          <w:b/>
          <w:szCs w:val="24"/>
        </w:rPr>
      </w:pPr>
    </w:p>
    <w:p w14:paraId="2A2186B2" w14:textId="77777777" w:rsidR="00D20476" w:rsidRPr="008E2CD0" w:rsidRDefault="00D20476" w:rsidP="00D20476">
      <w:pPr>
        <w:pStyle w:val="Heading1"/>
        <w:spacing w:line="360" w:lineRule="auto"/>
        <w:ind w:left="720"/>
        <w:jc w:val="center"/>
      </w:pPr>
      <w:bookmarkStart w:id="358" w:name="_Toc101048166"/>
      <w:r w:rsidRPr="008E2CD0">
        <w:t>Results</w:t>
      </w:r>
      <w:bookmarkEnd w:id="358"/>
    </w:p>
    <w:p w14:paraId="63391E9F" w14:textId="77777777" w:rsidR="00D20476" w:rsidRPr="008E2CD0" w:rsidRDefault="00D20476" w:rsidP="00FD1FC5">
      <w:pPr>
        <w:pStyle w:val="Heading2"/>
      </w:pPr>
      <w:bookmarkStart w:id="359" w:name="_Toc101048167"/>
      <w:r w:rsidRPr="008E2CD0">
        <w:t>Impact of microsclerotial treatments on charcoal rot severity</w:t>
      </w:r>
      <w:bookmarkEnd w:id="359"/>
      <w:r w:rsidRPr="008E2CD0">
        <w:t xml:space="preserve"> </w:t>
      </w:r>
    </w:p>
    <w:p w14:paraId="4D34764E" w14:textId="5D24F663" w:rsidR="002E4580" w:rsidRDefault="00D20476" w:rsidP="006F7E26">
      <w:pPr>
        <w:adjustRightInd w:val="0"/>
        <w:spacing w:line="360" w:lineRule="auto"/>
        <w:ind w:left="720" w:firstLine="720"/>
        <w:rPr>
          <w:rFonts w:cs="Times New Roman"/>
          <w:szCs w:val="24"/>
        </w:rPr>
      </w:pPr>
      <w:r w:rsidRPr="008E2CD0">
        <w:rPr>
          <w:rFonts w:cs="Times New Roman"/>
          <w:szCs w:val="24"/>
        </w:rPr>
        <w:t>Analysis of variance indicated variety and microsclerotial treatments had significant effects on multiple parameters</w:t>
      </w:r>
      <w:r>
        <w:rPr>
          <w:rFonts w:cs="Times New Roman"/>
          <w:szCs w:val="24"/>
        </w:rPr>
        <w:t>.</w:t>
      </w:r>
      <w:r w:rsidRPr="008E2CD0">
        <w:rPr>
          <w:rFonts w:cs="Times New Roman"/>
          <w:szCs w:val="24"/>
        </w:rPr>
        <w:t xml:space="preserve"> </w:t>
      </w:r>
      <w:r>
        <w:rPr>
          <w:rFonts w:cs="Times New Roman"/>
          <w:szCs w:val="24"/>
        </w:rPr>
        <w:t>The o</w:t>
      </w:r>
      <w:r w:rsidRPr="008E2CD0">
        <w:rPr>
          <w:rFonts w:cs="Times New Roman"/>
          <w:szCs w:val="24"/>
        </w:rPr>
        <w:t>nly significant interaction</w:t>
      </w:r>
      <w:r>
        <w:rPr>
          <w:rFonts w:cs="Times New Roman"/>
          <w:szCs w:val="24"/>
        </w:rPr>
        <w:t>s</w:t>
      </w:r>
      <w:r w:rsidRPr="008E2CD0">
        <w:rPr>
          <w:rFonts w:cs="Times New Roman"/>
          <w:szCs w:val="24"/>
        </w:rPr>
        <w:t xml:space="preserve"> </w:t>
      </w:r>
      <w:r>
        <w:rPr>
          <w:rFonts w:cs="Times New Roman"/>
          <w:szCs w:val="24"/>
        </w:rPr>
        <w:t>were</w:t>
      </w:r>
      <w:r w:rsidRPr="008E2CD0">
        <w:rPr>
          <w:rFonts w:cs="Times New Roman"/>
          <w:szCs w:val="24"/>
        </w:rPr>
        <w:t xml:space="preserve"> between variety and microsclerotial treatments on </w:t>
      </w:r>
      <w:r>
        <w:rPr>
          <w:rFonts w:cs="Times New Roman"/>
          <w:szCs w:val="24"/>
        </w:rPr>
        <w:t xml:space="preserve">the </w:t>
      </w:r>
      <w:r w:rsidRPr="008E2CD0">
        <w:rPr>
          <w:rFonts w:cs="Times New Roman"/>
          <w:szCs w:val="24"/>
        </w:rPr>
        <w:t xml:space="preserve">severity and </w:t>
      </w:r>
      <w:r w:rsidRPr="008E2CD0">
        <w:rPr>
          <w:rFonts w:cs="Times New Roman"/>
          <w:i/>
          <w:szCs w:val="24"/>
        </w:rPr>
        <w:t xml:space="preserve">M. phaseolina </w:t>
      </w:r>
      <w:r w:rsidRPr="008E2CD0">
        <w:rPr>
          <w:rFonts w:cs="Times New Roman"/>
          <w:szCs w:val="24"/>
        </w:rPr>
        <w:t xml:space="preserve">CFUs from bulk soil (Table </w:t>
      </w:r>
      <w:r>
        <w:rPr>
          <w:rFonts w:cs="Times New Roman"/>
          <w:szCs w:val="24"/>
        </w:rPr>
        <w:t>4.</w:t>
      </w:r>
      <w:r w:rsidRPr="008E2CD0">
        <w:rPr>
          <w:rFonts w:cs="Times New Roman"/>
          <w:szCs w:val="24"/>
        </w:rPr>
        <w:t>2</w:t>
      </w:r>
      <w:r>
        <w:rPr>
          <w:rFonts w:cs="Times New Roman"/>
          <w:szCs w:val="24"/>
        </w:rPr>
        <w:t>; 4.3</w:t>
      </w:r>
      <w:r w:rsidRPr="008E2CD0">
        <w:rPr>
          <w:rFonts w:cs="Times New Roman"/>
          <w:szCs w:val="24"/>
        </w:rPr>
        <w:t xml:space="preserve">). While microsclerotial treatments did not affect severity on the moderately resistant variety, DT97-4290, they did affect severity across the susceptible variety, LS98-0358, where microsclerotial treatments of 1.5, 3.5, and 4.0 g of inoculum caused a significantly greater charcoal rot severity compared to controls (Table </w:t>
      </w:r>
      <w:r>
        <w:rPr>
          <w:rFonts w:cs="Times New Roman"/>
          <w:szCs w:val="24"/>
        </w:rPr>
        <w:t>4.</w:t>
      </w:r>
      <w:r w:rsidRPr="008E2CD0">
        <w:rPr>
          <w:rFonts w:cs="Times New Roman"/>
          <w:szCs w:val="24"/>
        </w:rPr>
        <w:t xml:space="preserve">3). Similarly, </w:t>
      </w:r>
      <w:r w:rsidRPr="008E2CD0">
        <w:rPr>
          <w:rFonts w:cs="Times New Roman"/>
          <w:i/>
          <w:szCs w:val="24"/>
        </w:rPr>
        <w:t xml:space="preserve">M. phaseolina </w:t>
      </w:r>
      <w:r w:rsidRPr="008E2CD0">
        <w:rPr>
          <w:rFonts w:cs="Times New Roman"/>
          <w:szCs w:val="24"/>
        </w:rPr>
        <w:t xml:space="preserve">CFUs from bulk soil were not different across microsclerotial treatments on the moderately resistant variety, and only the greatest microsclerotial treatment of 4.0 g of inoculum had significantly greater </w:t>
      </w:r>
      <w:r w:rsidRPr="008E2CD0">
        <w:rPr>
          <w:rFonts w:cs="Times New Roman"/>
          <w:i/>
          <w:szCs w:val="24"/>
        </w:rPr>
        <w:t xml:space="preserve">M. phaseolina </w:t>
      </w:r>
      <w:r w:rsidRPr="008E2CD0">
        <w:rPr>
          <w:rFonts w:cs="Times New Roman"/>
          <w:szCs w:val="24"/>
        </w:rPr>
        <w:t xml:space="preserve">CFUs from bulk soil than any other treatment </w:t>
      </w:r>
      <w:r>
        <w:rPr>
          <w:rFonts w:cs="Times New Roman"/>
          <w:szCs w:val="24"/>
        </w:rPr>
        <w:t>on LS98-0358</w:t>
      </w:r>
      <w:r w:rsidRPr="008E2CD0">
        <w:rPr>
          <w:rFonts w:cs="Times New Roman"/>
          <w:szCs w:val="24"/>
        </w:rPr>
        <w:t xml:space="preserve"> (Table </w:t>
      </w:r>
      <w:r>
        <w:rPr>
          <w:rFonts w:cs="Times New Roman"/>
          <w:szCs w:val="24"/>
        </w:rPr>
        <w:t>4.</w:t>
      </w:r>
      <w:r w:rsidRPr="008E2CD0">
        <w:rPr>
          <w:rFonts w:cs="Times New Roman"/>
          <w:szCs w:val="24"/>
        </w:rPr>
        <w:t xml:space="preserve">3). </w:t>
      </w:r>
    </w:p>
    <w:p w14:paraId="6E0D10A6" w14:textId="77777777" w:rsidR="006F7E26" w:rsidRDefault="006F7E26" w:rsidP="006F7E26">
      <w:pPr>
        <w:adjustRightInd w:val="0"/>
        <w:spacing w:line="360" w:lineRule="auto"/>
        <w:ind w:left="720" w:firstLine="720"/>
        <w:rPr>
          <w:rFonts w:cs="Times New Roman"/>
          <w:b/>
          <w:bCs/>
          <w:i/>
          <w:szCs w:val="24"/>
          <w:shd w:val="clear" w:color="auto" w:fill="FFFFFF"/>
        </w:rPr>
      </w:pPr>
    </w:p>
    <w:p w14:paraId="06978EEA" w14:textId="11B7A4A8" w:rsidR="00D20476" w:rsidRPr="008E2CD0" w:rsidRDefault="00D20476" w:rsidP="00FD1FC5">
      <w:pPr>
        <w:pStyle w:val="Heading2"/>
      </w:pPr>
      <w:bookmarkStart w:id="360" w:name="_Toc101048168"/>
      <w:r w:rsidRPr="008E2CD0">
        <w:t>Impact of microsclerotial trea</w:t>
      </w:r>
      <w:r>
        <w:t>tments on soybean growth and yield parameters</w:t>
      </w:r>
      <w:bookmarkEnd w:id="360"/>
    </w:p>
    <w:p w14:paraId="7F526B44" w14:textId="77777777" w:rsidR="00D20476" w:rsidRPr="00FB5B67" w:rsidRDefault="00D20476" w:rsidP="00D20476">
      <w:pPr>
        <w:spacing w:line="360" w:lineRule="auto"/>
        <w:ind w:left="720" w:firstLine="720"/>
      </w:pPr>
      <w:r>
        <w:rPr>
          <w:rFonts w:cs="Times New Roman"/>
          <w:szCs w:val="24"/>
        </w:rPr>
        <w:t xml:space="preserve">There was no significant difference in plant height, pods and seeds, seed size, and yields per plant between treatments across both varieties (Tables 4.2 and 4.4). </w:t>
      </w:r>
      <w:r w:rsidRPr="008E2CD0">
        <w:rPr>
          <w:rFonts w:cs="Times New Roman"/>
          <w:szCs w:val="24"/>
        </w:rPr>
        <w:t>Pods and seeds per plant varied from 16 to 26 and 36 to 58, respectively, across the</w:t>
      </w:r>
      <w:r>
        <w:rPr>
          <w:rFonts w:cs="Times New Roman"/>
          <w:szCs w:val="24"/>
        </w:rPr>
        <w:t xml:space="preserve"> susceptible variety (LS98-0358) </w:t>
      </w:r>
      <w:r w:rsidRPr="008E2CD0">
        <w:rPr>
          <w:rFonts w:cs="Times New Roman"/>
          <w:szCs w:val="24"/>
        </w:rPr>
        <w:t>and from 18 to 25 and 36 to 51, respectively, across t</w:t>
      </w:r>
      <w:r>
        <w:rPr>
          <w:rFonts w:cs="Times New Roman"/>
          <w:szCs w:val="24"/>
        </w:rPr>
        <w:t>he moderately resistant variety (</w:t>
      </w:r>
      <w:r w:rsidRPr="008E2CD0">
        <w:rPr>
          <w:rFonts w:cs="Times New Roman"/>
          <w:szCs w:val="24"/>
        </w:rPr>
        <w:t>DT97-4290</w:t>
      </w:r>
      <w:r>
        <w:rPr>
          <w:rFonts w:cs="Times New Roman"/>
          <w:szCs w:val="24"/>
        </w:rPr>
        <w:t>) (Table 4.4). P</w:t>
      </w:r>
      <w:r w:rsidRPr="008E2CD0">
        <w:rPr>
          <w:rFonts w:cs="Times New Roman"/>
          <w:szCs w:val="24"/>
        </w:rPr>
        <w:t>lant height varied from 55 to 56 cm across the susceptible variety, LS98-0358</w:t>
      </w:r>
      <w:r>
        <w:rPr>
          <w:rFonts w:cs="Times New Roman"/>
          <w:szCs w:val="24"/>
        </w:rPr>
        <w:t>,</w:t>
      </w:r>
      <w:r w:rsidRPr="008E2CD0">
        <w:rPr>
          <w:rFonts w:cs="Times New Roman"/>
          <w:szCs w:val="24"/>
        </w:rPr>
        <w:t xml:space="preserve"> and from 80 to 92 cm across the moderatel</w:t>
      </w:r>
      <w:r>
        <w:rPr>
          <w:rFonts w:cs="Times New Roman"/>
          <w:szCs w:val="24"/>
        </w:rPr>
        <w:t xml:space="preserve">y resistant variety, DT97-4290 (data not shown). </w:t>
      </w:r>
      <w:r w:rsidRPr="008E2CD0">
        <w:rPr>
          <w:rFonts w:cs="Times New Roman"/>
          <w:szCs w:val="24"/>
        </w:rPr>
        <w:t>Likewise, seed size and yields varied from 13.7 to 16.7 g and 2.9 to 4.9 kg/ha, respectively, across the susceptible variety, LS98-0358, and from 15.9 to 19.3 g and 4.1 to 5.6 kg/ha across the moderate</w:t>
      </w:r>
      <w:r>
        <w:rPr>
          <w:rFonts w:cs="Times New Roman"/>
          <w:szCs w:val="24"/>
        </w:rPr>
        <w:t>ly resistant variety, DT97-4290 (Table 4.4). Treatments with high microsclerotial density (</w:t>
      </w:r>
      <w:r w:rsidRPr="008E2CD0">
        <w:rPr>
          <w:rFonts w:cs="Times New Roman"/>
          <w:szCs w:val="24"/>
        </w:rPr>
        <w:t>3.0,</w:t>
      </w:r>
      <w:r>
        <w:rPr>
          <w:rFonts w:cs="Times New Roman"/>
          <w:szCs w:val="24"/>
        </w:rPr>
        <w:t xml:space="preserve"> 3.5,</w:t>
      </w:r>
      <w:r w:rsidRPr="008E2CD0">
        <w:rPr>
          <w:rFonts w:cs="Times New Roman"/>
          <w:szCs w:val="24"/>
        </w:rPr>
        <w:t xml:space="preserve"> and 4.0g</w:t>
      </w:r>
      <w:r>
        <w:rPr>
          <w:rFonts w:cs="Times New Roman"/>
          <w:szCs w:val="24"/>
        </w:rPr>
        <w:t>)</w:t>
      </w:r>
      <w:r w:rsidRPr="008E2CD0">
        <w:rPr>
          <w:rFonts w:cs="Times New Roman"/>
          <w:szCs w:val="24"/>
        </w:rPr>
        <w:t xml:space="preserve"> had </w:t>
      </w:r>
      <w:r>
        <w:rPr>
          <w:rFonts w:cs="Times New Roman"/>
          <w:szCs w:val="24"/>
        </w:rPr>
        <w:t>numerically low yields across both varieties (Table 4.4</w:t>
      </w:r>
      <w:r w:rsidRPr="008E2CD0">
        <w:rPr>
          <w:rFonts w:cs="Times New Roman"/>
          <w:szCs w:val="24"/>
        </w:rPr>
        <w:t>).</w:t>
      </w:r>
      <w:r>
        <w:rPr>
          <w:rFonts w:cs="Times New Roman"/>
          <w:szCs w:val="24"/>
        </w:rPr>
        <w:t xml:space="preserve"> </w:t>
      </w:r>
      <w:r w:rsidRPr="008E2CD0">
        <w:rPr>
          <w:rFonts w:cs="Times New Roman"/>
          <w:szCs w:val="24"/>
        </w:rPr>
        <w:t xml:space="preserve"> </w:t>
      </w:r>
      <w:r>
        <w:rPr>
          <w:rFonts w:cs="Times New Roman"/>
          <w:szCs w:val="24"/>
        </w:rPr>
        <w:t xml:space="preserve">Further analysis of </w:t>
      </w:r>
      <w:r w:rsidRPr="008E2CD0">
        <w:rPr>
          <w:rFonts w:cs="Times New Roman"/>
          <w:szCs w:val="24"/>
        </w:rPr>
        <w:t>the susceptible variety</w:t>
      </w:r>
      <w:r>
        <w:rPr>
          <w:rFonts w:cs="Times New Roman"/>
          <w:szCs w:val="24"/>
        </w:rPr>
        <w:t xml:space="preserve"> showed that</w:t>
      </w:r>
      <w:r w:rsidRPr="008E2CD0">
        <w:rPr>
          <w:rFonts w:cs="Times New Roman"/>
          <w:szCs w:val="24"/>
        </w:rPr>
        <w:t xml:space="preserve"> there was a moderate positive correlation between microsclerotial treatments and disease severity (Rho 0.4, P=0.02). </w:t>
      </w:r>
    </w:p>
    <w:p w14:paraId="17E9FBC1" w14:textId="77777777" w:rsidR="00D20476" w:rsidRPr="008E2CD0" w:rsidRDefault="00D20476" w:rsidP="00D20476">
      <w:pPr>
        <w:adjustRightInd w:val="0"/>
        <w:spacing w:line="360" w:lineRule="auto"/>
        <w:rPr>
          <w:rFonts w:cs="Times New Roman"/>
          <w:szCs w:val="24"/>
        </w:rPr>
      </w:pPr>
    </w:p>
    <w:p w14:paraId="066BCBE5" w14:textId="77777777" w:rsidR="00D20476" w:rsidRDefault="00D20476" w:rsidP="00FD1FC5">
      <w:pPr>
        <w:pStyle w:val="Heading2"/>
      </w:pPr>
      <w:bookmarkStart w:id="361" w:name="_Toc101048169"/>
      <w:r w:rsidRPr="00FB5B67">
        <w:t>Impact of variety on charcoal rot and growth parameters</w:t>
      </w:r>
      <w:bookmarkEnd w:id="361"/>
    </w:p>
    <w:p w14:paraId="7079CD2E" w14:textId="77777777" w:rsidR="00D20476" w:rsidRDefault="00D20476" w:rsidP="00D20476">
      <w:pPr>
        <w:spacing w:line="360" w:lineRule="auto"/>
        <w:ind w:left="720" w:firstLine="720"/>
        <w:rPr>
          <w:rFonts w:cs="Times New Roman"/>
          <w:szCs w:val="24"/>
        </w:rPr>
      </w:pPr>
      <w:r w:rsidRPr="008E2CD0">
        <w:rPr>
          <w:rFonts w:cs="Times New Roman"/>
          <w:szCs w:val="24"/>
        </w:rPr>
        <w:t>Variety significantly influenced disease and growth parameters evaluated in this study</w:t>
      </w:r>
      <w:r>
        <w:rPr>
          <w:rFonts w:cs="Times New Roman"/>
          <w:szCs w:val="24"/>
        </w:rPr>
        <w:t xml:space="preserve"> (Table 4.5)</w:t>
      </w:r>
      <w:r w:rsidRPr="008E2CD0">
        <w:rPr>
          <w:rFonts w:cs="Times New Roman"/>
          <w:szCs w:val="24"/>
        </w:rPr>
        <w:t>. The susceptible variety had greater severity and CFUs from the taproot than the moderately resistant variety, as well as having fewer pods, smaller seed size, height, and lower yield compared to the moderately resistant variety (Table 4</w:t>
      </w:r>
      <w:r>
        <w:rPr>
          <w:rFonts w:cs="Times New Roman"/>
          <w:szCs w:val="24"/>
        </w:rPr>
        <w:t>.5)</w:t>
      </w:r>
      <w:r w:rsidRPr="008E2CD0">
        <w:rPr>
          <w:rFonts w:cs="Times New Roman"/>
          <w:szCs w:val="24"/>
        </w:rPr>
        <w:t xml:space="preserve">. </w:t>
      </w:r>
    </w:p>
    <w:p w14:paraId="0BC1585F" w14:textId="77777777" w:rsidR="00D20476" w:rsidRDefault="00D20476" w:rsidP="00D20476">
      <w:pPr>
        <w:pStyle w:val="Heading1"/>
        <w:spacing w:line="360" w:lineRule="auto"/>
        <w:ind w:left="720"/>
        <w:jc w:val="center"/>
      </w:pPr>
    </w:p>
    <w:p w14:paraId="1367F554" w14:textId="77777777" w:rsidR="00D20476" w:rsidRPr="008E2CD0" w:rsidRDefault="00D20476" w:rsidP="00D20476">
      <w:pPr>
        <w:pStyle w:val="Heading1"/>
        <w:spacing w:line="360" w:lineRule="auto"/>
        <w:ind w:left="720"/>
        <w:jc w:val="center"/>
      </w:pPr>
      <w:bookmarkStart w:id="362" w:name="_Toc101048170"/>
      <w:r w:rsidRPr="008E2CD0">
        <w:t>Discussion</w:t>
      </w:r>
      <w:bookmarkEnd w:id="362"/>
    </w:p>
    <w:p w14:paraId="163B4F91" w14:textId="77777777" w:rsidR="00D20476" w:rsidRPr="008E2CD0" w:rsidRDefault="00D20476" w:rsidP="00D20476">
      <w:pPr>
        <w:adjustRightInd w:val="0"/>
        <w:spacing w:line="360" w:lineRule="auto"/>
        <w:ind w:left="720" w:firstLine="720"/>
        <w:rPr>
          <w:rFonts w:cs="Times New Roman"/>
          <w:szCs w:val="24"/>
          <w:shd w:val="clear" w:color="auto" w:fill="FFFFFF"/>
        </w:rPr>
      </w:pPr>
      <w:r w:rsidRPr="008E2CD0">
        <w:rPr>
          <w:rFonts w:cs="Times New Roman"/>
          <w:szCs w:val="24"/>
        </w:rPr>
        <w:t>Results suggested that three microsclerotial treatments of 1.5, 3.5, and 4.0 grams, representing about 142,000, 332,00, and 380,000 CFU/treatment, can elicit charcoal rot on a susceptible soybean, but a moderately resistant variety may be unaffected by the densities. A previous study showed that soil microsclerotia density was correlated with charcoal rot severity, but moderately resistant soybean varieties harvested from charcoal rot-infested fields had little or no visually detectable charcoal rot disease (Mengistu et al</w:t>
      </w:r>
      <w:r>
        <w:rPr>
          <w:rFonts w:cs="Times New Roman"/>
          <w:szCs w:val="24"/>
        </w:rPr>
        <w:t>.,</w:t>
      </w:r>
      <w:r w:rsidRPr="008E2CD0">
        <w:rPr>
          <w:rFonts w:cs="Times New Roman"/>
          <w:szCs w:val="24"/>
        </w:rPr>
        <w:t xml:space="preserve"> 2007). The present result provides additional insights related to the microsclerotial density that can induce charcoal rot on susceptible soybean in the greenhouse. Results suggested that none of the microsclerotial treatments were capable of reducing growth on the susceptible variety tested. This suggests that the densities tested may not cause severe enough damage to crop growth. However, results showed that high inoculum densities can cause</w:t>
      </w:r>
      <w:r>
        <w:rPr>
          <w:rFonts w:cs="Times New Roman"/>
          <w:szCs w:val="24"/>
        </w:rPr>
        <w:t xml:space="preserve"> a non-significant </w:t>
      </w:r>
      <w:r w:rsidRPr="008E2CD0">
        <w:rPr>
          <w:rFonts w:cs="Times New Roman"/>
          <w:szCs w:val="24"/>
        </w:rPr>
        <w:t xml:space="preserve">yield loss on susceptible soybean without </w:t>
      </w:r>
      <w:r>
        <w:rPr>
          <w:rFonts w:cs="Times New Roman"/>
          <w:szCs w:val="24"/>
        </w:rPr>
        <w:t xml:space="preserve">a </w:t>
      </w:r>
      <w:r w:rsidRPr="008E2CD0">
        <w:rPr>
          <w:rFonts w:cs="Times New Roman"/>
          <w:szCs w:val="24"/>
        </w:rPr>
        <w:t xml:space="preserve">reduction in plant height. Primarily, charcoal rot disease is known for reducing water movement in susceptible cultivars and causing yield loss </w:t>
      </w:r>
      <w:r w:rsidRPr="008E2CD0">
        <w:rPr>
          <w:rFonts w:cs="Times New Roman"/>
          <w:szCs w:val="24"/>
        </w:rPr>
        <w:fldChar w:fldCharType="begin" w:fldLock="1"/>
      </w:r>
      <w:r w:rsidRPr="008E2CD0">
        <w:rPr>
          <w:rFonts w:cs="Times New Roman"/>
          <w:szCs w:val="24"/>
        </w:rPr>
        <w:instrText>ADDIN CSL_CITATION {"citationItems":[{"id":"ITEM-1","itemData":{"DOI":"10.1080/07060661.2018.1450292","ISSN":"17152992","abstract":"Charcoal rot, caused by Macrophomina phaseolina, is a widespread drought-associated, soilborne disease of soybean. Generally, disease severity is assessed indirectly as host colonization at the end of the growing season. Few studies have measured the effects of disease during the season. Two moderately charcoal rot resistant cultivars (‘DT 97-4290‘ and ‘Delta Pineland 4546‘), a drought tolerant cultivar (‘R01-1581F’) and a susceptible cultivar (‘LS 980358‘) were planted in microplots filled with uninoculated steam pasteurized soil or pasteurized soil infested with M. phaseolina. Half of the plots were irrigated and half were drought stressed. Stomatal conductance and infrared canopy temperatures were measured 47, 70, 77 and 98 days after planting (DAP) in 2008 and 52, 63, 72 and 84 DAP in 2009. Yields were taken at the end of the season. There were significant differences in stomatal conductance. In 2008, stomatal conductance was significantly lower 47 DAP in the non-irrigated/inoculated plots than the other treatments. At 98 DAP, stomatal conductance was highest in the irrigated/non-inoculated plots. In 2009, stomatal conductance was significantly higher in the non-infested plots than the infested plots of ‘LS 890358‘ and ‘R01-1581F’ across sample times, but not in plots of the resistant cultivars ‘DT 97-4290‘ or ‘DPL 4546‘. These differences were reflected in significantly greater canopy temperatures and lower yields in the infested compared with the non-infested plots of the susceptible, but not the resistant cultivars. These results show that root infection by M. phaseolina can reduce water movement in soybean and reduce yields in susceptible cultivars.","author":[{"dropping-particle":"","family":"Doubledee","given":"Micah D.","non-dropping-particle":"","parse-names":false,"suffix":""},{"dropping-particle":"","family":"Rupe","given":"John C.","non-dropping-particle":"","parse-names":false,"suffix":""},{"dropping-particle":"","family":"Rothrock","given":"Craig S.","non-dropping-particle":"","parse-names":false,"suffix":""},{"dropping-particle":"","family":"Bajwa","given":"Sreekala G.","non-dropping-particle":"","parse-names":false,"suffix":""}],"container-title":"Canadian Journal of Plant Pathology","id":"ITEM-1","issue":"2","issued":{"date-parts":[["2018"]]},"page":"272-283","title":"Effect of root infection by Macrophomina phaseolina on stomatal conductance, canopy temperature and yield of soybean","type":"article-journal","volume":"40"},"uris":["http://www.mendeley.com/documents/?uuid=d2a49c00-25b4-43a9-8544-25b33e8b45be"]}],"mendeley":{"formattedCitation":"(Doubledee et al., 2018)","plainTextFormattedCitation":"(Doubledee et al., 2018)","previouslyFormattedCitation":"(Doubledee et al., 2018)"},"properties":{"noteIndex":0},"schema":"https://github.com/citation-style-language/schema/raw/master/csl-citation.json"}</w:instrText>
      </w:r>
      <w:r w:rsidRPr="008E2CD0">
        <w:rPr>
          <w:rFonts w:cs="Times New Roman"/>
          <w:szCs w:val="24"/>
        </w:rPr>
        <w:fldChar w:fldCharType="separate"/>
      </w:r>
      <w:r w:rsidRPr="008E2CD0">
        <w:rPr>
          <w:rFonts w:cs="Times New Roman"/>
          <w:noProof/>
          <w:szCs w:val="24"/>
        </w:rPr>
        <w:t>(Doubledee et al., 2018)</w:t>
      </w:r>
      <w:r w:rsidRPr="008E2CD0">
        <w:rPr>
          <w:rFonts w:cs="Times New Roman"/>
          <w:szCs w:val="24"/>
        </w:rPr>
        <w:fldChar w:fldCharType="end"/>
      </w:r>
      <w:r w:rsidRPr="008E2CD0">
        <w:rPr>
          <w:rFonts w:cs="Times New Roman"/>
          <w:szCs w:val="24"/>
        </w:rPr>
        <w:t>. I</w:t>
      </w:r>
      <w:r>
        <w:rPr>
          <w:rFonts w:cs="Times New Roman"/>
          <w:szCs w:val="24"/>
        </w:rPr>
        <w:t xml:space="preserve">nterruption of water movement can contribute to </w:t>
      </w:r>
      <w:r w:rsidRPr="008E2CD0">
        <w:rPr>
          <w:rFonts w:cs="Times New Roman"/>
          <w:szCs w:val="24"/>
        </w:rPr>
        <w:t xml:space="preserve">yield loss </w:t>
      </w:r>
      <w:r>
        <w:rPr>
          <w:rFonts w:cs="Times New Roman"/>
          <w:szCs w:val="24"/>
        </w:rPr>
        <w:t>incurred by a susceptible soybean caused by a high density inoculum infection.</w:t>
      </w:r>
    </w:p>
    <w:p w14:paraId="7C681C0E" w14:textId="77777777" w:rsidR="00D20476" w:rsidRPr="008E2CD0" w:rsidRDefault="00D20476" w:rsidP="00D20476">
      <w:pPr>
        <w:adjustRightInd w:val="0"/>
        <w:spacing w:line="360" w:lineRule="auto"/>
        <w:ind w:left="720"/>
        <w:rPr>
          <w:rFonts w:cs="Times New Roman"/>
          <w:szCs w:val="24"/>
          <w:shd w:val="clear" w:color="auto" w:fill="FFFFFF"/>
        </w:rPr>
      </w:pPr>
      <w:r w:rsidRPr="008E2CD0">
        <w:rPr>
          <w:rFonts w:cs="Times New Roman"/>
          <w:szCs w:val="24"/>
          <w:shd w:val="clear" w:color="auto" w:fill="FFFFFF"/>
        </w:rPr>
        <w:tab/>
        <w:t xml:space="preserve">Additionally, our data suggest that susceptible varieties are capable of increasing soil microsclerotia density while a moderately resistant variety is capable of decreasing the density. This is especially likely to occur in fields with high microsclerotial densities. In this study, the moderately resistant variety consistently had a lower microsclerotial density compared to the susceptible variety. </w:t>
      </w:r>
      <w:r>
        <w:rPr>
          <w:rFonts w:cs="Times New Roman"/>
          <w:szCs w:val="24"/>
          <w:shd w:val="clear" w:color="auto" w:fill="FFFFFF"/>
        </w:rPr>
        <w:t>The m</w:t>
      </w:r>
      <w:r w:rsidRPr="008E2CD0">
        <w:rPr>
          <w:rFonts w:cs="Times New Roman"/>
          <w:szCs w:val="24"/>
          <w:shd w:val="clear" w:color="auto" w:fill="FFFFFF"/>
        </w:rPr>
        <w:t>icrosclerotial treatment of 4.0 gram on the moderately resistant variety had a lower CFU value from taproot stem tissue, bulk</w:t>
      </w:r>
      <w:r>
        <w:rPr>
          <w:rFonts w:cs="Times New Roman"/>
          <w:szCs w:val="24"/>
          <w:shd w:val="clear" w:color="auto" w:fill="FFFFFF"/>
        </w:rPr>
        <w:t>,</w:t>
      </w:r>
      <w:r w:rsidRPr="008E2CD0">
        <w:rPr>
          <w:rFonts w:cs="Times New Roman"/>
          <w:szCs w:val="24"/>
          <w:shd w:val="clear" w:color="auto" w:fill="FFFFFF"/>
        </w:rPr>
        <w:t xml:space="preserve"> and rhizosphere soils, compared to the same treatment on the susceptible variety. This indicates that the two soybean varieties have different capacities to support </w:t>
      </w:r>
      <w:r w:rsidRPr="008E2CD0">
        <w:rPr>
          <w:rFonts w:cs="Times New Roman"/>
          <w:i/>
          <w:szCs w:val="24"/>
          <w:shd w:val="clear" w:color="auto" w:fill="FFFFFF"/>
        </w:rPr>
        <w:t xml:space="preserve">M. phaseolina </w:t>
      </w:r>
      <w:r w:rsidRPr="008E2CD0">
        <w:rPr>
          <w:rFonts w:cs="Times New Roman"/>
          <w:szCs w:val="24"/>
          <w:shd w:val="clear" w:color="auto" w:fill="FFFFFF"/>
        </w:rPr>
        <w:t>inoculum development. A crop rotation program with a moderately resistant soybean could reduce charcoal rot severity by decreasing the pathogens</w:t>
      </w:r>
      <w:r>
        <w:rPr>
          <w:rFonts w:cs="Times New Roman"/>
          <w:szCs w:val="24"/>
          <w:shd w:val="clear" w:color="auto" w:fill="FFFFFF"/>
        </w:rPr>
        <w:t>'</w:t>
      </w:r>
      <w:r w:rsidRPr="008E2CD0">
        <w:rPr>
          <w:rFonts w:cs="Times New Roman"/>
          <w:szCs w:val="24"/>
          <w:shd w:val="clear" w:color="auto" w:fill="FFFFFF"/>
        </w:rPr>
        <w:t xml:space="preserve"> microsclerotial density in the field. </w:t>
      </w:r>
    </w:p>
    <w:p w14:paraId="41092FA2" w14:textId="77777777" w:rsidR="00D20476" w:rsidRPr="008E2CD0" w:rsidRDefault="00D20476" w:rsidP="00D20476">
      <w:pPr>
        <w:adjustRightInd w:val="0"/>
        <w:spacing w:line="360" w:lineRule="auto"/>
        <w:ind w:left="720" w:firstLine="720"/>
        <w:rPr>
          <w:rFonts w:cs="Times New Roman"/>
          <w:szCs w:val="24"/>
        </w:rPr>
      </w:pPr>
      <w:r w:rsidRPr="008E2CD0">
        <w:rPr>
          <w:rFonts w:cs="Times New Roman"/>
          <w:szCs w:val="24"/>
          <w:shd w:val="clear" w:color="auto" w:fill="FFFFFF"/>
        </w:rPr>
        <w:t xml:space="preserve">In conclusion, </w:t>
      </w:r>
      <w:r w:rsidRPr="008E2CD0">
        <w:rPr>
          <w:rFonts w:cs="Times New Roman"/>
          <w:szCs w:val="24"/>
        </w:rPr>
        <w:t xml:space="preserve">densities of </w:t>
      </w:r>
      <w:r w:rsidRPr="008E2CD0">
        <w:rPr>
          <w:rFonts w:cs="Times New Roman"/>
          <w:i/>
          <w:szCs w:val="24"/>
        </w:rPr>
        <w:t>M. phaseolina</w:t>
      </w:r>
      <w:r w:rsidRPr="008E2CD0">
        <w:rPr>
          <w:rFonts w:cs="Times New Roman"/>
          <w:szCs w:val="24"/>
        </w:rPr>
        <w:t xml:space="preserve"> inoculum that are equivalent </w:t>
      </w:r>
      <w:r>
        <w:rPr>
          <w:rFonts w:cs="Times New Roman"/>
          <w:szCs w:val="24"/>
        </w:rPr>
        <w:t xml:space="preserve">to </w:t>
      </w:r>
      <w:r w:rsidRPr="008E2CD0">
        <w:rPr>
          <w:rFonts w:cs="Times New Roman"/>
          <w:szCs w:val="24"/>
        </w:rPr>
        <w:t xml:space="preserve">327 CFU/gram of soil can cause disease in a greenhouse setting. </w:t>
      </w:r>
      <w:r>
        <w:rPr>
          <w:rFonts w:cs="Times New Roman"/>
          <w:szCs w:val="24"/>
        </w:rPr>
        <w:t>M</w:t>
      </w:r>
      <w:r w:rsidRPr="008E2CD0">
        <w:rPr>
          <w:rFonts w:cs="Times New Roman"/>
          <w:szCs w:val="24"/>
        </w:rPr>
        <w:t>oderately resistant soybean varieties have the potential of preventing significant disease development by reducing the pathogen inoculum density. Growing a moderately resistant soybean in a charcoal rot</w:t>
      </w:r>
      <w:r>
        <w:rPr>
          <w:rFonts w:cs="Times New Roman"/>
          <w:szCs w:val="24"/>
        </w:rPr>
        <w:t>-</w:t>
      </w:r>
      <w:r w:rsidRPr="008E2CD0">
        <w:rPr>
          <w:rFonts w:cs="Times New Roman"/>
          <w:szCs w:val="24"/>
        </w:rPr>
        <w:t xml:space="preserve">infested field may reduce charcoal rot inoculum propagules in the field. Investigation of the highest microsclerotial density tested in this study in a microplot field trial would provide additional information and insights into the impact of </w:t>
      </w:r>
      <w:r w:rsidRPr="008E2CD0">
        <w:rPr>
          <w:rFonts w:cs="Times New Roman"/>
          <w:i/>
          <w:szCs w:val="24"/>
        </w:rPr>
        <w:t>M. phaseolina</w:t>
      </w:r>
      <w:r w:rsidRPr="008E2CD0">
        <w:rPr>
          <w:rFonts w:cs="Times New Roman"/>
          <w:szCs w:val="24"/>
        </w:rPr>
        <w:t xml:space="preserve"> microsclerotial density on charcoal rot severity and subsequent soybean damage and yield loss. </w:t>
      </w:r>
    </w:p>
    <w:p w14:paraId="18753F15" w14:textId="77777777" w:rsidR="00D20476" w:rsidRPr="008E2CD0" w:rsidRDefault="00D20476" w:rsidP="00D20476">
      <w:pPr>
        <w:spacing w:line="360" w:lineRule="auto"/>
        <w:ind w:left="720"/>
        <w:rPr>
          <w:rFonts w:cs="Times New Roman"/>
          <w:szCs w:val="24"/>
        </w:rPr>
      </w:pPr>
      <w:r w:rsidRPr="008E2CD0">
        <w:rPr>
          <w:rFonts w:cs="Times New Roman"/>
          <w:szCs w:val="24"/>
        </w:rPr>
        <w:br w:type="page"/>
      </w:r>
    </w:p>
    <w:p w14:paraId="6501CB50" w14:textId="77777777" w:rsidR="00D20476" w:rsidRPr="007A39B7" w:rsidRDefault="00D20476" w:rsidP="00D20476">
      <w:pPr>
        <w:pStyle w:val="Heading1"/>
        <w:spacing w:line="360" w:lineRule="auto"/>
        <w:ind w:left="720"/>
        <w:jc w:val="center"/>
      </w:pPr>
      <w:bookmarkStart w:id="363" w:name="_Toc98812789"/>
      <w:bookmarkStart w:id="364" w:name="_Toc98812997"/>
      <w:bookmarkStart w:id="365" w:name="_Toc98813663"/>
      <w:bookmarkStart w:id="366" w:name="_Toc101048171"/>
      <w:r w:rsidRPr="007A39B7">
        <w:t>References</w:t>
      </w:r>
      <w:bookmarkEnd w:id="363"/>
      <w:bookmarkEnd w:id="364"/>
      <w:bookmarkEnd w:id="365"/>
      <w:bookmarkEnd w:id="366"/>
    </w:p>
    <w:p w14:paraId="10E1AF3B" w14:textId="77777777" w:rsidR="00D20476" w:rsidRPr="007A39B7" w:rsidRDefault="00D20476" w:rsidP="00D20476">
      <w:pPr>
        <w:pStyle w:val="Heading1"/>
        <w:spacing w:line="360" w:lineRule="auto"/>
        <w:ind w:left="720"/>
        <w:jc w:val="center"/>
      </w:pPr>
    </w:p>
    <w:p w14:paraId="3D0C24E1" w14:textId="77777777" w:rsidR="00D20476" w:rsidRPr="007A39B7" w:rsidRDefault="00D20476" w:rsidP="00D20476">
      <w:pPr>
        <w:spacing w:line="360" w:lineRule="auto"/>
        <w:ind w:left="720" w:hanging="720"/>
        <w:rPr>
          <w:rFonts w:cs="Times New Roman"/>
          <w:szCs w:val="24"/>
          <w:shd w:val="clear" w:color="auto" w:fill="FFFFFF"/>
        </w:rPr>
      </w:pPr>
      <w:bookmarkStart w:id="367" w:name="_bookmark83"/>
      <w:bookmarkEnd w:id="367"/>
      <w:r w:rsidRPr="007A39B7">
        <w:rPr>
          <w:rFonts w:cs="Times New Roman"/>
          <w:szCs w:val="24"/>
          <w:shd w:val="clear" w:color="auto" w:fill="FFFFFF"/>
        </w:rPr>
        <w:t>Allen, T. W., Bradley, C. A., Sisson, A. J., Byamukama, E., Chilvers, M. I., Coker, C. M., ... &amp; Esker, P. D. (2017). Soybean yield loss estimates due to diseases in the United States and Ontario, Canada, from 2010 to 2014. </w:t>
      </w:r>
      <w:r w:rsidRPr="007A39B7">
        <w:rPr>
          <w:rFonts w:cs="Times New Roman"/>
          <w:i/>
          <w:iCs/>
          <w:szCs w:val="24"/>
          <w:shd w:val="clear" w:color="auto" w:fill="FFFFFF"/>
        </w:rPr>
        <w:t>Plant Health Progress</w:t>
      </w:r>
      <w:r w:rsidRPr="007A39B7">
        <w:rPr>
          <w:rFonts w:cs="Times New Roman"/>
          <w:szCs w:val="24"/>
          <w:shd w:val="clear" w:color="auto" w:fill="FFFFFF"/>
        </w:rPr>
        <w:t>, </w:t>
      </w:r>
      <w:r w:rsidRPr="007A39B7">
        <w:rPr>
          <w:rFonts w:cs="Times New Roman"/>
          <w:i/>
          <w:iCs/>
          <w:szCs w:val="24"/>
          <w:shd w:val="clear" w:color="auto" w:fill="FFFFFF"/>
        </w:rPr>
        <w:t>18</w:t>
      </w:r>
      <w:r w:rsidRPr="007A39B7">
        <w:rPr>
          <w:rFonts w:cs="Times New Roman"/>
          <w:szCs w:val="24"/>
          <w:shd w:val="clear" w:color="auto" w:fill="FFFFFF"/>
        </w:rPr>
        <w:t>(1), 19-27.</w:t>
      </w:r>
    </w:p>
    <w:p w14:paraId="15EF994B"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Arias, S. G., Pons, R. R., Stowasser, V., &amp; Sanfuentes, E. (2013). Temporal analysis of charcoal root rot in forest nurseries under different pathogen inoculum densities and soil moisture content. </w:t>
      </w:r>
      <w:r w:rsidRPr="007A39B7">
        <w:rPr>
          <w:rFonts w:cs="Times New Roman"/>
          <w:i/>
          <w:iCs/>
          <w:szCs w:val="24"/>
          <w:shd w:val="clear" w:color="auto" w:fill="FFFFFF"/>
        </w:rPr>
        <w:t>Tropical Plant Pathology</w:t>
      </w:r>
      <w:r w:rsidRPr="007A39B7">
        <w:rPr>
          <w:rFonts w:cs="Times New Roman"/>
          <w:szCs w:val="24"/>
          <w:shd w:val="clear" w:color="auto" w:fill="FFFFFF"/>
        </w:rPr>
        <w:t>, </w:t>
      </w:r>
      <w:r w:rsidRPr="007A39B7">
        <w:rPr>
          <w:rFonts w:cs="Times New Roman"/>
          <w:i/>
          <w:iCs/>
          <w:szCs w:val="24"/>
          <w:shd w:val="clear" w:color="auto" w:fill="FFFFFF"/>
        </w:rPr>
        <w:t>38</w:t>
      </w:r>
      <w:r w:rsidRPr="007A39B7">
        <w:rPr>
          <w:rFonts w:cs="Times New Roman"/>
          <w:szCs w:val="24"/>
          <w:shd w:val="clear" w:color="auto" w:fill="FFFFFF"/>
        </w:rPr>
        <w:t>(3), 179-187.</w:t>
      </w:r>
    </w:p>
    <w:p w14:paraId="23D885A6"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Baird, R. E., Watson, C. E., &amp; Scruggs, M. (2003). Relative longevity of </w:t>
      </w:r>
      <w:r w:rsidRPr="007A39B7">
        <w:rPr>
          <w:rFonts w:cs="Times New Roman"/>
          <w:i/>
          <w:szCs w:val="24"/>
          <w:shd w:val="clear" w:color="auto" w:fill="FFFFFF"/>
        </w:rPr>
        <w:t>Macrophomina phaseolina</w:t>
      </w:r>
      <w:r w:rsidRPr="007A39B7">
        <w:rPr>
          <w:rFonts w:cs="Times New Roman"/>
          <w:szCs w:val="24"/>
          <w:shd w:val="clear" w:color="auto" w:fill="FFFFFF"/>
        </w:rPr>
        <w:t xml:space="preserve"> and associated mycobiota on residual soybean roots in soil. </w:t>
      </w:r>
      <w:r w:rsidRPr="007A39B7">
        <w:rPr>
          <w:rFonts w:cs="Times New Roman"/>
          <w:i/>
          <w:iCs/>
          <w:szCs w:val="24"/>
          <w:shd w:val="clear" w:color="auto" w:fill="FFFFFF"/>
        </w:rPr>
        <w:t>Plant Disease</w:t>
      </w:r>
      <w:r w:rsidRPr="007A39B7">
        <w:rPr>
          <w:rFonts w:cs="Times New Roman"/>
          <w:szCs w:val="24"/>
          <w:shd w:val="clear" w:color="auto" w:fill="FFFFFF"/>
        </w:rPr>
        <w:t>, </w:t>
      </w:r>
      <w:r w:rsidRPr="007A39B7">
        <w:rPr>
          <w:rFonts w:cs="Times New Roman"/>
          <w:i/>
          <w:iCs/>
          <w:szCs w:val="24"/>
          <w:shd w:val="clear" w:color="auto" w:fill="FFFFFF"/>
        </w:rPr>
        <w:t>87</w:t>
      </w:r>
      <w:r w:rsidRPr="007A39B7">
        <w:rPr>
          <w:rFonts w:cs="Times New Roman"/>
          <w:szCs w:val="24"/>
          <w:shd w:val="clear" w:color="auto" w:fill="FFFFFF"/>
        </w:rPr>
        <w:t>(5), 563-566.</w:t>
      </w:r>
    </w:p>
    <w:p w14:paraId="448BFC02"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Csöndes, I., Cseh, A., Taller, J., &amp; Poczai, P. (2012). Genetic diversity and effect of temperature and pH on the growth of </w:t>
      </w:r>
      <w:r w:rsidRPr="007A39B7">
        <w:rPr>
          <w:rFonts w:cs="Times New Roman"/>
          <w:i/>
          <w:szCs w:val="24"/>
          <w:shd w:val="clear" w:color="auto" w:fill="FFFFFF"/>
        </w:rPr>
        <w:t>Macrophomina phaseolina</w:t>
      </w:r>
      <w:r w:rsidRPr="007A39B7">
        <w:rPr>
          <w:rFonts w:cs="Times New Roman"/>
          <w:szCs w:val="24"/>
          <w:shd w:val="clear" w:color="auto" w:fill="FFFFFF"/>
        </w:rPr>
        <w:t xml:space="preserve"> isolates from sunflower fields in Hungary. </w:t>
      </w:r>
      <w:r w:rsidRPr="007A39B7">
        <w:rPr>
          <w:rFonts w:cs="Times New Roman"/>
          <w:i/>
          <w:iCs/>
          <w:szCs w:val="24"/>
          <w:shd w:val="clear" w:color="auto" w:fill="FFFFFF"/>
        </w:rPr>
        <w:t>Molecular biology reports</w:t>
      </w:r>
      <w:r w:rsidRPr="007A39B7">
        <w:rPr>
          <w:rFonts w:cs="Times New Roman"/>
          <w:szCs w:val="24"/>
          <w:shd w:val="clear" w:color="auto" w:fill="FFFFFF"/>
        </w:rPr>
        <w:t>, </w:t>
      </w:r>
      <w:r w:rsidRPr="007A39B7">
        <w:rPr>
          <w:rFonts w:cs="Times New Roman"/>
          <w:i/>
          <w:iCs/>
          <w:szCs w:val="24"/>
          <w:shd w:val="clear" w:color="auto" w:fill="FFFFFF"/>
        </w:rPr>
        <w:t>39</w:t>
      </w:r>
      <w:r w:rsidRPr="007A39B7">
        <w:rPr>
          <w:rFonts w:cs="Times New Roman"/>
          <w:szCs w:val="24"/>
          <w:shd w:val="clear" w:color="auto" w:fill="FFFFFF"/>
        </w:rPr>
        <w:t>(3), 3259-3269.</w:t>
      </w:r>
    </w:p>
    <w:p w14:paraId="494FB63D" w14:textId="77777777" w:rsidR="00D20476" w:rsidRPr="007A39B7" w:rsidRDefault="00D20476" w:rsidP="00D20476">
      <w:pPr>
        <w:spacing w:line="360" w:lineRule="auto"/>
        <w:ind w:left="720" w:hanging="720"/>
        <w:rPr>
          <w:rFonts w:cs="Times New Roman"/>
          <w:szCs w:val="24"/>
          <w:shd w:val="clear" w:color="auto" w:fill="FFFFFF"/>
        </w:rPr>
      </w:pPr>
      <w:r w:rsidRPr="007A39B7">
        <w:t xml:space="preserve">Davidson, D. (2018, August 21). Estimating Soybean Yield. </w:t>
      </w:r>
      <w:r w:rsidRPr="007A39B7">
        <w:rPr>
          <w:i/>
        </w:rPr>
        <w:t>ILSOYADVISOR POST</w:t>
      </w:r>
      <w:r w:rsidRPr="007A39B7">
        <w:t>. https://www.ilsoyadvisor.com/on-farm/ilsoyadvisor/estimating-soybean-yield</w:t>
      </w:r>
    </w:p>
    <w:p w14:paraId="120F1004" w14:textId="77777777" w:rsidR="00D20476" w:rsidRPr="007A39B7" w:rsidRDefault="00D20476" w:rsidP="00D20476">
      <w:pPr>
        <w:spacing w:line="360" w:lineRule="auto"/>
        <w:ind w:left="720" w:hanging="720"/>
        <w:rPr>
          <w:rFonts w:cs="Times New Roman"/>
          <w:szCs w:val="24"/>
        </w:rPr>
      </w:pPr>
      <w:r w:rsidRPr="007A39B7">
        <w:rPr>
          <w:rFonts w:cs="Times New Roman"/>
          <w:szCs w:val="24"/>
          <w:shd w:val="clear" w:color="auto" w:fill="FFFFFF"/>
        </w:rPr>
        <w:t xml:space="preserve">Doubledee, M. D., Rupe, J. C., Rothrock, C. S., &amp; Bajwa, S. G. (2018). Effect of root infection by </w:t>
      </w:r>
      <w:r w:rsidRPr="007A39B7">
        <w:rPr>
          <w:rFonts w:cs="Times New Roman"/>
          <w:i/>
          <w:szCs w:val="24"/>
          <w:shd w:val="clear" w:color="auto" w:fill="FFFFFF"/>
        </w:rPr>
        <w:t>Macrophomina phaseolina</w:t>
      </w:r>
      <w:r w:rsidRPr="007A39B7">
        <w:rPr>
          <w:rFonts w:cs="Times New Roman"/>
          <w:szCs w:val="24"/>
          <w:shd w:val="clear" w:color="auto" w:fill="FFFFFF"/>
        </w:rPr>
        <w:t xml:space="preserve"> on stomatal conductance, canopy temperature and yield of soybean. </w:t>
      </w:r>
      <w:r w:rsidRPr="007A39B7">
        <w:rPr>
          <w:rFonts w:cs="Times New Roman"/>
          <w:i/>
          <w:iCs/>
          <w:szCs w:val="24"/>
          <w:shd w:val="clear" w:color="auto" w:fill="FFFFFF"/>
        </w:rPr>
        <w:t>Canadian journal of plant pathology</w:t>
      </w:r>
      <w:r w:rsidRPr="007A39B7">
        <w:rPr>
          <w:rFonts w:cs="Times New Roman"/>
          <w:szCs w:val="24"/>
          <w:shd w:val="clear" w:color="auto" w:fill="FFFFFF"/>
        </w:rPr>
        <w:t>, </w:t>
      </w:r>
      <w:r w:rsidRPr="007A39B7">
        <w:rPr>
          <w:rFonts w:cs="Times New Roman"/>
          <w:i/>
          <w:iCs/>
          <w:szCs w:val="24"/>
          <w:shd w:val="clear" w:color="auto" w:fill="FFFFFF"/>
        </w:rPr>
        <w:t>40</w:t>
      </w:r>
      <w:r w:rsidRPr="007A39B7">
        <w:rPr>
          <w:rFonts w:cs="Times New Roman"/>
          <w:szCs w:val="24"/>
          <w:shd w:val="clear" w:color="auto" w:fill="FFFFFF"/>
        </w:rPr>
        <w:t>(2), 272-283.</w:t>
      </w:r>
    </w:p>
    <w:p w14:paraId="66E6125D"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i/>
          <w:iCs/>
          <w:szCs w:val="24"/>
          <w:shd w:val="clear" w:color="auto" w:fill="FFFFFF"/>
        </w:rPr>
        <w:t>ealth Progress</w:t>
      </w:r>
      <w:r w:rsidRPr="007A39B7">
        <w:rPr>
          <w:rFonts w:cs="Times New Roman"/>
          <w:szCs w:val="24"/>
          <w:shd w:val="clear" w:color="auto" w:fill="FFFFFF"/>
        </w:rPr>
        <w:t>, </w:t>
      </w:r>
      <w:r w:rsidRPr="007A39B7">
        <w:rPr>
          <w:rFonts w:cs="Times New Roman"/>
          <w:i/>
          <w:iCs/>
          <w:szCs w:val="24"/>
          <w:shd w:val="clear" w:color="auto" w:fill="FFFFFF"/>
        </w:rPr>
        <w:t>10</w:t>
      </w:r>
      <w:r w:rsidRPr="007A39B7">
        <w:rPr>
          <w:rFonts w:cs="Times New Roman"/>
          <w:szCs w:val="24"/>
          <w:shd w:val="clear" w:color="auto" w:fill="FFFFFF"/>
        </w:rPr>
        <w:t>(1), 24.</w:t>
      </w:r>
    </w:p>
    <w:p w14:paraId="235B5A5F"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ElAraby, M. E., Kurle, J. E., &amp; Stetina, S. R. (2003). First report of charcoal rot (</w:t>
      </w:r>
      <w:r w:rsidRPr="007A39B7">
        <w:rPr>
          <w:rFonts w:cs="Times New Roman"/>
          <w:i/>
          <w:szCs w:val="24"/>
          <w:shd w:val="clear" w:color="auto" w:fill="FFFFFF"/>
        </w:rPr>
        <w:t>Macrophomina phaseolina</w:t>
      </w:r>
      <w:r w:rsidRPr="007A39B7">
        <w:rPr>
          <w:rFonts w:cs="Times New Roman"/>
          <w:szCs w:val="24"/>
          <w:shd w:val="clear" w:color="auto" w:fill="FFFFFF"/>
        </w:rPr>
        <w:t>) on soybean in Minnesota. </w:t>
      </w:r>
      <w:r w:rsidRPr="007A39B7">
        <w:rPr>
          <w:rFonts w:cs="Times New Roman"/>
          <w:i/>
          <w:iCs/>
          <w:szCs w:val="24"/>
          <w:shd w:val="clear" w:color="auto" w:fill="FFFFFF"/>
        </w:rPr>
        <w:t>Plant disease</w:t>
      </w:r>
      <w:r w:rsidRPr="007A39B7">
        <w:rPr>
          <w:rFonts w:cs="Times New Roman"/>
          <w:szCs w:val="24"/>
          <w:shd w:val="clear" w:color="auto" w:fill="FFFFFF"/>
        </w:rPr>
        <w:t>, </w:t>
      </w:r>
      <w:r w:rsidRPr="007A39B7">
        <w:rPr>
          <w:rFonts w:cs="Times New Roman"/>
          <w:i/>
          <w:iCs/>
          <w:szCs w:val="24"/>
          <w:shd w:val="clear" w:color="auto" w:fill="FFFFFF"/>
        </w:rPr>
        <w:t>87</w:t>
      </w:r>
      <w:r w:rsidRPr="007A39B7">
        <w:rPr>
          <w:rFonts w:cs="Times New Roman"/>
          <w:szCs w:val="24"/>
          <w:shd w:val="clear" w:color="auto" w:fill="FFFFFF"/>
        </w:rPr>
        <w:t>(2), 202-202.</w:t>
      </w:r>
    </w:p>
    <w:p w14:paraId="02A6A729"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Gray, F. A., Mihail, J. D., Lavigne, R. J., &amp; Porter, P. M. (1991). Incidence of charcoal rot of sorghum and soil populations of </w:t>
      </w:r>
      <w:r w:rsidRPr="007A39B7">
        <w:rPr>
          <w:rFonts w:cs="Times New Roman"/>
          <w:i/>
          <w:szCs w:val="24"/>
          <w:shd w:val="clear" w:color="auto" w:fill="FFFFFF"/>
        </w:rPr>
        <w:t>Macrophomina phaseolina</w:t>
      </w:r>
      <w:r w:rsidRPr="007A39B7">
        <w:rPr>
          <w:rFonts w:cs="Times New Roman"/>
          <w:szCs w:val="24"/>
          <w:shd w:val="clear" w:color="auto" w:fill="FFFFFF"/>
        </w:rPr>
        <w:t xml:space="preserve"> associated with sorghum and native vegetation in Somalia. </w:t>
      </w:r>
      <w:r w:rsidRPr="007A39B7">
        <w:rPr>
          <w:rFonts w:cs="Times New Roman"/>
          <w:i/>
          <w:iCs/>
          <w:szCs w:val="24"/>
          <w:shd w:val="clear" w:color="auto" w:fill="FFFFFF"/>
        </w:rPr>
        <w:t>Mycopathologia</w:t>
      </w:r>
      <w:r w:rsidRPr="007A39B7">
        <w:rPr>
          <w:rFonts w:cs="Times New Roman"/>
          <w:szCs w:val="24"/>
          <w:shd w:val="clear" w:color="auto" w:fill="FFFFFF"/>
        </w:rPr>
        <w:t>, </w:t>
      </w:r>
      <w:r w:rsidRPr="007A39B7">
        <w:rPr>
          <w:rFonts w:cs="Times New Roman"/>
          <w:i/>
          <w:iCs/>
          <w:szCs w:val="24"/>
          <w:shd w:val="clear" w:color="auto" w:fill="FFFFFF"/>
        </w:rPr>
        <w:t>114</w:t>
      </w:r>
      <w:r w:rsidRPr="007A39B7">
        <w:rPr>
          <w:rFonts w:cs="Times New Roman"/>
          <w:szCs w:val="24"/>
          <w:shd w:val="clear" w:color="auto" w:fill="FFFFFF"/>
        </w:rPr>
        <w:t>(3), 145-151.</w:t>
      </w:r>
    </w:p>
    <w:p w14:paraId="4E678FA8"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Hershman, D. E. (1993). Kentucky plant disease management guide for soybeans. https://uknowledge.uky.edu/cgi/viewcontent.cgi?article=1064&amp;context=anr_reports</w:t>
      </w:r>
    </w:p>
    <w:p w14:paraId="75FF0FF9"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Kaur, S., Dhillon, G. S., Brar, S. K., Vallad, G. E., Chand, R., &amp; Chauhan, V. B. (2012). Emerging phytopathogen </w:t>
      </w:r>
      <w:r w:rsidRPr="007A39B7">
        <w:rPr>
          <w:rFonts w:cs="Times New Roman"/>
          <w:i/>
          <w:szCs w:val="24"/>
          <w:shd w:val="clear" w:color="auto" w:fill="FFFFFF"/>
        </w:rPr>
        <w:t>Macrophomina phaseolina</w:t>
      </w:r>
      <w:r w:rsidRPr="007A39B7">
        <w:rPr>
          <w:rFonts w:cs="Times New Roman"/>
          <w:szCs w:val="24"/>
          <w:shd w:val="clear" w:color="auto" w:fill="FFFFFF"/>
        </w:rPr>
        <w:t>: biology, economic importance and current diagnostic trends. </w:t>
      </w:r>
      <w:r w:rsidRPr="007A39B7">
        <w:rPr>
          <w:rFonts w:cs="Times New Roman"/>
          <w:i/>
          <w:iCs/>
          <w:szCs w:val="24"/>
          <w:shd w:val="clear" w:color="auto" w:fill="FFFFFF"/>
        </w:rPr>
        <w:t>Critical Reviews in Microbiology</w:t>
      </w:r>
      <w:r w:rsidRPr="007A39B7">
        <w:rPr>
          <w:rFonts w:cs="Times New Roman"/>
          <w:szCs w:val="24"/>
          <w:shd w:val="clear" w:color="auto" w:fill="FFFFFF"/>
        </w:rPr>
        <w:t>, </w:t>
      </w:r>
      <w:r w:rsidRPr="007A39B7">
        <w:rPr>
          <w:rFonts w:cs="Times New Roman"/>
          <w:i/>
          <w:iCs/>
          <w:szCs w:val="24"/>
          <w:shd w:val="clear" w:color="auto" w:fill="FFFFFF"/>
        </w:rPr>
        <w:t>38</w:t>
      </w:r>
      <w:r w:rsidRPr="007A39B7">
        <w:rPr>
          <w:rFonts w:cs="Times New Roman"/>
          <w:szCs w:val="24"/>
          <w:shd w:val="clear" w:color="auto" w:fill="FFFFFF"/>
        </w:rPr>
        <w:t>(2), 136-151.</w:t>
      </w:r>
    </w:p>
    <w:p w14:paraId="5514C289"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Mengistu, A., Ray, J. D., Smith, J. R., &amp; Paris, R. L. (2007). Charcoal rot disease assessment of soybean genotypes using a colony-forming unit index. </w:t>
      </w:r>
      <w:r w:rsidRPr="007A39B7">
        <w:rPr>
          <w:rFonts w:cs="Times New Roman"/>
          <w:i/>
          <w:iCs/>
          <w:szCs w:val="24"/>
          <w:shd w:val="clear" w:color="auto" w:fill="FFFFFF"/>
        </w:rPr>
        <w:t>Crop Science</w:t>
      </w:r>
      <w:r w:rsidRPr="007A39B7">
        <w:rPr>
          <w:rFonts w:cs="Times New Roman"/>
          <w:szCs w:val="24"/>
          <w:shd w:val="clear" w:color="auto" w:fill="FFFFFF"/>
        </w:rPr>
        <w:t>, </w:t>
      </w:r>
      <w:r w:rsidRPr="007A39B7">
        <w:rPr>
          <w:rFonts w:cs="Times New Roman"/>
          <w:i/>
          <w:iCs/>
          <w:szCs w:val="24"/>
          <w:shd w:val="clear" w:color="auto" w:fill="FFFFFF"/>
        </w:rPr>
        <w:t>47</w:t>
      </w:r>
      <w:r w:rsidRPr="007A39B7">
        <w:rPr>
          <w:rFonts w:cs="Times New Roman"/>
          <w:szCs w:val="24"/>
          <w:shd w:val="clear" w:color="auto" w:fill="FFFFFF"/>
        </w:rPr>
        <w:t>(6), 2453-2461.</w:t>
      </w:r>
    </w:p>
    <w:p w14:paraId="1877DE02"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Mengistu, A., Reddy, K. N., Zablotowicz, R. M., &amp; Wrather, A. J. (2009). Propagule densities of </w:t>
      </w:r>
      <w:r w:rsidRPr="007A39B7">
        <w:rPr>
          <w:rFonts w:cs="Times New Roman"/>
          <w:i/>
          <w:szCs w:val="24"/>
          <w:shd w:val="clear" w:color="auto" w:fill="FFFFFF"/>
        </w:rPr>
        <w:t>Macrophomina phaseolina</w:t>
      </w:r>
      <w:r w:rsidRPr="007A39B7">
        <w:rPr>
          <w:rFonts w:cs="Times New Roman"/>
          <w:szCs w:val="24"/>
          <w:shd w:val="clear" w:color="auto" w:fill="FFFFFF"/>
        </w:rPr>
        <w:t xml:space="preserve"> in soybean tissue and soil as affected by tillage, cover crop, and herbicide. </w:t>
      </w:r>
      <w:r w:rsidRPr="007A39B7">
        <w:rPr>
          <w:rFonts w:cs="Times New Roman"/>
          <w:i/>
          <w:iCs/>
          <w:szCs w:val="24"/>
          <w:shd w:val="clear" w:color="auto" w:fill="FFFFFF"/>
        </w:rPr>
        <w:t>Plant health progress</w:t>
      </w:r>
      <w:r w:rsidRPr="007A39B7">
        <w:rPr>
          <w:rFonts w:cs="Times New Roman"/>
          <w:szCs w:val="24"/>
          <w:shd w:val="clear" w:color="auto" w:fill="FFFFFF"/>
        </w:rPr>
        <w:t>, </w:t>
      </w:r>
      <w:r w:rsidRPr="007A39B7">
        <w:rPr>
          <w:rFonts w:cs="Times New Roman"/>
          <w:i/>
          <w:iCs/>
          <w:szCs w:val="24"/>
          <w:shd w:val="clear" w:color="auto" w:fill="FFFFFF"/>
        </w:rPr>
        <w:t>10</w:t>
      </w:r>
      <w:r w:rsidRPr="007A39B7">
        <w:rPr>
          <w:rFonts w:cs="Times New Roman"/>
          <w:szCs w:val="24"/>
          <w:shd w:val="clear" w:color="auto" w:fill="FFFFFF"/>
        </w:rPr>
        <w:t>(1), 28.</w:t>
      </w:r>
    </w:p>
    <w:p w14:paraId="498CBD34"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Papavizas, G. C. (1977). Some factors affecting survival of sclerotia of </w:t>
      </w:r>
      <w:r w:rsidRPr="007A39B7">
        <w:rPr>
          <w:rFonts w:cs="Times New Roman"/>
          <w:i/>
          <w:szCs w:val="24"/>
          <w:shd w:val="clear" w:color="auto" w:fill="FFFFFF"/>
        </w:rPr>
        <w:t>Macrophomina phaseolina</w:t>
      </w:r>
      <w:r w:rsidRPr="007A39B7">
        <w:rPr>
          <w:rFonts w:cs="Times New Roman"/>
          <w:szCs w:val="24"/>
          <w:shd w:val="clear" w:color="auto" w:fill="FFFFFF"/>
        </w:rPr>
        <w:t xml:space="preserve"> in soil. </w:t>
      </w:r>
      <w:r w:rsidRPr="007A39B7">
        <w:rPr>
          <w:rFonts w:cs="Times New Roman"/>
          <w:i/>
          <w:iCs/>
          <w:szCs w:val="24"/>
          <w:shd w:val="clear" w:color="auto" w:fill="FFFFFF"/>
        </w:rPr>
        <w:t>Soil Biology and Biochemistry</w:t>
      </w:r>
      <w:r w:rsidRPr="007A39B7">
        <w:rPr>
          <w:rFonts w:cs="Times New Roman"/>
          <w:szCs w:val="24"/>
          <w:shd w:val="clear" w:color="auto" w:fill="FFFFFF"/>
        </w:rPr>
        <w:t>, </w:t>
      </w:r>
      <w:r w:rsidRPr="007A39B7">
        <w:rPr>
          <w:rFonts w:cs="Times New Roman"/>
          <w:i/>
          <w:iCs/>
          <w:szCs w:val="24"/>
          <w:shd w:val="clear" w:color="auto" w:fill="FFFFFF"/>
        </w:rPr>
        <w:t>9</w:t>
      </w:r>
      <w:r w:rsidRPr="007A39B7">
        <w:rPr>
          <w:rFonts w:cs="Times New Roman"/>
          <w:szCs w:val="24"/>
          <w:shd w:val="clear" w:color="auto" w:fill="FFFFFF"/>
        </w:rPr>
        <w:t>(5), 337-341.</w:t>
      </w:r>
    </w:p>
    <w:p w14:paraId="374362DC" w14:textId="77777777" w:rsidR="00D20476" w:rsidRPr="007A39B7" w:rsidRDefault="00D20476" w:rsidP="00D20476">
      <w:pPr>
        <w:spacing w:line="360" w:lineRule="auto"/>
        <w:ind w:left="720" w:hanging="720"/>
        <w:jc w:val="both"/>
        <w:rPr>
          <w:rFonts w:cs="Times New Roman"/>
          <w:szCs w:val="24"/>
          <w:shd w:val="clear" w:color="auto" w:fill="FFFFFF"/>
        </w:rPr>
      </w:pPr>
      <w:r w:rsidRPr="007A39B7">
        <w:rPr>
          <w:rFonts w:cs="Times New Roman"/>
          <w:szCs w:val="24"/>
          <w:shd w:val="clear" w:color="auto" w:fill="FFFFFF"/>
        </w:rPr>
        <w:t>Paris, R. L., Mengistu, A., Tyler, J. M., &amp; Smith, J. R. (2006). Registration of soybean germplasm line DT97-4290 with moderate resistance to charcoal rot. </w:t>
      </w:r>
      <w:r w:rsidRPr="007A39B7">
        <w:rPr>
          <w:rFonts w:cs="Times New Roman"/>
          <w:i/>
          <w:iCs/>
          <w:szCs w:val="24"/>
          <w:shd w:val="clear" w:color="auto" w:fill="FFFFFF"/>
        </w:rPr>
        <w:t>Crop science</w:t>
      </w:r>
      <w:r w:rsidRPr="007A39B7">
        <w:rPr>
          <w:rFonts w:cs="Times New Roman"/>
          <w:szCs w:val="24"/>
          <w:shd w:val="clear" w:color="auto" w:fill="FFFFFF"/>
        </w:rPr>
        <w:t>, </w:t>
      </w:r>
      <w:r w:rsidRPr="007A39B7">
        <w:rPr>
          <w:rFonts w:cs="Times New Roman"/>
          <w:i/>
          <w:iCs/>
          <w:szCs w:val="24"/>
          <w:shd w:val="clear" w:color="auto" w:fill="FFFFFF"/>
        </w:rPr>
        <w:t>46</w:t>
      </w:r>
      <w:r w:rsidRPr="007A39B7">
        <w:rPr>
          <w:rFonts w:cs="Times New Roman"/>
          <w:szCs w:val="24"/>
          <w:shd w:val="clear" w:color="auto" w:fill="FFFFFF"/>
        </w:rPr>
        <w:t>(5), 2324.</w:t>
      </w:r>
    </w:p>
    <w:p w14:paraId="2F346C23" w14:textId="77777777" w:rsidR="00D20476" w:rsidRPr="007A39B7" w:rsidRDefault="00D20476" w:rsidP="00D20476">
      <w:pPr>
        <w:spacing w:line="360" w:lineRule="auto"/>
        <w:ind w:left="720" w:hanging="720"/>
        <w:jc w:val="both"/>
        <w:rPr>
          <w:rFonts w:cs="Times New Roman"/>
          <w:szCs w:val="24"/>
          <w:shd w:val="clear" w:color="auto" w:fill="FFFFFF"/>
        </w:rPr>
      </w:pPr>
      <w:r w:rsidRPr="007A39B7">
        <w:rPr>
          <w:rFonts w:cs="Times New Roman"/>
          <w:szCs w:val="24"/>
          <w:shd w:val="clear" w:color="auto" w:fill="FFFFFF"/>
        </w:rPr>
        <w:t xml:space="preserve">Short, G. E., Wyllie, T. D., &amp; Ammon, V. D. (1978). Quantitative enumeration of </w:t>
      </w:r>
      <w:r w:rsidRPr="007A39B7">
        <w:rPr>
          <w:rFonts w:cs="Times New Roman"/>
          <w:i/>
          <w:szCs w:val="24"/>
          <w:shd w:val="clear" w:color="auto" w:fill="FFFFFF"/>
        </w:rPr>
        <w:t>Macrophomina phaseolina</w:t>
      </w:r>
      <w:r w:rsidRPr="007A39B7">
        <w:rPr>
          <w:rFonts w:cs="Times New Roman"/>
          <w:szCs w:val="24"/>
          <w:shd w:val="clear" w:color="auto" w:fill="FFFFFF"/>
        </w:rPr>
        <w:t xml:space="preserve"> in soybean tissues. </w:t>
      </w:r>
      <w:r w:rsidRPr="007A39B7">
        <w:rPr>
          <w:rFonts w:cs="Times New Roman"/>
          <w:i/>
          <w:iCs/>
          <w:szCs w:val="24"/>
          <w:shd w:val="clear" w:color="auto" w:fill="FFFFFF"/>
        </w:rPr>
        <w:t>Phytopathology</w:t>
      </w:r>
      <w:r w:rsidRPr="007A39B7">
        <w:rPr>
          <w:rFonts w:cs="Times New Roman"/>
          <w:szCs w:val="24"/>
          <w:shd w:val="clear" w:color="auto" w:fill="FFFFFF"/>
        </w:rPr>
        <w:t>.</w:t>
      </w:r>
    </w:p>
    <w:p w14:paraId="092548DE" w14:textId="77777777" w:rsidR="00D20476" w:rsidRPr="007A39B7" w:rsidRDefault="00D20476" w:rsidP="00D20476">
      <w:pPr>
        <w:spacing w:line="360" w:lineRule="auto"/>
        <w:ind w:left="720" w:hanging="720"/>
        <w:jc w:val="both"/>
        <w:rPr>
          <w:rFonts w:cs="Times New Roman"/>
          <w:szCs w:val="24"/>
          <w:shd w:val="clear" w:color="auto" w:fill="FFFFFF"/>
        </w:rPr>
      </w:pPr>
      <w:r w:rsidRPr="007A39B7">
        <w:rPr>
          <w:rFonts w:cs="Times New Roman"/>
          <w:szCs w:val="24"/>
          <w:shd w:val="clear" w:color="auto" w:fill="FFFFFF"/>
        </w:rPr>
        <w:t xml:space="preserve">Short, G. E., Wyllie, T. D., &amp; Bristow, P. R. (1980). Survival of </w:t>
      </w:r>
      <w:r w:rsidRPr="007A39B7">
        <w:rPr>
          <w:rFonts w:cs="Times New Roman"/>
          <w:i/>
          <w:szCs w:val="24"/>
          <w:shd w:val="clear" w:color="auto" w:fill="FFFFFF"/>
        </w:rPr>
        <w:t>Macrophomina phaseolina</w:t>
      </w:r>
      <w:r w:rsidRPr="007A39B7">
        <w:rPr>
          <w:rFonts w:cs="Times New Roman"/>
          <w:szCs w:val="24"/>
          <w:shd w:val="clear" w:color="auto" w:fill="FFFFFF"/>
        </w:rPr>
        <w:t xml:space="preserve"> in soil and in residue of soybean. </w:t>
      </w:r>
      <w:r w:rsidRPr="007A39B7">
        <w:rPr>
          <w:rFonts w:cs="Times New Roman"/>
          <w:i/>
          <w:iCs/>
          <w:szCs w:val="24"/>
          <w:shd w:val="clear" w:color="auto" w:fill="FFFFFF"/>
        </w:rPr>
        <w:t>Survival</w:t>
      </w:r>
      <w:r w:rsidRPr="007A39B7">
        <w:rPr>
          <w:rFonts w:cs="Times New Roman"/>
          <w:szCs w:val="24"/>
          <w:shd w:val="clear" w:color="auto" w:fill="FFFFFF"/>
        </w:rPr>
        <w:t>, </w:t>
      </w:r>
      <w:r w:rsidRPr="007A39B7">
        <w:rPr>
          <w:rFonts w:cs="Times New Roman"/>
          <w:i/>
          <w:iCs/>
          <w:szCs w:val="24"/>
          <w:shd w:val="clear" w:color="auto" w:fill="FFFFFF"/>
        </w:rPr>
        <w:t>7</w:t>
      </w:r>
      <w:r w:rsidRPr="007A39B7">
        <w:rPr>
          <w:rFonts w:cs="Times New Roman"/>
          <w:szCs w:val="24"/>
          <w:shd w:val="clear" w:color="auto" w:fill="FFFFFF"/>
        </w:rPr>
        <w:t>(13), 17.</w:t>
      </w:r>
    </w:p>
    <w:p w14:paraId="7669316E"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Smith, D., Chilvers, M., Dorrance, A., Hughes, T., Mueller, D., Niblack, T., &amp; Wise, K. (2014). Charcoal rot management in the north-central region. </w:t>
      </w:r>
      <w:r w:rsidRPr="007A39B7">
        <w:rPr>
          <w:rFonts w:cs="Times New Roman"/>
          <w:i/>
          <w:iCs/>
          <w:szCs w:val="24"/>
          <w:shd w:val="clear" w:color="auto" w:fill="FFFFFF"/>
        </w:rPr>
        <w:t>University of Wisconsin Extension Bulletin A</w:t>
      </w:r>
      <w:r w:rsidRPr="007A39B7">
        <w:rPr>
          <w:rFonts w:cs="Times New Roman"/>
          <w:szCs w:val="24"/>
          <w:shd w:val="clear" w:color="auto" w:fill="FFFFFF"/>
        </w:rPr>
        <w:t>, </w:t>
      </w:r>
      <w:r w:rsidRPr="007A39B7">
        <w:rPr>
          <w:rFonts w:cs="Times New Roman"/>
          <w:i/>
          <w:iCs/>
          <w:szCs w:val="24"/>
          <w:shd w:val="clear" w:color="auto" w:fill="FFFFFF"/>
        </w:rPr>
        <w:t>4037</w:t>
      </w:r>
      <w:r w:rsidRPr="007A39B7">
        <w:rPr>
          <w:rFonts w:cs="Times New Roman"/>
          <w:szCs w:val="24"/>
          <w:shd w:val="clear" w:color="auto" w:fill="FFFFFF"/>
        </w:rPr>
        <w:t>.</w:t>
      </w:r>
    </w:p>
    <w:p w14:paraId="3C9A3F6C"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Smith, G. S., &amp; Carvil, O. N. (1997). Field screening of commercial and experimental soybean cultivars for their reaction to </w:t>
      </w:r>
      <w:r w:rsidRPr="007A39B7">
        <w:rPr>
          <w:rFonts w:cs="Times New Roman"/>
          <w:i/>
          <w:szCs w:val="24"/>
          <w:shd w:val="clear" w:color="auto" w:fill="FFFFFF"/>
        </w:rPr>
        <w:t>Macrophomina phaseolina</w:t>
      </w:r>
      <w:r w:rsidRPr="007A39B7">
        <w:rPr>
          <w:rFonts w:cs="Times New Roman"/>
          <w:szCs w:val="24"/>
          <w:shd w:val="clear" w:color="auto" w:fill="FFFFFF"/>
        </w:rPr>
        <w:t>. </w:t>
      </w:r>
      <w:r w:rsidRPr="007A39B7">
        <w:rPr>
          <w:rFonts w:cs="Times New Roman"/>
          <w:i/>
          <w:iCs/>
          <w:szCs w:val="24"/>
          <w:shd w:val="clear" w:color="auto" w:fill="FFFFFF"/>
        </w:rPr>
        <w:t>Plant Disease</w:t>
      </w:r>
      <w:r w:rsidRPr="007A39B7">
        <w:rPr>
          <w:rFonts w:cs="Times New Roman"/>
          <w:szCs w:val="24"/>
          <w:shd w:val="clear" w:color="auto" w:fill="FFFFFF"/>
        </w:rPr>
        <w:t>, </w:t>
      </w:r>
      <w:r w:rsidRPr="007A39B7">
        <w:rPr>
          <w:rFonts w:cs="Times New Roman"/>
          <w:i/>
          <w:iCs/>
          <w:szCs w:val="24"/>
          <w:shd w:val="clear" w:color="auto" w:fill="FFFFFF"/>
        </w:rPr>
        <w:t>81</w:t>
      </w:r>
      <w:r w:rsidRPr="007A39B7">
        <w:rPr>
          <w:rFonts w:cs="Times New Roman"/>
          <w:szCs w:val="24"/>
          <w:shd w:val="clear" w:color="auto" w:fill="FFFFFF"/>
        </w:rPr>
        <w:t>(4), 363-368.</w:t>
      </w:r>
    </w:p>
    <w:p w14:paraId="047FF2D2" w14:textId="77777777" w:rsidR="00D20476" w:rsidRPr="007A39B7"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 xml:space="preserve">Su, G., Suh, S. O., Schneider, R. W., &amp; Russin, J. S. (2001). Host specialization in the charcoal rot fungus, </w:t>
      </w:r>
      <w:r w:rsidRPr="007A39B7">
        <w:rPr>
          <w:rFonts w:cs="Times New Roman"/>
          <w:i/>
          <w:szCs w:val="24"/>
          <w:shd w:val="clear" w:color="auto" w:fill="FFFFFF"/>
        </w:rPr>
        <w:t>Macrophomina phaseolina</w:t>
      </w:r>
      <w:r w:rsidRPr="007A39B7">
        <w:rPr>
          <w:rFonts w:cs="Times New Roman"/>
          <w:szCs w:val="24"/>
          <w:shd w:val="clear" w:color="auto" w:fill="FFFFFF"/>
        </w:rPr>
        <w:t>. </w:t>
      </w:r>
      <w:r w:rsidRPr="007A39B7">
        <w:rPr>
          <w:rFonts w:cs="Times New Roman"/>
          <w:i/>
          <w:iCs/>
          <w:szCs w:val="24"/>
          <w:shd w:val="clear" w:color="auto" w:fill="FFFFFF"/>
        </w:rPr>
        <w:t>Phytopathology</w:t>
      </w:r>
      <w:r w:rsidRPr="007A39B7">
        <w:rPr>
          <w:rFonts w:cs="Times New Roman"/>
          <w:szCs w:val="24"/>
          <w:shd w:val="clear" w:color="auto" w:fill="FFFFFF"/>
        </w:rPr>
        <w:t>, </w:t>
      </w:r>
      <w:r w:rsidRPr="007A39B7">
        <w:rPr>
          <w:rFonts w:cs="Times New Roman"/>
          <w:i/>
          <w:iCs/>
          <w:szCs w:val="24"/>
          <w:shd w:val="clear" w:color="auto" w:fill="FFFFFF"/>
        </w:rPr>
        <w:t>91</w:t>
      </w:r>
      <w:r w:rsidRPr="007A39B7">
        <w:rPr>
          <w:rFonts w:cs="Times New Roman"/>
          <w:szCs w:val="24"/>
          <w:shd w:val="clear" w:color="auto" w:fill="FFFFFF"/>
        </w:rPr>
        <w:t>(2), 120-126.</w:t>
      </w:r>
    </w:p>
    <w:p w14:paraId="3B931AEF" w14:textId="77777777" w:rsidR="00D20476" w:rsidRPr="008E2CD0" w:rsidRDefault="00D20476" w:rsidP="00D20476">
      <w:pPr>
        <w:spacing w:line="360" w:lineRule="auto"/>
        <w:ind w:left="720" w:hanging="720"/>
        <w:rPr>
          <w:rFonts w:cs="Times New Roman"/>
          <w:szCs w:val="24"/>
          <w:shd w:val="clear" w:color="auto" w:fill="FFFFFF"/>
        </w:rPr>
      </w:pPr>
      <w:r w:rsidRPr="007A39B7">
        <w:rPr>
          <w:rFonts w:cs="Times New Roman"/>
          <w:szCs w:val="24"/>
          <w:shd w:val="clear" w:color="auto" w:fill="FFFFFF"/>
        </w:rPr>
        <w:t>Wrather, A., &amp; Koenning, S. (2009). Effects of diseases on soybean yields in the United States 1996 to 2007. </w:t>
      </w:r>
      <w:r w:rsidRPr="007A39B7">
        <w:rPr>
          <w:rFonts w:cs="Times New Roman"/>
          <w:i/>
          <w:iCs/>
          <w:szCs w:val="24"/>
          <w:shd w:val="clear" w:color="auto" w:fill="FFFFFF"/>
        </w:rPr>
        <w:t>Plant Health Progress</w:t>
      </w:r>
      <w:r w:rsidRPr="007A39B7">
        <w:rPr>
          <w:rFonts w:cs="Times New Roman"/>
          <w:szCs w:val="24"/>
          <w:shd w:val="clear" w:color="auto" w:fill="FFFFFF"/>
        </w:rPr>
        <w:t>, </w:t>
      </w:r>
      <w:r w:rsidRPr="007A39B7">
        <w:rPr>
          <w:rFonts w:cs="Times New Roman"/>
          <w:i/>
          <w:iCs/>
          <w:szCs w:val="24"/>
          <w:shd w:val="clear" w:color="auto" w:fill="FFFFFF"/>
        </w:rPr>
        <w:t>10</w:t>
      </w:r>
      <w:r w:rsidRPr="007A39B7">
        <w:rPr>
          <w:rFonts w:cs="Times New Roman"/>
          <w:szCs w:val="24"/>
          <w:shd w:val="clear" w:color="auto" w:fill="FFFFFF"/>
        </w:rPr>
        <w:t>(1), 24</w:t>
      </w:r>
      <w:r w:rsidRPr="00102AAA">
        <w:rPr>
          <w:rFonts w:cs="Times New Roman"/>
          <w:szCs w:val="24"/>
          <w:shd w:val="clear" w:color="auto" w:fill="FFFFFF"/>
        </w:rPr>
        <w:t>.</w:t>
      </w:r>
      <w:r w:rsidRPr="008E2CD0">
        <w:rPr>
          <w:shd w:val="clear" w:color="auto" w:fill="FFFFFF"/>
        </w:rPr>
        <w:br w:type="page"/>
      </w:r>
    </w:p>
    <w:p w14:paraId="157D28F4" w14:textId="1623D190" w:rsidR="00D20476" w:rsidRDefault="00D20476" w:rsidP="00D20476">
      <w:pPr>
        <w:pStyle w:val="Heading1"/>
        <w:jc w:val="center"/>
      </w:pPr>
      <w:bookmarkStart w:id="368" w:name="_Toc98812790"/>
      <w:bookmarkStart w:id="369" w:name="_Toc98812998"/>
      <w:bookmarkStart w:id="370" w:name="_Toc98813664"/>
      <w:bookmarkStart w:id="371" w:name="_Toc101048172"/>
      <w:r w:rsidRPr="00A32B6A">
        <w:t>Appendix</w:t>
      </w:r>
      <w:bookmarkEnd w:id="368"/>
      <w:bookmarkEnd w:id="369"/>
      <w:bookmarkEnd w:id="370"/>
      <w:bookmarkEnd w:id="371"/>
    </w:p>
    <w:p w14:paraId="772B2BDE" w14:textId="77777777" w:rsidR="002E4580" w:rsidRPr="00A32B6A" w:rsidRDefault="002E4580" w:rsidP="00D20476">
      <w:pPr>
        <w:pStyle w:val="Heading1"/>
        <w:jc w:val="center"/>
        <w:rPr>
          <w:shd w:val="clear" w:color="auto" w:fill="FFFFFF"/>
        </w:rPr>
      </w:pPr>
    </w:p>
    <w:p w14:paraId="7D98E237" w14:textId="63D8B305" w:rsidR="00D20476" w:rsidRPr="00A32B6A" w:rsidRDefault="00D20476" w:rsidP="00D20476">
      <w:pPr>
        <w:pStyle w:val="Caption"/>
        <w:framePr w:wrap="around"/>
        <w:rPr>
          <w:b w:val="0"/>
        </w:rPr>
      </w:pPr>
      <w:bookmarkStart w:id="372" w:name="_Toc101048977"/>
      <w:r w:rsidRPr="00AA1478">
        <w:t>Table 4</w:t>
      </w:r>
      <w:r w:rsidRPr="00AB65D6">
        <w:t xml:space="preserve">. </w:t>
      </w:r>
      <w:r w:rsidR="00035AE8">
        <w:fldChar w:fldCharType="begin"/>
      </w:r>
      <w:r w:rsidR="00035AE8">
        <w:instrText xml:space="preserve"> SEQ Table_4. \* ARABIC </w:instrText>
      </w:r>
      <w:r w:rsidR="00035AE8">
        <w:fldChar w:fldCharType="separate"/>
      </w:r>
      <w:r w:rsidR="009C2EDC">
        <w:rPr>
          <w:noProof/>
        </w:rPr>
        <w:t>1</w:t>
      </w:r>
      <w:r w:rsidR="00035AE8">
        <w:rPr>
          <w:noProof/>
        </w:rPr>
        <w:fldChar w:fldCharType="end"/>
      </w:r>
      <w:r w:rsidRPr="00AB65D6">
        <w:t xml:space="preserve">. Estimation of </w:t>
      </w:r>
      <w:r w:rsidRPr="00AB65D6">
        <w:rPr>
          <w:i/>
        </w:rPr>
        <w:t>Macrophomina phaseolina</w:t>
      </w:r>
      <w:r w:rsidRPr="00AB65D6">
        <w:t xml:space="preserve"> colony forming units (CFU) for each microsclerotial treatment.</w:t>
      </w:r>
      <w:bookmarkEnd w:id="372"/>
    </w:p>
    <w:tbl>
      <w:tblPr>
        <w:tblStyle w:val="ListTable1Light-Accent5"/>
        <w:tblpPr w:leftFromText="180" w:rightFromText="180" w:vertAnchor="text" w:horzAnchor="page" w:tblpX="2678" w:tblpY="1203"/>
        <w:tblW w:w="0" w:type="auto"/>
        <w:tblLayout w:type="fixed"/>
        <w:tblLook w:val="0480" w:firstRow="0" w:lastRow="0" w:firstColumn="1" w:lastColumn="0" w:noHBand="0" w:noVBand="1"/>
      </w:tblPr>
      <w:tblGrid>
        <w:gridCol w:w="2659"/>
        <w:gridCol w:w="3949"/>
      </w:tblGrid>
      <w:tr w:rsidR="00D20476" w:rsidRPr="008E2CD0" w14:paraId="1B4DF3F3" w14:textId="77777777" w:rsidTr="004111C2">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2659" w:type="dxa"/>
            <w:tcBorders>
              <w:top w:val="single" w:sz="4" w:space="0" w:color="auto"/>
              <w:bottom w:val="single" w:sz="4" w:space="0" w:color="auto"/>
            </w:tcBorders>
            <w:shd w:val="clear" w:color="auto" w:fill="auto"/>
          </w:tcPr>
          <w:p w14:paraId="6D2B666B" w14:textId="505E7161" w:rsidR="00D20476" w:rsidRPr="008E0C49" w:rsidRDefault="00D20476" w:rsidP="008E0C49">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 xml:space="preserve">Treatment </w:t>
            </w:r>
            <w:r w:rsidRPr="008E0C49">
              <w:rPr>
                <w:rFonts w:ascii="Times New Roman" w:hAnsi="Times New Roman" w:cs="Times New Roman"/>
                <w:b w:val="0"/>
                <w:sz w:val="20"/>
                <w:szCs w:val="20"/>
                <w:vertAlign w:val="superscript"/>
              </w:rPr>
              <w:t>a</w:t>
            </w:r>
          </w:p>
        </w:tc>
        <w:tc>
          <w:tcPr>
            <w:tcW w:w="3949" w:type="dxa"/>
            <w:tcBorders>
              <w:top w:val="single" w:sz="4" w:space="0" w:color="auto"/>
              <w:bottom w:val="single" w:sz="4" w:space="0" w:color="auto"/>
            </w:tcBorders>
            <w:shd w:val="clear" w:color="auto" w:fill="auto"/>
          </w:tcPr>
          <w:p w14:paraId="3504FC40" w14:textId="77777777" w:rsidR="00D20476" w:rsidRPr="008E0C49" w:rsidDel="005E224C" w:rsidRDefault="00D20476" w:rsidP="006255B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Estimated initial CFU</w:t>
            </w:r>
          </w:p>
        </w:tc>
      </w:tr>
      <w:tr w:rsidR="00D20476" w:rsidRPr="008E2CD0" w14:paraId="6803EC4F" w14:textId="77777777" w:rsidTr="004111C2">
        <w:trPr>
          <w:trHeight w:val="218"/>
        </w:trPr>
        <w:tc>
          <w:tcPr>
            <w:cnfStyle w:val="001000000000" w:firstRow="0" w:lastRow="0" w:firstColumn="1" w:lastColumn="0" w:oddVBand="0" w:evenVBand="0" w:oddHBand="0" w:evenHBand="0" w:firstRowFirstColumn="0" w:firstRowLastColumn="0" w:lastRowFirstColumn="0" w:lastRowLastColumn="0"/>
            <w:tcW w:w="2659" w:type="dxa"/>
            <w:tcBorders>
              <w:top w:val="single" w:sz="4" w:space="0" w:color="auto"/>
            </w:tcBorders>
            <w:shd w:val="clear" w:color="auto" w:fill="auto"/>
          </w:tcPr>
          <w:p w14:paraId="18947CCF"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No-inoculum</w:t>
            </w:r>
          </w:p>
        </w:tc>
        <w:tc>
          <w:tcPr>
            <w:tcW w:w="3949" w:type="dxa"/>
            <w:tcBorders>
              <w:top w:val="single" w:sz="4" w:space="0" w:color="auto"/>
            </w:tcBorders>
            <w:shd w:val="clear" w:color="auto" w:fill="auto"/>
          </w:tcPr>
          <w:p w14:paraId="1384C846" w14:textId="77777777" w:rsidR="00D20476" w:rsidRPr="008E0C49" w:rsidRDefault="00D20476" w:rsidP="006255B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0</w:t>
            </w:r>
          </w:p>
        </w:tc>
      </w:tr>
      <w:tr w:rsidR="00D20476" w:rsidRPr="008E2CD0" w14:paraId="5D22DCA5" w14:textId="77777777" w:rsidTr="008E0C49">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659" w:type="dxa"/>
          </w:tcPr>
          <w:p w14:paraId="798D8C74"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Sterile millet (4g)</w:t>
            </w:r>
          </w:p>
        </w:tc>
        <w:tc>
          <w:tcPr>
            <w:tcW w:w="3949" w:type="dxa"/>
          </w:tcPr>
          <w:p w14:paraId="465244B6" w14:textId="77777777" w:rsidR="00D20476" w:rsidRPr="008E0C49" w:rsidRDefault="00D20476" w:rsidP="006255B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0</w:t>
            </w:r>
          </w:p>
        </w:tc>
      </w:tr>
      <w:tr w:rsidR="00D20476" w:rsidRPr="008E2CD0" w14:paraId="0AF61EE9" w14:textId="77777777" w:rsidTr="008E0C49">
        <w:trPr>
          <w:trHeight w:val="218"/>
        </w:trPr>
        <w:tc>
          <w:tcPr>
            <w:cnfStyle w:val="001000000000" w:firstRow="0" w:lastRow="0" w:firstColumn="1" w:lastColumn="0" w:oddVBand="0" w:evenVBand="0" w:oddHBand="0" w:evenHBand="0" w:firstRowFirstColumn="0" w:firstRowLastColumn="0" w:lastRowFirstColumn="0" w:lastRowLastColumn="0"/>
            <w:tcW w:w="2659" w:type="dxa"/>
          </w:tcPr>
          <w:p w14:paraId="1D77A0AD"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0.5</w:t>
            </w:r>
          </w:p>
        </w:tc>
        <w:tc>
          <w:tcPr>
            <w:tcW w:w="3949" w:type="dxa"/>
          </w:tcPr>
          <w:p w14:paraId="115BD48F" w14:textId="77777777" w:rsidR="00D20476" w:rsidRPr="008E0C49" w:rsidRDefault="00D20476" w:rsidP="006255B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47,553</w:t>
            </w:r>
          </w:p>
        </w:tc>
      </w:tr>
      <w:tr w:rsidR="00D20476" w:rsidRPr="008E2CD0" w14:paraId="3020DD17" w14:textId="77777777" w:rsidTr="008E0C4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659" w:type="dxa"/>
          </w:tcPr>
          <w:p w14:paraId="1F0C8386"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1.0</w:t>
            </w:r>
          </w:p>
        </w:tc>
        <w:tc>
          <w:tcPr>
            <w:tcW w:w="3949" w:type="dxa"/>
          </w:tcPr>
          <w:p w14:paraId="3E1E6BF8" w14:textId="77777777" w:rsidR="00D20476" w:rsidRPr="008E0C49" w:rsidRDefault="00D20476" w:rsidP="006255B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95,107</w:t>
            </w:r>
          </w:p>
        </w:tc>
      </w:tr>
      <w:tr w:rsidR="00D20476" w:rsidRPr="008E2CD0" w14:paraId="35D8F287" w14:textId="77777777" w:rsidTr="008E0C49">
        <w:trPr>
          <w:trHeight w:val="218"/>
        </w:trPr>
        <w:tc>
          <w:tcPr>
            <w:cnfStyle w:val="001000000000" w:firstRow="0" w:lastRow="0" w:firstColumn="1" w:lastColumn="0" w:oddVBand="0" w:evenVBand="0" w:oddHBand="0" w:evenHBand="0" w:firstRowFirstColumn="0" w:firstRowLastColumn="0" w:lastRowFirstColumn="0" w:lastRowLastColumn="0"/>
            <w:tcW w:w="2659" w:type="dxa"/>
          </w:tcPr>
          <w:p w14:paraId="77CE8695"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1.5</w:t>
            </w:r>
          </w:p>
        </w:tc>
        <w:tc>
          <w:tcPr>
            <w:tcW w:w="3949" w:type="dxa"/>
          </w:tcPr>
          <w:p w14:paraId="490DEA0E" w14:textId="77777777" w:rsidR="00D20476" w:rsidRPr="008E0C49" w:rsidRDefault="00D20476" w:rsidP="006255B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142,660</w:t>
            </w:r>
          </w:p>
        </w:tc>
      </w:tr>
      <w:tr w:rsidR="00D20476" w:rsidRPr="008E2CD0" w14:paraId="749025BD" w14:textId="77777777" w:rsidTr="008E0C49">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2659" w:type="dxa"/>
          </w:tcPr>
          <w:p w14:paraId="5EDCFDE8"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2.0</w:t>
            </w:r>
          </w:p>
        </w:tc>
        <w:tc>
          <w:tcPr>
            <w:tcW w:w="3949" w:type="dxa"/>
          </w:tcPr>
          <w:p w14:paraId="5F059774" w14:textId="77777777" w:rsidR="00D20476" w:rsidRPr="008E0C49" w:rsidRDefault="00D20476" w:rsidP="006255B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190,213</w:t>
            </w:r>
          </w:p>
        </w:tc>
      </w:tr>
      <w:tr w:rsidR="00D20476" w:rsidRPr="008E2CD0" w14:paraId="6D8F5E51" w14:textId="77777777" w:rsidTr="008E0C49">
        <w:trPr>
          <w:trHeight w:val="209"/>
        </w:trPr>
        <w:tc>
          <w:tcPr>
            <w:cnfStyle w:val="001000000000" w:firstRow="0" w:lastRow="0" w:firstColumn="1" w:lastColumn="0" w:oddVBand="0" w:evenVBand="0" w:oddHBand="0" w:evenHBand="0" w:firstRowFirstColumn="0" w:firstRowLastColumn="0" w:lastRowFirstColumn="0" w:lastRowLastColumn="0"/>
            <w:tcW w:w="2659" w:type="dxa"/>
          </w:tcPr>
          <w:p w14:paraId="5904B361"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2.5</w:t>
            </w:r>
          </w:p>
        </w:tc>
        <w:tc>
          <w:tcPr>
            <w:tcW w:w="3949" w:type="dxa"/>
          </w:tcPr>
          <w:p w14:paraId="2462637C" w14:textId="77777777" w:rsidR="00D20476" w:rsidRPr="008E0C49" w:rsidRDefault="00D20476" w:rsidP="006255B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237,767</w:t>
            </w:r>
          </w:p>
        </w:tc>
      </w:tr>
      <w:tr w:rsidR="00D20476" w:rsidRPr="008E2CD0" w14:paraId="5293CC6D" w14:textId="77777777" w:rsidTr="008E0C49">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659" w:type="dxa"/>
          </w:tcPr>
          <w:p w14:paraId="30223433"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3.0</w:t>
            </w:r>
          </w:p>
        </w:tc>
        <w:tc>
          <w:tcPr>
            <w:tcW w:w="3949" w:type="dxa"/>
          </w:tcPr>
          <w:p w14:paraId="2B395C39" w14:textId="77777777" w:rsidR="00D20476" w:rsidRPr="008E0C49" w:rsidRDefault="00D20476" w:rsidP="006255B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285,320</w:t>
            </w:r>
          </w:p>
        </w:tc>
      </w:tr>
      <w:tr w:rsidR="00D20476" w:rsidRPr="008E2CD0" w14:paraId="2BFC732F" w14:textId="77777777" w:rsidTr="008E0C49">
        <w:trPr>
          <w:trHeight w:val="218"/>
        </w:trPr>
        <w:tc>
          <w:tcPr>
            <w:cnfStyle w:val="001000000000" w:firstRow="0" w:lastRow="0" w:firstColumn="1" w:lastColumn="0" w:oddVBand="0" w:evenVBand="0" w:oddHBand="0" w:evenHBand="0" w:firstRowFirstColumn="0" w:firstRowLastColumn="0" w:lastRowFirstColumn="0" w:lastRowLastColumn="0"/>
            <w:tcW w:w="2659" w:type="dxa"/>
          </w:tcPr>
          <w:p w14:paraId="0B1643A6"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3.5</w:t>
            </w:r>
          </w:p>
        </w:tc>
        <w:tc>
          <w:tcPr>
            <w:tcW w:w="3949" w:type="dxa"/>
          </w:tcPr>
          <w:p w14:paraId="702DE6CE" w14:textId="77777777" w:rsidR="00D20476" w:rsidRPr="008E0C49" w:rsidRDefault="00D20476" w:rsidP="006255B5">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332,873</w:t>
            </w:r>
          </w:p>
        </w:tc>
      </w:tr>
      <w:tr w:rsidR="00D20476" w:rsidRPr="008E2CD0" w14:paraId="3B414750" w14:textId="77777777" w:rsidTr="008E0C49">
        <w:trPr>
          <w:cnfStyle w:val="000000100000" w:firstRow="0" w:lastRow="0" w:firstColumn="0" w:lastColumn="0" w:oddVBand="0" w:evenVBand="0" w:oddHBand="1"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2659" w:type="dxa"/>
            <w:tcBorders>
              <w:bottom w:val="single" w:sz="4" w:space="0" w:color="auto"/>
            </w:tcBorders>
          </w:tcPr>
          <w:p w14:paraId="0EDB9FC7" w14:textId="77777777" w:rsidR="00D20476" w:rsidRPr="008E0C49" w:rsidRDefault="00D20476" w:rsidP="006255B5">
            <w:pPr>
              <w:pStyle w:val="NoSpacing"/>
              <w:jc w:val="center"/>
              <w:rPr>
                <w:rFonts w:ascii="Times New Roman" w:hAnsi="Times New Roman" w:cs="Times New Roman"/>
                <w:b w:val="0"/>
                <w:sz w:val="20"/>
                <w:szCs w:val="20"/>
              </w:rPr>
            </w:pPr>
            <w:r w:rsidRPr="008E0C49">
              <w:rPr>
                <w:rFonts w:ascii="Times New Roman" w:hAnsi="Times New Roman" w:cs="Times New Roman"/>
                <w:b w:val="0"/>
                <w:sz w:val="20"/>
                <w:szCs w:val="20"/>
              </w:rPr>
              <w:t>T 4.0</w:t>
            </w:r>
          </w:p>
        </w:tc>
        <w:tc>
          <w:tcPr>
            <w:tcW w:w="3949" w:type="dxa"/>
            <w:tcBorders>
              <w:bottom w:val="single" w:sz="4" w:space="0" w:color="auto"/>
            </w:tcBorders>
          </w:tcPr>
          <w:p w14:paraId="1A8D56A2" w14:textId="77777777" w:rsidR="00D20476" w:rsidRPr="008E0C49" w:rsidRDefault="00D20476" w:rsidP="006255B5">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C49">
              <w:rPr>
                <w:rFonts w:ascii="Times New Roman" w:hAnsi="Times New Roman" w:cs="Times New Roman"/>
                <w:sz w:val="20"/>
                <w:szCs w:val="20"/>
              </w:rPr>
              <w:t>380,427</w:t>
            </w:r>
          </w:p>
        </w:tc>
      </w:tr>
      <w:tr w:rsidR="00D20476" w:rsidRPr="008E2CD0" w14:paraId="544E84F5" w14:textId="77777777" w:rsidTr="008E0C49">
        <w:trPr>
          <w:trHeight w:val="209"/>
        </w:trPr>
        <w:tc>
          <w:tcPr>
            <w:cnfStyle w:val="001000000000" w:firstRow="0" w:lastRow="0" w:firstColumn="1" w:lastColumn="0" w:oddVBand="0" w:evenVBand="0" w:oddHBand="0" w:evenHBand="0" w:firstRowFirstColumn="0" w:firstRowLastColumn="0" w:lastRowFirstColumn="0" w:lastRowLastColumn="0"/>
            <w:tcW w:w="6608" w:type="dxa"/>
            <w:gridSpan w:val="2"/>
            <w:tcBorders>
              <w:top w:val="single" w:sz="4" w:space="0" w:color="auto"/>
            </w:tcBorders>
          </w:tcPr>
          <w:p w14:paraId="5259A652" w14:textId="77777777" w:rsidR="00D20476" w:rsidRPr="008E0C49" w:rsidRDefault="00D20476" w:rsidP="006255B5">
            <w:pPr>
              <w:pStyle w:val="NoSpacing"/>
              <w:rPr>
                <w:rFonts w:ascii="Times New Roman" w:hAnsi="Times New Roman" w:cs="Times New Roman"/>
                <w:b w:val="0"/>
                <w:sz w:val="20"/>
                <w:szCs w:val="20"/>
              </w:rPr>
            </w:pPr>
            <w:r w:rsidRPr="008E0C49">
              <w:rPr>
                <w:rFonts w:ascii="Times New Roman" w:hAnsi="Times New Roman" w:cs="Times New Roman"/>
                <w:b w:val="0"/>
                <w:sz w:val="20"/>
                <w:szCs w:val="20"/>
                <w:vertAlign w:val="superscript"/>
              </w:rPr>
              <w:t>a</w:t>
            </w:r>
            <w:r w:rsidRPr="008E0C49">
              <w:rPr>
                <w:rFonts w:ascii="Times New Roman" w:hAnsi="Times New Roman" w:cs="Times New Roman"/>
                <w:b w:val="0"/>
                <w:sz w:val="20"/>
                <w:szCs w:val="20"/>
              </w:rPr>
              <w:t xml:space="preserve"> Values listed after T indicate number of grams of inoculum for each treatment</w:t>
            </w:r>
          </w:p>
        </w:tc>
      </w:tr>
    </w:tbl>
    <w:p w14:paraId="634F9DCB" w14:textId="77777777" w:rsidR="00D20476" w:rsidRPr="008E2CD0" w:rsidRDefault="00D20476" w:rsidP="00D20476">
      <w:pPr>
        <w:tabs>
          <w:tab w:val="left" w:pos="948"/>
        </w:tabs>
        <w:ind w:left="720"/>
        <w:rPr>
          <w:rFonts w:cs="Times New Roman"/>
          <w:sz w:val="20"/>
          <w:szCs w:val="20"/>
        </w:rPr>
      </w:pPr>
    </w:p>
    <w:p w14:paraId="00655914" w14:textId="77777777" w:rsidR="00D20476" w:rsidRPr="008E2CD0" w:rsidRDefault="00D20476" w:rsidP="00D20476">
      <w:pPr>
        <w:tabs>
          <w:tab w:val="left" w:pos="948"/>
        </w:tabs>
        <w:ind w:left="720"/>
        <w:rPr>
          <w:rFonts w:cs="Times New Roman"/>
          <w:sz w:val="20"/>
          <w:szCs w:val="20"/>
        </w:rPr>
      </w:pPr>
    </w:p>
    <w:p w14:paraId="4B17100F" w14:textId="77777777" w:rsidR="00D20476" w:rsidRPr="008E2CD0" w:rsidRDefault="00D20476" w:rsidP="00D20476">
      <w:pPr>
        <w:tabs>
          <w:tab w:val="left" w:pos="948"/>
        </w:tabs>
        <w:ind w:left="720"/>
        <w:rPr>
          <w:rFonts w:cs="Times New Roman"/>
          <w:sz w:val="20"/>
          <w:szCs w:val="20"/>
        </w:rPr>
      </w:pPr>
    </w:p>
    <w:p w14:paraId="4ECFE757" w14:textId="77777777" w:rsidR="00D20476" w:rsidRPr="008E2CD0" w:rsidRDefault="00D20476" w:rsidP="00D20476">
      <w:pPr>
        <w:tabs>
          <w:tab w:val="left" w:pos="948"/>
        </w:tabs>
        <w:ind w:left="720"/>
        <w:rPr>
          <w:rFonts w:cs="Times New Roman"/>
          <w:sz w:val="20"/>
          <w:szCs w:val="20"/>
        </w:rPr>
      </w:pPr>
    </w:p>
    <w:p w14:paraId="18EADF4E" w14:textId="77777777" w:rsidR="00D20476" w:rsidRPr="008E2CD0" w:rsidRDefault="00D20476" w:rsidP="00D20476">
      <w:pPr>
        <w:tabs>
          <w:tab w:val="left" w:pos="948"/>
        </w:tabs>
        <w:ind w:left="720"/>
        <w:rPr>
          <w:rFonts w:cs="Times New Roman"/>
          <w:sz w:val="20"/>
          <w:szCs w:val="20"/>
        </w:rPr>
      </w:pPr>
    </w:p>
    <w:p w14:paraId="05857FFE" w14:textId="77777777" w:rsidR="00D20476" w:rsidRPr="008E2CD0" w:rsidRDefault="00D20476" w:rsidP="00D20476">
      <w:pPr>
        <w:tabs>
          <w:tab w:val="left" w:pos="948"/>
        </w:tabs>
        <w:ind w:left="720"/>
        <w:rPr>
          <w:rFonts w:cs="Times New Roman"/>
          <w:sz w:val="20"/>
          <w:szCs w:val="20"/>
        </w:rPr>
      </w:pPr>
    </w:p>
    <w:p w14:paraId="6D8BDFC7" w14:textId="77777777" w:rsidR="00D20476" w:rsidRPr="008E2CD0" w:rsidRDefault="00D20476" w:rsidP="00D20476">
      <w:pPr>
        <w:tabs>
          <w:tab w:val="left" w:pos="948"/>
        </w:tabs>
        <w:ind w:left="720"/>
        <w:rPr>
          <w:rFonts w:cs="Times New Roman"/>
          <w:sz w:val="20"/>
          <w:szCs w:val="20"/>
        </w:rPr>
      </w:pPr>
    </w:p>
    <w:p w14:paraId="2A14D173" w14:textId="77777777" w:rsidR="00D20476" w:rsidRPr="008E2CD0" w:rsidRDefault="00D20476" w:rsidP="00D20476">
      <w:pPr>
        <w:tabs>
          <w:tab w:val="left" w:pos="948"/>
        </w:tabs>
        <w:ind w:left="720"/>
        <w:rPr>
          <w:rFonts w:cs="Times New Roman"/>
          <w:sz w:val="20"/>
          <w:szCs w:val="20"/>
        </w:rPr>
      </w:pPr>
    </w:p>
    <w:p w14:paraId="7BB401DD" w14:textId="77777777" w:rsidR="00D20476" w:rsidRPr="008E2CD0" w:rsidRDefault="00D20476" w:rsidP="00D20476">
      <w:pPr>
        <w:ind w:left="720"/>
        <w:rPr>
          <w:rFonts w:cs="Times New Roman"/>
          <w:sz w:val="20"/>
          <w:szCs w:val="20"/>
        </w:rPr>
      </w:pPr>
    </w:p>
    <w:p w14:paraId="43B87A5D" w14:textId="77777777" w:rsidR="00D20476" w:rsidRPr="008E2CD0" w:rsidRDefault="00D20476" w:rsidP="00D20476">
      <w:pPr>
        <w:ind w:left="720"/>
        <w:rPr>
          <w:rFonts w:cs="Times New Roman"/>
          <w:sz w:val="20"/>
          <w:szCs w:val="20"/>
        </w:rPr>
      </w:pPr>
    </w:p>
    <w:p w14:paraId="173B1E06" w14:textId="77777777" w:rsidR="00D20476" w:rsidRPr="008E2CD0" w:rsidRDefault="00D20476" w:rsidP="00D20476">
      <w:pPr>
        <w:tabs>
          <w:tab w:val="left" w:pos="5563"/>
        </w:tabs>
        <w:ind w:left="720"/>
        <w:rPr>
          <w:rFonts w:cs="Times New Roman"/>
          <w:sz w:val="20"/>
          <w:szCs w:val="20"/>
        </w:rPr>
      </w:pPr>
      <w:r w:rsidRPr="008E2CD0">
        <w:rPr>
          <w:rFonts w:cs="Times New Roman"/>
          <w:sz w:val="20"/>
          <w:szCs w:val="20"/>
        </w:rPr>
        <w:tab/>
      </w:r>
    </w:p>
    <w:p w14:paraId="51FB96A8" w14:textId="77777777" w:rsidR="00D20476" w:rsidRPr="008E2CD0" w:rsidRDefault="00D20476" w:rsidP="00D20476">
      <w:pPr>
        <w:ind w:left="720"/>
        <w:rPr>
          <w:rFonts w:cs="Times New Roman"/>
          <w:sz w:val="20"/>
          <w:szCs w:val="20"/>
        </w:rPr>
      </w:pPr>
      <w:r w:rsidRPr="008E2CD0">
        <w:rPr>
          <w:rFonts w:cs="Times New Roman"/>
          <w:sz w:val="20"/>
          <w:szCs w:val="20"/>
        </w:rPr>
        <w:br w:type="page"/>
      </w:r>
    </w:p>
    <w:p w14:paraId="3BCF9A00" w14:textId="4263E96D" w:rsidR="00D20476" w:rsidRPr="00AB65D6" w:rsidRDefault="00D20476" w:rsidP="002A3EE3">
      <w:pPr>
        <w:pStyle w:val="Caption"/>
        <w:framePr w:w="8449" w:wrap="around" w:hAnchor="page" w:x="2101" w:y="253"/>
      </w:pPr>
      <w:bookmarkStart w:id="373" w:name="_Toc101048978"/>
      <w:r w:rsidRPr="00AB65D6">
        <w:t xml:space="preserve">Table 4. </w:t>
      </w:r>
      <w:r w:rsidR="00035AE8">
        <w:fldChar w:fldCharType="begin"/>
      </w:r>
      <w:r w:rsidR="00035AE8">
        <w:instrText xml:space="preserve"> SEQ Table_4. \* ARABIC </w:instrText>
      </w:r>
      <w:r w:rsidR="00035AE8">
        <w:fldChar w:fldCharType="separate"/>
      </w:r>
      <w:r w:rsidR="009C2EDC">
        <w:rPr>
          <w:noProof/>
        </w:rPr>
        <w:t>2</w:t>
      </w:r>
      <w:r w:rsidR="00035AE8">
        <w:rPr>
          <w:noProof/>
        </w:rPr>
        <w:fldChar w:fldCharType="end"/>
      </w:r>
      <w:r w:rsidRPr="00AB65D6">
        <w:t>. Standard least squares p-values of fixed effects of variety and microsclerotial treatments.</w:t>
      </w:r>
      <w:bookmarkEnd w:id="373"/>
    </w:p>
    <w:tbl>
      <w:tblPr>
        <w:tblStyle w:val="ListTable1Light-Accent5"/>
        <w:tblW w:w="0" w:type="auto"/>
        <w:tblInd w:w="270" w:type="dxa"/>
        <w:tblLook w:val="04A0" w:firstRow="1" w:lastRow="0" w:firstColumn="1" w:lastColumn="0" w:noHBand="0" w:noVBand="1"/>
      </w:tblPr>
      <w:tblGrid>
        <w:gridCol w:w="1626"/>
        <w:gridCol w:w="1040"/>
        <w:gridCol w:w="2922"/>
        <w:gridCol w:w="2782"/>
      </w:tblGrid>
      <w:tr w:rsidR="00D20476" w:rsidRPr="004A43D7" w14:paraId="514B2ED0" w14:textId="77777777" w:rsidTr="008E0C49">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1626" w:type="dxa"/>
            <w:tcBorders>
              <w:top w:val="single" w:sz="4" w:space="0" w:color="auto"/>
              <w:bottom w:val="single" w:sz="4" w:space="0" w:color="auto"/>
            </w:tcBorders>
            <w:noWrap/>
            <w:vAlign w:val="bottom"/>
            <w:hideMark/>
          </w:tcPr>
          <w:p w14:paraId="2653CC37" w14:textId="77777777" w:rsidR="00D20476" w:rsidRPr="008E0C49" w:rsidRDefault="00D20476" w:rsidP="008E0C49">
            <w:pPr>
              <w:rPr>
                <w:rFonts w:cs="Times New Roman"/>
                <w:b w:val="0"/>
                <w:sz w:val="20"/>
                <w:szCs w:val="20"/>
              </w:rPr>
            </w:pPr>
            <w:r w:rsidRPr="008E0C49">
              <w:rPr>
                <w:rFonts w:cs="Times New Roman"/>
                <w:b w:val="0"/>
                <w:sz w:val="20"/>
                <w:szCs w:val="20"/>
              </w:rPr>
              <w:t>Variable</w:t>
            </w:r>
          </w:p>
        </w:tc>
        <w:tc>
          <w:tcPr>
            <w:tcW w:w="1040" w:type="dxa"/>
            <w:tcBorders>
              <w:top w:val="single" w:sz="4" w:space="0" w:color="auto"/>
              <w:bottom w:val="single" w:sz="4" w:space="0" w:color="auto"/>
            </w:tcBorders>
            <w:noWrap/>
            <w:vAlign w:val="bottom"/>
            <w:hideMark/>
          </w:tcPr>
          <w:p w14:paraId="77CE2821" w14:textId="77777777" w:rsidR="00D20476" w:rsidRPr="008E0C49" w:rsidRDefault="00D20476" w:rsidP="008E0C49">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8E0C49">
              <w:rPr>
                <w:rFonts w:cs="Times New Roman"/>
                <w:b w:val="0"/>
                <w:sz w:val="20"/>
                <w:szCs w:val="20"/>
              </w:rPr>
              <w:t>Variety</w:t>
            </w:r>
          </w:p>
        </w:tc>
        <w:tc>
          <w:tcPr>
            <w:tcW w:w="2922" w:type="dxa"/>
            <w:tcBorders>
              <w:top w:val="single" w:sz="4" w:space="0" w:color="auto"/>
              <w:bottom w:val="single" w:sz="4" w:space="0" w:color="auto"/>
            </w:tcBorders>
            <w:noWrap/>
            <w:vAlign w:val="bottom"/>
            <w:hideMark/>
          </w:tcPr>
          <w:p w14:paraId="3AE66523" w14:textId="77777777" w:rsidR="00D20476" w:rsidRPr="008E0C49" w:rsidRDefault="00D20476" w:rsidP="008E0C49">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vertAlign w:val="superscript"/>
              </w:rPr>
            </w:pPr>
            <w:r w:rsidRPr="008E0C49">
              <w:rPr>
                <w:rFonts w:cs="Times New Roman"/>
                <w:b w:val="0"/>
                <w:sz w:val="20"/>
                <w:szCs w:val="20"/>
              </w:rPr>
              <w:t>Microsclerotial treatments</w:t>
            </w:r>
            <w:r w:rsidRPr="008E0C49">
              <w:rPr>
                <w:rFonts w:cs="Times New Roman"/>
                <w:b w:val="0"/>
                <w:sz w:val="20"/>
                <w:szCs w:val="20"/>
                <w:vertAlign w:val="superscript"/>
              </w:rPr>
              <w:t>a</w:t>
            </w:r>
          </w:p>
        </w:tc>
        <w:tc>
          <w:tcPr>
            <w:tcW w:w="2782" w:type="dxa"/>
            <w:tcBorders>
              <w:top w:val="single" w:sz="4" w:space="0" w:color="auto"/>
              <w:bottom w:val="single" w:sz="4" w:space="0" w:color="auto"/>
            </w:tcBorders>
            <w:noWrap/>
            <w:vAlign w:val="bottom"/>
            <w:hideMark/>
          </w:tcPr>
          <w:p w14:paraId="33C2BFF7" w14:textId="77777777" w:rsidR="00D20476" w:rsidRPr="008E0C49" w:rsidRDefault="00D20476" w:rsidP="008E0C49">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8E0C49">
              <w:rPr>
                <w:rFonts w:cs="Times New Roman"/>
                <w:b w:val="0"/>
                <w:sz w:val="20"/>
                <w:szCs w:val="20"/>
              </w:rPr>
              <w:t>Variety x Microsclerotial treatments</w:t>
            </w:r>
          </w:p>
        </w:tc>
      </w:tr>
      <w:tr w:rsidR="00D20476" w:rsidRPr="004A43D7" w14:paraId="52020357" w14:textId="77777777" w:rsidTr="008E0C4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6" w:type="dxa"/>
            <w:tcBorders>
              <w:top w:val="single" w:sz="4" w:space="0" w:color="auto"/>
            </w:tcBorders>
            <w:noWrap/>
            <w:vAlign w:val="bottom"/>
            <w:hideMark/>
          </w:tcPr>
          <w:p w14:paraId="4C4FB15C" w14:textId="77777777" w:rsidR="00D20476" w:rsidRPr="008E0C49" w:rsidRDefault="00D20476" w:rsidP="008E0C49">
            <w:pPr>
              <w:rPr>
                <w:rFonts w:cs="Times New Roman"/>
                <w:b w:val="0"/>
                <w:sz w:val="20"/>
                <w:szCs w:val="20"/>
              </w:rPr>
            </w:pPr>
            <w:r w:rsidRPr="008E0C49">
              <w:rPr>
                <w:rFonts w:cs="Times New Roman"/>
                <w:b w:val="0"/>
                <w:sz w:val="20"/>
                <w:szCs w:val="20"/>
              </w:rPr>
              <w:t>Height (cm)</w:t>
            </w:r>
          </w:p>
        </w:tc>
        <w:tc>
          <w:tcPr>
            <w:tcW w:w="1040" w:type="dxa"/>
            <w:tcBorders>
              <w:top w:val="single" w:sz="4" w:space="0" w:color="auto"/>
            </w:tcBorders>
            <w:noWrap/>
            <w:vAlign w:val="bottom"/>
            <w:hideMark/>
          </w:tcPr>
          <w:p w14:paraId="2854016C"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8E0C49">
              <w:rPr>
                <w:rFonts w:cs="Times New Roman"/>
                <w:bCs/>
                <w:sz w:val="20"/>
                <w:szCs w:val="20"/>
              </w:rPr>
              <w:t>&lt;0.0001</w:t>
            </w:r>
          </w:p>
        </w:tc>
        <w:tc>
          <w:tcPr>
            <w:tcW w:w="2922" w:type="dxa"/>
            <w:tcBorders>
              <w:top w:val="single" w:sz="4" w:space="0" w:color="auto"/>
            </w:tcBorders>
            <w:noWrap/>
            <w:vAlign w:val="bottom"/>
            <w:hideMark/>
          </w:tcPr>
          <w:p w14:paraId="39C74E66"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0.5</w:t>
            </w:r>
          </w:p>
        </w:tc>
        <w:tc>
          <w:tcPr>
            <w:tcW w:w="2782" w:type="dxa"/>
            <w:tcBorders>
              <w:top w:val="single" w:sz="4" w:space="0" w:color="auto"/>
            </w:tcBorders>
            <w:noWrap/>
            <w:vAlign w:val="bottom"/>
            <w:hideMark/>
          </w:tcPr>
          <w:p w14:paraId="2E176171"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0.4</w:t>
            </w:r>
          </w:p>
        </w:tc>
      </w:tr>
      <w:tr w:rsidR="00D20476" w:rsidRPr="004A43D7" w14:paraId="0CF7B602" w14:textId="77777777" w:rsidTr="008E0C49">
        <w:trPr>
          <w:trHeight w:val="285"/>
        </w:trPr>
        <w:tc>
          <w:tcPr>
            <w:cnfStyle w:val="001000000000" w:firstRow="0" w:lastRow="0" w:firstColumn="1" w:lastColumn="0" w:oddVBand="0" w:evenVBand="0" w:oddHBand="0" w:evenHBand="0" w:firstRowFirstColumn="0" w:firstRowLastColumn="0" w:lastRowFirstColumn="0" w:lastRowLastColumn="0"/>
            <w:tcW w:w="1626" w:type="dxa"/>
            <w:noWrap/>
            <w:vAlign w:val="bottom"/>
            <w:hideMark/>
          </w:tcPr>
          <w:p w14:paraId="324711E6" w14:textId="77777777" w:rsidR="00D20476" w:rsidRPr="008E0C49" w:rsidRDefault="00D20476" w:rsidP="008E0C49">
            <w:pPr>
              <w:rPr>
                <w:rFonts w:cs="Times New Roman"/>
                <w:b w:val="0"/>
                <w:sz w:val="20"/>
                <w:szCs w:val="20"/>
              </w:rPr>
            </w:pPr>
            <w:r w:rsidRPr="008E0C49">
              <w:rPr>
                <w:rFonts w:cs="Times New Roman"/>
                <w:b w:val="0"/>
                <w:sz w:val="20"/>
                <w:szCs w:val="20"/>
              </w:rPr>
              <w:t>Number of pods</w:t>
            </w:r>
          </w:p>
        </w:tc>
        <w:tc>
          <w:tcPr>
            <w:tcW w:w="1040" w:type="dxa"/>
            <w:noWrap/>
            <w:vAlign w:val="bottom"/>
            <w:hideMark/>
          </w:tcPr>
          <w:p w14:paraId="6B86709B"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8E0C49">
              <w:rPr>
                <w:rFonts w:cs="Times New Roman"/>
                <w:bCs/>
                <w:sz w:val="20"/>
                <w:szCs w:val="20"/>
              </w:rPr>
              <w:t>0.03</w:t>
            </w:r>
          </w:p>
        </w:tc>
        <w:tc>
          <w:tcPr>
            <w:tcW w:w="2922" w:type="dxa"/>
            <w:noWrap/>
            <w:vAlign w:val="bottom"/>
            <w:hideMark/>
          </w:tcPr>
          <w:p w14:paraId="1F9AD229"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8E0C49">
              <w:rPr>
                <w:rFonts w:cs="Times New Roman"/>
                <w:bCs/>
                <w:sz w:val="20"/>
                <w:szCs w:val="20"/>
              </w:rPr>
              <w:t>0.07</w:t>
            </w:r>
          </w:p>
        </w:tc>
        <w:tc>
          <w:tcPr>
            <w:tcW w:w="2782" w:type="dxa"/>
            <w:noWrap/>
            <w:vAlign w:val="bottom"/>
            <w:hideMark/>
          </w:tcPr>
          <w:p w14:paraId="117D3F72"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E0C49">
              <w:rPr>
                <w:rFonts w:cs="Times New Roman"/>
                <w:sz w:val="20"/>
                <w:szCs w:val="20"/>
              </w:rPr>
              <w:t>0.3</w:t>
            </w:r>
          </w:p>
        </w:tc>
      </w:tr>
      <w:tr w:rsidR="00D20476" w:rsidRPr="004A43D7" w14:paraId="27C6CF74" w14:textId="77777777" w:rsidTr="008E0C4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6" w:type="dxa"/>
            <w:noWrap/>
            <w:vAlign w:val="bottom"/>
            <w:hideMark/>
          </w:tcPr>
          <w:p w14:paraId="160E2A0B" w14:textId="77777777" w:rsidR="00D20476" w:rsidRPr="008E0C49" w:rsidRDefault="00D20476" w:rsidP="008E0C49">
            <w:pPr>
              <w:rPr>
                <w:rFonts w:cs="Times New Roman"/>
                <w:b w:val="0"/>
                <w:sz w:val="20"/>
                <w:szCs w:val="20"/>
              </w:rPr>
            </w:pPr>
            <w:r w:rsidRPr="008E0C49">
              <w:rPr>
                <w:rFonts w:cs="Times New Roman"/>
                <w:b w:val="0"/>
                <w:sz w:val="20"/>
                <w:szCs w:val="20"/>
              </w:rPr>
              <w:t>Number of seeds</w:t>
            </w:r>
          </w:p>
        </w:tc>
        <w:tc>
          <w:tcPr>
            <w:tcW w:w="1040" w:type="dxa"/>
            <w:noWrap/>
            <w:vAlign w:val="bottom"/>
            <w:hideMark/>
          </w:tcPr>
          <w:p w14:paraId="386FAE21"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0.4</w:t>
            </w:r>
          </w:p>
        </w:tc>
        <w:tc>
          <w:tcPr>
            <w:tcW w:w="2922" w:type="dxa"/>
            <w:noWrap/>
            <w:vAlign w:val="bottom"/>
            <w:hideMark/>
          </w:tcPr>
          <w:p w14:paraId="2F78026E"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8E0C49">
              <w:rPr>
                <w:rFonts w:cs="Times New Roman"/>
                <w:bCs/>
                <w:sz w:val="20"/>
                <w:szCs w:val="20"/>
              </w:rPr>
              <w:t>0.07</w:t>
            </w:r>
          </w:p>
        </w:tc>
        <w:tc>
          <w:tcPr>
            <w:tcW w:w="2782" w:type="dxa"/>
            <w:noWrap/>
            <w:vAlign w:val="bottom"/>
            <w:hideMark/>
          </w:tcPr>
          <w:p w14:paraId="2A01F2A8"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0.9</w:t>
            </w:r>
          </w:p>
        </w:tc>
      </w:tr>
      <w:tr w:rsidR="00D20476" w:rsidRPr="004A43D7" w14:paraId="7DD6272E" w14:textId="77777777" w:rsidTr="008E0C49">
        <w:trPr>
          <w:trHeight w:val="285"/>
        </w:trPr>
        <w:tc>
          <w:tcPr>
            <w:cnfStyle w:val="001000000000" w:firstRow="0" w:lastRow="0" w:firstColumn="1" w:lastColumn="0" w:oddVBand="0" w:evenVBand="0" w:oddHBand="0" w:evenHBand="0" w:firstRowFirstColumn="0" w:firstRowLastColumn="0" w:lastRowFirstColumn="0" w:lastRowLastColumn="0"/>
            <w:tcW w:w="1626" w:type="dxa"/>
            <w:noWrap/>
            <w:vAlign w:val="bottom"/>
            <w:hideMark/>
          </w:tcPr>
          <w:p w14:paraId="1111665E" w14:textId="77777777" w:rsidR="00D20476" w:rsidRPr="008E0C49" w:rsidRDefault="00D20476" w:rsidP="008E0C49">
            <w:pPr>
              <w:rPr>
                <w:rFonts w:cs="Times New Roman"/>
                <w:b w:val="0"/>
                <w:sz w:val="20"/>
                <w:szCs w:val="20"/>
                <w:vertAlign w:val="superscript"/>
              </w:rPr>
            </w:pPr>
            <w:r w:rsidRPr="008E0C49">
              <w:rPr>
                <w:rFonts w:cs="Times New Roman"/>
                <w:b w:val="0"/>
                <w:sz w:val="20"/>
                <w:szCs w:val="20"/>
              </w:rPr>
              <w:t>Severity</w:t>
            </w:r>
            <w:r w:rsidRPr="008E0C49">
              <w:rPr>
                <w:rFonts w:cs="Times New Roman"/>
                <w:b w:val="0"/>
                <w:sz w:val="20"/>
                <w:szCs w:val="20"/>
                <w:vertAlign w:val="superscript"/>
              </w:rPr>
              <w:t>b</w:t>
            </w:r>
          </w:p>
        </w:tc>
        <w:tc>
          <w:tcPr>
            <w:tcW w:w="1040" w:type="dxa"/>
            <w:noWrap/>
            <w:vAlign w:val="bottom"/>
            <w:hideMark/>
          </w:tcPr>
          <w:p w14:paraId="6390D3BA"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8E0C49">
              <w:rPr>
                <w:rFonts w:cs="Times New Roman"/>
                <w:bCs/>
                <w:sz w:val="20"/>
                <w:szCs w:val="20"/>
              </w:rPr>
              <w:t>&lt;0.0001</w:t>
            </w:r>
          </w:p>
        </w:tc>
        <w:tc>
          <w:tcPr>
            <w:tcW w:w="2922" w:type="dxa"/>
            <w:noWrap/>
            <w:vAlign w:val="bottom"/>
            <w:hideMark/>
          </w:tcPr>
          <w:p w14:paraId="46176D86"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8E0C49">
              <w:rPr>
                <w:rFonts w:cs="Times New Roman"/>
                <w:bCs/>
                <w:sz w:val="20"/>
                <w:szCs w:val="20"/>
              </w:rPr>
              <w:t>0.0004</w:t>
            </w:r>
          </w:p>
        </w:tc>
        <w:tc>
          <w:tcPr>
            <w:tcW w:w="2782" w:type="dxa"/>
            <w:noWrap/>
            <w:vAlign w:val="bottom"/>
            <w:hideMark/>
          </w:tcPr>
          <w:p w14:paraId="0BD17730"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8E0C49">
              <w:rPr>
                <w:rFonts w:cs="Times New Roman"/>
                <w:bCs/>
                <w:sz w:val="20"/>
                <w:szCs w:val="20"/>
              </w:rPr>
              <w:t>0.0004</w:t>
            </w:r>
          </w:p>
        </w:tc>
      </w:tr>
      <w:tr w:rsidR="00D20476" w:rsidRPr="004A43D7" w14:paraId="291F02C4" w14:textId="77777777" w:rsidTr="008E0C4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6" w:type="dxa"/>
            <w:noWrap/>
            <w:vAlign w:val="bottom"/>
            <w:hideMark/>
          </w:tcPr>
          <w:p w14:paraId="1BA9F923" w14:textId="77777777" w:rsidR="00D20476" w:rsidRPr="008E0C49" w:rsidRDefault="00D20476" w:rsidP="008E0C49">
            <w:pPr>
              <w:rPr>
                <w:rFonts w:cs="Times New Roman"/>
                <w:b w:val="0"/>
                <w:sz w:val="20"/>
                <w:szCs w:val="20"/>
              </w:rPr>
            </w:pPr>
            <w:r w:rsidRPr="008E0C49">
              <w:rPr>
                <w:rFonts w:cs="Times New Roman"/>
                <w:b w:val="0"/>
                <w:sz w:val="20"/>
                <w:szCs w:val="20"/>
              </w:rPr>
              <w:t>Yield (kg/ha)</w:t>
            </w:r>
          </w:p>
        </w:tc>
        <w:tc>
          <w:tcPr>
            <w:tcW w:w="1040" w:type="dxa"/>
            <w:noWrap/>
            <w:vAlign w:val="bottom"/>
            <w:hideMark/>
          </w:tcPr>
          <w:p w14:paraId="62C77D11"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8E0C49">
              <w:rPr>
                <w:rFonts w:cs="Times New Roman"/>
                <w:bCs/>
                <w:sz w:val="20"/>
                <w:szCs w:val="20"/>
              </w:rPr>
              <w:t>&lt;0.0001</w:t>
            </w:r>
          </w:p>
        </w:tc>
        <w:tc>
          <w:tcPr>
            <w:tcW w:w="2922" w:type="dxa"/>
            <w:noWrap/>
            <w:vAlign w:val="bottom"/>
            <w:hideMark/>
          </w:tcPr>
          <w:p w14:paraId="1A15EEB6"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8E0C49">
              <w:rPr>
                <w:rFonts w:cs="Times New Roman"/>
                <w:bCs/>
                <w:sz w:val="20"/>
                <w:szCs w:val="20"/>
              </w:rPr>
              <w:t>0.08</w:t>
            </w:r>
          </w:p>
        </w:tc>
        <w:tc>
          <w:tcPr>
            <w:tcW w:w="2782" w:type="dxa"/>
            <w:noWrap/>
            <w:vAlign w:val="bottom"/>
            <w:hideMark/>
          </w:tcPr>
          <w:p w14:paraId="5673876B"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0.1</w:t>
            </w:r>
          </w:p>
        </w:tc>
      </w:tr>
      <w:tr w:rsidR="00D20476" w:rsidRPr="004A43D7" w14:paraId="65831F34" w14:textId="77777777" w:rsidTr="008E0C49">
        <w:trPr>
          <w:trHeight w:val="285"/>
        </w:trPr>
        <w:tc>
          <w:tcPr>
            <w:cnfStyle w:val="001000000000" w:firstRow="0" w:lastRow="0" w:firstColumn="1" w:lastColumn="0" w:oddVBand="0" w:evenVBand="0" w:oddHBand="0" w:evenHBand="0" w:firstRowFirstColumn="0" w:firstRowLastColumn="0" w:lastRowFirstColumn="0" w:lastRowLastColumn="0"/>
            <w:tcW w:w="1626" w:type="dxa"/>
            <w:noWrap/>
            <w:vAlign w:val="bottom"/>
            <w:hideMark/>
          </w:tcPr>
          <w:p w14:paraId="25B9EC73" w14:textId="77777777" w:rsidR="00D20476" w:rsidRPr="008E0C49" w:rsidRDefault="00D20476" w:rsidP="008E0C49">
            <w:pPr>
              <w:rPr>
                <w:rFonts w:cs="Times New Roman"/>
                <w:b w:val="0"/>
                <w:sz w:val="20"/>
                <w:szCs w:val="20"/>
                <w:vertAlign w:val="superscript"/>
              </w:rPr>
            </w:pPr>
            <w:r w:rsidRPr="008E0C49">
              <w:rPr>
                <w:rFonts w:cs="Times New Roman"/>
                <w:b w:val="0"/>
                <w:sz w:val="20"/>
                <w:szCs w:val="20"/>
              </w:rPr>
              <w:t>Rhizosphere soil CFU</w:t>
            </w:r>
            <w:r w:rsidRPr="008E0C49">
              <w:rPr>
                <w:rFonts w:cs="Times New Roman"/>
                <w:b w:val="0"/>
                <w:sz w:val="20"/>
                <w:szCs w:val="20"/>
                <w:vertAlign w:val="superscript"/>
              </w:rPr>
              <w:t>c</w:t>
            </w:r>
          </w:p>
        </w:tc>
        <w:tc>
          <w:tcPr>
            <w:tcW w:w="1040" w:type="dxa"/>
            <w:noWrap/>
            <w:vAlign w:val="bottom"/>
            <w:hideMark/>
          </w:tcPr>
          <w:p w14:paraId="68B0CA0C"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E0C49">
              <w:rPr>
                <w:rFonts w:cs="Times New Roman"/>
                <w:sz w:val="20"/>
                <w:szCs w:val="20"/>
              </w:rPr>
              <w:t>0.5</w:t>
            </w:r>
          </w:p>
        </w:tc>
        <w:tc>
          <w:tcPr>
            <w:tcW w:w="2922" w:type="dxa"/>
            <w:noWrap/>
            <w:vAlign w:val="bottom"/>
            <w:hideMark/>
          </w:tcPr>
          <w:p w14:paraId="61441921"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8E0C49">
              <w:rPr>
                <w:rFonts w:cs="Times New Roman"/>
                <w:bCs/>
                <w:sz w:val="20"/>
                <w:szCs w:val="20"/>
              </w:rPr>
              <w:t>0.004</w:t>
            </w:r>
          </w:p>
        </w:tc>
        <w:tc>
          <w:tcPr>
            <w:tcW w:w="2782" w:type="dxa"/>
            <w:noWrap/>
            <w:vAlign w:val="bottom"/>
            <w:hideMark/>
          </w:tcPr>
          <w:p w14:paraId="0C8500FA"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E0C49">
              <w:rPr>
                <w:rFonts w:cs="Times New Roman"/>
                <w:sz w:val="20"/>
                <w:szCs w:val="20"/>
              </w:rPr>
              <w:t>0.2</w:t>
            </w:r>
          </w:p>
        </w:tc>
      </w:tr>
      <w:tr w:rsidR="00D20476" w:rsidRPr="004A43D7" w14:paraId="49A9A91A" w14:textId="77777777" w:rsidTr="008E0C49">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6" w:type="dxa"/>
            <w:noWrap/>
            <w:vAlign w:val="bottom"/>
            <w:hideMark/>
          </w:tcPr>
          <w:p w14:paraId="72510A6B" w14:textId="77777777" w:rsidR="00D20476" w:rsidRPr="008E0C49" w:rsidRDefault="00D20476" w:rsidP="008E0C49">
            <w:pPr>
              <w:rPr>
                <w:rFonts w:cs="Times New Roman"/>
                <w:b w:val="0"/>
                <w:sz w:val="20"/>
                <w:szCs w:val="20"/>
                <w:vertAlign w:val="superscript"/>
              </w:rPr>
            </w:pPr>
            <w:r w:rsidRPr="008E0C49">
              <w:rPr>
                <w:rFonts w:cs="Times New Roman"/>
                <w:b w:val="0"/>
                <w:sz w:val="20"/>
                <w:szCs w:val="20"/>
              </w:rPr>
              <w:t>Bulk soil CFU</w:t>
            </w:r>
            <w:r w:rsidRPr="008E0C49">
              <w:rPr>
                <w:rFonts w:cs="Times New Roman"/>
                <w:b w:val="0"/>
                <w:sz w:val="20"/>
                <w:szCs w:val="20"/>
                <w:vertAlign w:val="superscript"/>
              </w:rPr>
              <w:t>c</w:t>
            </w:r>
          </w:p>
        </w:tc>
        <w:tc>
          <w:tcPr>
            <w:tcW w:w="1040" w:type="dxa"/>
            <w:noWrap/>
            <w:vAlign w:val="bottom"/>
            <w:hideMark/>
          </w:tcPr>
          <w:p w14:paraId="2A09A6BB"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8E0C49">
              <w:rPr>
                <w:rFonts w:cs="Times New Roman"/>
                <w:bCs/>
                <w:sz w:val="20"/>
                <w:szCs w:val="20"/>
              </w:rPr>
              <w:t>&lt;0.0001</w:t>
            </w:r>
          </w:p>
        </w:tc>
        <w:tc>
          <w:tcPr>
            <w:tcW w:w="2922" w:type="dxa"/>
            <w:noWrap/>
            <w:vAlign w:val="bottom"/>
            <w:hideMark/>
          </w:tcPr>
          <w:p w14:paraId="4F4E1126"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8E0C49">
              <w:rPr>
                <w:rFonts w:cs="Times New Roman"/>
                <w:bCs/>
                <w:sz w:val="20"/>
                <w:szCs w:val="20"/>
              </w:rPr>
              <w:t>&lt;0.0001</w:t>
            </w:r>
          </w:p>
        </w:tc>
        <w:tc>
          <w:tcPr>
            <w:tcW w:w="2782" w:type="dxa"/>
            <w:noWrap/>
            <w:vAlign w:val="bottom"/>
            <w:hideMark/>
          </w:tcPr>
          <w:p w14:paraId="00F4C802"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bCs/>
                <w:sz w:val="20"/>
                <w:szCs w:val="20"/>
              </w:rPr>
            </w:pPr>
            <w:r w:rsidRPr="008E0C49">
              <w:rPr>
                <w:rFonts w:cs="Times New Roman"/>
                <w:bCs/>
                <w:sz w:val="20"/>
                <w:szCs w:val="20"/>
              </w:rPr>
              <w:t>0.0005</w:t>
            </w:r>
          </w:p>
        </w:tc>
      </w:tr>
      <w:tr w:rsidR="00D20476" w:rsidRPr="004A43D7" w14:paraId="0BB1EF0D" w14:textId="77777777" w:rsidTr="008D457B">
        <w:trPr>
          <w:trHeight w:val="285"/>
        </w:trPr>
        <w:tc>
          <w:tcPr>
            <w:cnfStyle w:val="001000000000" w:firstRow="0" w:lastRow="0" w:firstColumn="1" w:lastColumn="0" w:oddVBand="0" w:evenVBand="0" w:oddHBand="0" w:evenHBand="0" w:firstRowFirstColumn="0" w:firstRowLastColumn="0" w:lastRowFirstColumn="0" w:lastRowLastColumn="0"/>
            <w:tcW w:w="1626" w:type="dxa"/>
            <w:noWrap/>
            <w:vAlign w:val="bottom"/>
            <w:hideMark/>
          </w:tcPr>
          <w:p w14:paraId="0CC92304" w14:textId="77777777" w:rsidR="00D20476" w:rsidRPr="008E0C49" w:rsidRDefault="00D20476" w:rsidP="008E0C49">
            <w:pPr>
              <w:rPr>
                <w:rFonts w:cs="Times New Roman"/>
                <w:b w:val="0"/>
                <w:sz w:val="20"/>
                <w:szCs w:val="20"/>
                <w:vertAlign w:val="superscript"/>
              </w:rPr>
            </w:pPr>
            <w:r w:rsidRPr="008E0C49">
              <w:rPr>
                <w:rFonts w:cs="Times New Roman"/>
                <w:b w:val="0"/>
                <w:sz w:val="20"/>
                <w:szCs w:val="20"/>
              </w:rPr>
              <w:t>Taproot CFU</w:t>
            </w:r>
            <w:r w:rsidRPr="008E0C49">
              <w:rPr>
                <w:rFonts w:cs="Times New Roman"/>
                <w:b w:val="0"/>
                <w:sz w:val="20"/>
                <w:szCs w:val="20"/>
                <w:vertAlign w:val="superscript"/>
              </w:rPr>
              <w:t>c</w:t>
            </w:r>
          </w:p>
        </w:tc>
        <w:tc>
          <w:tcPr>
            <w:tcW w:w="1040" w:type="dxa"/>
            <w:noWrap/>
            <w:vAlign w:val="bottom"/>
            <w:hideMark/>
          </w:tcPr>
          <w:p w14:paraId="1B5103DB"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bCs/>
                <w:sz w:val="20"/>
                <w:szCs w:val="20"/>
              </w:rPr>
            </w:pPr>
            <w:r w:rsidRPr="008E0C49">
              <w:rPr>
                <w:rFonts w:cs="Times New Roman"/>
                <w:bCs/>
                <w:sz w:val="20"/>
                <w:szCs w:val="20"/>
              </w:rPr>
              <w:t>0.002</w:t>
            </w:r>
          </w:p>
        </w:tc>
        <w:tc>
          <w:tcPr>
            <w:tcW w:w="2922" w:type="dxa"/>
            <w:noWrap/>
            <w:vAlign w:val="bottom"/>
            <w:hideMark/>
          </w:tcPr>
          <w:p w14:paraId="0E0DB344"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E0C49">
              <w:rPr>
                <w:rFonts w:cs="Times New Roman"/>
                <w:sz w:val="20"/>
                <w:szCs w:val="20"/>
              </w:rPr>
              <w:t>0.3</w:t>
            </w:r>
          </w:p>
        </w:tc>
        <w:tc>
          <w:tcPr>
            <w:tcW w:w="2782" w:type="dxa"/>
            <w:noWrap/>
            <w:vAlign w:val="bottom"/>
            <w:hideMark/>
          </w:tcPr>
          <w:p w14:paraId="3EA2EEDA" w14:textId="77777777" w:rsidR="00D20476" w:rsidRPr="008E0C49" w:rsidRDefault="00D20476" w:rsidP="008E0C49">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8E0C49">
              <w:rPr>
                <w:rFonts w:cs="Times New Roman"/>
                <w:sz w:val="20"/>
                <w:szCs w:val="20"/>
              </w:rPr>
              <w:t>0.4</w:t>
            </w:r>
          </w:p>
        </w:tc>
      </w:tr>
      <w:tr w:rsidR="00D20476" w:rsidRPr="004A43D7" w14:paraId="0EB0274F" w14:textId="77777777" w:rsidTr="008D457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626" w:type="dxa"/>
            <w:tcBorders>
              <w:bottom w:val="single" w:sz="4" w:space="0" w:color="auto"/>
            </w:tcBorders>
            <w:noWrap/>
            <w:vAlign w:val="bottom"/>
            <w:hideMark/>
          </w:tcPr>
          <w:p w14:paraId="442C6EA2" w14:textId="77777777" w:rsidR="00D20476" w:rsidRPr="008E0C49" w:rsidRDefault="00D20476" w:rsidP="008D457B">
            <w:pPr>
              <w:rPr>
                <w:rFonts w:cs="Times New Roman"/>
                <w:b w:val="0"/>
                <w:sz w:val="20"/>
                <w:szCs w:val="20"/>
                <w:vertAlign w:val="superscript"/>
              </w:rPr>
            </w:pPr>
            <w:r w:rsidRPr="008E0C49">
              <w:rPr>
                <w:rFonts w:cs="Times New Roman"/>
                <w:b w:val="0"/>
                <w:sz w:val="20"/>
                <w:szCs w:val="20"/>
              </w:rPr>
              <w:t>Seed size</w:t>
            </w:r>
            <w:r w:rsidRPr="008E0C49">
              <w:rPr>
                <w:rFonts w:cs="Times New Roman"/>
                <w:b w:val="0"/>
                <w:sz w:val="20"/>
                <w:szCs w:val="20"/>
                <w:vertAlign w:val="superscript"/>
              </w:rPr>
              <w:t>d</w:t>
            </w:r>
          </w:p>
        </w:tc>
        <w:tc>
          <w:tcPr>
            <w:tcW w:w="1040" w:type="dxa"/>
            <w:tcBorders>
              <w:bottom w:val="single" w:sz="4" w:space="0" w:color="auto"/>
            </w:tcBorders>
            <w:noWrap/>
            <w:vAlign w:val="bottom"/>
            <w:hideMark/>
          </w:tcPr>
          <w:p w14:paraId="779D1D6E"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&lt;0.0001</w:t>
            </w:r>
          </w:p>
        </w:tc>
        <w:tc>
          <w:tcPr>
            <w:tcW w:w="2922" w:type="dxa"/>
            <w:tcBorders>
              <w:bottom w:val="single" w:sz="4" w:space="0" w:color="auto"/>
            </w:tcBorders>
            <w:noWrap/>
            <w:vAlign w:val="bottom"/>
            <w:hideMark/>
          </w:tcPr>
          <w:p w14:paraId="617F0A55"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0.2</w:t>
            </w:r>
          </w:p>
        </w:tc>
        <w:tc>
          <w:tcPr>
            <w:tcW w:w="2782" w:type="dxa"/>
            <w:tcBorders>
              <w:bottom w:val="single" w:sz="4" w:space="0" w:color="auto"/>
            </w:tcBorders>
            <w:noWrap/>
            <w:vAlign w:val="bottom"/>
            <w:hideMark/>
          </w:tcPr>
          <w:p w14:paraId="61BC4501" w14:textId="77777777" w:rsidR="00D20476" w:rsidRPr="008E0C49" w:rsidRDefault="00D20476" w:rsidP="008E0C49">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8E0C49">
              <w:rPr>
                <w:rFonts w:cs="Times New Roman"/>
                <w:sz w:val="20"/>
                <w:szCs w:val="20"/>
              </w:rPr>
              <w:t>0.4</w:t>
            </w:r>
          </w:p>
        </w:tc>
      </w:tr>
      <w:tr w:rsidR="00D20476" w:rsidRPr="004A43D7" w14:paraId="5DEC63E3" w14:textId="77777777" w:rsidTr="008D457B">
        <w:trPr>
          <w:trHeight w:val="285"/>
        </w:trPr>
        <w:tc>
          <w:tcPr>
            <w:cnfStyle w:val="001000000000" w:firstRow="0" w:lastRow="0" w:firstColumn="1" w:lastColumn="0" w:oddVBand="0" w:evenVBand="0" w:oddHBand="0" w:evenHBand="0" w:firstRowFirstColumn="0" w:firstRowLastColumn="0" w:lastRowFirstColumn="0" w:lastRowLastColumn="0"/>
            <w:tcW w:w="8370" w:type="dxa"/>
            <w:gridSpan w:val="4"/>
            <w:tcBorders>
              <w:top w:val="single" w:sz="4" w:space="0" w:color="auto"/>
            </w:tcBorders>
            <w:noWrap/>
          </w:tcPr>
          <w:p w14:paraId="16E0C36A" w14:textId="77777777" w:rsidR="00D20476" w:rsidRPr="008E0C49" w:rsidRDefault="00D20476" w:rsidP="006255B5">
            <w:pPr>
              <w:rPr>
                <w:rFonts w:cs="Times New Roman"/>
                <w:b w:val="0"/>
                <w:sz w:val="20"/>
                <w:szCs w:val="20"/>
              </w:rPr>
            </w:pPr>
            <w:r w:rsidRPr="008E0C49">
              <w:rPr>
                <w:rFonts w:cs="Times New Roman"/>
                <w:b w:val="0"/>
                <w:sz w:val="20"/>
                <w:szCs w:val="20"/>
                <w:vertAlign w:val="superscript"/>
              </w:rPr>
              <w:t>a</w:t>
            </w:r>
            <w:r w:rsidRPr="008E0C49">
              <w:rPr>
                <w:rFonts w:cs="Times New Roman"/>
                <w:b w:val="0"/>
                <w:sz w:val="20"/>
                <w:szCs w:val="20"/>
              </w:rPr>
              <w:t xml:space="preserve"> Microsclerotial treatments included 2 controls (no inoculum and 4 g of sterile millet) and 0.5, 1.0, 1.5, 2.0, 2.5, 3.0, 3.5, and 4.0 grams of microsclerotial-infested millet</w:t>
            </w:r>
          </w:p>
          <w:p w14:paraId="47B57873" w14:textId="7FBF597C" w:rsidR="00D20476" w:rsidRPr="008E0C49" w:rsidRDefault="00D20476" w:rsidP="006255B5">
            <w:pPr>
              <w:rPr>
                <w:rFonts w:eastAsia="BemboStd" w:cs="Times New Roman"/>
                <w:b w:val="0"/>
                <w:sz w:val="20"/>
                <w:szCs w:val="20"/>
              </w:rPr>
            </w:pPr>
            <w:r w:rsidRPr="008E0C49">
              <w:rPr>
                <w:rFonts w:cs="Times New Roman"/>
                <w:b w:val="0"/>
                <w:sz w:val="20"/>
                <w:szCs w:val="20"/>
                <w:vertAlign w:val="superscript"/>
              </w:rPr>
              <w:t>b</w:t>
            </w:r>
            <w:r w:rsidRPr="008E0C49">
              <w:rPr>
                <w:rFonts w:cs="Times New Roman"/>
                <w:b w:val="0"/>
                <w:sz w:val="20"/>
                <w:szCs w:val="20"/>
              </w:rPr>
              <w:t xml:space="preserve"> Severity was based on rating split stems on a 1 to 5 scale, based on the microsclerotial load where </w:t>
            </w:r>
            <w:r w:rsidRPr="008E0C49">
              <w:rPr>
                <w:rFonts w:eastAsia="BemboStd" w:cs="Times New Roman"/>
                <w:b w:val="0"/>
                <w:sz w:val="20"/>
                <w:szCs w:val="20"/>
              </w:rPr>
              <w:t xml:space="preserve">1 = no discoloration, 2 = very few microsclerotia without tissue discoloration, 3 = vascular tissue partly covered with microsclerotia and discolored, 4 = vascular tissue discolored with numerous </w:t>
            </w:r>
            <w:r w:rsidR="009755DA" w:rsidRPr="008E0C49">
              <w:rPr>
                <w:rFonts w:eastAsia="BemboStd" w:cs="Times New Roman"/>
                <w:b w:val="0"/>
                <w:sz w:val="20"/>
                <w:szCs w:val="20"/>
              </w:rPr>
              <w:t>microsclerotia, and</w:t>
            </w:r>
            <w:r w:rsidRPr="008E0C49">
              <w:rPr>
                <w:rFonts w:eastAsia="BemboStd" w:cs="Times New Roman"/>
                <w:b w:val="0"/>
                <w:sz w:val="20"/>
                <w:szCs w:val="20"/>
              </w:rPr>
              <w:t xml:space="preserve"> 5 = highly discolored and covered in dark microsclerotia </w:t>
            </w:r>
          </w:p>
          <w:p w14:paraId="17DA9D6F" w14:textId="77777777" w:rsidR="00D20476" w:rsidRPr="008E0C49" w:rsidRDefault="00D20476" w:rsidP="006255B5">
            <w:pPr>
              <w:rPr>
                <w:rFonts w:cs="Times New Roman"/>
                <w:b w:val="0"/>
                <w:sz w:val="20"/>
                <w:szCs w:val="20"/>
              </w:rPr>
            </w:pPr>
            <w:r w:rsidRPr="008E0C49">
              <w:rPr>
                <w:rFonts w:cs="Times New Roman"/>
                <w:b w:val="0"/>
                <w:sz w:val="20"/>
                <w:szCs w:val="20"/>
                <w:vertAlign w:val="superscript"/>
              </w:rPr>
              <w:t>c</w:t>
            </w:r>
            <w:r w:rsidRPr="008E0C49">
              <w:rPr>
                <w:rFonts w:cs="Times New Roman"/>
                <w:b w:val="0"/>
                <w:sz w:val="20"/>
                <w:szCs w:val="20"/>
              </w:rPr>
              <w:t xml:space="preserve"> Colony-forming units (CFU)</w:t>
            </w:r>
          </w:p>
          <w:p w14:paraId="38D67401" w14:textId="77777777" w:rsidR="00D20476" w:rsidRPr="008E0C49" w:rsidRDefault="00D20476" w:rsidP="006255B5">
            <w:pPr>
              <w:rPr>
                <w:rFonts w:cs="Times New Roman"/>
                <w:b w:val="0"/>
                <w:sz w:val="20"/>
                <w:szCs w:val="20"/>
              </w:rPr>
            </w:pPr>
            <w:r w:rsidRPr="008E0C49">
              <w:rPr>
                <w:rFonts w:cs="Times New Roman"/>
                <w:b w:val="0"/>
                <w:sz w:val="20"/>
                <w:szCs w:val="20"/>
                <w:vertAlign w:val="superscript"/>
              </w:rPr>
              <w:t>d</w:t>
            </w:r>
            <w:r w:rsidRPr="008E0C49">
              <w:rPr>
                <w:rFonts w:cs="Times New Roman"/>
                <w:b w:val="0"/>
                <w:sz w:val="20"/>
                <w:szCs w:val="20"/>
              </w:rPr>
              <w:t xml:space="preserve"> Seed size was estimated by dividing total seed weight by total number of seeds and multiplied by 100, to get 100 seed weight </w:t>
            </w:r>
          </w:p>
          <w:p w14:paraId="162D2B8C" w14:textId="77777777" w:rsidR="00D20476" w:rsidRPr="004A43D7" w:rsidRDefault="00D20476" w:rsidP="006255B5">
            <w:pPr>
              <w:jc w:val="center"/>
              <w:rPr>
                <w:rFonts w:cs="Times New Roman"/>
                <w:sz w:val="20"/>
                <w:szCs w:val="20"/>
              </w:rPr>
            </w:pPr>
          </w:p>
        </w:tc>
      </w:tr>
    </w:tbl>
    <w:p w14:paraId="50C0E6FC" w14:textId="77777777" w:rsidR="00D20476" w:rsidRPr="008E2CD0" w:rsidRDefault="00D20476" w:rsidP="00D20476">
      <w:pPr>
        <w:ind w:left="720"/>
        <w:rPr>
          <w:rFonts w:cs="Times New Roman"/>
          <w:szCs w:val="24"/>
        </w:rPr>
      </w:pPr>
      <w:r w:rsidRPr="008E2CD0">
        <w:rPr>
          <w:rFonts w:cs="Times New Roman"/>
          <w:szCs w:val="24"/>
        </w:rPr>
        <w:br w:type="page"/>
      </w:r>
    </w:p>
    <w:p w14:paraId="136A447D" w14:textId="1CF85331" w:rsidR="00D20476" w:rsidRPr="00AB65D6" w:rsidRDefault="00D20476" w:rsidP="002A3EE3">
      <w:pPr>
        <w:pStyle w:val="Caption"/>
        <w:framePr w:w="8457" w:wrap="around" w:hAnchor="page" w:x="2005" w:y="373"/>
      </w:pPr>
      <w:bookmarkStart w:id="374" w:name="_Toc101048979"/>
      <w:r w:rsidRPr="00AB65D6">
        <w:t xml:space="preserve">Table 4. </w:t>
      </w:r>
      <w:r w:rsidR="00035AE8">
        <w:fldChar w:fldCharType="begin"/>
      </w:r>
      <w:r w:rsidR="00035AE8">
        <w:instrText xml:space="preserve"> SEQ Table_4. \* ARABIC </w:instrText>
      </w:r>
      <w:r w:rsidR="00035AE8">
        <w:fldChar w:fldCharType="separate"/>
      </w:r>
      <w:r w:rsidR="009C2EDC">
        <w:rPr>
          <w:noProof/>
        </w:rPr>
        <w:t>3</w:t>
      </w:r>
      <w:r w:rsidR="00035AE8">
        <w:rPr>
          <w:noProof/>
        </w:rPr>
        <w:fldChar w:fldCharType="end"/>
      </w:r>
      <w:r w:rsidRPr="00AB65D6">
        <w:t xml:space="preserve">. Variety x microsclerotial treatment interaction on the severity and bulk soil </w:t>
      </w:r>
      <w:r w:rsidRPr="00AB65D6">
        <w:rPr>
          <w:i/>
        </w:rPr>
        <w:t>Macrophomina phaseolina</w:t>
      </w:r>
      <w:r w:rsidRPr="00AB65D6">
        <w:t xml:space="preserve"> colony-forming unit (CFU)</w:t>
      </w:r>
      <w:bookmarkEnd w:id="374"/>
    </w:p>
    <w:tbl>
      <w:tblPr>
        <w:tblStyle w:val="ListTable1Light-Accent5"/>
        <w:tblpPr w:leftFromText="180" w:rightFromText="180" w:vertAnchor="page" w:horzAnchor="margin" w:tblpXSpec="center" w:tblpY="2557"/>
        <w:tblW w:w="0" w:type="auto"/>
        <w:tblLayout w:type="fixed"/>
        <w:tblLook w:val="04A0" w:firstRow="1" w:lastRow="0" w:firstColumn="1" w:lastColumn="0" w:noHBand="0" w:noVBand="1"/>
      </w:tblPr>
      <w:tblGrid>
        <w:gridCol w:w="1274"/>
        <w:gridCol w:w="3452"/>
        <w:gridCol w:w="897"/>
        <w:gridCol w:w="898"/>
        <w:gridCol w:w="933"/>
        <w:gridCol w:w="935"/>
      </w:tblGrid>
      <w:tr w:rsidR="00D20476" w:rsidRPr="00162BD4" w14:paraId="2C9E6151" w14:textId="77777777" w:rsidTr="00765323">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tcBorders>
              <w:top w:val="single" w:sz="4" w:space="0" w:color="auto"/>
              <w:bottom w:val="single" w:sz="4" w:space="0" w:color="auto"/>
            </w:tcBorders>
            <w:noWrap/>
            <w:hideMark/>
          </w:tcPr>
          <w:p w14:paraId="6ED23B4F" w14:textId="77777777" w:rsidR="00D20476" w:rsidRPr="008E0C49" w:rsidRDefault="00D20476" w:rsidP="006255B5">
            <w:pPr>
              <w:jc w:val="center"/>
              <w:rPr>
                <w:rFonts w:eastAsia="Times New Roman" w:cs="Times New Roman"/>
                <w:b w:val="0"/>
                <w:sz w:val="20"/>
                <w:szCs w:val="20"/>
              </w:rPr>
            </w:pPr>
            <w:r w:rsidRPr="008E0C49">
              <w:rPr>
                <w:rFonts w:cs="Times New Roman"/>
                <w:b w:val="0"/>
                <w:sz w:val="20"/>
                <w:szCs w:val="20"/>
              </w:rPr>
              <w:t>Variety</w:t>
            </w:r>
          </w:p>
        </w:tc>
        <w:tc>
          <w:tcPr>
            <w:tcW w:w="3452" w:type="dxa"/>
            <w:tcBorders>
              <w:top w:val="single" w:sz="4" w:space="0" w:color="auto"/>
              <w:bottom w:val="single" w:sz="4" w:space="0" w:color="auto"/>
            </w:tcBorders>
            <w:noWrap/>
            <w:hideMark/>
          </w:tcPr>
          <w:p w14:paraId="123A45FB" w14:textId="77777777" w:rsidR="00D20476" w:rsidRPr="008E0C49" w:rsidRDefault="00D20476" w:rsidP="006255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vertAlign w:val="superscript"/>
              </w:rPr>
            </w:pPr>
            <w:r w:rsidRPr="008E0C49">
              <w:rPr>
                <w:rFonts w:eastAsia="Times New Roman" w:cs="Times New Roman"/>
                <w:b w:val="0"/>
                <w:sz w:val="20"/>
                <w:szCs w:val="20"/>
              </w:rPr>
              <w:t>Microsclerotial treatment</w:t>
            </w:r>
            <w:r w:rsidRPr="008E0C49">
              <w:rPr>
                <w:rFonts w:eastAsia="Times New Roman" w:cs="Times New Roman"/>
                <w:b w:val="0"/>
                <w:sz w:val="20"/>
                <w:szCs w:val="20"/>
                <w:vertAlign w:val="superscript"/>
              </w:rPr>
              <w:t>a</w:t>
            </w:r>
          </w:p>
        </w:tc>
        <w:tc>
          <w:tcPr>
            <w:tcW w:w="1795" w:type="dxa"/>
            <w:gridSpan w:val="2"/>
            <w:tcBorders>
              <w:top w:val="single" w:sz="4" w:space="0" w:color="auto"/>
              <w:bottom w:val="single" w:sz="4" w:space="0" w:color="auto"/>
            </w:tcBorders>
            <w:noWrap/>
            <w:hideMark/>
          </w:tcPr>
          <w:p w14:paraId="609B6075" w14:textId="77777777" w:rsidR="00D20476" w:rsidRPr="008E0C49" w:rsidRDefault="00D20476" w:rsidP="006255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vertAlign w:val="superscript"/>
              </w:rPr>
            </w:pPr>
            <w:r w:rsidRPr="008E0C49">
              <w:rPr>
                <w:rFonts w:eastAsia="Times New Roman" w:cs="Times New Roman"/>
                <w:b w:val="0"/>
                <w:sz w:val="20"/>
                <w:szCs w:val="20"/>
              </w:rPr>
              <w:t>Severity</w:t>
            </w:r>
            <w:r w:rsidRPr="008E0C49">
              <w:rPr>
                <w:rFonts w:eastAsia="Times New Roman" w:cs="Times New Roman"/>
                <w:b w:val="0"/>
                <w:sz w:val="20"/>
                <w:szCs w:val="20"/>
                <w:vertAlign w:val="superscript"/>
              </w:rPr>
              <w:t>b</w:t>
            </w:r>
          </w:p>
        </w:tc>
        <w:tc>
          <w:tcPr>
            <w:tcW w:w="1868" w:type="dxa"/>
            <w:gridSpan w:val="2"/>
            <w:tcBorders>
              <w:top w:val="single" w:sz="4" w:space="0" w:color="auto"/>
              <w:bottom w:val="single" w:sz="4" w:space="0" w:color="auto"/>
            </w:tcBorders>
            <w:noWrap/>
            <w:hideMark/>
          </w:tcPr>
          <w:p w14:paraId="43D06423" w14:textId="77777777" w:rsidR="00D20476" w:rsidRPr="008E0C49" w:rsidRDefault="00D20476" w:rsidP="006255B5">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vertAlign w:val="superscript"/>
              </w:rPr>
            </w:pPr>
            <w:r w:rsidRPr="008E0C49">
              <w:rPr>
                <w:rFonts w:eastAsia="Times New Roman" w:cs="Times New Roman"/>
                <w:b w:val="0"/>
                <w:sz w:val="20"/>
                <w:szCs w:val="20"/>
              </w:rPr>
              <w:t>Bulk Soil CFU</w:t>
            </w:r>
            <w:r w:rsidRPr="008E0C49">
              <w:rPr>
                <w:rFonts w:eastAsia="Times New Roman" w:cs="Times New Roman"/>
                <w:b w:val="0"/>
                <w:sz w:val="20"/>
                <w:szCs w:val="20"/>
                <w:vertAlign w:val="superscript"/>
              </w:rPr>
              <w:t>c</w:t>
            </w:r>
          </w:p>
        </w:tc>
      </w:tr>
      <w:tr w:rsidR="00D20476" w:rsidRPr="00162BD4" w14:paraId="76D83511"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val="restart"/>
            <w:tcBorders>
              <w:top w:val="single" w:sz="4" w:space="0" w:color="auto"/>
            </w:tcBorders>
            <w:textDirection w:val="btLr"/>
            <w:hideMark/>
          </w:tcPr>
          <w:p w14:paraId="530828A8" w14:textId="77777777" w:rsidR="00D20476" w:rsidRPr="008E0C49" w:rsidRDefault="00D20476" w:rsidP="006255B5">
            <w:pPr>
              <w:jc w:val="center"/>
              <w:rPr>
                <w:rFonts w:eastAsia="Times New Roman" w:cs="Times New Roman"/>
                <w:b w:val="0"/>
                <w:sz w:val="20"/>
                <w:szCs w:val="20"/>
              </w:rPr>
            </w:pPr>
            <w:r w:rsidRPr="008E0C49">
              <w:rPr>
                <w:rFonts w:eastAsia="Times New Roman" w:cs="Times New Roman"/>
                <w:b w:val="0"/>
                <w:sz w:val="20"/>
                <w:szCs w:val="20"/>
              </w:rPr>
              <w:t>LS98-0358  variety</w:t>
            </w:r>
            <w:r w:rsidRPr="008E0C49">
              <w:rPr>
                <w:rFonts w:eastAsia="Times New Roman" w:cs="Times New Roman"/>
                <w:b w:val="0"/>
                <w:sz w:val="20"/>
                <w:szCs w:val="20"/>
              </w:rPr>
              <w:br/>
              <w:t>susceptible to charcoal rot</w:t>
            </w:r>
          </w:p>
        </w:tc>
        <w:tc>
          <w:tcPr>
            <w:tcW w:w="3452" w:type="dxa"/>
            <w:tcBorders>
              <w:top w:val="single" w:sz="4" w:space="0" w:color="auto"/>
            </w:tcBorders>
            <w:noWrap/>
            <w:hideMark/>
          </w:tcPr>
          <w:p w14:paraId="7B0C92C3"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Sterile millet</w:t>
            </w:r>
          </w:p>
        </w:tc>
        <w:tc>
          <w:tcPr>
            <w:tcW w:w="897" w:type="dxa"/>
            <w:tcBorders>
              <w:top w:val="single" w:sz="4" w:space="0" w:color="auto"/>
            </w:tcBorders>
            <w:noWrap/>
            <w:hideMark/>
          </w:tcPr>
          <w:p w14:paraId="2C674BF6"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tcBorders>
              <w:top w:val="single" w:sz="4" w:space="0" w:color="auto"/>
            </w:tcBorders>
            <w:noWrap/>
            <w:hideMark/>
          </w:tcPr>
          <w:p w14:paraId="11D9DF6E"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tcBorders>
              <w:top w:val="single" w:sz="4" w:space="0" w:color="auto"/>
            </w:tcBorders>
            <w:noWrap/>
            <w:hideMark/>
          </w:tcPr>
          <w:p w14:paraId="6E5D483D"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935" w:type="dxa"/>
            <w:tcBorders>
              <w:top w:val="single" w:sz="4" w:space="0" w:color="auto"/>
            </w:tcBorders>
            <w:noWrap/>
            <w:hideMark/>
          </w:tcPr>
          <w:p w14:paraId="0BA93EBB"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67BE0913"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5F78C2A9" w14:textId="77777777" w:rsidR="00D20476" w:rsidRPr="008E0C49" w:rsidRDefault="00D20476" w:rsidP="006255B5">
            <w:pPr>
              <w:rPr>
                <w:rFonts w:eastAsia="Times New Roman" w:cs="Times New Roman"/>
                <w:b w:val="0"/>
                <w:sz w:val="20"/>
                <w:szCs w:val="20"/>
              </w:rPr>
            </w:pPr>
          </w:p>
        </w:tc>
        <w:tc>
          <w:tcPr>
            <w:tcW w:w="3452" w:type="dxa"/>
            <w:noWrap/>
            <w:hideMark/>
          </w:tcPr>
          <w:p w14:paraId="36D0C668"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No inoculum</w:t>
            </w:r>
          </w:p>
        </w:tc>
        <w:tc>
          <w:tcPr>
            <w:tcW w:w="897" w:type="dxa"/>
            <w:noWrap/>
            <w:hideMark/>
          </w:tcPr>
          <w:p w14:paraId="025844AC"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0F4F3981"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6D5DB41F"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0</w:t>
            </w:r>
          </w:p>
        </w:tc>
        <w:tc>
          <w:tcPr>
            <w:tcW w:w="935" w:type="dxa"/>
            <w:noWrap/>
            <w:hideMark/>
          </w:tcPr>
          <w:p w14:paraId="3ED40B30"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4BD6EE6E"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006F198A" w14:textId="77777777" w:rsidR="00D20476" w:rsidRPr="008E0C49" w:rsidRDefault="00D20476" w:rsidP="006255B5">
            <w:pPr>
              <w:rPr>
                <w:rFonts w:eastAsia="Times New Roman" w:cs="Times New Roman"/>
                <w:b w:val="0"/>
                <w:sz w:val="20"/>
                <w:szCs w:val="20"/>
              </w:rPr>
            </w:pPr>
          </w:p>
        </w:tc>
        <w:tc>
          <w:tcPr>
            <w:tcW w:w="3452" w:type="dxa"/>
            <w:noWrap/>
            <w:hideMark/>
          </w:tcPr>
          <w:p w14:paraId="41336B5F"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0.5</w:t>
            </w:r>
          </w:p>
        </w:tc>
        <w:tc>
          <w:tcPr>
            <w:tcW w:w="897" w:type="dxa"/>
            <w:noWrap/>
            <w:hideMark/>
          </w:tcPr>
          <w:p w14:paraId="6CAAE3BE"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72EFD938"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766D3A71"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56</w:t>
            </w:r>
          </w:p>
        </w:tc>
        <w:tc>
          <w:tcPr>
            <w:tcW w:w="935" w:type="dxa"/>
            <w:noWrap/>
            <w:hideMark/>
          </w:tcPr>
          <w:p w14:paraId="5768000E"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3B5CB676"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0F85C788" w14:textId="77777777" w:rsidR="00D20476" w:rsidRPr="008E0C49" w:rsidRDefault="00D20476" w:rsidP="006255B5">
            <w:pPr>
              <w:rPr>
                <w:rFonts w:eastAsia="Times New Roman" w:cs="Times New Roman"/>
                <w:b w:val="0"/>
                <w:sz w:val="20"/>
                <w:szCs w:val="20"/>
              </w:rPr>
            </w:pPr>
          </w:p>
        </w:tc>
        <w:tc>
          <w:tcPr>
            <w:tcW w:w="3452" w:type="dxa"/>
            <w:noWrap/>
            <w:hideMark/>
          </w:tcPr>
          <w:p w14:paraId="1A447085"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1.0</w:t>
            </w:r>
          </w:p>
        </w:tc>
        <w:tc>
          <w:tcPr>
            <w:tcW w:w="897" w:type="dxa"/>
            <w:noWrap/>
            <w:hideMark/>
          </w:tcPr>
          <w:p w14:paraId="4E9D5610"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w:t>
            </w:r>
          </w:p>
        </w:tc>
        <w:tc>
          <w:tcPr>
            <w:tcW w:w="898" w:type="dxa"/>
            <w:noWrap/>
            <w:hideMark/>
          </w:tcPr>
          <w:p w14:paraId="04FB830D"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ab</w:t>
            </w:r>
          </w:p>
        </w:tc>
        <w:tc>
          <w:tcPr>
            <w:tcW w:w="933" w:type="dxa"/>
            <w:noWrap/>
            <w:hideMark/>
          </w:tcPr>
          <w:p w14:paraId="3FDF3807"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41</w:t>
            </w:r>
          </w:p>
        </w:tc>
        <w:tc>
          <w:tcPr>
            <w:tcW w:w="935" w:type="dxa"/>
            <w:noWrap/>
            <w:hideMark/>
          </w:tcPr>
          <w:p w14:paraId="7175481F"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0C76E44C"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6ED0A79A" w14:textId="77777777" w:rsidR="00D20476" w:rsidRPr="008E0C49" w:rsidRDefault="00D20476" w:rsidP="006255B5">
            <w:pPr>
              <w:rPr>
                <w:rFonts w:eastAsia="Times New Roman" w:cs="Times New Roman"/>
                <w:b w:val="0"/>
                <w:sz w:val="20"/>
                <w:szCs w:val="20"/>
              </w:rPr>
            </w:pPr>
          </w:p>
        </w:tc>
        <w:tc>
          <w:tcPr>
            <w:tcW w:w="3452" w:type="dxa"/>
            <w:noWrap/>
            <w:hideMark/>
          </w:tcPr>
          <w:p w14:paraId="55BABDDF"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1.5</w:t>
            </w:r>
          </w:p>
        </w:tc>
        <w:tc>
          <w:tcPr>
            <w:tcW w:w="897" w:type="dxa"/>
            <w:noWrap/>
            <w:hideMark/>
          </w:tcPr>
          <w:p w14:paraId="781308D2"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w:t>
            </w:r>
          </w:p>
        </w:tc>
        <w:tc>
          <w:tcPr>
            <w:tcW w:w="898" w:type="dxa"/>
            <w:noWrap/>
            <w:hideMark/>
          </w:tcPr>
          <w:p w14:paraId="0D466750"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w:t>
            </w:r>
          </w:p>
        </w:tc>
        <w:tc>
          <w:tcPr>
            <w:tcW w:w="933" w:type="dxa"/>
            <w:noWrap/>
            <w:hideMark/>
          </w:tcPr>
          <w:p w14:paraId="60F627D3"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41</w:t>
            </w:r>
          </w:p>
        </w:tc>
        <w:tc>
          <w:tcPr>
            <w:tcW w:w="935" w:type="dxa"/>
            <w:noWrap/>
            <w:hideMark/>
          </w:tcPr>
          <w:p w14:paraId="5E62B998"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3198813E"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4820F68D" w14:textId="77777777" w:rsidR="00D20476" w:rsidRPr="008E0C49" w:rsidRDefault="00D20476" w:rsidP="006255B5">
            <w:pPr>
              <w:rPr>
                <w:rFonts w:eastAsia="Times New Roman" w:cs="Times New Roman"/>
                <w:b w:val="0"/>
                <w:sz w:val="20"/>
                <w:szCs w:val="20"/>
              </w:rPr>
            </w:pPr>
          </w:p>
        </w:tc>
        <w:tc>
          <w:tcPr>
            <w:tcW w:w="3452" w:type="dxa"/>
            <w:noWrap/>
            <w:hideMark/>
          </w:tcPr>
          <w:p w14:paraId="339F48E1"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2.0</w:t>
            </w:r>
          </w:p>
        </w:tc>
        <w:tc>
          <w:tcPr>
            <w:tcW w:w="897" w:type="dxa"/>
            <w:noWrap/>
            <w:hideMark/>
          </w:tcPr>
          <w:p w14:paraId="00BBA86C"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w:t>
            </w:r>
          </w:p>
        </w:tc>
        <w:tc>
          <w:tcPr>
            <w:tcW w:w="898" w:type="dxa"/>
            <w:noWrap/>
            <w:hideMark/>
          </w:tcPr>
          <w:p w14:paraId="3A38F20E"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ab</w:t>
            </w:r>
          </w:p>
        </w:tc>
        <w:tc>
          <w:tcPr>
            <w:tcW w:w="933" w:type="dxa"/>
            <w:noWrap/>
            <w:hideMark/>
          </w:tcPr>
          <w:p w14:paraId="35AACD1E"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106</w:t>
            </w:r>
          </w:p>
        </w:tc>
        <w:tc>
          <w:tcPr>
            <w:tcW w:w="935" w:type="dxa"/>
            <w:noWrap/>
            <w:hideMark/>
          </w:tcPr>
          <w:p w14:paraId="748BC885"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4A64CB83"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42A2E2CB" w14:textId="77777777" w:rsidR="00D20476" w:rsidRPr="008E0C49" w:rsidRDefault="00D20476" w:rsidP="006255B5">
            <w:pPr>
              <w:rPr>
                <w:rFonts w:eastAsia="Times New Roman" w:cs="Times New Roman"/>
                <w:b w:val="0"/>
                <w:sz w:val="20"/>
                <w:szCs w:val="20"/>
              </w:rPr>
            </w:pPr>
          </w:p>
        </w:tc>
        <w:tc>
          <w:tcPr>
            <w:tcW w:w="3452" w:type="dxa"/>
            <w:noWrap/>
            <w:hideMark/>
          </w:tcPr>
          <w:p w14:paraId="7DE35338"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2.5</w:t>
            </w:r>
          </w:p>
        </w:tc>
        <w:tc>
          <w:tcPr>
            <w:tcW w:w="897" w:type="dxa"/>
            <w:noWrap/>
            <w:hideMark/>
          </w:tcPr>
          <w:p w14:paraId="14FC8481"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w:t>
            </w:r>
          </w:p>
        </w:tc>
        <w:tc>
          <w:tcPr>
            <w:tcW w:w="898" w:type="dxa"/>
            <w:noWrap/>
            <w:hideMark/>
          </w:tcPr>
          <w:p w14:paraId="367417C4"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ab</w:t>
            </w:r>
          </w:p>
        </w:tc>
        <w:tc>
          <w:tcPr>
            <w:tcW w:w="933" w:type="dxa"/>
            <w:noWrap/>
            <w:hideMark/>
          </w:tcPr>
          <w:p w14:paraId="1EC077F2"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78</w:t>
            </w:r>
          </w:p>
        </w:tc>
        <w:tc>
          <w:tcPr>
            <w:tcW w:w="935" w:type="dxa"/>
            <w:noWrap/>
            <w:hideMark/>
          </w:tcPr>
          <w:p w14:paraId="58C64C2A"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5ACD9FC4"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17E03BC8" w14:textId="77777777" w:rsidR="00D20476" w:rsidRPr="008E0C49" w:rsidRDefault="00D20476" w:rsidP="006255B5">
            <w:pPr>
              <w:rPr>
                <w:rFonts w:eastAsia="Times New Roman" w:cs="Times New Roman"/>
                <w:b w:val="0"/>
                <w:sz w:val="20"/>
                <w:szCs w:val="20"/>
              </w:rPr>
            </w:pPr>
          </w:p>
        </w:tc>
        <w:tc>
          <w:tcPr>
            <w:tcW w:w="3452" w:type="dxa"/>
            <w:noWrap/>
            <w:hideMark/>
          </w:tcPr>
          <w:p w14:paraId="10621D4F"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3.0</w:t>
            </w:r>
          </w:p>
        </w:tc>
        <w:tc>
          <w:tcPr>
            <w:tcW w:w="897" w:type="dxa"/>
            <w:noWrap/>
            <w:hideMark/>
          </w:tcPr>
          <w:p w14:paraId="1F0B1546"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w:t>
            </w:r>
          </w:p>
        </w:tc>
        <w:tc>
          <w:tcPr>
            <w:tcW w:w="898" w:type="dxa"/>
            <w:noWrap/>
            <w:hideMark/>
          </w:tcPr>
          <w:p w14:paraId="073BF367"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ab</w:t>
            </w:r>
          </w:p>
        </w:tc>
        <w:tc>
          <w:tcPr>
            <w:tcW w:w="933" w:type="dxa"/>
            <w:noWrap/>
            <w:hideMark/>
          </w:tcPr>
          <w:p w14:paraId="21F56926"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126</w:t>
            </w:r>
          </w:p>
        </w:tc>
        <w:tc>
          <w:tcPr>
            <w:tcW w:w="935" w:type="dxa"/>
            <w:noWrap/>
            <w:hideMark/>
          </w:tcPr>
          <w:p w14:paraId="5ECF8928"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08D404BE"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1D77130C" w14:textId="77777777" w:rsidR="00D20476" w:rsidRPr="008E0C49" w:rsidRDefault="00D20476" w:rsidP="006255B5">
            <w:pPr>
              <w:rPr>
                <w:rFonts w:eastAsia="Times New Roman" w:cs="Times New Roman"/>
                <w:b w:val="0"/>
                <w:sz w:val="20"/>
                <w:szCs w:val="20"/>
              </w:rPr>
            </w:pPr>
          </w:p>
        </w:tc>
        <w:tc>
          <w:tcPr>
            <w:tcW w:w="3452" w:type="dxa"/>
            <w:noWrap/>
            <w:hideMark/>
          </w:tcPr>
          <w:p w14:paraId="7C227BF6"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3.5</w:t>
            </w:r>
          </w:p>
        </w:tc>
        <w:tc>
          <w:tcPr>
            <w:tcW w:w="897" w:type="dxa"/>
            <w:noWrap/>
            <w:hideMark/>
          </w:tcPr>
          <w:p w14:paraId="51FA8CF2"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w:t>
            </w:r>
          </w:p>
        </w:tc>
        <w:tc>
          <w:tcPr>
            <w:tcW w:w="898" w:type="dxa"/>
            <w:noWrap/>
            <w:hideMark/>
          </w:tcPr>
          <w:p w14:paraId="13FDEE11"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w:t>
            </w:r>
          </w:p>
        </w:tc>
        <w:tc>
          <w:tcPr>
            <w:tcW w:w="933" w:type="dxa"/>
            <w:noWrap/>
            <w:hideMark/>
          </w:tcPr>
          <w:p w14:paraId="0FA2C6F7"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76</w:t>
            </w:r>
          </w:p>
        </w:tc>
        <w:tc>
          <w:tcPr>
            <w:tcW w:w="935" w:type="dxa"/>
            <w:noWrap/>
            <w:hideMark/>
          </w:tcPr>
          <w:p w14:paraId="72B79B76"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022EB10B" w14:textId="77777777" w:rsidTr="00765323">
        <w:trPr>
          <w:trHeight w:val="67"/>
        </w:trPr>
        <w:tc>
          <w:tcPr>
            <w:cnfStyle w:val="001000000000" w:firstRow="0" w:lastRow="0" w:firstColumn="1" w:lastColumn="0" w:oddVBand="0" w:evenVBand="0" w:oddHBand="0" w:evenHBand="0" w:firstRowFirstColumn="0" w:firstRowLastColumn="0" w:lastRowFirstColumn="0" w:lastRowLastColumn="0"/>
            <w:tcW w:w="1274" w:type="dxa"/>
            <w:vMerge/>
            <w:tcBorders>
              <w:bottom w:val="single" w:sz="4" w:space="0" w:color="auto"/>
            </w:tcBorders>
            <w:hideMark/>
          </w:tcPr>
          <w:p w14:paraId="48C69EB3" w14:textId="77777777" w:rsidR="00D20476" w:rsidRPr="008E0C49" w:rsidRDefault="00D20476" w:rsidP="006255B5">
            <w:pPr>
              <w:rPr>
                <w:rFonts w:eastAsia="Times New Roman" w:cs="Times New Roman"/>
                <w:b w:val="0"/>
                <w:sz w:val="20"/>
                <w:szCs w:val="20"/>
              </w:rPr>
            </w:pPr>
          </w:p>
        </w:tc>
        <w:tc>
          <w:tcPr>
            <w:tcW w:w="3452" w:type="dxa"/>
            <w:tcBorders>
              <w:bottom w:val="single" w:sz="4" w:space="0" w:color="auto"/>
            </w:tcBorders>
            <w:noWrap/>
            <w:hideMark/>
          </w:tcPr>
          <w:p w14:paraId="06C32348"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4.0</w:t>
            </w:r>
          </w:p>
        </w:tc>
        <w:tc>
          <w:tcPr>
            <w:tcW w:w="897" w:type="dxa"/>
            <w:tcBorders>
              <w:bottom w:val="single" w:sz="4" w:space="0" w:color="auto"/>
            </w:tcBorders>
            <w:noWrap/>
            <w:hideMark/>
          </w:tcPr>
          <w:p w14:paraId="072D2400"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w:t>
            </w:r>
          </w:p>
        </w:tc>
        <w:tc>
          <w:tcPr>
            <w:tcW w:w="898" w:type="dxa"/>
            <w:tcBorders>
              <w:bottom w:val="single" w:sz="4" w:space="0" w:color="auto"/>
            </w:tcBorders>
            <w:noWrap/>
            <w:hideMark/>
          </w:tcPr>
          <w:p w14:paraId="69CAD93B"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w:t>
            </w:r>
          </w:p>
        </w:tc>
        <w:tc>
          <w:tcPr>
            <w:tcW w:w="933" w:type="dxa"/>
            <w:tcBorders>
              <w:bottom w:val="single" w:sz="4" w:space="0" w:color="auto"/>
            </w:tcBorders>
            <w:noWrap/>
            <w:hideMark/>
          </w:tcPr>
          <w:p w14:paraId="25FCA658"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327</w:t>
            </w:r>
          </w:p>
        </w:tc>
        <w:tc>
          <w:tcPr>
            <w:tcW w:w="935" w:type="dxa"/>
            <w:tcBorders>
              <w:bottom w:val="single" w:sz="4" w:space="0" w:color="auto"/>
            </w:tcBorders>
            <w:noWrap/>
            <w:hideMark/>
          </w:tcPr>
          <w:p w14:paraId="688645BF"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a</w:t>
            </w:r>
          </w:p>
        </w:tc>
      </w:tr>
      <w:tr w:rsidR="00D20476" w:rsidRPr="00162BD4" w14:paraId="200396C4"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val="restart"/>
            <w:tcBorders>
              <w:top w:val="single" w:sz="4" w:space="0" w:color="auto"/>
            </w:tcBorders>
            <w:textDirection w:val="btLr"/>
            <w:hideMark/>
          </w:tcPr>
          <w:p w14:paraId="544AA1C0" w14:textId="77777777" w:rsidR="00D20476" w:rsidRPr="008E0C49" w:rsidRDefault="00D20476" w:rsidP="006255B5">
            <w:pPr>
              <w:jc w:val="center"/>
              <w:rPr>
                <w:rFonts w:eastAsia="Times New Roman" w:cs="Times New Roman"/>
                <w:b w:val="0"/>
                <w:sz w:val="20"/>
                <w:szCs w:val="20"/>
              </w:rPr>
            </w:pPr>
            <w:r w:rsidRPr="008E0C49">
              <w:rPr>
                <w:rFonts w:eastAsia="Times New Roman" w:cs="Times New Roman"/>
                <w:b w:val="0"/>
                <w:sz w:val="20"/>
                <w:szCs w:val="20"/>
              </w:rPr>
              <w:t>DT97-4290 variety</w:t>
            </w:r>
            <w:r w:rsidRPr="008E0C49">
              <w:rPr>
                <w:rFonts w:eastAsia="Times New Roman" w:cs="Times New Roman"/>
                <w:b w:val="0"/>
                <w:sz w:val="20"/>
                <w:szCs w:val="20"/>
              </w:rPr>
              <w:br/>
              <w:t>Moderately resistant to charcoal rot</w:t>
            </w:r>
          </w:p>
        </w:tc>
        <w:tc>
          <w:tcPr>
            <w:tcW w:w="3452" w:type="dxa"/>
            <w:tcBorders>
              <w:top w:val="single" w:sz="4" w:space="0" w:color="auto"/>
            </w:tcBorders>
            <w:noWrap/>
            <w:hideMark/>
          </w:tcPr>
          <w:p w14:paraId="4E2C29C7"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Sterile millet</w:t>
            </w:r>
          </w:p>
        </w:tc>
        <w:tc>
          <w:tcPr>
            <w:tcW w:w="897" w:type="dxa"/>
            <w:tcBorders>
              <w:top w:val="single" w:sz="4" w:space="0" w:color="auto"/>
            </w:tcBorders>
            <w:noWrap/>
            <w:hideMark/>
          </w:tcPr>
          <w:p w14:paraId="0F4B9EC6"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tcBorders>
              <w:top w:val="single" w:sz="4" w:space="0" w:color="auto"/>
            </w:tcBorders>
            <w:noWrap/>
            <w:hideMark/>
          </w:tcPr>
          <w:p w14:paraId="6316BF7C"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tcBorders>
              <w:top w:val="single" w:sz="4" w:space="0" w:color="auto"/>
            </w:tcBorders>
            <w:noWrap/>
            <w:hideMark/>
          </w:tcPr>
          <w:p w14:paraId="7ABCE2AB"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0</w:t>
            </w:r>
          </w:p>
        </w:tc>
        <w:tc>
          <w:tcPr>
            <w:tcW w:w="935" w:type="dxa"/>
            <w:tcBorders>
              <w:top w:val="single" w:sz="4" w:space="0" w:color="auto"/>
            </w:tcBorders>
            <w:noWrap/>
            <w:hideMark/>
          </w:tcPr>
          <w:p w14:paraId="3B50A62B"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2962DCDB"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44BB9A32" w14:textId="77777777" w:rsidR="00D20476" w:rsidRPr="008E0C49" w:rsidRDefault="00D20476" w:rsidP="006255B5">
            <w:pPr>
              <w:rPr>
                <w:rFonts w:eastAsia="Times New Roman" w:cs="Times New Roman"/>
                <w:b w:val="0"/>
                <w:sz w:val="20"/>
                <w:szCs w:val="20"/>
              </w:rPr>
            </w:pPr>
          </w:p>
        </w:tc>
        <w:tc>
          <w:tcPr>
            <w:tcW w:w="3452" w:type="dxa"/>
            <w:noWrap/>
            <w:hideMark/>
          </w:tcPr>
          <w:p w14:paraId="6C174475"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No inoculum</w:t>
            </w:r>
          </w:p>
        </w:tc>
        <w:tc>
          <w:tcPr>
            <w:tcW w:w="897" w:type="dxa"/>
            <w:noWrap/>
            <w:hideMark/>
          </w:tcPr>
          <w:p w14:paraId="53AA239B"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4124C8C0"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3B36469E"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0</w:t>
            </w:r>
          </w:p>
        </w:tc>
        <w:tc>
          <w:tcPr>
            <w:tcW w:w="935" w:type="dxa"/>
            <w:noWrap/>
            <w:hideMark/>
          </w:tcPr>
          <w:p w14:paraId="2C3FDF36"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63B48F39"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50BF86EA" w14:textId="77777777" w:rsidR="00D20476" w:rsidRPr="008E0C49" w:rsidRDefault="00D20476" w:rsidP="006255B5">
            <w:pPr>
              <w:rPr>
                <w:rFonts w:eastAsia="Times New Roman" w:cs="Times New Roman"/>
                <w:b w:val="0"/>
                <w:sz w:val="20"/>
                <w:szCs w:val="20"/>
              </w:rPr>
            </w:pPr>
          </w:p>
        </w:tc>
        <w:tc>
          <w:tcPr>
            <w:tcW w:w="3452" w:type="dxa"/>
            <w:noWrap/>
            <w:hideMark/>
          </w:tcPr>
          <w:p w14:paraId="5EA7922D"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0.5</w:t>
            </w:r>
          </w:p>
        </w:tc>
        <w:tc>
          <w:tcPr>
            <w:tcW w:w="897" w:type="dxa"/>
            <w:noWrap/>
            <w:hideMark/>
          </w:tcPr>
          <w:p w14:paraId="5D9FBA03"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53AFF3FC"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202FDDCB"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32</w:t>
            </w:r>
          </w:p>
        </w:tc>
        <w:tc>
          <w:tcPr>
            <w:tcW w:w="935" w:type="dxa"/>
            <w:noWrap/>
            <w:hideMark/>
          </w:tcPr>
          <w:p w14:paraId="675C8704"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2DACB754"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20E777B1" w14:textId="77777777" w:rsidR="00D20476" w:rsidRPr="008E0C49" w:rsidRDefault="00D20476" w:rsidP="006255B5">
            <w:pPr>
              <w:rPr>
                <w:rFonts w:eastAsia="Times New Roman" w:cs="Times New Roman"/>
                <w:b w:val="0"/>
                <w:sz w:val="20"/>
                <w:szCs w:val="20"/>
              </w:rPr>
            </w:pPr>
          </w:p>
        </w:tc>
        <w:tc>
          <w:tcPr>
            <w:tcW w:w="3452" w:type="dxa"/>
            <w:noWrap/>
            <w:hideMark/>
          </w:tcPr>
          <w:p w14:paraId="6AE7900C"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1.0</w:t>
            </w:r>
          </w:p>
        </w:tc>
        <w:tc>
          <w:tcPr>
            <w:tcW w:w="897" w:type="dxa"/>
            <w:noWrap/>
            <w:hideMark/>
          </w:tcPr>
          <w:p w14:paraId="508E18E4"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765DB878"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047AC50A"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16</w:t>
            </w:r>
          </w:p>
        </w:tc>
        <w:tc>
          <w:tcPr>
            <w:tcW w:w="935" w:type="dxa"/>
            <w:noWrap/>
            <w:hideMark/>
          </w:tcPr>
          <w:p w14:paraId="74E5C468"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395BD1AF"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5601DA92" w14:textId="77777777" w:rsidR="00D20476" w:rsidRPr="008E0C49" w:rsidRDefault="00D20476" w:rsidP="006255B5">
            <w:pPr>
              <w:rPr>
                <w:rFonts w:eastAsia="Times New Roman" w:cs="Times New Roman"/>
                <w:b w:val="0"/>
                <w:sz w:val="20"/>
                <w:szCs w:val="20"/>
              </w:rPr>
            </w:pPr>
          </w:p>
        </w:tc>
        <w:tc>
          <w:tcPr>
            <w:tcW w:w="3452" w:type="dxa"/>
            <w:noWrap/>
            <w:hideMark/>
          </w:tcPr>
          <w:p w14:paraId="202AF0B4"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1.5</w:t>
            </w:r>
          </w:p>
        </w:tc>
        <w:tc>
          <w:tcPr>
            <w:tcW w:w="897" w:type="dxa"/>
            <w:noWrap/>
            <w:hideMark/>
          </w:tcPr>
          <w:p w14:paraId="2A60DED1"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6150BEF5"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71BA9E55"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18</w:t>
            </w:r>
          </w:p>
        </w:tc>
        <w:tc>
          <w:tcPr>
            <w:tcW w:w="935" w:type="dxa"/>
            <w:noWrap/>
            <w:hideMark/>
          </w:tcPr>
          <w:p w14:paraId="1F592136"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4D0D8108"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128801D7" w14:textId="77777777" w:rsidR="00D20476" w:rsidRPr="008E0C49" w:rsidRDefault="00D20476" w:rsidP="006255B5">
            <w:pPr>
              <w:rPr>
                <w:rFonts w:eastAsia="Times New Roman" w:cs="Times New Roman"/>
                <w:b w:val="0"/>
                <w:sz w:val="20"/>
                <w:szCs w:val="20"/>
              </w:rPr>
            </w:pPr>
          </w:p>
        </w:tc>
        <w:tc>
          <w:tcPr>
            <w:tcW w:w="3452" w:type="dxa"/>
            <w:noWrap/>
            <w:hideMark/>
          </w:tcPr>
          <w:p w14:paraId="06BB51BA"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2.0</w:t>
            </w:r>
          </w:p>
        </w:tc>
        <w:tc>
          <w:tcPr>
            <w:tcW w:w="897" w:type="dxa"/>
            <w:noWrap/>
            <w:hideMark/>
          </w:tcPr>
          <w:p w14:paraId="5B3AFE06"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01300187"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29B74740"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46</w:t>
            </w:r>
          </w:p>
        </w:tc>
        <w:tc>
          <w:tcPr>
            <w:tcW w:w="935" w:type="dxa"/>
            <w:noWrap/>
            <w:hideMark/>
          </w:tcPr>
          <w:p w14:paraId="7735265C"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646C354A"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1A1BFDD4" w14:textId="77777777" w:rsidR="00D20476" w:rsidRPr="008E0C49" w:rsidRDefault="00D20476" w:rsidP="006255B5">
            <w:pPr>
              <w:rPr>
                <w:rFonts w:eastAsia="Times New Roman" w:cs="Times New Roman"/>
                <w:b w:val="0"/>
                <w:sz w:val="20"/>
                <w:szCs w:val="20"/>
              </w:rPr>
            </w:pPr>
          </w:p>
        </w:tc>
        <w:tc>
          <w:tcPr>
            <w:tcW w:w="3452" w:type="dxa"/>
            <w:noWrap/>
            <w:hideMark/>
          </w:tcPr>
          <w:p w14:paraId="3EE57366"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2.5</w:t>
            </w:r>
          </w:p>
        </w:tc>
        <w:tc>
          <w:tcPr>
            <w:tcW w:w="897" w:type="dxa"/>
            <w:noWrap/>
            <w:hideMark/>
          </w:tcPr>
          <w:p w14:paraId="0388F18A"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37A6FAAC"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1BEB7386"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23</w:t>
            </w:r>
          </w:p>
        </w:tc>
        <w:tc>
          <w:tcPr>
            <w:tcW w:w="935" w:type="dxa"/>
            <w:noWrap/>
            <w:hideMark/>
          </w:tcPr>
          <w:p w14:paraId="32BBA9C2"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6ACD80A5"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26455278" w14:textId="77777777" w:rsidR="00D20476" w:rsidRPr="008E0C49" w:rsidRDefault="00D20476" w:rsidP="006255B5">
            <w:pPr>
              <w:rPr>
                <w:rFonts w:eastAsia="Times New Roman" w:cs="Times New Roman"/>
                <w:b w:val="0"/>
                <w:sz w:val="20"/>
                <w:szCs w:val="20"/>
              </w:rPr>
            </w:pPr>
          </w:p>
        </w:tc>
        <w:tc>
          <w:tcPr>
            <w:tcW w:w="3452" w:type="dxa"/>
            <w:noWrap/>
            <w:hideMark/>
          </w:tcPr>
          <w:p w14:paraId="4C797F5D"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3.0</w:t>
            </w:r>
          </w:p>
        </w:tc>
        <w:tc>
          <w:tcPr>
            <w:tcW w:w="897" w:type="dxa"/>
            <w:noWrap/>
            <w:hideMark/>
          </w:tcPr>
          <w:p w14:paraId="6C17EE58"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6D1FA4D2"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7202FA0E"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35</w:t>
            </w:r>
          </w:p>
        </w:tc>
        <w:tc>
          <w:tcPr>
            <w:tcW w:w="935" w:type="dxa"/>
            <w:noWrap/>
            <w:hideMark/>
          </w:tcPr>
          <w:p w14:paraId="773FEF55"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D20476" w:rsidRPr="00162BD4" w14:paraId="50A15708" w14:textId="77777777" w:rsidTr="00765323">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vMerge/>
            <w:hideMark/>
          </w:tcPr>
          <w:p w14:paraId="68CD2204" w14:textId="77777777" w:rsidR="00D20476" w:rsidRPr="008E0C49" w:rsidRDefault="00D20476" w:rsidP="006255B5">
            <w:pPr>
              <w:rPr>
                <w:rFonts w:eastAsia="Times New Roman" w:cs="Times New Roman"/>
                <w:b w:val="0"/>
                <w:sz w:val="20"/>
                <w:szCs w:val="20"/>
              </w:rPr>
            </w:pPr>
          </w:p>
        </w:tc>
        <w:tc>
          <w:tcPr>
            <w:tcW w:w="3452" w:type="dxa"/>
            <w:noWrap/>
            <w:hideMark/>
          </w:tcPr>
          <w:p w14:paraId="209ED8D5" w14:textId="77777777" w:rsidR="00D20476" w:rsidRPr="008E0C49" w:rsidRDefault="00D20476"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3.5</w:t>
            </w:r>
          </w:p>
        </w:tc>
        <w:tc>
          <w:tcPr>
            <w:tcW w:w="897" w:type="dxa"/>
            <w:noWrap/>
            <w:hideMark/>
          </w:tcPr>
          <w:p w14:paraId="08F13401"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noWrap/>
            <w:hideMark/>
          </w:tcPr>
          <w:p w14:paraId="2864CEED"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noWrap/>
            <w:hideMark/>
          </w:tcPr>
          <w:p w14:paraId="3E63154B" w14:textId="77777777" w:rsidR="00D20476" w:rsidRPr="008E0C49" w:rsidRDefault="00D20476" w:rsidP="006255B5">
            <w:pPr>
              <w:jc w:val="right"/>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46</w:t>
            </w:r>
          </w:p>
        </w:tc>
        <w:tc>
          <w:tcPr>
            <w:tcW w:w="935" w:type="dxa"/>
            <w:noWrap/>
            <w:hideMark/>
          </w:tcPr>
          <w:p w14:paraId="7A34A4C0" w14:textId="77777777" w:rsidR="00D20476" w:rsidRPr="008E0C49" w:rsidRDefault="00D20476" w:rsidP="006255B5">
            <w:pP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765323" w:rsidRPr="00162BD4" w14:paraId="608E624A" w14:textId="77777777" w:rsidTr="00765323">
        <w:trPr>
          <w:trHeight w:val="252"/>
        </w:trPr>
        <w:tc>
          <w:tcPr>
            <w:cnfStyle w:val="001000000000" w:firstRow="0" w:lastRow="0" w:firstColumn="1" w:lastColumn="0" w:oddVBand="0" w:evenVBand="0" w:oddHBand="0" w:evenHBand="0" w:firstRowFirstColumn="0" w:firstRowLastColumn="0" w:lastRowFirstColumn="0" w:lastRowLastColumn="0"/>
            <w:tcW w:w="1274" w:type="dxa"/>
            <w:vMerge/>
            <w:tcBorders>
              <w:bottom w:val="single" w:sz="4" w:space="0" w:color="auto"/>
            </w:tcBorders>
            <w:hideMark/>
          </w:tcPr>
          <w:p w14:paraId="58949C5B" w14:textId="77777777" w:rsidR="00D20476" w:rsidRPr="008E0C49" w:rsidRDefault="00D20476" w:rsidP="006255B5">
            <w:pPr>
              <w:rPr>
                <w:rFonts w:eastAsia="Times New Roman" w:cs="Times New Roman"/>
                <w:b w:val="0"/>
                <w:sz w:val="20"/>
                <w:szCs w:val="20"/>
              </w:rPr>
            </w:pPr>
          </w:p>
        </w:tc>
        <w:tc>
          <w:tcPr>
            <w:tcW w:w="3452" w:type="dxa"/>
            <w:tcBorders>
              <w:bottom w:val="single" w:sz="4" w:space="0" w:color="auto"/>
            </w:tcBorders>
            <w:noWrap/>
            <w:hideMark/>
          </w:tcPr>
          <w:p w14:paraId="583F2FB7" w14:textId="77777777" w:rsidR="00D20476" w:rsidRPr="008E0C49" w:rsidRDefault="00D20476" w:rsidP="006255B5">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4.0</w:t>
            </w:r>
          </w:p>
        </w:tc>
        <w:tc>
          <w:tcPr>
            <w:tcW w:w="897" w:type="dxa"/>
            <w:tcBorders>
              <w:bottom w:val="single" w:sz="4" w:space="0" w:color="auto"/>
            </w:tcBorders>
            <w:noWrap/>
            <w:hideMark/>
          </w:tcPr>
          <w:p w14:paraId="0B166576"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1</w:t>
            </w:r>
          </w:p>
        </w:tc>
        <w:tc>
          <w:tcPr>
            <w:tcW w:w="898" w:type="dxa"/>
            <w:tcBorders>
              <w:bottom w:val="single" w:sz="4" w:space="0" w:color="auto"/>
            </w:tcBorders>
            <w:noWrap/>
            <w:hideMark/>
          </w:tcPr>
          <w:p w14:paraId="753F1B82"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c>
          <w:tcPr>
            <w:tcW w:w="933" w:type="dxa"/>
            <w:tcBorders>
              <w:bottom w:val="single" w:sz="4" w:space="0" w:color="auto"/>
            </w:tcBorders>
            <w:noWrap/>
            <w:hideMark/>
          </w:tcPr>
          <w:p w14:paraId="110F3A8C" w14:textId="77777777" w:rsidR="00D20476" w:rsidRPr="008E0C49" w:rsidRDefault="00D20476" w:rsidP="006255B5">
            <w:pPr>
              <w:jc w:val="right"/>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52</w:t>
            </w:r>
          </w:p>
        </w:tc>
        <w:tc>
          <w:tcPr>
            <w:tcW w:w="935" w:type="dxa"/>
            <w:tcBorders>
              <w:bottom w:val="single" w:sz="4" w:space="0" w:color="auto"/>
            </w:tcBorders>
            <w:noWrap/>
            <w:hideMark/>
          </w:tcPr>
          <w:p w14:paraId="1045CB21" w14:textId="77777777" w:rsidR="00D20476" w:rsidRPr="008E0C49" w:rsidRDefault="00D20476" w:rsidP="006255B5">
            <w:pP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8E0C49">
              <w:rPr>
                <w:rFonts w:eastAsia="Times New Roman" w:cs="Times New Roman"/>
                <w:sz w:val="20"/>
                <w:szCs w:val="20"/>
              </w:rPr>
              <w:t>b</w:t>
            </w:r>
          </w:p>
        </w:tc>
      </w:tr>
      <w:tr w:rsidR="00765323" w:rsidRPr="00162BD4" w14:paraId="59CB1371" w14:textId="77777777" w:rsidTr="006255B5">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274" w:type="dxa"/>
            <w:tcBorders>
              <w:bottom w:val="single" w:sz="4" w:space="0" w:color="auto"/>
            </w:tcBorders>
          </w:tcPr>
          <w:p w14:paraId="3A92612A" w14:textId="77777777" w:rsidR="00765323" w:rsidRPr="008E0C49" w:rsidRDefault="00765323" w:rsidP="006255B5">
            <w:pPr>
              <w:rPr>
                <w:rFonts w:eastAsia="Times New Roman" w:cs="Times New Roman"/>
                <w:sz w:val="20"/>
                <w:szCs w:val="20"/>
              </w:rPr>
            </w:pPr>
          </w:p>
        </w:tc>
        <w:tc>
          <w:tcPr>
            <w:tcW w:w="3452" w:type="dxa"/>
            <w:tcBorders>
              <w:bottom w:val="single" w:sz="4" w:space="0" w:color="auto"/>
            </w:tcBorders>
            <w:noWrap/>
          </w:tcPr>
          <w:p w14:paraId="1CA666AC" w14:textId="6947878D" w:rsidR="00765323" w:rsidRPr="008E0C49" w:rsidRDefault="00765323" w:rsidP="006255B5">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765323">
              <w:rPr>
                <w:rFonts w:cs="Times New Roman"/>
                <w:i/>
                <w:sz w:val="20"/>
                <w:szCs w:val="20"/>
              </w:rPr>
              <w:t>P</w:t>
            </w:r>
            <w:r w:rsidRPr="00B63339">
              <w:rPr>
                <w:rFonts w:cs="Times New Roman"/>
                <w:sz w:val="20"/>
                <w:szCs w:val="20"/>
              </w:rPr>
              <w:t xml:space="preserve"> - Value</w:t>
            </w:r>
          </w:p>
        </w:tc>
        <w:tc>
          <w:tcPr>
            <w:tcW w:w="1795" w:type="dxa"/>
            <w:gridSpan w:val="2"/>
            <w:tcBorders>
              <w:bottom w:val="single" w:sz="4" w:space="0" w:color="auto"/>
            </w:tcBorders>
            <w:noWrap/>
          </w:tcPr>
          <w:p w14:paraId="1F5242D6" w14:textId="78D7E8C9" w:rsidR="00765323" w:rsidRPr="008E0C49" w:rsidRDefault="00753D03" w:rsidP="00753D0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0.0004</w:t>
            </w:r>
          </w:p>
        </w:tc>
        <w:tc>
          <w:tcPr>
            <w:tcW w:w="1868" w:type="dxa"/>
            <w:gridSpan w:val="2"/>
            <w:tcBorders>
              <w:bottom w:val="single" w:sz="4" w:space="0" w:color="auto"/>
            </w:tcBorders>
            <w:noWrap/>
          </w:tcPr>
          <w:p w14:paraId="3195C59E" w14:textId="18990668" w:rsidR="00765323" w:rsidRPr="008E0C49" w:rsidRDefault="00753D03" w:rsidP="00753D0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Pr>
                <w:rFonts w:eastAsia="Times New Roman" w:cs="Times New Roman"/>
                <w:sz w:val="20"/>
                <w:szCs w:val="20"/>
              </w:rPr>
              <w:t>&lt; .0001</w:t>
            </w:r>
          </w:p>
        </w:tc>
      </w:tr>
      <w:tr w:rsidR="00D20476" w:rsidRPr="00162BD4" w14:paraId="7127CF26" w14:textId="77777777" w:rsidTr="008E0C49">
        <w:trPr>
          <w:trHeight w:val="252"/>
        </w:trPr>
        <w:tc>
          <w:tcPr>
            <w:cnfStyle w:val="001000000000" w:firstRow="0" w:lastRow="0" w:firstColumn="1" w:lastColumn="0" w:oddVBand="0" w:evenVBand="0" w:oddHBand="0" w:evenHBand="0" w:firstRowFirstColumn="0" w:firstRowLastColumn="0" w:lastRowFirstColumn="0" w:lastRowLastColumn="0"/>
            <w:tcW w:w="8389" w:type="dxa"/>
            <w:gridSpan w:val="6"/>
            <w:tcBorders>
              <w:top w:val="single" w:sz="4" w:space="0" w:color="auto"/>
            </w:tcBorders>
          </w:tcPr>
          <w:p w14:paraId="515D9EA7" w14:textId="77777777" w:rsidR="00D20476" w:rsidRPr="008E0C49" w:rsidRDefault="00D20476" w:rsidP="006255B5">
            <w:pPr>
              <w:rPr>
                <w:rFonts w:cs="Times New Roman"/>
                <w:b w:val="0"/>
                <w:sz w:val="20"/>
                <w:szCs w:val="20"/>
              </w:rPr>
            </w:pPr>
            <w:r w:rsidRPr="008E0C49">
              <w:rPr>
                <w:rFonts w:cs="Times New Roman"/>
                <w:b w:val="0"/>
                <w:sz w:val="20"/>
                <w:szCs w:val="20"/>
                <w:vertAlign w:val="superscript"/>
              </w:rPr>
              <w:t>a</w:t>
            </w:r>
            <w:r w:rsidRPr="008E0C49">
              <w:rPr>
                <w:rFonts w:cs="Times New Roman"/>
                <w:b w:val="0"/>
                <w:sz w:val="20"/>
                <w:szCs w:val="20"/>
              </w:rPr>
              <w:t xml:space="preserve"> </w:t>
            </w:r>
            <w:r w:rsidRPr="008E0C49">
              <w:rPr>
                <w:rFonts w:eastAsia="Times New Roman" w:cs="Times New Roman"/>
                <w:b w:val="0"/>
                <w:sz w:val="20"/>
                <w:szCs w:val="20"/>
              </w:rPr>
              <w:t xml:space="preserve">Microsclerotial </w:t>
            </w:r>
            <w:r w:rsidRPr="008E0C49">
              <w:rPr>
                <w:rFonts w:cs="Times New Roman"/>
                <w:b w:val="0"/>
                <w:sz w:val="20"/>
                <w:szCs w:val="20"/>
              </w:rPr>
              <w:t>treatments included 2 controls (no inoculum and 4 g of sterile millet) and 0.5, 1.0, 1.5, 2.0, 2.5, 3.0, 3.5, and 4.0 grams of microsclerotial-infested millet</w:t>
            </w:r>
          </w:p>
          <w:p w14:paraId="0F9C4A7B" w14:textId="34D0AF6B" w:rsidR="00D20476" w:rsidRPr="008E0C49" w:rsidRDefault="00D20476" w:rsidP="006255B5">
            <w:pPr>
              <w:rPr>
                <w:rFonts w:eastAsia="BemboStd" w:cs="Times New Roman"/>
                <w:b w:val="0"/>
                <w:sz w:val="20"/>
                <w:szCs w:val="20"/>
              </w:rPr>
            </w:pPr>
            <w:r w:rsidRPr="008E0C49">
              <w:rPr>
                <w:rFonts w:cs="Times New Roman"/>
                <w:b w:val="0"/>
                <w:sz w:val="20"/>
                <w:szCs w:val="20"/>
                <w:vertAlign w:val="superscript"/>
              </w:rPr>
              <w:t>b</w:t>
            </w:r>
            <w:r w:rsidRPr="008E0C49">
              <w:rPr>
                <w:rFonts w:cs="Times New Roman"/>
                <w:b w:val="0"/>
                <w:sz w:val="20"/>
                <w:szCs w:val="20"/>
              </w:rPr>
              <w:t xml:space="preserve"> Severity was based on rating split stems on a 1 to 5 scale, based on the microsclerotial load where </w:t>
            </w:r>
            <w:r w:rsidRPr="008E0C49">
              <w:rPr>
                <w:rFonts w:eastAsia="BemboStd" w:cs="Times New Roman"/>
                <w:b w:val="0"/>
                <w:sz w:val="20"/>
                <w:szCs w:val="20"/>
              </w:rPr>
              <w:t xml:space="preserve">1 = no discoloration, 2 = very few microsclerotia without tissue discoloration, 3 = vascular </w:t>
            </w:r>
            <w:r w:rsidR="00E56818" w:rsidRPr="008E0C49">
              <w:rPr>
                <w:rFonts w:eastAsia="BemboStd" w:cs="Times New Roman"/>
                <w:b w:val="0"/>
                <w:sz w:val="20"/>
                <w:szCs w:val="20"/>
              </w:rPr>
              <w:t>tissue</w:t>
            </w:r>
            <w:r w:rsidRPr="008E0C49">
              <w:rPr>
                <w:rFonts w:eastAsia="BemboStd" w:cs="Times New Roman"/>
                <w:b w:val="0"/>
                <w:sz w:val="20"/>
                <w:szCs w:val="20"/>
              </w:rPr>
              <w:t xml:space="preserve"> partly covered with microsclerotia and discolored, 4 = vascular tissue discolored with numerous </w:t>
            </w:r>
            <w:r w:rsidR="00E56818" w:rsidRPr="008E0C49">
              <w:rPr>
                <w:rFonts w:eastAsia="BemboStd" w:cs="Times New Roman"/>
                <w:b w:val="0"/>
                <w:sz w:val="20"/>
                <w:szCs w:val="20"/>
              </w:rPr>
              <w:t>microsclerotia, and</w:t>
            </w:r>
            <w:r w:rsidRPr="008E0C49">
              <w:rPr>
                <w:rFonts w:eastAsia="BemboStd" w:cs="Times New Roman"/>
                <w:b w:val="0"/>
                <w:sz w:val="20"/>
                <w:szCs w:val="20"/>
              </w:rPr>
              <w:t xml:space="preserve"> 5 = highly discolored and covered in dark microsclerotia </w:t>
            </w:r>
          </w:p>
          <w:p w14:paraId="79E2140A" w14:textId="77777777" w:rsidR="00D20476" w:rsidRPr="008E0C49" w:rsidRDefault="00D20476" w:rsidP="006255B5">
            <w:pPr>
              <w:spacing w:line="259" w:lineRule="auto"/>
              <w:rPr>
                <w:rFonts w:eastAsiaTheme="minorHAnsi" w:cs="Times New Roman"/>
                <w:b w:val="0"/>
                <w:sz w:val="20"/>
                <w:szCs w:val="20"/>
              </w:rPr>
            </w:pPr>
            <w:r w:rsidRPr="008E0C49">
              <w:rPr>
                <w:rFonts w:cs="Times New Roman"/>
                <w:b w:val="0"/>
                <w:sz w:val="20"/>
                <w:szCs w:val="20"/>
                <w:vertAlign w:val="superscript"/>
              </w:rPr>
              <w:t>c</w:t>
            </w:r>
            <w:r w:rsidRPr="008E0C49">
              <w:rPr>
                <w:rFonts w:cs="Times New Roman"/>
                <w:b w:val="0"/>
                <w:sz w:val="20"/>
                <w:szCs w:val="20"/>
              </w:rPr>
              <w:t xml:space="preserve"> Colony forming units (CFU)</w:t>
            </w:r>
          </w:p>
        </w:tc>
      </w:tr>
    </w:tbl>
    <w:p w14:paraId="1F42C70A" w14:textId="77777777" w:rsidR="00D20476" w:rsidRPr="008E2CD0" w:rsidRDefault="00D20476" w:rsidP="00D20476">
      <w:pPr>
        <w:ind w:left="720"/>
        <w:rPr>
          <w:rFonts w:cs="Times New Roman"/>
          <w:szCs w:val="24"/>
        </w:rPr>
      </w:pPr>
      <w:r w:rsidRPr="008E2CD0">
        <w:rPr>
          <w:rFonts w:cs="Times New Roman"/>
          <w:szCs w:val="24"/>
        </w:rPr>
        <w:br w:type="page"/>
      </w:r>
    </w:p>
    <w:p w14:paraId="5FDA8334" w14:textId="77777777" w:rsidR="00D20476" w:rsidRPr="008E2CD0" w:rsidRDefault="00D20476" w:rsidP="00D20476">
      <w:pPr>
        <w:ind w:left="720"/>
        <w:rPr>
          <w:rFonts w:cs="Times New Roman"/>
          <w:szCs w:val="24"/>
        </w:rPr>
      </w:pPr>
    </w:p>
    <w:p w14:paraId="5CE8410C" w14:textId="2F0347F3" w:rsidR="00D20476" w:rsidRPr="00AB65D6" w:rsidRDefault="00D20476" w:rsidP="009922D3">
      <w:pPr>
        <w:pStyle w:val="Caption"/>
        <w:framePr w:w="8329" w:h="697" w:hRule="exact" w:wrap="around" w:hAnchor="page" w:x="1897" w:y="301"/>
      </w:pPr>
      <w:bookmarkStart w:id="375" w:name="_Toc101048980"/>
      <w:r w:rsidRPr="00AB65D6">
        <w:t xml:space="preserve">Table 4. </w:t>
      </w:r>
      <w:r w:rsidR="00035AE8">
        <w:fldChar w:fldCharType="begin"/>
      </w:r>
      <w:r w:rsidR="00035AE8">
        <w:instrText xml:space="preserve"> SEQ Table_4. \* ARABIC</w:instrText>
      </w:r>
      <w:r w:rsidR="00035AE8">
        <w:instrText xml:space="preserve"> </w:instrText>
      </w:r>
      <w:r w:rsidR="00035AE8">
        <w:fldChar w:fldCharType="separate"/>
      </w:r>
      <w:r w:rsidR="009C2EDC">
        <w:rPr>
          <w:noProof/>
        </w:rPr>
        <w:t>4</w:t>
      </w:r>
      <w:r w:rsidR="00035AE8">
        <w:rPr>
          <w:noProof/>
        </w:rPr>
        <w:fldChar w:fldCharType="end"/>
      </w:r>
      <w:r w:rsidRPr="00AB65D6">
        <w:t>. Differences of microsclerotial treatments on yield parameters and</w:t>
      </w:r>
      <w:r w:rsidRPr="00AB65D6">
        <w:rPr>
          <w:i/>
        </w:rPr>
        <w:t xml:space="preserve"> Macrophomina phaseolina </w:t>
      </w:r>
      <w:r w:rsidRPr="00AB65D6">
        <w:t>density in the</w:t>
      </w:r>
      <w:r w:rsidRPr="00AB65D6">
        <w:rPr>
          <w:i/>
        </w:rPr>
        <w:t xml:space="preserve"> </w:t>
      </w:r>
      <w:r w:rsidRPr="00AB65D6">
        <w:t>rhizosphere soil</w:t>
      </w:r>
      <w:bookmarkEnd w:id="375"/>
    </w:p>
    <w:p w14:paraId="55145D6C" w14:textId="77777777" w:rsidR="00D20476" w:rsidRPr="008E2CD0" w:rsidRDefault="00D20476" w:rsidP="00D20476">
      <w:pPr>
        <w:rPr>
          <w:rFonts w:cs="Times New Roman"/>
          <w:sz w:val="20"/>
          <w:szCs w:val="20"/>
        </w:rPr>
      </w:pPr>
    </w:p>
    <w:tbl>
      <w:tblPr>
        <w:tblStyle w:val="ListTable1Light-Accent5"/>
        <w:tblpPr w:leftFromText="180" w:rightFromText="180" w:vertAnchor="page" w:horzAnchor="margin" w:tblpX="540" w:tblpY="2911"/>
        <w:tblW w:w="0" w:type="auto"/>
        <w:tblLayout w:type="fixed"/>
        <w:tblLook w:val="04A0" w:firstRow="1" w:lastRow="0" w:firstColumn="1" w:lastColumn="0" w:noHBand="0" w:noVBand="1"/>
      </w:tblPr>
      <w:tblGrid>
        <w:gridCol w:w="900"/>
        <w:gridCol w:w="1440"/>
        <w:gridCol w:w="1260"/>
        <w:gridCol w:w="1530"/>
        <w:gridCol w:w="766"/>
        <w:gridCol w:w="944"/>
        <w:gridCol w:w="630"/>
        <w:gridCol w:w="810"/>
      </w:tblGrid>
      <w:tr w:rsidR="002A3EE3" w:rsidRPr="00B63339" w14:paraId="6E7AEB79" w14:textId="77777777" w:rsidTr="008D457B">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auto"/>
              <w:bottom w:val="single" w:sz="4" w:space="0" w:color="auto"/>
            </w:tcBorders>
          </w:tcPr>
          <w:p w14:paraId="0950DFF0" w14:textId="77777777" w:rsidR="00D20476" w:rsidRPr="00D9430E" w:rsidRDefault="00D20476" w:rsidP="002A3EE3">
            <w:pPr>
              <w:rPr>
                <w:rFonts w:cs="Times New Roman"/>
                <w:b w:val="0"/>
                <w:sz w:val="20"/>
                <w:szCs w:val="20"/>
              </w:rPr>
            </w:pPr>
            <w:r w:rsidRPr="00D9430E">
              <w:rPr>
                <w:rFonts w:cs="Times New Roman"/>
                <w:b w:val="0"/>
                <w:sz w:val="20"/>
                <w:szCs w:val="20"/>
              </w:rPr>
              <w:t xml:space="preserve">Variety </w:t>
            </w:r>
          </w:p>
        </w:tc>
        <w:tc>
          <w:tcPr>
            <w:tcW w:w="1440" w:type="dxa"/>
            <w:tcBorders>
              <w:top w:val="single" w:sz="4" w:space="0" w:color="auto"/>
              <w:bottom w:val="single" w:sz="4" w:space="0" w:color="auto"/>
            </w:tcBorders>
            <w:noWrap/>
            <w:hideMark/>
          </w:tcPr>
          <w:p w14:paraId="7EABBCA5" w14:textId="77777777" w:rsidR="00D20476" w:rsidRPr="00D9430E" w:rsidRDefault="00D20476" w:rsidP="002A3EE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vertAlign w:val="superscript"/>
              </w:rPr>
            </w:pPr>
            <w:r w:rsidRPr="00D9430E">
              <w:rPr>
                <w:rFonts w:cs="Times New Roman"/>
                <w:b w:val="0"/>
                <w:sz w:val="20"/>
                <w:szCs w:val="20"/>
              </w:rPr>
              <w:t>Microsclerotial treatment</w:t>
            </w:r>
            <w:r w:rsidRPr="00D9430E">
              <w:rPr>
                <w:rFonts w:cs="Times New Roman"/>
                <w:b w:val="0"/>
                <w:sz w:val="20"/>
                <w:szCs w:val="20"/>
                <w:vertAlign w:val="superscript"/>
              </w:rPr>
              <w:t>a</w:t>
            </w:r>
          </w:p>
        </w:tc>
        <w:tc>
          <w:tcPr>
            <w:tcW w:w="1260" w:type="dxa"/>
            <w:tcBorders>
              <w:top w:val="single" w:sz="4" w:space="0" w:color="auto"/>
              <w:bottom w:val="single" w:sz="4" w:space="0" w:color="auto"/>
            </w:tcBorders>
            <w:noWrap/>
            <w:hideMark/>
          </w:tcPr>
          <w:p w14:paraId="1D710A91" w14:textId="77777777" w:rsidR="00D20476" w:rsidRPr="00D9430E" w:rsidRDefault="00D20476" w:rsidP="002A3EE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D9430E">
              <w:rPr>
                <w:rFonts w:cs="Times New Roman"/>
                <w:b w:val="0"/>
                <w:sz w:val="20"/>
                <w:szCs w:val="20"/>
              </w:rPr>
              <w:t>Number of pods/plant</w:t>
            </w:r>
          </w:p>
        </w:tc>
        <w:tc>
          <w:tcPr>
            <w:tcW w:w="1530" w:type="dxa"/>
            <w:tcBorders>
              <w:top w:val="single" w:sz="4" w:space="0" w:color="auto"/>
              <w:bottom w:val="single" w:sz="4" w:space="0" w:color="auto"/>
            </w:tcBorders>
            <w:noWrap/>
            <w:hideMark/>
          </w:tcPr>
          <w:p w14:paraId="14AF23A3" w14:textId="77777777" w:rsidR="00D20476" w:rsidRPr="00D9430E" w:rsidRDefault="00D20476" w:rsidP="002A3EE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D9430E">
              <w:rPr>
                <w:rFonts w:cs="Times New Roman"/>
                <w:b w:val="0"/>
                <w:sz w:val="20"/>
                <w:szCs w:val="20"/>
              </w:rPr>
              <w:t>Number of seeds/plant</w:t>
            </w:r>
          </w:p>
        </w:tc>
        <w:tc>
          <w:tcPr>
            <w:tcW w:w="766" w:type="dxa"/>
            <w:tcBorders>
              <w:top w:val="single" w:sz="4" w:space="0" w:color="auto"/>
              <w:bottom w:val="single" w:sz="4" w:space="0" w:color="auto"/>
            </w:tcBorders>
          </w:tcPr>
          <w:p w14:paraId="1DF6D838" w14:textId="77777777" w:rsidR="00D20476" w:rsidRPr="00D9430E" w:rsidRDefault="00D20476" w:rsidP="002A3EE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D9430E">
              <w:rPr>
                <w:rFonts w:cs="Times New Roman"/>
                <w:b w:val="0"/>
                <w:sz w:val="20"/>
                <w:szCs w:val="20"/>
              </w:rPr>
              <w:t>Seed size</w:t>
            </w:r>
          </w:p>
        </w:tc>
        <w:tc>
          <w:tcPr>
            <w:tcW w:w="944" w:type="dxa"/>
            <w:tcBorders>
              <w:top w:val="single" w:sz="4" w:space="0" w:color="auto"/>
              <w:bottom w:val="single" w:sz="4" w:space="0" w:color="auto"/>
            </w:tcBorders>
            <w:noWrap/>
            <w:hideMark/>
          </w:tcPr>
          <w:p w14:paraId="21D19212" w14:textId="77777777" w:rsidR="00D20476" w:rsidRPr="00D9430E" w:rsidRDefault="00D20476" w:rsidP="002A3EE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D9430E">
              <w:rPr>
                <w:rFonts w:cs="Times New Roman"/>
                <w:b w:val="0"/>
                <w:sz w:val="20"/>
                <w:szCs w:val="20"/>
              </w:rPr>
              <w:t>Yield (kg/ha)</w:t>
            </w:r>
          </w:p>
        </w:tc>
        <w:tc>
          <w:tcPr>
            <w:tcW w:w="1440" w:type="dxa"/>
            <w:gridSpan w:val="2"/>
            <w:tcBorders>
              <w:top w:val="single" w:sz="4" w:space="0" w:color="auto"/>
              <w:bottom w:val="single" w:sz="4" w:space="0" w:color="auto"/>
            </w:tcBorders>
            <w:noWrap/>
            <w:hideMark/>
          </w:tcPr>
          <w:p w14:paraId="7FDD7914" w14:textId="77777777" w:rsidR="00D20476" w:rsidRPr="00D9430E" w:rsidRDefault="00D20476" w:rsidP="002A3EE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vertAlign w:val="superscript"/>
              </w:rPr>
            </w:pPr>
            <w:r w:rsidRPr="00D9430E">
              <w:rPr>
                <w:rFonts w:cs="Times New Roman"/>
                <w:b w:val="0"/>
                <w:sz w:val="20"/>
                <w:szCs w:val="20"/>
              </w:rPr>
              <w:t>Rhizosphere CFU</w:t>
            </w:r>
            <w:r w:rsidRPr="00D9430E">
              <w:rPr>
                <w:rFonts w:cs="Times New Roman"/>
                <w:b w:val="0"/>
                <w:sz w:val="20"/>
                <w:szCs w:val="20"/>
                <w:vertAlign w:val="superscript"/>
              </w:rPr>
              <w:t>b</w:t>
            </w:r>
          </w:p>
        </w:tc>
      </w:tr>
      <w:tr w:rsidR="002A3EE3" w:rsidRPr="00B63339" w14:paraId="43F06D19" w14:textId="77777777" w:rsidTr="009922D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4" w:space="0" w:color="auto"/>
            </w:tcBorders>
            <w:textDirection w:val="btLr"/>
          </w:tcPr>
          <w:p w14:paraId="7CA880DB" w14:textId="77777777" w:rsidR="00D20476" w:rsidRPr="00D9430E" w:rsidRDefault="00D20476" w:rsidP="002A3EE3">
            <w:pPr>
              <w:jc w:val="center"/>
              <w:rPr>
                <w:rFonts w:eastAsia="Times New Roman" w:cs="Times New Roman"/>
                <w:b w:val="0"/>
                <w:sz w:val="20"/>
                <w:szCs w:val="20"/>
              </w:rPr>
            </w:pPr>
            <w:r w:rsidRPr="00D9430E">
              <w:rPr>
                <w:rFonts w:eastAsia="Times New Roman" w:cs="Times New Roman"/>
                <w:b w:val="0"/>
                <w:sz w:val="20"/>
                <w:szCs w:val="20"/>
              </w:rPr>
              <w:t>LS98-0358  variety</w:t>
            </w:r>
            <w:r w:rsidRPr="00D9430E">
              <w:rPr>
                <w:rFonts w:eastAsia="Times New Roman" w:cs="Times New Roman"/>
                <w:b w:val="0"/>
                <w:sz w:val="20"/>
                <w:szCs w:val="20"/>
              </w:rPr>
              <w:br/>
              <w:t xml:space="preserve">susceptible to charcoal rot </w:t>
            </w:r>
          </w:p>
        </w:tc>
        <w:tc>
          <w:tcPr>
            <w:tcW w:w="1440" w:type="dxa"/>
            <w:tcBorders>
              <w:top w:val="single" w:sz="4" w:space="0" w:color="auto"/>
            </w:tcBorders>
            <w:noWrap/>
            <w:hideMark/>
          </w:tcPr>
          <w:p w14:paraId="67645428"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sterile millet</w:t>
            </w:r>
          </w:p>
        </w:tc>
        <w:tc>
          <w:tcPr>
            <w:tcW w:w="1260" w:type="dxa"/>
            <w:tcBorders>
              <w:top w:val="single" w:sz="4" w:space="0" w:color="auto"/>
            </w:tcBorders>
            <w:noWrap/>
            <w:hideMark/>
          </w:tcPr>
          <w:p w14:paraId="0EFD7374"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21</w:t>
            </w:r>
          </w:p>
        </w:tc>
        <w:tc>
          <w:tcPr>
            <w:tcW w:w="1530" w:type="dxa"/>
            <w:tcBorders>
              <w:top w:val="single" w:sz="4" w:space="0" w:color="auto"/>
            </w:tcBorders>
            <w:noWrap/>
            <w:hideMark/>
          </w:tcPr>
          <w:p w14:paraId="2C42D25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44</w:t>
            </w:r>
          </w:p>
        </w:tc>
        <w:tc>
          <w:tcPr>
            <w:tcW w:w="766" w:type="dxa"/>
            <w:tcBorders>
              <w:top w:val="single" w:sz="4" w:space="0" w:color="auto"/>
            </w:tcBorders>
          </w:tcPr>
          <w:p w14:paraId="1A8C9CC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14.0</w:t>
            </w:r>
          </w:p>
        </w:tc>
        <w:tc>
          <w:tcPr>
            <w:tcW w:w="944" w:type="dxa"/>
            <w:tcBorders>
              <w:top w:val="single" w:sz="4" w:space="0" w:color="auto"/>
            </w:tcBorders>
            <w:noWrap/>
            <w:hideMark/>
          </w:tcPr>
          <w:p w14:paraId="1F67BFE9"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4.2</w:t>
            </w:r>
          </w:p>
        </w:tc>
        <w:tc>
          <w:tcPr>
            <w:tcW w:w="630" w:type="dxa"/>
            <w:tcBorders>
              <w:top w:val="single" w:sz="4" w:space="0" w:color="auto"/>
            </w:tcBorders>
            <w:noWrap/>
            <w:hideMark/>
          </w:tcPr>
          <w:p w14:paraId="6A3A0EE8"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w:t>
            </w:r>
          </w:p>
        </w:tc>
        <w:tc>
          <w:tcPr>
            <w:tcW w:w="810" w:type="dxa"/>
            <w:tcBorders>
              <w:top w:val="single" w:sz="4" w:space="0" w:color="auto"/>
            </w:tcBorders>
            <w:noWrap/>
            <w:hideMark/>
          </w:tcPr>
          <w:p w14:paraId="505ABC23"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74518B60" w14:textId="77777777" w:rsidTr="009922D3">
        <w:trPr>
          <w:trHeight w:val="244"/>
        </w:trPr>
        <w:tc>
          <w:tcPr>
            <w:cnfStyle w:val="001000000000" w:firstRow="0" w:lastRow="0" w:firstColumn="1" w:lastColumn="0" w:oddVBand="0" w:evenVBand="0" w:oddHBand="0" w:evenHBand="0" w:firstRowFirstColumn="0" w:firstRowLastColumn="0" w:lastRowFirstColumn="0" w:lastRowLastColumn="0"/>
            <w:tcW w:w="900" w:type="dxa"/>
            <w:vMerge/>
          </w:tcPr>
          <w:p w14:paraId="79961E83" w14:textId="77777777" w:rsidR="00D20476" w:rsidRPr="00D9430E" w:rsidRDefault="00D20476" w:rsidP="002A3EE3">
            <w:pPr>
              <w:rPr>
                <w:rFonts w:cs="Times New Roman"/>
                <w:b w:val="0"/>
                <w:sz w:val="20"/>
                <w:szCs w:val="20"/>
              </w:rPr>
            </w:pPr>
          </w:p>
        </w:tc>
        <w:tc>
          <w:tcPr>
            <w:tcW w:w="1440" w:type="dxa"/>
            <w:noWrap/>
            <w:hideMark/>
          </w:tcPr>
          <w:p w14:paraId="0F1D7DE8"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0.0</w:t>
            </w:r>
          </w:p>
        </w:tc>
        <w:tc>
          <w:tcPr>
            <w:tcW w:w="1260" w:type="dxa"/>
            <w:noWrap/>
            <w:hideMark/>
          </w:tcPr>
          <w:p w14:paraId="7973D990"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21</w:t>
            </w:r>
          </w:p>
        </w:tc>
        <w:tc>
          <w:tcPr>
            <w:tcW w:w="1530" w:type="dxa"/>
            <w:noWrap/>
            <w:hideMark/>
          </w:tcPr>
          <w:p w14:paraId="6C6E5090"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46</w:t>
            </w:r>
          </w:p>
        </w:tc>
        <w:tc>
          <w:tcPr>
            <w:tcW w:w="766" w:type="dxa"/>
          </w:tcPr>
          <w:p w14:paraId="5F1589D7"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16.7</w:t>
            </w:r>
          </w:p>
        </w:tc>
        <w:tc>
          <w:tcPr>
            <w:tcW w:w="944" w:type="dxa"/>
            <w:noWrap/>
            <w:hideMark/>
          </w:tcPr>
          <w:p w14:paraId="5855DBBD"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4.5</w:t>
            </w:r>
          </w:p>
        </w:tc>
        <w:tc>
          <w:tcPr>
            <w:tcW w:w="630" w:type="dxa"/>
            <w:noWrap/>
            <w:hideMark/>
          </w:tcPr>
          <w:p w14:paraId="70DBCB4E"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0</w:t>
            </w:r>
          </w:p>
        </w:tc>
        <w:tc>
          <w:tcPr>
            <w:tcW w:w="810" w:type="dxa"/>
            <w:noWrap/>
            <w:hideMark/>
          </w:tcPr>
          <w:p w14:paraId="3B1373E2"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6AFEBF6C" w14:textId="77777777" w:rsidTr="009922D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vMerge/>
          </w:tcPr>
          <w:p w14:paraId="775CDFC0" w14:textId="77777777" w:rsidR="00D20476" w:rsidRPr="00D9430E" w:rsidRDefault="00D20476" w:rsidP="002A3EE3">
            <w:pPr>
              <w:rPr>
                <w:rFonts w:cs="Times New Roman"/>
                <w:b w:val="0"/>
                <w:sz w:val="20"/>
                <w:szCs w:val="20"/>
              </w:rPr>
            </w:pPr>
          </w:p>
        </w:tc>
        <w:tc>
          <w:tcPr>
            <w:tcW w:w="1440" w:type="dxa"/>
            <w:noWrap/>
            <w:hideMark/>
          </w:tcPr>
          <w:p w14:paraId="4100CEF2"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0.5</w:t>
            </w:r>
          </w:p>
        </w:tc>
        <w:tc>
          <w:tcPr>
            <w:tcW w:w="1260" w:type="dxa"/>
            <w:noWrap/>
            <w:hideMark/>
          </w:tcPr>
          <w:p w14:paraId="5710000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19</w:t>
            </w:r>
          </w:p>
        </w:tc>
        <w:tc>
          <w:tcPr>
            <w:tcW w:w="1530" w:type="dxa"/>
            <w:noWrap/>
            <w:hideMark/>
          </w:tcPr>
          <w:p w14:paraId="1BDE6F94"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41</w:t>
            </w:r>
          </w:p>
        </w:tc>
        <w:tc>
          <w:tcPr>
            <w:tcW w:w="766" w:type="dxa"/>
          </w:tcPr>
          <w:p w14:paraId="3F6B427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15.8</w:t>
            </w:r>
          </w:p>
        </w:tc>
        <w:tc>
          <w:tcPr>
            <w:tcW w:w="944" w:type="dxa"/>
            <w:noWrap/>
            <w:hideMark/>
          </w:tcPr>
          <w:p w14:paraId="10E227A0"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4.2</w:t>
            </w:r>
          </w:p>
        </w:tc>
        <w:tc>
          <w:tcPr>
            <w:tcW w:w="630" w:type="dxa"/>
            <w:noWrap/>
            <w:hideMark/>
          </w:tcPr>
          <w:p w14:paraId="4F16EEC7"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28</w:t>
            </w:r>
          </w:p>
        </w:tc>
        <w:tc>
          <w:tcPr>
            <w:tcW w:w="810" w:type="dxa"/>
            <w:noWrap/>
            <w:hideMark/>
          </w:tcPr>
          <w:p w14:paraId="3DD33756"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ab</w:t>
            </w:r>
          </w:p>
        </w:tc>
      </w:tr>
      <w:tr w:rsidR="002A3EE3" w:rsidRPr="00B63339" w14:paraId="0995F586" w14:textId="77777777" w:rsidTr="009922D3">
        <w:trPr>
          <w:trHeight w:val="244"/>
        </w:trPr>
        <w:tc>
          <w:tcPr>
            <w:cnfStyle w:val="001000000000" w:firstRow="0" w:lastRow="0" w:firstColumn="1" w:lastColumn="0" w:oddVBand="0" w:evenVBand="0" w:oddHBand="0" w:evenHBand="0" w:firstRowFirstColumn="0" w:firstRowLastColumn="0" w:lastRowFirstColumn="0" w:lastRowLastColumn="0"/>
            <w:tcW w:w="900" w:type="dxa"/>
            <w:vMerge/>
          </w:tcPr>
          <w:p w14:paraId="4A0282A0" w14:textId="77777777" w:rsidR="00D20476" w:rsidRPr="00D9430E" w:rsidRDefault="00D20476" w:rsidP="002A3EE3">
            <w:pPr>
              <w:rPr>
                <w:rFonts w:cs="Times New Roman"/>
                <w:b w:val="0"/>
                <w:sz w:val="20"/>
                <w:szCs w:val="20"/>
              </w:rPr>
            </w:pPr>
          </w:p>
        </w:tc>
        <w:tc>
          <w:tcPr>
            <w:tcW w:w="1440" w:type="dxa"/>
            <w:noWrap/>
            <w:hideMark/>
          </w:tcPr>
          <w:p w14:paraId="5D5A1FA5"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1.0</w:t>
            </w:r>
          </w:p>
        </w:tc>
        <w:tc>
          <w:tcPr>
            <w:tcW w:w="1260" w:type="dxa"/>
            <w:noWrap/>
            <w:hideMark/>
          </w:tcPr>
          <w:p w14:paraId="657CEFE1"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19</w:t>
            </w:r>
          </w:p>
        </w:tc>
        <w:tc>
          <w:tcPr>
            <w:tcW w:w="1530" w:type="dxa"/>
            <w:noWrap/>
            <w:hideMark/>
          </w:tcPr>
          <w:p w14:paraId="050B7D02"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42</w:t>
            </w:r>
          </w:p>
        </w:tc>
        <w:tc>
          <w:tcPr>
            <w:tcW w:w="766" w:type="dxa"/>
          </w:tcPr>
          <w:p w14:paraId="24C76947"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16.5</w:t>
            </w:r>
          </w:p>
        </w:tc>
        <w:tc>
          <w:tcPr>
            <w:tcW w:w="944" w:type="dxa"/>
            <w:noWrap/>
            <w:hideMark/>
          </w:tcPr>
          <w:p w14:paraId="111EA170"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4.5</w:t>
            </w:r>
          </w:p>
        </w:tc>
        <w:tc>
          <w:tcPr>
            <w:tcW w:w="630" w:type="dxa"/>
            <w:noWrap/>
            <w:hideMark/>
          </w:tcPr>
          <w:p w14:paraId="5F23F497"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29</w:t>
            </w:r>
          </w:p>
        </w:tc>
        <w:tc>
          <w:tcPr>
            <w:tcW w:w="810" w:type="dxa"/>
            <w:noWrap/>
            <w:hideMark/>
          </w:tcPr>
          <w:p w14:paraId="016B39D3"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ab</w:t>
            </w:r>
          </w:p>
        </w:tc>
      </w:tr>
      <w:tr w:rsidR="002A3EE3" w:rsidRPr="00B63339" w14:paraId="0A5D83B1" w14:textId="77777777" w:rsidTr="009922D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00" w:type="dxa"/>
            <w:vMerge/>
          </w:tcPr>
          <w:p w14:paraId="58F8CD0D" w14:textId="77777777" w:rsidR="00D20476" w:rsidRPr="00D9430E" w:rsidRDefault="00D20476" w:rsidP="002A3EE3">
            <w:pPr>
              <w:rPr>
                <w:rFonts w:cs="Times New Roman"/>
                <w:b w:val="0"/>
                <w:sz w:val="20"/>
                <w:szCs w:val="20"/>
              </w:rPr>
            </w:pPr>
          </w:p>
        </w:tc>
        <w:tc>
          <w:tcPr>
            <w:tcW w:w="1440" w:type="dxa"/>
            <w:noWrap/>
            <w:hideMark/>
          </w:tcPr>
          <w:p w14:paraId="5BDF59F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1.5</w:t>
            </w:r>
          </w:p>
        </w:tc>
        <w:tc>
          <w:tcPr>
            <w:tcW w:w="1260" w:type="dxa"/>
            <w:noWrap/>
            <w:hideMark/>
          </w:tcPr>
          <w:p w14:paraId="228BC3B5"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19</w:t>
            </w:r>
          </w:p>
        </w:tc>
        <w:tc>
          <w:tcPr>
            <w:tcW w:w="1530" w:type="dxa"/>
            <w:noWrap/>
            <w:hideMark/>
          </w:tcPr>
          <w:p w14:paraId="66DFC234"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41</w:t>
            </w:r>
          </w:p>
        </w:tc>
        <w:tc>
          <w:tcPr>
            <w:tcW w:w="766" w:type="dxa"/>
          </w:tcPr>
          <w:p w14:paraId="312A41B9"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14.8</w:t>
            </w:r>
          </w:p>
        </w:tc>
        <w:tc>
          <w:tcPr>
            <w:tcW w:w="944" w:type="dxa"/>
            <w:noWrap/>
            <w:hideMark/>
          </w:tcPr>
          <w:p w14:paraId="3D282136"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4.1</w:t>
            </w:r>
          </w:p>
        </w:tc>
        <w:tc>
          <w:tcPr>
            <w:tcW w:w="630" w:type="dxa"/>
            <w:noWrap/>
            <w:hideMark/>
          </w:tcPr>
          <w:p w14:paraId="478EE7A3"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31</w:t>
            </w:r>
          </w:p>
        </w:tc>
        <w:tc>
          <w:tcPr>
            <w:tcW w:w="810" w:type="dxa"/>
            <w:noWrap/>
            <w:hideMark/>
          </w:tcPr>
          <w:p w14:paraId="50593BF2"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ab</w:t>
            </w:r>
          </w:p>
        </w:tc>
      </w:tr>
      <w:tr w:rsidR="002A3EE3" w:rsidRPr="00B63339" w14:paraId="6C88E142" w14:textId="77777777" w:rsidTr="009922D3">
        <w:trPr>
          <w:trHeight w:val="244"/>
        </w:trPr>
        <w:tc>
          <w:tcPr>
            <w:cnfStyle w:val="001000000000" w:firstRow="0" w:lastRow="0" w:firstColumn="1" w:lastColumn="0" w:oddVBand="0" w:evenVBand="0" w:oddHBand="0" w:evenHBand="0" w:firstRowFirstColumn="0" w:firstRowLastColumn="0" w:lastRowFirstColumn="0" w:lastRowLastColumn="0"/>
            <w:tcW w:w="900" w:type="dxa"/>
            <w:vMerge/>
          </w:tcPr>
          <w:p w14:paraId="4091C96F" w14:textId="77777777" w:rsidR="00D20476" w:rsidRPr="00D9430E" w:rsidRDefault="00D20476" w:rsidP="002A3EE3">
            <w:pPr>
              <w:rPr>
                <w:rFonts w:cs="Times New Roman"/>
                <w:b w:val="0"/>
                <w:sz w:val="20"/>
                <w:szCs w:val="20"/>
              </w:rPr>
            </w:pPr>
          </w:p>
        </w:tc>
        <w:tc>
          <w:tcPr>
            <w:tcW w:w="1440" w:type="dxa"/>
            <w:noWrap/>
            <w:hideMark/>
          </w:tcPr>
          <w:p w14:paraId="33E980A4"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2.0</w:t>
            </w:r>
          </w:p>
        </w:tc>
        <w:tc>
          <w:tcPr>
            <w:tcW w:w="1260" w:type="dxa"/>
            <w:noWrap/>
            <w:hideMark/>
          </w:tcPr>
          <w:p w14:paraId="1FF8DAD6"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25</w:t>
            </w:r>
          </w:p>
        </w:tc>
        <w:tc>
          <w:tcPr>
            <w:tcW w:w="1530" w:type="dxa"/>
            <w:noWrap/>
            <w:hideMark/>
          </w:tcPr>
          <w:p w14:paraId="28F0139E"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55</w:t>
            </w:r>
          </w:p>
        </w:tc>
        <w:tc>
          <w:tcPr>
            <w:tcW w:w="766" w:type="dxa"/>
          </w:tcPr>
          <w:p w14:paraId="1D2D6001"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14.3</w:t>
            </w:r>
          </w:p>
        </w:tc>
        <w:tc>
          <w:tcPr>
            <w:tcW w:w="944" w:type="dxa"/>
            <w:noWrap/>
            <w:hideMark/>
          </w:tcPr>
          <w:p w14:paraId="70C8C467"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5.2</w:t>
            </w:r>
          </w:p>
        </w:tc>
        <w:tc>
          <w:tcPr>
            <w:tcW w:w="630" w:type="dxa"/>
            <w:noWrap/>
            <w:hideMark/>
          </w:tcPr>
          <w:p w14:paraId="61238C8A"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65</w:t>
            </w:r>
          </w:p>
        </w:tc>
        <w:tc>
          <w:tcPr>
            <w:tcW w:w="810" w:type="dxa"/>
            <w:noWrap/>
            <w:hideMark/>
          </w:tcPr>
          <w:p w14:paraId="2BD38458"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ab</w:t>
            </w:r>
          </w:p>
        </w:tc>
      </w:tr>
      <w:tr w:rsidR="002A3EE3" w:rsidRPr="00B63339" w14:paraId="54B7AE1D" w14:textId="77777777" w:rsidTr="009922D3">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00" w:type="dxa"/>
            <w:vMerge/>
          </w:tcPr>
          <w:p w14:paraId="5A369125" w14:textId="77777777" w:rsidR="00D20476" w:rsidRPr="00D9430E" w:rsidRDefault="00D20476" w:rsidP="002A3EE3">
            <w:pPr>
              <w:rPr>
                <w:rFonts w:cs="Times New Roman"/>
                <w:b w:val="0"/>
                <w:sz w:val="20"/>
                <w:szCs w:val="20"/>
              </w:rPr>
            </w:pPr>
          </w:p>
        </w:tc>
        <w:tc>
          <w:tcPr>
            <w:tcW w:w="1440" w:type="dxa"/>
            <w:noWrap/>
            <w:hideMark/>
          </w:tcPr>
          <w:p w14:paraId="7A6B0F21"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2.5</w:t>
            </w:r>
          </w:p>
        </w:tc>
        <w:tc>
          <w:tcPr>
            <w:tcW w:w="1260" w:type="dxa"/>
            <w:noWrap/>
            <w:hideMark/>
          </w:tcPr>
          <w:p w14:paraId="78306B42"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20</w:t>
            </w:r>
          </w:p>
        </w:tc>
        <w:tc>
          <w:tcPr>
            <w:tcW w:w="1530" w:type="dxa"/>
            <w:noWrap/>
            <w:hideMark/>
          </w:tcPr>
          <w:p w14:paraId="748FAFFF"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47</w:t>
            </w:r>
          </w:p>
        </w:tc>
        <w:tc>
          <w:tcPr>
            <w:tcW w:w="766" w:type="dxa"/>
          </w:tcPr>
          <w:p w14:paraId="475FAE91"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15.8</w:t>
            </w:r>
          </w:p>
        </w:tc>
        <w:tc>
          <w:tcPr>
            <w:tcW w:w="944" w:type="dxa"/>
            <w:noWrap/>
            <w:hideMark/>
          </w:tcPr>
          <w:p w14:paraId="3CB8BDED"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4.4</w:t>
            </w:r>
          </w:p>
        </w:tc>
        <w:tc>
          <w:tcPr>
            <w:tcW w:w="630" w:type="dxa"/>
            <w:noWrap/>
            <w:hideMark/>
          </w:tcPr>
          <w:p w14:paraId="165B115B"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35</w:t>
            </w:r>
          </w:p>
        </w:tc>
        <w:tc>
          <w:tcPr>
            <w:tcW w:w="810" w:type="dxa"/>
            <w:noWrap/>
            <w:hideMark/>
          </w:tcPr>
          <w:p w14:paraId="3EB584E2"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ab</w:t>
            </w:r>
          </w:p>
        </w:tc>
      </w:tr>
      <w:tr w:rsidR="002A3EE3" w:rsidRPr="00B63339" w14:paraId="619517CE" w14:textId="77777777" w:rsidTr="009922D3">
        <w:trPr>
          <w:trHeight w:val="244"/>
        </w:trPr>
        <w:tc>
          <w:tcPr>
            <w:cnfStyle w:val="001000000000" w:firstRow="0" w:lastRow="0" w:firstColumn="1" w:lastColumn="0" w:oddVBand="0" w:evenVBand="0" w:oddHBand="0" w:evenHBand="0" w:firstRowFirstColumn="0" w:firstRowLastColumn="0" w:lastRowFirstColumn="0" w:lastRowLastColumn="0"/>
            <w:tcW w:w="900" w:type="dxa"/>
            <w:vMerge/>
          </w:tcPr>
          <w:p w14:paraId="259F6A79" w14:textId="77777777" w:rsidR="00D20476" w:rsidRPr="00D9430E" w:rsidRDefault="00D20476" w:rsidP="002A3EE3">
            <w:pPr>
              <w:rPr>
                <w:rFonts w:cs="Times New Roman"/>
                <w:b w:val="0"/>
                <w:sz w:val="20"/>
                <w:szCs w:val="20"/>
              </w:rPr>
            </w:pPr>
          </w:p>
        </w:tc>
        <w:tc>
          <w:tcPr>
            <w:tcW w:w="1440" w:type="dxa"/>
            <w:noWrap/>
            <w:hideMark/>
          </w:tcPr>
          <w:p w14:paraId="6FC478EC"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3.0</w:t>
            </w:r>
          </w:p>
        </w:tc>
        <w:tc>
          <w:tcPr>
            <w:tcW w:w="1260" w:type="dxa"/>
            <w:noWrap/>
            <w:hideMark/>
          </w:tcPr>
          <w:p w14:paraId="5F5FF530"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21</w:t>
            </w:r>
          </w:p>
        </w:tc>
        <w:tc>
          <w:tcPr>
            <w:tcW w:w="1530" w:type="dxa"/>
            <w:noWrap/>
            <w:hideMark/>
          </w:tcPr>
          <w:p w14:paraId="7F4E0B39"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44</w:t>
            </w:r>
          </w:p>
        </w:tc>
        <w:tc>
          <w:tcPr>
            <w:tcW w:w="766" w:type="dxa"/>
          </w:tcPr>
          <w:p w14:paraId="70119346"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13.8</w:t>
            </w:r>
          </w:p>
        </w:tc>
        <w:tc>
          <w:tcPr>
            <w:tcW w:w="944" w:type="dxa"/>
            <w:noWrap/>
            <w:hideMark/>
          </w:tcPr>
          <w:p w14:paraId="6D4BD126"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4.2</w:t>
            </w:r>
          </w:p>
        </w:tc>
        <w:tc>
          <w:tcPr>
            <w:tcW w:w="630" w:type="dxa"/>
            <w:noWrap/>
            <w:hideMark/>
          </w:tcPr>
          <w:p w14:paraId="10A38E3A"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61</w:t>
            </w:r>
          </w:p>
        </w:tc>
        <w:tc>
          <w:tcPr>
            <w:tcW w:w="810" w:type="dxa"/>
            <w:noWrap/>
            <w:hideMark/>
          </w:tcPr>
          <w:p w14:paraId="6D93FE71"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ab</w:t>
            </w:r>
          </w:p>
        </w:tc>
      </w:tr>
      <w:tr w:rsidR="002A3EE3" w:rsidRPr="00B63339" w14:paraId="436FD22C" w14:textId="77777777" w:rsidTr="008D457B">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900" w:type="dxa"/>
            <w:vMerge/>
          </w:tcPr>
          <w:p w14:paraId="2FBF2343" w14:textId="77777777" w:rsidR="00D20476" w:rsidRPr="00D9430E" w:rsidRDefault="00D20476" w:rsidP="002A3EE3">
            <w:pPr>
              <w:rPr>
                <w:rFonts w:cs="Times New Roman"/>
                <w:b w:val="0"/>
                <w:sz w:val="20"/>
                <w:szCs w:val="20"/>
              </w:rPr>
            </w:pPr>
          </w:p>
        </w:tc>
        <w:tc>
          <w:tcPr>
            <w:tcW w:w="1440" w:type="dxa"/>
            <w:noWrap/>
            <w:hideMark/>
          </w:tcPr>
          <w:p w14:paraId="52B88A9E"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3.5</w:t>
            </w:r>
          </w:p>
        </w:tc>
        <w:tc>
          <w:tcPr>
            <w:tcW w:w="1260" w:type="dxa"/>
            <w:noWrap/>
            <w:hideMark/>
          </w:tcPr>
          <w:p w14:paraId="0CAAC1F8"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18</w:t>
            </w:r>
          </w:p>
        </w:tc>
        <w:tc>
          <w:tcPr>
            <w:tcW w:w="1530" w:type="dxa"/>
            <w:noWrap/>
            <w:hideMark/>
          </w:tcPr>
          <w:p w14:paraId="0DDFF028"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39</w:t>
            </w:r>
          </w:p>
        </w:tc>
        <w:tc>
          <w:tcPr>
            <w:tcW w:w="766" w:type="dxa"/>
          </w:tcPr>
          <w:p w14:paraId="630CF6AF"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14.8</w:t>
            </w:r>
          </w:p>
        </w:tc>
        <w:tc>
          <w:tcPr>
            <w:tcW w:w="944" w:type="dxa"/>
            <w:noWrap/>
            <w:hideMark/>
          </w:tcPr>
          <w:p w14:paraId="036094B5"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3.9</w:t>
            </w:r>
          </w:p>
        </w:tc>
        <w:tc>
          <w:tcPr>
            <w:tcW w:w="630" w:type="dxa"/>
            <w:noWrap/>
            <w:hideMark/>
          </w:tcPr>
          <w:p w14:paraId="2B35A445"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71</w:t>
            </w:r>
          </w:p>
        </w:tc>
        <w:tc>
          <w:tcPr>
            <w:tcW w:w="810" w:type="dxa"/>
            <w:noWrap/>
            <w:hideMark/>
          </w:tcPr>
          <w:p w14:paraId="43EBAD9A"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ab</w:t>
            </w:r>
          </w:p>
        </w:tc>
      </w:tr>
      <w:tr w:rsidR="002A3EE3" w:rsidRPr="00B63339" w14:paraId="269E2516" w14:textId="77777777" w:rsidTr="008D457B">
        <w:trPr>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33DECB09" w14:textId="77777777" w:rsidR="00D20476" w:rsidRPr="00D9430E" w:rsidRDefault="00D20476" w:rsidP="002A3EE3">
            <w:pPr>
              <w:rPr>
                <w:rFonts w:cs="Times New Roman"/>
                <w:b w:val="0"/>
                <w:sz w:val="20"/>
                <w:szCs w:val="20"/>
              </w:rPr>
            </w:pPr>
          </w:p>
        </w:tc>
        <w:tc>
          <w:tcPr>
            <w:tcW w:w="1440" w:type="dxa"/>
            <w:tcBorders>
              <w:bottom w:val="single" w:sz="4" w:space="0" w:color="auto"/>
            </w:tcBorders>
            <w:noWrap/>
            <w:hideMark/>
          </w:tcPr>
          <w:p w14:paraId="051FE513"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4.0</w:t>
            </w:r>
          </w:p>
        </w:tc>
        <w:tc>
          <w:tcPr>
            <w:tcW w:w="1260" w:type="dxa"/>
            <w:tcBorders>
              <w:bottom w:val="single" w:sz="4" w:space="0" w:color="auto"/>
            </w:tcBorders>
            <w:noWrap/>
            <w:hideMark/>
          </w:tcPr>
          <w:p w14:paraId="33A3C459"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19</w:t>
            </w:r>
          </w:p>
        </w:tc>
        <w:tc>
          <w:tcPr>
            <w:tcW w:w="1530" w:type="dxa"/>
            <w:tcBorders>
              <w:bottom w:val="single" w:sz="4" w:space="0" w:color="auto"/>
            </w:tcBorders>
            <w:noWrap/>
            <w:hideMark/>
          </w:tcPr>
          <w:p w14:paraId="2CB057E2"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41</w:t>
            </w:r>
          </w:p>
        </w:tc>
        <w:tc>
          <w:tcPr>
            <w:tcW w:w="766" w:type="dxa"/>
            <w:tcBorders>
              <w:bottom w:val="single" w:sz="4" w:space="0" w:color="auto"/>
            </w:tcBorders>
          </w:tcPr>
          <w:p w14:paraId="042852DF"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15.3</w:t>
            </w:r>
          </w:p>
        </w:tc>
        <w:tc>
          <w:tcPr>
            <w:tcW w:w="944" w:type="dxa"/>
            <w:tcBorders>
              <w:bottom w:val="single" w:sz="4" w:space="0" w:color="auto"/>
            </w:tcBorders>
            <w:noWrap/>
            <w:hideMark/>
          </w:tcPr>
          <w:p w14:paraId="19FFD95B"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4.0</w:t>
            </w:r>
          </w:p>
        </w:tc>
        <w:tc>
          <w:tcPr>
            <w:tcW w:w="630" w:type="dxa"/>
            <w:tcBorders>
              <w:bottom w:val="single" w:sz="4" w:space="0" w:color="auto"/>
            </w:tcBorders>
            <w:noWrap/>
            <w:hideMark/>
          </w:tcPr>
          <w:p w14:paraId="07422F36"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128</w:t>
            </w:r>
          </w:p>
        </w:tc>
        <w:tc>
          <w:tcPr>
            <w:tcW w:w="810" w:type="dxa"/>
            <w:tcBorders>
              <w:bottom w:val="single" w:sz="4" w:space="0" w:color="auto"/>
            </w:tcBorders>
            <w:noWrap/>
            <w:hideMark/>
          </w:tcPr>
          <w:p w14:paraId="1119D21C"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a</w:t>
            </w:r>
          </w:p>
        </w:tc>
      </w:tr>
      <w:tr w:rsidR="002A3EE3" w:rsidRPr="00B63339" w14:paraId="317DD6E7" w14:textId="77777777" w:rsidTr="008D45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vMerge w:val="restart"/>
            <w:tcBorders>
              <w:top w:val="single" w:sz="4" w:space="0" w:color="auto"/>
              <w:bottom w:val="single" w:sz="4" w:space="0" w:color="auto"/>
            </w:tcBorders>
            <w:textDirection w:val="btLr"/>
          </w:tcPr>
          <w:p w14:paraId="1C017737" w14:textId="77777777" w:rsidR="00D20476" w:rsidRPr="00D9430E" w:rsidRDefault="00D20476" w:rsidP="002A3EE3">
            <w:pPr>
              <w:jc w:val="center"/>
              <w:rPr>
                <w:rFonts w:eastAsia="Times New Roman" w:cs="Times New Roman"/>
                <w:b w:val="0"/>
                <w:sz w:val="20"/>
                <w:szCs w:val="20"/>
              </w:rPr>
            </w:pPr>
            <w:r w:rsidRPr="00D9430E">
              <w:rPr>
                <w:rFonts w:eastAsia="Times New Roman" w:cs="Times New Roman"/>
                <w:b w:val="0"/>
                <w:sz w:val="20"/>
                <w:szCs w:val="20"/>
              </w:rPr>
              <w:t>DT97-4290 variety</w:t>
            </w:r>
            <w:r w:rsidRPr="00D9430E">
              <w:rPr>
                <w:rFonts w:eastAsia="Times New Roman" w:cs="Times New Roman"/>
                <w:b w:val="0"/>
                <w:sz w:val="20"/>
                <w:szCs w:val="20"/>
              </w:rPr>
              <w:br/>
              <w:t>Moderately resistant to charcoal rot</w:t>
            </w:r>
          </w:p>
        </w:tc>
        <w:tc>
          <w:tcPr>
            <w:tcW w:w="1440" w:type="dxa"/>
            <w:tcBorders>
              <w:top w:val="single" w:sz="4" w:space="0" w:color="auto"/>
            </w:tcBorders>
            <w:noWrap/>
          </w:tcPr>
          <w:p w14:paraId="7F47319F"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sterile millet</w:t>
            </w:r>
          </w:p>
        </w:tc>
        <w:tc>
          <w:tcPr>
            <w:tcW w:w="1260" w:type="dxa"/>
            <w:tcBorders>
              <w:top w:val="single" w:sz="4" w:space="0" w:color="auto"/>
            </w:tcBorders>
            <w:noWrap/>
          </w:tcPr>
          <w:p w14:paraId="6947AD40"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25</w:t>
            </w:r>
          </w:p>
        </w:tc>
        <w:tc>
          <w:tcPr>
            <w:tcW w:w="1530" w:type="dxa"/>
            <w:tcBorders>
              <w:top w:val="single" w:sz="4" w:space="0" w:color="auto"/>
            </w:tcBorders>
            <w:noWrap/>
          </w:tcPr>
          <w:p w14:paraId="7DCE6044"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51</w:t>
            </w:r>
          </w:p>
        </w:tc>
        <w:tc>
          <w:tcPr>
            <w:tcW w:w="766" w:type="dxa"/>
            <w:tcBorders>
              <w:top w:val="single" w:sz="4" w:space="0" w:color="auto"/>
            </w:tcBorders>
          </w:tcPr>
          <w:p w14:paraId="714FFFBF"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17.9</w:t>
            </w:r>
          </w:p>
        </w:tc>
        <w:tc>
          <w:tcPr>
            <w:tcW w:w="944" w:type="dxa"/>
            <w:tcBorders>
              <w:top w:val="single" w:sz="4" w:space="0" w:color="auto"/>
            </w:tcBorders>
            <w:noWrap/>
          </w:tcPr>
          <w:p w14:paraId="251323B8"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5.4</w:t>
            </w:r>
          </w:p>
        </w:tc>
        <w:tc>
          <w:tcPr>
            <w:tcW w:w="630" w:type="dxa"/>
            <w:tcBorders>
              <w:top w:val="single" w:sz="4" w:space="0" w:color="auto"/>
            </w:tcBorders>
            <w:noWrap/>
          </w:tcPr>
          <w:p w14:paraId="6A4E21E2"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0</w:t>
            </w:r>
          </w:p>
        </w:tc>
        <w:tc>
          <w:tcPr>
            <w:tcW w:w="810" w:type="dxa"/>
            <w:tcBorders>
              <w:top w:val="single" w:sz="4" w:space="0" w:color="auto"/>
            </w:tcBorders>
            <w:noWrap/>
          </w:tcPr>
          <w:p w14:paraId="5276C559"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337E8F40" w14:textId="77777777" w:rsidTr="008D457B">
        <w:trPr>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extDirection w:val="btLr"/>
          </w:tcPr>
          <w:p w14:paraId="43AA2127" w14:textId="77777777" w:rsidR="00D20476" w:rsidRPr="00D9430E" w:rsidRDefault="00D20476" w:rsidP="002A3EE3">
            <w:pPr>
              <w:jc w:val="center"/>
              <w:rPr>
                <w:rFonts w:eastAsia="Times New Roman" w:cs="Times New Roman"/>
                <w:b w:val="0"/>
                <w:sz w:val="20"/>
                <w:szCs w:val="20"/>
              </w:rPr>
            </w:pPr>
          </w:p>
        </w:tc>
        <w:tc>
          <w:tcPr>
            <w:tcW w:w="1440" w:type="dxa"/>
            <w:noWrap/>
          </w:tcPr>
          <w:p w14:paraId="70C6A8B6"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0.0</w:t>
            </w:r>
          </w:p>
        </w:tc>
        <w:tc>
          <w:tcPr>
            <w:tcW w:w="1260" w:type="dxa"/>
            <w:noWrap/>
          </w:tcPr>
          <w:p w14:paraId="10433C44"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21</w:t>
            </w:r>
          </w:p>
        </w:tc>
        <w:tc>
          <w:tcPr>
            <w:tcW w:w="1530" w:type="dxa"/>
            <w:noWrap/>
          </w:tcPr>
          <w:p w14:paraId="7E6BB0C6"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45</w:t>
            </w:r>
          </w:p>
        </w:tc>
        <w:tc>
          <w:tcPr>
            <w:tcW w:w="766" w:type="dxa"/>
          </w:tcPr>
          <w:p w14:paraId="0469A55A"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17.5</w:t>
            </w:r>
          </w:p>
        </w:tc>
        <w:tc>
          <w:tcPr>
            <w:tcW w:w="944" w:type="dxa"/>
            <w:noWrap/>
          </w:tcPr>
          <w:p w14:paraId="63F92644"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4.7</w:t>
            </w:r>
          </w:p>
        </w:tc>
        <w:tc>
          <w:tcPr>
            <w:tcW w:w="630" w:type="dxa"/>
            <w:noWrap/>
          </w:tcPr>
          <w:p w14:paraId="683DDDDC"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0</w:t>
            </w:r>
          </w:p>
        </w:tc>
        <w:tc>
          <w:tcPr>
            <w:tcW w:w="810" w:type="dxa"/>
            <w:noWrap/>
          </w:tcPr>
          <w:p w14:paraId="287534FD"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6623573C" w14:textId="77777777" w:rsidTr="008D45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194A4CB7" w14:textId="77777777" w:rsidR="00D20476" w:rsidRPr="00D9430E" w:rsidRDefault="00D20476" w:rsidP="002A3EE3">
            <w:pPr>
              <w:rPr>
                <w:rFonts w:cs="Times New Roman"/>
                <w:b w:val="0"/>
                <w:sz w:val="20"/>
                <w:szCs w:val="20"/>
              </w:rPr>
            </w:pPr>
          </w:p>
        </w:tc>
        <w:tc>
          <w:tcPr>
            <w:tcW w:w="1440" w:type="dxa"/>
            <w:noWrap/>
          </w:tcPr>
          <w:p w14:paraId="526DC060"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0.5</w:t>
            </w:r>
          </w:p>
        </w:tc>
        <w:tc>
          <w:tcPr>
            <w:tcW w:w="1260" w:type="dxa"/>
            <w:noWrap/>
          </w:tcPr>
          <w:p w14:paraId="577A100B"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20</w:t>
            </w:r>
          </w:p>
        </w:tc>
        <w:tc>
          <w:tcPr>
            <w:tcW w:w="1530" w:type="dxa"/>
            <w:noWrap/>
          </w:tcPr>
          <w:p w14:paraId="00C668C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43</w:t>
            </w:r>
          </w:p>
        </w:tc>
        <w:tc>
          <w:tcPr>
            <w:tcW w:w="766" w:type="dxa"/>
          </w:tcPr>
          <w:p w14:paraId="56AECB59"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18.8</w:t>
            </w:r>
          </w:p>
        </w:tc>
        <w:tc>
          <w:tcPr>
            <w:tcW w:w="944" w:type="dxa"/>
            <w:noWrap/>
          </w:tcPr>
          <w:p w14:paraId="0ABBF77E"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4.8</w:t>
            </w:r>
          </w:p>
        </w:tc>
        <w:tc>
          <w:tcPr>
            <w:tcW w:w="630" w:type="dxa"/>
            <w:noWrap/>
          </w:tcPr>
          <w:p w14:paraId="681259C3"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40</w:t>
            </w:r>
          </w:p>
        </w:tc>
        <w:tc>
          <w:tcPr>
            <w:tcW w:w="810" w:type="dxa"/>
            <w:noWrap/>
          </w:tcPr>
          <w:p w14:paraId="230A8880"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18F21468" w14:textId="77777777" w:rsidTr="008D457B">
        <w:trPr>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74D69699" w14:textId="77777777" w:rsidR="00D20476" w:rsidRPr="00D9430E" w:rsidRDefault="00D20476" w:rsidP="002A3EE3">
            <w:pPr>
              <w:rPr>
                <w:rFonts w:cs="Times New Roman"/>
                <w:b w:val="0"/>
                <w:sz w:val="20"/>
                <w:szCs w:val="20"/>
              </w:rPr>
            </w:pPr>
          </w:p>
        </w:tc>
        <w:tc>
          <w:tcPr>
            <w:tcW w:w="1440" w:type="dxa"/>
            <w:noWrap/>
          </w:tcPr>
          <w:p w14:paraId="675C6ACF"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1.0</w:t>
            </w:r>
          </w:p>
        </w:tc>
        <w:tc>
          <w:tcPr>
            <w:tcW w:w="1260" w:type="dxa"/>
            <w:noWrap/>
          </w:tcPr>
          <w:p w14:paraId="5F7A7185"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20</w:t>
            </w:r>
          </w:p>
        </w:tc>
        <w:tc>
          <w:tcPr>
            <w:tcW w:w="1530" w:type="dxa"/>
            <w:noWrap/>
          </w:tcPr>
          <w:p w14:paraId="7761F1DA"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44</w:t>
            </w:r>
          </w:p>
        </w:tc>
        <w:tc>
          <w:tcPr>
            <w:tcW w:w="766" w:type="dxa"/>
          </w:tcPr>
          <w:p w14:paraId="03881FAD"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19.2</w:t>
            </w:r>
          </w:p>
        </w:tc>
        <w:tc>
          <w:tcPr>
            <w:tcW w:w="944" w:type="dxa"/>
            <w:noWrap/>
          </w:tcPr>
          <w:p w14:paraId="1833DD7B"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5.1</w:t>
            </w:r>
          </w:p>
        </w:tc>
        <w:tc>
          <w:tcPr>
            <w:tcW w:w="630" w:type="dxa"/>
            <w:noWrap/>
          </w:tcPr>
          <w:p w14:paraId="18C482EA"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29</w:t>
            </w:r>
          </w:p>
        </w:tc>
        <w:tc>
          <w:tcPr>
            <w:tcW w:w="810" w:type="dxa"/>
            <w:noWrap/>
          </w:tcPr>
          <w:p w14:paraId="45DF0C92"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488CBBCB" w14:textId="77777777" w:rsidTr="008D45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1A05ABAE" w14:textId="77777777" w:rsidR="00D20476" w:rsidRPr="00D9430E" w:rsidRDefault="00D20476" w:rsidP="002A3EE3">
            <w:pPr>
              <w:rPr>
                <w:rFonts w:cs="Times New Roman"/>
                <w:b w:val="0"/>
                <w:sz w:val="20"/>
                <w:szCs w:val="20"/>
              </w:rPr>
            </w:pPr>
          </w:p>
        </w:tc>
        <w:tc>
          <w:tcPr>
            <w:tcW w:w="1440" w:type="dxa"/>
            <w:noWrap/>
          </w:tcPr>
          <w:p w14:paraId="6697FA24"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1.5</w:t>
            </w:r>
          </w:p>
        </w:tc>
        <w:tc>
          <w:tcPr>
            <w:tcW w:w="1260" w:type="dxa"/>
            <w:noWrap/>
          </w:tcPr>
          <w:p w14:paraId="6F641F4D"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21</w:t>
            </w:r>
          </w:p>
        </w:tc>
        <w:tc>
          <w:tcPr>
            <w:tcW w:w="1530" w:type="dxa"/>
            <w:noWrap/>
          </w:tcPr>
          <w:p w14:paraId="6F11C036"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44</w:t>
            </w:r>
          </w:p>
        </w:tc>
        <w:tc>
          <w:tcPr>
            <w:tcW w:w="766" w:type="dxa"/>
          </w:tcPr>
          <w:p w14:paraId="1707BF8C"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18.6</w:t>
            </w:r>
          </w:p>
        </w:tc>
        <w:tc>
          <w:tcPr>
            <w:tcW w:w="944" w:type="dxa"/>
            <w:noWrap/>
          </w:tcPr>
          <w:p w14:paraId="1F4C0EF1"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5.0</w:t>
            </w:r>
          </w:p>
        </w:tc>
        <w:tc>
          <w:tcPr>
            <w:tcW w:w="630" w:type="dxa"/>
            <w:noWrap/>
          </w:tcPr>
          <w:p w14:paraId="43E5E60D"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40</w:t>
            </w:r>
          </w:p>
        </w:tc>
        <w:tc>
          <w:tcPr>
            <w:tcW w:w="810" w:type="dxa"/>
            <w:noWrap/>
          </w:tcPr>
          <w:p w14:paraId="65B76AE5"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3A543B71" w14:textId="77777777" w:rsidTr="008D457B">
        <w:trPr>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5A0D241A" w14:textId="77777777" w:rsidR="00D20476" w:rsidRPr="00D9430E" w:rsidRDefault="00D20476" w:rsidP="002A3EE3">
            <w:pPr>
              <w:rPr>
                <w:rFonts w:cs="Times New Roman"/>
                <w:b w:val="0"/>
                <w:sz w:val="20"/>
                <w:szCs w:val="20"/>
              </w:rPr>
            </w:pPr>
          </w:p>
        </w:tc>
        <w:tc>
          <w:tcPr>
            <w:tcW w:w="1440" w:type="dxa"/>
            <w:noWrap/>
          </w:tcPr>
          <w:p w14:paraId="452ECC9E"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2.0</w:t>
            </w:r>
          </w:p>
        </w:tc>
        <w:tc>
          <w:tcPr>
            <w:tcW w:w="1260" w:type="dxa"/>
            <w:noWrap/>
          </w:tcPr>
          <w:p w14:paraId="2F6C94B4"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24</w:t>
            </w:r>
          </w:p>
        </w:tc>
        <w:tc>
          <w:tcPr>
            <w:tcW w:w="1530" w:type="dxa"/>
            <w:noWrap/>
          </w:tcPr>
          <w:p w14:paraId="739185EB"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51</w:t>
            </w:r>
          </w:p>
        </w:tc>
        <w:tc>
          <w:tcPr>
            <w:tcW w:w="766" w:type="dxa"/>
          </w:tcPr>
          <w:p w14:paraId="30CB81FB"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18.3</w:t>
            </w:r>
          </w:p>
        </w:tc>
        <w:tc>
          <w:tcPr>
            <w:tcW w:w="944" w:type="dxa"/>
            <w:noWrap/>
          </w:tcPr>
          <w:p w14:paraId="0A464C89"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5.6</w:t>
            </w:r>
          </w:p>
        </w:tc>
        <w:tc>
          <w:tcPr>
            <w:tcW w:w="630" w:type="dxa"/>
            <w:noWrap/>
          </w:tcPr>
          <w:p w14:paraId="45F2C8C9"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67</w:t>
            </w:r>
          </w:p>
        </w:tc>
        <w:tc>
          <w:tcPr>
            <w:tcW w:w="810" w:type="dxa"/>
            <w:noWrap/>
          </w:tcPr>
          <w:p w14:paraId="0E0D9686"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34DD1E39" w14:textId="77777777" w:rsidTr="008D45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4C7930B2" w14:textId="77777777" w:rsidR="00D20476" w:rsidRPr="00D9430E" w:rsidRDefault="00D20476" w:rsidP="002A3EE3">
            <w:pPr>
              <w:rPr>
                <w:rFonts w:cs="Times New Roman"/>
                <w:b w:val="0"/>
                <w:sz w:val="20"/>
                <w:szCs w:val="20"/>
              </w:rPr>
            </w:pPr>
          </w:p>
        </w:tc>
        <w:tc>
          <w:tcPr>
            <w:tcW w:w="1440" w:type="dxa"/>
            <w:noWrap/>
          </w:tcPr>
          <w:p w14:paraId="604E03E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2.5</w:t>
            </w:r>
          </w:p>
        </w:tc>
        <w:tc>
          <w:tcPr>
            <w:tcW w:w="1260" w:type="dxa"/>
            <w:noWrap/>
          </w:tcPr>
          <w:p w14:paraId="2BF90D63"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22</w:t>
            </w:r>
          </w:p>
        </w:tc>
        <w:tc>
          <w:tcPr>
            <w:tcW w:w="1530" w:type="dxa"/>
            <w:noWrap/>
          </w:tcPr>
          <w:p w14:paraId="0C835F97"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48</w:t>
            </w:r>
          </w:p>
        </w:tc>
        <w:tc>
          <w:tcPr>
            <w:tcW w:w="766" w:type="dxa"/>
          </w:tcPr>
          <w:p w14:paraId="26F6E86B"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15.9</w:t>
            </w:r>
          </w:p>
        </w:tc>
        <w:tc>
          <w:tcPr>
            <w:tcW w:w="944" w:type="dxa"/>
            <w:noWrap/>
          </w:tcPr>
          <w:p w14:paraId="693F0C10"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4.6</w:t>
            </w:r>
          </w:p>
        </w:tc>
        <w:tc>
          <w:tcPr>
            <w:tcW w:w="630" w:type="dxa"/>
            <w:noWrap/>
          </w:tcPr>
          <w:p w14:paraId="32BEAEAF"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34</w:t>
            </w:r>
          </w:p>
        </w:tc>
        <w:tc>
          <w:tcPr>
            <w:tcW w:w="810" w:type="dxa"/>
            <w:noWrap/>
          </w:tcPr>
          <w:p w14:paraId="5840467D"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78CE7612" w14:textId="77777777" w:rsidTr="008D457B">
        <w:trPr>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21DD515E" w14:textId="77777777" w:rsidR="00D20476" w:rsidRPr="00D9430E" w:rsidRDefault="00D20476" w:rsidP="002A3EE3">
            <w:pPr>
              <w:rPr>
                <w:rFonts w:cs="Times New Roman"/>
                <w:b w:val="0"/>
                <w:sz w:val="20"/>
                <w:szCs w:val="20"/>
              </w:rPr>
            </w:pPr>
          </w:p>
        </w:tc>
        <w:tc>
          <w:tcPr>
            <w:tcW w:w="1440" w:type="dxa"/>
            <w:noWrap/>
          </w:tcPr>
          <w:p w14:paraId="428742C3"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3.0</w:t>
            </w:r>
          </w:p>
        </w:tc>
        <w:tc>
          <w:tcPr>
            <w:tcW w:w="1260" w:type="dxa"/>
            <w:noWrap/>
          </w:tcPr>
          <w:p w14:paraId="5A1914D8"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22</w:t>
            </w:r>
          </w:p>
        </w:tc>
        <w:tc>
          <w:tcPr>
            <w:tcW w:w="1530" w:type="dxa"/>
            <w:noWrap/>
          </w:tcPr>
          <w:p w14:paraId="0F4192CA"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47</w:t>
            </w:r>
          </w:p>
        </w:tc>
        <w:tc>
          <w:tcPr>
            <w:tcW w:w="766" w:type="dxa"/>
          </w:tcPr>
          <w:p w14:paraId="61A90D92"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17.7</w:t>
            </w:r>
          </w:p>
        </w:tc>
        <w:tc>
          <w:tcPr>
            <w:tcW w:w="944" w:type="dxa"/>
            <w:noWrap/>
          </w:tcPr>
          <w:p w14:paraId="2D7A911A"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4.9</w:t>
            </w:r>
          </w:p>
        </w:tc>
        <w:tc>
          <w:tcPr>
            <w:tcW w:w="630" w:type="dxa"/>
            <w:noWrap/>
          </w:tcPr>
          <w:p w14:paraId="521D5DF9"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58</w:t>
            </w:r>
          </w:p>
        </w:tc>
        <w:tc>
          <w:tcPr>
            <w:tcW w:w="810" w:type="dxa"/>
            <w:noWrap/>
          </w:tcPr>
          <w:p w14:paraId="4BAAF6E4"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1BF50E87" w14:textId="77777777" w:rsidTr="008D457B">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23948A4D" w14:textId="77777777" w:rsidR="00D20476" w:rsidRPr="00D9430E" w:rsidRDefault="00D20476" w:rsidP="002A3EE3">
            <w:pPr>
              <w:rPr>
                <w:rFonts w:cs="Times New Roman"/>
                <w:b w:val="0"/>
                <w:sz w:val="20"/>
                <w:szCs w:val="20"/>
              </w:rPr>
            </w:pPr>
          </w:p>
        </w:tc>
        <w:tc>
          <w:tcPr>
            <w:tcW w:w="1440" w:type="dxa"/>
            <w:noWrap/>
          </w:tcPr>
          <w:p w14:paraId="148A65E5"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3.5</w:t>
            </w:r>
          </w:p>
        </w:tc>
        <w:tc>
          <w:tcPr>
            <w:tcW w:w="1260" w:type="dxa"/>
            <w:noWrap/>
          </w:tcPr>
          <w:p w14:paraId="1C73C554"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18</w:t>
            </w:r>
          </w:p>
        </w:tc>
        <w:tc>
          <w:tcPr>
            <w:tcW w:w="1530" w:type="dxa"/>
            <w:noWrap/>
          </w:tcPr>
          <w:p w14:paraId="2065F7C4"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38</w:t>
            </w:r>
          </w:p>
        </w:tc>
        <w:tc>
          <w:tcPr>
            <w:tcW w:w="766" w:type="dxa"/>
          </w:tcPr>
          <w:p w14:paraId="02DEE24A"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18.4</w:t>
            </w:r>
          </w:p>
        </w:tc>
        <w:tc>
          <w:tcPr>
            <w:tcW w:w="944" w:type="dxa"/>
            <w:noWrap/>
          </w:tcPr>
          <w:p w14:paraId="3B9BDA52"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4.4</w:t>
            </w:r>
          </w:p>
        </w:tc>
        <w:tc>
          <w:tcPr>
            <w:tcW w:w="630" w:type="dxa"/>
            <w:noWrap/>
          </w:tcPr>
          <w:p w14:paraId="6513406C" w14:textId="77777777" w:rsidR="00D20476" w:rsidRPr="00D9430E" w:rsidRDefault="00D20476" w:rsidP="002A3EE3">
            <w:pPr>
              <w:jc w:val="right"/>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83</w:t>
            </w:r>
          </w:p>
        </w:tc>
        <w:tc>
          <w:tcPr>
            <w:tcW w:w="810" w:type="dxa"/>
            <w:noWrap/>
          </w:tcPr>
          <w:p w14:paraId="2E9B6EC4"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5EDD2EB8" w14:textId="77777777" w:rsidTr="009922D3">
        <w:trPr>
          <w:trHeight w:val="251"/>
        </w:trPr>
        <w:tc>
          <w:tcPr>
            <w:cnfStyle w:val="001000000000" w:firstRow="0" w:lastRow="0" w:firstColumn="1" w:lastColumn="0" w:oddVBand="0" w:evenVBand="0" w:oddHBand="0" w:evenHBand="0" w:firstRowFirstColumn="0" w:firstRowLastColumn="0" w:lastRowFirstColumn="0" w:lastRowLastColumn="0"/>
            <w:tcW w:w="900" w:type="dxa"/>
            <w:vMerge/>
            <w:tcBorders>
              <w:bottom w:val="single" w:sz="4" w:space="0" w:color="auto"/>
            </w:tcBorders>
          </w:tcPr>
          <w:p w14:paraId="233B02CC" w14:textId="77777777" w:rsidR="00D20476" w:rsidRPr="00D9430E" w:rsidRDefault="00D20476" w:rsidP="002A3EE3">
            <w:pPr>
              <w:rPr>
                <w:rFonts w:cs="Times New Roman"/>
                <w:b w:val="0"/>
                <w:sz w:val="20"/>
                <w:szCs w:val="20"/>
              </w:rPr>
            </w:pPr>
          </w:p>
        </w:tc>
        <w:tc>
          <w:tcPr>
            <w:tcW w:w="1440" w:type="dxa"/>
            <w:tcBorders>
              <w:bottom w:val="single" w:sz="4" w:space="0" w:color="auto"/>
            </w:tcBorders>
            <w:noWrap/>
          </w:tcPr>
          <w:p w14:paraId="29E716F7"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4.0</w:t>
            </w:r>
          </w:p>
        </w:tc>
        <w:tc>
          <w:tcPr>
            <w:tcW w:w="1260" w:type="dxa"/>
            <w:tcBorders>
              <w:bottom w:val="single" w:sz="4" w:space="0" w:color="auto"/>
            </w:tcBorders>
            <w:noWrap/>
          </w:tcPr>
          <w:p w14:paraId="2168C6D1"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18</w:t>
            </w:r>
          </w:p>
        </w:tc>
        <w:tc>
          <w:tcPr>
            <w:tcW w:w="1530" w:type="dxa"/>
            <w:tcBorders>
              <w:bottom w:val="single" w:sz="4" w:space="0" w:color="auto"/>
            </w:tcBorders>
            <w:noWrap/>
          </w:tcPr>
          <w:p w14:paraId="4BA00589"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36</w:t>
            </w:r>
          </w:p>
        </w:tc>
        <w:tc>
          <w:tcPr>
            <w:tcW w:w="766" w:type="dxa"/>
            <w:tcBorders>
              <w:bottom w:val="single" w:sz="4" w:space="0" w:color="auto"/>
            </w:tcBorders>
          </w:tcPr>
          <w:p w14:paraId="550128CB"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color w:val="000000"/>
                <w:sz w:val="20"/>
                <w:szCs w:val="20"/>
              </w:rPr>
            </w:pPr>
            <w:r w:rsidRPr="00D9430E">
              <w:rPr>
                <w:rFonts w:eastAsia="MS PGothic" w:cs="Times New Roman"/>
                <w:color w:val="000000"/>
                <w:sz w:val="20"/>
                <w:szCs w:val="20"/>
              </w:rPr>
              <w:t>19.3</w:t>
            </w:r>
          </w:p>
        </w:tc>
        <w:tc>
          <w:tcPr>
            <w:tcW w:w="944" w:type="dxa"/>
            <w:tcBorders>
              <w:bottom w:val="single" w:sz="4" w:space="0" w:color="auto"/>
            </w:tcBorders>
            <w:noWrap/>
          </w:tcPr>
          <w:p w14:paraId="2886CD4A" w14:textId="77777777" w:rsidR="00D20476" w:rsidRPr="00D9430E" w:rsidRDefault="00D20476" w:rsidP="002A3EE3">
            <w:pPr>
              <w:jc w:val="center"/>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4.1</w:t>
            </w:r>
          </w:p>
        </w:tc>
        <w:tc>
          <w:tcPr>
            <w:tcW w:w="630" w:type="dxa"/>
            <w:tcBorders>
              <w:bottom w:val="single" w:sz="4" w:space="0" w:color="auto"/>
            </w:tcBorders>
            <w:noWrap/>
          </w:tcPr>
          <w:p w14:paraId="567E45AE" w14:textId="77777777" w:rsidR="00D20476" w:rsidRPr="00D9430E" w:rsidRDefault="00D20476" w:rsidP="002A3EE3">
            <w:pPr>
              <w:jc w:val="right"/>
              <w:cnfStyle w:val="000000000000" w:firstRow="0" w:lastRow="0" w:firstColumn="0" w:lastColumn="0" w:oddVBand="0" w:evenVBand="0" w:oddHBand="0"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49</w:t>
            </w:r>
          </w:p>
        </w:tc>
        <w:tc>
          <w:tcPr>
            <w:tcW w:w="810" w:type="dxa"/>
            <w:tcBorders>
              <w:bottom w:val="single" w:sz="4" w:space="0" w:color="auto"/>
            </w:tcBorders>
            <w:noWrap/>
          </w:tcPr>
          <w:p w14:paraId="45440E16" w14:textId="77777777" w:rsidR="00D20476" w:rsidRPr="00D9430E" w:rsidRDefault="00D20476" w:rsidP="002A3EE3">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r>
      <w:tr w:rsidR="002A3EE3" w:rsidRPr="00B63339" w14:paraId="207B70A7" w14:textId="77777777" w:rsidTr="009922D3">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900" w:type="dxa"/>
            <w:tcBorders>
              <w:top w:val="single" w:sz="4" w:space="0" w:color="auto"/>
              <w:bottom w:val="single" w:sz="4" w:space="0" w:color="auto"/>
            </w:tcBorders>
          </w:tcPr>
          <w:p w14:paraId="665622AE" w14:textId="77777777" w:rsidR="00D20476" w:rsidRPr="00D9430E" w:rsidRDefault="00D20476" w:rsidP="002A3EE3">
            <w:pPr>
              <w:rPr>
                <w:rFonts w:cs="Times New Roman"/>
                <w:b w:val="0"/>
                <w:sz w:val="20"/>
                <w:szCs w:val="20"/>
              </w:rPr>
            </w:pPr>
          </w:p>
        </w:tc>
        <w:tc>
          <w:tcPr>
            <w:tcW w:w="1440" w:type="dxa"/>
            <w:tcBorders>
              <w:top w:val="single" w:sz="4" w:space="0" w:color="auto"/>
              <w:bottom w:val="single" w:sz="4" w:space="0" w:color="auto"/>
            </w:tcBorders>
            <w:noWrap/>
          </w:tcPr>
          <w:p w14:paraId="117D6540"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i/>
                <w:sz w:val="20"/>
                <w:szCs w:val="20"/>
              </w:rPr>
              <w:t>P</w:t>
            </w:r>
            <w:r w:rsidRPr="00D9430E">
              <w:rPr>
                <w:rFonts w:cs="Times New Roman"/>
                <w:sz w:val="20"/>
                <w:szCs w:val="20"/>
              </w:rPr>
              <w:t xml:space="preserve"> - Value</w:t>
            </w:r>
          </w:p>
        </w:tc>
        <w:tc>
          <w:tcPr>
            <w:tcW w:w="1260" w:type="dxa"/>
            <w:tcBorders>
              <w:top w:val="single" w:sz="4" w:space="0" w:color="auto"/>
              <w:bottom w:val="single" w:sz="4" w:space="0" w:color="auto"/>
            </w:tcBorders>
            <w:noWrap/>
          </w:tcPr>
          <w:p w14:paraId="12A1FB47"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0.0819</w:t>
            </w:r>
          </w:p>
        </w:tc>
        <w:tc>
          <w:tcPr>
            <w:tcW w:w="1530" w:type="dxa"/>
            <w:tcBorders>
              <w:top w:val="single" w:sz="4" w:space="0" w:color="auto"/>
              <w:bottom w:val="single" w:sz="4" w:space="0" w:color="auto"/>
            </w:tcBorders>
            <w:noWrap/>
          </w:tcPr>
          <w:p w14:paraId="6B31A104" w14:textId="77777777" w:rsidR="00D20476" w:rsidRPr="00D9430E" w:rsidRDefault="00D20476" w:rsidP="002A3EE3">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0.0733</w:t>
            </w:r>
          </w:p>
        </w:tc>
        <w:tc>
          <w:tcPr>
            <w:tcW w:w="766" w:type="dxa"/>
            <w:tcBorders>
              <w:top w:val="single" w:sz="4" w:space="0" w:color="auto"/>
              <w:bottom w:val="single" w:sz="4" w:space="0" w:color="auto"/>
            </w:tcBorders>
          </w:tcPr>
          <w:p w14:paraId="69FB0891"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0.2059</w:t>
            </w:r>
          </w:p>
        </w:tc>
        <w:tc>
          <w:tcPr>
            <w:tcW w:w="944" w:type="dxa"/>
            <w:tcBorders>
              <w:top w:val="single" w:sz="4" w:space="0" w:color="auto"/>
              <w:bottom w:val="single" w:sz="4" w:space="0" w:color="auto"/>
            </w:tcBorders>
            <w:noWrap/>
          </w:tcPr>
          <w:p w14:paraId="5E849517"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eastAsia="MS PGothic" w:cs="Times New Roman"/>
                <w:sz w:val="20"/>
                <w:szCs w:val="20"/>
              </w:rPr>
            </w:pPr>
            <w:r w:rsidRPr="00D9430E">
              <w:rPr>
                <w:rFonts w:eastAsia="MS PGothic" w:cs="Times New Roman"/>
                <w:sz w:val="20"/>
                <w:szCs w:val="20"/>
              </w:rPr>
              <w:t>0.0800</w:t>
            </w:r>
          </w:p>
        </w:tc>
        <w:tc>
          <w:tcPr>
            <w:tcW w:w="1440" w:type="dxa"/>
            <w:gridSpan w:val="2"/>
            <w:tcBorders>
              <w:top w:val="single" w:sz="4" w:space="0" w:color="auto"/>
              <w:bottom w:val="single" w:sz="4" w:space="0" w:color="auto"/>
            </w:tcBorders>
            <w:noWrap/>
          </w:tcPr>
          <w:p w14:paraId="1F587B35" w14:textId="77777777" w:rsidR="00D20476" w:rsidRPr="00D9430E" w:rsidRDefault="00D20476" w:rsidP="002A3EE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0.008</w:t>
            </w:r>
          </w:p>
        </w:tc>
      </w:tr>
      <w:tr w:rsidR="00D20476" w:rsidRPr="00B63339" w14:paraId="1F18A3CD" w14:textId="77777777" w:rsidTr="002A3EE3">
        <w:trPr>
          <w:trHeight w:val="251"/>
        </w:trPr>
        <w:tc>
          <w:tcPr>
            <w:cnfStyle w:val="001000000000" w:firstRow="0" w:lastRow="0" w:firstColumn="1" w:lastColumn="0" w:oddVBand="0" w:evenVBand="0" w:oddHBand="0" w:evenHBand="0" w:firstRowFirstColumn="0" w:firstRowLastColumn="0" w:lastRowFirstColumn="0" w:lastRowLastColumn="0"/>
            <w:tcW w:w="8280" w:type="dxa"/>
            <w:gridSpan w:val="8"/>
            <w:tcBorders>
              <w:top w:val="single" w:sz="4" w:space="0" w:color="auto"/>
            </w:tcBorders>
          </w:tcPr>
          <w:p w14:paraId="3A9D8CB0" w14:textId="77777777" w:rsidR="00D20476" w:rsidRPr="00D9430E" w:rsidRDefault="00D20476" w:rsidP="002A3EE3">
            <w:pPr>
              <w:rPr>
                <w:rFonts w:cs="Times New Roman"/>
                <w:b w:val="0"/>
                <w:sz w:val="20"/>
                <w:szCs w:val="20"/>
              </w:rPr>
            </w:pPr>
            <w:r w:rsidRPr="00D9430E">
              <w:rPr>
                <w:rFonts w:cs="Times New Roman"/>
                <w:b w:val="0"/>
                <w:sz w:val="20"/>
                <w:szCs w:val="20"/>
                <w:vertAlign w:val="superscript"/>
              </w:rPr>
              <w:t xml:space="preserve">a </w:t>
            </w:r>
            <w:r w:rsidRPr="00D9430E">
              <w:rPr>
                <w:rFonts w:eastAsia="Times New Roman" w:cs="Times New Roman"/>
                <w:b w:val="0"/>
                <w:sz w:val="20"/>
                <w:szCs w:val="20"/>
              </w:rPr>
              <w:t xml:space="preserve">Microsclerotial </w:t>
            </w:r>
            <w:r w:rsidRPr="00D9430E">
              <w:rPr>
                <w:rFonts w:cs="Times New Roman"/>
                <w:b w:val="0"/>
                <w:sz w:val="20"/>
                <w:szCs w:val="20"/>
              </w:rPr>
              <w:t>treatments included 2 controls (no inoculum and 4 g of sterile millet) and 0.5, 1.0, 1.5, 2.0, 2.5, 3.0, 3.5, and 4.0 grams of microsclerotial-infested millet</w:t>
            </w:r>
          </w:p>
          <w:p w14:paraId="492B037E" w14:textId="77777777" w:rsidR="00D20476" w:rsidRPr="00D9430E" w:rsidRDefault="00D20476" w:rsidP="002A3EE3">
            <w:pPr>
              <w:rPr>
                <w:rFonts w:cs="Times New Roman"/>
                <w:b w:val="0"/>
                <w:sz w:val="20"/>
                <w:szCs w:val="20"/>
              </w:rPr>
            </w:pPr>
            <w:r w:rsidRPr="00D9430E">
              <w:rPr>
                <w:rFonts w:cs="Times New Roman"/>
                <w:b w:val="0"/>
                <w:sz w:val="20"/>
                <w:szCs w:val="20"/>
                <w:vertAlign w:val="superscript"/>
              </w:rPr>
              <w:t xml:space="preserve">b </w:t>
            </w:r>
            <w:r w:rsidRPr="00D9430E">
              <w:rPr>
                <w:rFonts w:cs="Times New Roman"/>
                <w:b w:val="0"/>
                <w:sz w:val="20"/>
                <w:szCs w:val="20"/>
              </w:rPr>
              <w:t xml:space="preserve">Colony-forming units (CFU) of </w:t>
            </w:r>
            <w:r w:rsidRPr="00D9430E">
              <w:rPr>
                <w:rFonts w:cs="Times New Roman"/>
                <w:b w:val="0"/>
                <w:i/>
                <w:sz w:val="20"/>
                <w:szCs w:val="20"/>
              </w:rPr>
              <w:t xml:space="preserve">M. phaseolina </w:t>
            </w:r>
            <w:r w:rsidRPr="00D9430E">
              <w:rPr>
                <w:rFonts w:cs="Times New Roman"/>
                <w:b w:val="0"/>
                <w:sz w:val="20"/>
                <w:szCs w:val="20"/>
              </w:rPr>
              <w:t>per 1 gram of rhizosphere soil recovered after soybean maturity</w:t>
            </w:r>
          </w:p>
          <w:p w14:paraId="1231E486" w14:textId="77777777" w:rsidR="00D20476" w:rsidRPr="00D9430E" w:rsidRDefault="00D20476" w:rsidP="002A3EE3">
            <w:pPr>
              <w:rPr>
                <w:rFonts w:cs="Times New Roman"/>
                <w:b w:val="0"/>
                <w:sz w:val="20"/>
                <w:szCs w:val="20"/>
              </w:rPr>
            </w:pPr>
          </w:p>
        </w:tc>
      </w:tr>
    </w:tbl>
    <w:p w14:paraId="0F50AF04" w14:textId="77777777" w:rsidR="00D20476" w:rsidRPr="008E2CD0" w:rsidRDefault="00D20476" w:rsidP="00D20476">
      <w:pPr>
        <w:tabs>
          <w:tab w:val="left" w:pos="948"/>
        </w:tabs>
        <w:ind w:left="720"/>
        <w:rPr>
          <w:rFonts w:cs="Times New Roman"/>
        </w:rPr>
      </w:pPr>
    </w:p>
    <w:p w14:paraId="2556E121" w14:textId="77777777" w:rsidR="00D20476" w:rsidRPr="008E2CD0" w:rsidRDefault="00D20476" w:rsidP="00D20476">
      <w:pPr>
        <w:ind w:left="720"/>
        <w:rPr>
          <w:rFonts w:cs="Times New Roman"/>
        </w:rPr>
      </w:pPr>
    </w:p>
    <w:p w14:paraId="11077D11" w14:textId="77777777" w:rsidR="00D20476" w:rsidRPr="008E2CD0" w:rsidRDefault="00D20476" w:rsidP="00D20476">
      <w:pPr>
        <w:ind w:left="720"/>
        <w:rPr>
          <w:rFonts w:cs="Times New Roman"/>
        </w:rPr>
      </w:pPr>
    </w:p>
    <w:p w14:paraId="6755B2FD" w14:textId="77777777" w:rsidR="00D20476" w:rsidRPr="008E2CD0" w:rsidRDefault="00D20476" w:rsidP="00D20476">
      <w:pPr>
        <w:ind w:left="720"/>
        <w:rPr>
          <w:rFonts w:cs="Times New Roman"/>
        </w:rPr>
      </w:pPr>
      <w:r w:rsidRPr="008E2CD0">
        <w:rPr>
          <w:rFonts w:cs="Times New Roman"/>
        </w:rPr>
        <w:br w:type="page"/>
      </w:r>
    </w:p>
    <w:p w14:paraId="5DC08E7E" w14:textId="50C955E0" w:rsidR="00D20476" w:rsidRPr="00AB65D6" w:rsidRDefault="00D20476" w:rsidP="00D20476">
      <w:pPr>
        <w:pStyle w:val="Caption"/>
        <w:framePr w:wrap="around"/>
      </w:pPr>
      <w:bookmarkStart w:id="376" w:name="_Toc101048981"/>
      <w:r w:rsidRPr="00AB65D6">
        <w:t xml:space="preserve">Table 4. </w:t>
      </w:r>
      <w:r w:rsidR="00035AE8">
        <w:fldChar w:fldCharType="begin"/>
      </w:r>
      <w:r w:rsidR="00035AE8">
        <w:instrText xml:space="preserve"> SEQ Table_4. \* ARABIC </w:instrText>
      </w:r>
      <w:r w:rsidR="00035AE8">
        <w:fldChar w:fldCharType="separate"/>
      </w:r>
      <w:r w:rsidR="009C2EDC">
        <w:rPr>
          <w:noProof/>
        </w:rPr>
        <w:t>5</w:t>
      </w:r>
      <w:r w:rsidR="00035AE8">
        <w:rPr>
          <w:noProof/>
        </w:rPr>
        <w:fldChar w:fldCharType="end"/>
      </w:r>
      <w:r w:rsidRPr="00AB65D6">
        <w:t xml:space="preserve">. Variety effect on charcoal rot severity and taproot </w:t>
      </w:r>
      <w:r w:rsidRPr="00AB65D6">
        <w:rPr>
          <w:i/>
        </w:rPr>
        <w:t>Macrophomina phaseolina</w:t>
      </w:r>
      <w:r w:rsidRPr="00AB65D6">
        <w:t xml:space="preserve"> colony forming units (CFU).</w:t>
      </w:r>
      <w:bookmarkEnd w:id="376"/>
    </w:p>
    <w:tbl>
      <w:tblPr>
        <w:tblStyle w:val="ListTable1Light-Accent5"/>
        <w:tblpPr w:leftFromText="180" w:rightFromText="180" w:vertAnchor="text" w:horzAnchor="margin" w:tblpX="270" w:tblpY="1255"/>
        <w:tblW w:w="0" w:type="auto"/>
        <w:tblLayout w:type="fixed"/>
        <w:tblLook w:val="04A0" w:firstRow="1" w:lastRow="0" w:firstColumn="1" w:lastColumn="0" w:noHBand="0" w:noVBand="1"/>
      </w:tblPr>
      <w:tblGrid>
        <w:gridCol w:w="1898"/>
        <w:gridCol w:w="569"/>
        <w:gridCol w:w="604"/>
        <w:gridCol w:w="698"/>
        <w:gridCol w:w="646"/>
        <w:gridCol w:w="583"/>
        <w:gridCol w:w="507"/>
        <w:gridCol w:w="726"/>
        <w:gridCol w:w="339"/>
        <w:gridCol w:w="987"/>
        <w:gridCol w:w="316"/>
        <w:gridCol w:w="497"/>
        <w:gridCol w:w="540"/>
      </w:tblGrid>
      <w:tr w:rsidR="009922D3" w:rsidRPr="00D9430E" w14:paraId="67FD8D18" w14:textId="77777777" w:rsidTr="009922D3">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1898" w:type="dxa"/>
            <w:tcBorders>
              <w:top w:val="single" w:sz="4" w:space="0" w:color="auto"/>
              <w:bottom w:val="single" w:sz="4" w:space="0" w:color="auto"/>
            </w:tcBorders>
            <w:noWrap/>
            <w:vAlign w:val="bottom"/>
            <w:hideMark/>
          </w:tcPr>
          <w:p w14:paraId="76CE2829" w14:textId="77777777" w:rsidR="002E4580" w:rsidRPr="00D9430E" w:rsidRDefault="002E4580" w:rsidP="009922D3">
            <w:pPr>
              <w:jc w:val="center"/>
              <w:rPr>
                <w:rFonts w:eastAsia="Times New Roman" w:cs="Times New Roman"/>
                <w:b w:val="0"/>
                <w:sz w:val="20"/>
                <w:szCs w:val="20"/>
              </w:rPr>
            </w:pPr>
            <w:r w:rsidRPr="00D9430E">
              <w:rPr>
                <w:rFonts w:eastAsia="Times New Roman" w:cs="Times New Roman"/>
                <w:b w:val="0"/>
                <w:sz w:val="20"/>
                <w:szCs w:val="20"/>
              </w:rPr>
              <w:t>Variety</w:t>
            </w:r>
          </w:p>
        </w:tc>
        <w:tc>
          <w:tcPr>
            <w:tcW w:w="1173" w:type="dxa"/>
            <w:gridSpan w:val="2"/>
            <w:tcBorders>
              <w:top w:val="single" w:sz="4" w:space="0" w:color="auto"/>
              <w:bottom w:val="single" w:sz="4" w:space="0" w:color="auto"/>
            </w:tcBorders>
            <w:noWrap/>
            <w:vAlign w:val="bottom"/>
            <w:hideMark/>
          </w:tcPr>
          <w:p w14:paraId="5DE7B231" w14:textId="77777777" w:rsidR="002E4580" w:rsidRPr="00D9430E" w:rsidRDefault="002E4580" w:rsidP="009922D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vertAlign w:val="superscript"/>
              </w:rPr>
            </w:pPr>
            <w:r w:rsidRPr="00D9430E">
              <w:rPr>
                <w:rFonts w:eastAsia="Times New Roman" w:cs="Times New Roman"/>
                <w:b w:val="0"/>
                <w:sz w:val="20"/>
                <w:szCs w:val="20"/>
              </w:rPr>
              <w:t>Severity</w:t>
            </w:r>
            <w:r w:rsidRPr="00D9430E">
              <w:rPr>
                <w:rFonts w:eastAsia="Times New Roman" w:cs="Times New Roman"/>
                <w:b w:val="0"/>
                <w:sz w:val="20"/>
                <w:szCs w:val="20"/>
                <w:vertAlign w:val="superscript"/>
              </w:rPr>
              <w:t>a</w:t>
            </w:r>
          </w:p>
        </w:tc>
        <w:tc>
          <w:tcPr>
            <w:tcW w:w="1344" w:type="dxa"/>
            <w:gridSpan w:val="2"/>
            <w:tcBorders>
              <w:top w:val="single" w:sz="4" w:space="0" w:color="auto"/>
              <w:bottom w:val="single" w:sz="4" w:space="0" w:color="auto"/>
            </w:tcBorders>
            <w:vAlign w:val="bottom"/>
          </w:tcPr>
          <w:p w14:paraId="0F38B1CA" w14:textId="77777777" w:rsidR="009922D3" w:rsidRDefault="002E4580" w:rsidP="009922D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rPr>
            </w:pPr>
            <w:r w:rsidRPr="00D9430E">
              <w:rPr>
                <w:rFonts w:eastAsia="Times New Roman" w:cs="Times New Roman"/>
                <w:b w:val="0"/>
                <w:sz w:val="20"/>
                <w:szCs w:val="20"/>
              </w:rPr>
              <w:t>Taproot</w:t>
            </w:r>
          </w:p>
          <w:p w14:paraId="1CABE10A" w14:textId="10D9D122" w:rsidR="002E4580" w:rsidRPr="00D9430E" w:rsidRDefault="002E4580" w:rsidP="009922D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vertAlign w:val="superscript"/>
              </w:rPr>
            </w:pPr>
            <w:r w:rsidRPr="00D9430E">
              <w:rPr>
                <w:rFonts w:eastAsia="Times New Roman" w:cs="Times New Roman"/>
                <w:b w:val="0"/>
                <w:sz w:val="20"/>
                <w:szCs w:val="20"/>
              </w:rPr>
              <w:t xml:space="preserve"> CFU</w:t>
            </w:r>
            <w:r w:rsidRPr="00D9430E">
              <w:rPr>
                <w:rFonts w:eastAsia="Times New Roman" w:cs="Times New Roman"/>
                <w:b w:val="0"/>
                <w:sz w:val="20"/>
                <w:szCs w:val="20"/>
                <w:vertAlign w:val="superscript"/>
              </w:rPr>
              <w:t>b</w:t>
            </w:r>
          </w:p>
        </w:tc>
        <w:tc>
          <w:tcPr>
            <w:tcW w:w="1090" w:type="dxa"/>
            <w:gridSpan w:val="2"/>
            <w:tcBorders>
              <w:top w:val="single" w:sz="4" w:space="0" w:color="auto"/>
              <w:bottom w:val="single" w:sz="4" w:space="0" w:color="auto"/>
            </w:tcBorders>
            <w:vAlign w:val="bottom"/>
          </w:tcPr>
          <w:p w14:paraId="08E4EAF1" w14:textId="77777777" w:rsidR="002E4580" w:rsidRPr="00D9430E" w:rsidRDefault="002E4580" w:rsidP="009922D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D9430E">
              <w:rPr>
                <w:rFonts w:cs="Times New Roman"/>
                <w:b w:val="0"/>
                <w:sz w:val="20"/>
                <w:szCs w:val="20"/>
              </w:rPr>
              <w:t>Height (cm)</w:t>
            </w:r>
          </w:p>
        </w:tc>
        <w:tc>
          <w:tcPr>
            <w:tcW w:w="1065" w:type="dxa"/>
            <w:gridSpan w:val="2"/>
            <w:tcBorders>
              <w:top w:val="single" w:sz="4" w:space="0" w:color="auto"/>
              <w:bottom w:val="single" w:sz="4" w:space="0" w:color="auto"/>
            </w:tcBorders>
            <w:vAlign w:val="bottom"/>
          </w:tcPr>
          <w:p w14:paraId="5115DCC4" w14:textId="77777777" w:rsidR="002E4580" w:rsidRPr="00D9430E" w:rsidRDefault="002E4580" w:rsidP="009922D3">
            <w:pPr>
              <w:jc w:val="center"/>
              <w:cnfStyle w:val="100000000000" w:firstRow="1" w:lastRow="0" w:firstColumn="0" w:lastColumn="0" w:oddVBand="0" w:evenVBand="0" w:oddHBand="0" w:evenHBand="0" w:firstRowFirstColumn="0" w:firstRowLastColumn="0" w:lastRowFirstColumn="0" w:lastRowLastColumn="0"/>
              <w:rPr>
                <w:rFonts w:cs="Times New Roman"/>
                <w:b w:val="0"/>
                <w:sz w:val="20"/>
                <w:szCs w:val="20"/>
              </w:rPr>
            </w:pPr>
            <w:r w:rsidRPr="00D9430E">
              <w:rPr>
                <w:rFonts w:cs="Times New Roman"/>
                <w:b w:val="0"/>
                <w:sz w:val="20"/>
                <w:szCs w:val="20"/>
              </w:rPr>
              <w:t>Pods/plant</w:t>
            </w:r>
          </w:p>
        </w:tc>
        <w:tc>
          <w:tcPr>
            <w:tcW w:w="987" w:type="dxa"/>
            <w:tcBorders>
              <w:top w:val="single" w:sz="4" w:space="0" w:color="auto"/>
              <w:bottom w:val="single" w:sz="4" w:space="0" w:color="auto"/>
            </w:tcBorders>
            <w:vAlign w:val="bottom"/>
          </w:tcPr>
          <w:p w14:paraId="4EC33467" w14:textId="77777777" w:rsidR="002E4580" w:rsidRPr="00D9430E" w:rsidRDefault="002E4580" w:rsidP="009922D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vertAlign w:val="superscript"/>
              </w:rPr>
            </w:pPr>
            <w:r w:rsidRPr="00D9430E">
              <w:rPr>
                <w:rFonts w:cs="Times New Roman"/>
                <w:b w:val="0"/>
                <w:sz w:val="20"/>
                <w:szCs w:val="20"/>
              </w:rPr>
              <w:t>Seed size (g)</w:t>
            </w:r>
            <w:r w:rsidRPr="00D9430E">
              <w:rPr>
                <w:rFonts w:cs="Times New Roman"/>
                <w:b w:val="0"/>
                <w:sz w:val="20"/>
                <w:szCs w:val="20"/>
                <w:vertAlign w:val="superscript"/>
              </w:rPr>
              <w:t>c</w:t>
            </w:r>
          </w:p>
        </w:tc>
        <w:tc>
          <w:tcPr>
            <w:tcW w:w="1353" w:type="dxa"/>
            <w:gridSpan w:val="3"/>
            <w:tcBorders>
              <w:top w:val="single" w:sz="4" w:space="0" w:color="auto"/>
              <w:bottom w:val="single" w:sz="4" w:space="0" w:color="auto"/>
            </w:tcBorders>
            <w:vAlign w:val="bottom"/>
          </w:tcPr>
          <w:p w14:paraId="31BE2E28" w14:textId="77777777" w:rsidR="002E4580" w:rsidRPr="00D9430E" w:rsidRDefault="002E4580" w:rsidP="009922D3">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sz w:val="20"/>
                <w:szCs w:val="20"/>
              </w:rPr>
            </w:pPr>
            <w:r w:rsidRPr="00D9430E">
              <w:rPr>
                <w:rFonts w:cs="Times New Roman"/>
                <w:b w:val="0"/>
                <w:sz w:val="20"/>
                <w:szCs w:val="20"/>
              </w:rPr>
              <w:t>Yield (kg/ha)</w:t>
            </w:r>
          </w:p>
        </w:tc>
      </w:tr>
      <w:tr w:rsidR="009922D3" w:rsidRPr="00D9430E" w14:paraId="411B8471" w14:textId="77777777" w:rsidTr="009922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898" w:type="dxa"/>
            <w:tcBorders>
              <w:top w:val="single" w:sz="4" w:space="0" w:color="auto"/>
            </w:tcBorders>
            <w:noWrap/>
            <w:vAlign w:val="bottom"/>
          </w:tcPr>
          <w:p w14:paraId="051AC663" w14:textId="77777777" w:rsidR="002E4580" w:rsidRPr="00D9430E" w:rsidRDefault="002E4580" w:rsidP="009922D3">
            <w:pPr>
              <w:jc w:val="center"/>
              <w:rPr>
                <w:rFonts w:eastAsia="Times New Roman" w:cs="Times New Roman"/>
                <w:b w:val="0"/>
                <w:sz w:val="20"/>
                <w:szCs w:val="20"/>
              </w:rPr>
            </w:pPr>
            <w:r w:rsidRPr="00D9430E">
              <w:rPr>
                <w:rFonts w:eastAsia="Times New Roman" w:cs="Times New Roman"/>
                <w:b w:val="0"/>
                <w:sz w:val="20"/>
                <w:szCs w:val="20"/>
              </w:rPr>
              <w:t>DT97-4290-MR</w:t>
            </w:r>
          </w:p>
        </w:tc>
        <w:tc>
          <w:tcPr>
            <w:tcW w:w="569" w:type="dxa"/>
            <w:tcBorders>
              <w:top w:val="single" w:sz="4" w:space="0" w:color="auto"/>
            </w:tcBorders>
            <w:noWrap/>
            <w:vAlign w:val="bottom"/>
          </w:tcPr>
          <w:p w14:paraId="6F397052"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1</w:t>
            </w:r>
          </w:p>
        </w:tc>
        <w:tc>
          <w:tcPr>
            <w:tcW w:w="604" w:type="dxa"/>
            <w:tcBorders>
              <w:top w:val="single" w:sz="4" w:space="0" w:color="auto"/>
            </w:tcBorders>
            <w:noWrap/>
            <w:vAlign w:val="bottom"/>
          </w:tcPr>
          <w:p w14:paraId="0996E803"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b</w:t>
            </w:r>
          </w:p>
        </w:tc>
        <w:tc>
          <w:tcPr>
            <w:tcW w:w="698" w:type="dxa"/>
            <w:tcBorders>
              <w:top w:val="single" w:sz="4" w:space="0" w:color="auto"/>
            </w:tcBorders>
            <w:noWrap/>
            <w:vAlign w:val="bottom"/>
          </w:tcPr>
          <w:p w14:paraId="7D4F760E"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85</w:t>
            </w:r>
          </w:p>
        </w:tc>
        <w:tc>
          <w:tcPr>
            <w:tcW w:w="646" w:type="dxa"/>
            <w:tcBorders>
              <w:top w:val="single" w:sz="4" w:space="0" w:color="auto"/>
            </w:tcBorders>
            <w:noWrap/>
            <w:vAlign w:val="bottom"/>
          </w:tcPr>
          <w:p w14:paraId="6C70F56A"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b</w:t>
            </w:r>
          </w:p>
        </w:tc>
        <w:tc>
          <w:tcPr>
            <w:tcW w:w="583" w:type="dxa"/>
            <w:tcBorders>
              <w:top w:val="single" w:sz="4" w:space="0" w:color="auto"/>
            </w:tcBorders>
            <w:vAlign w:val="bottom"/>
          </w:tcPr>
          <w:p w14:paraId="4483C6F0"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33</w:t>
            </w:r>
          </w:p>
        </w:tc>
        <w:tc>
          <w:tcPr>
            <w:tcW w:w="507" w:type="dxa"/>
            <w:tcBorders>
              <w:top w:val="single" w:sz="4" w:space="0" w:color="auto"/>
            </w:tcBorders>
            <w:vAlign w:val="bottom"/>
          </w:tcPr>
          <w:p w14:paraId="0E73C087"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a</w:t>
            </w:r>
          </w:p>
        </w:tc>
        <w:tc>
          <w:tcPr>
            <w:tcW w:w="726" w:type="dxa"/>
            <w:tcBorders>
              <w:top w:val="single" w:sz="4" w:space="0" w:color="auto"/>
            </w:tcBorders>
            <w:vAlign w:val="bottom"/>
          </w:tcPr>
          <w:p w14:paraId="09ADBEA2"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21</w:t>
            </w:r>
          </w:p>
        </w:tc>
        <w:tc>
          <w:tcPr>
            <w:tcW w:w="339" w:type="dxa"/>
            <w:tcBorders>
              <w:top w:val="single" w:sz="4" w:space="0" w:color="auto"/>
            </w:tcBorders>
            <w:vAlign w:val="bottom"/>
          </w:tcPr>
          <w:p w14:paraId="6976FA2E"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a</w:t>
            </w:r>
          </w:p>
        </w:tc>
        <w:tc>
          <w:tcPr>
            <w:tcW w:w="987" w:type="dxa"/>
            <w:tcBorders>
              <w:top w:val="single" w:sz="4" w:space="0" w:color="auto"/>
            </w:tcBorders>
            <w:vAlign w:val="bottom"/>
          </w:tcPr>
          <w:p w14:paraId="1468B2CC"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cs="Times New Roman"/>
                <w:sz w:val="20"/>
                <w:szCs w:val="20"/>
              </w:rPr>
              <w:t>18.1</w:t>
            </w:r>
          </w:p>
        </w:tc>
        <w:tc>
          <w:tcPr>
            <w:tcW w:w="316" w:type="dxa"/>
            <w:tcBorders>
              <w:top w:val="single" w:sz="4" w:space="0" w:color="auto"/>
            </w:tcBorders>
            <w:vAlign w:val="bottom"/>
          </w:tcPr>
          <w:p w14:paraId="0F9FE7CC"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cs="Times New Roman"/>
                <w:sz w:val="20"/>
                <w:szCs w:val="20"/>
              </w:rPr>
              <w:t>a</w:t>
            </w:r>
          </w:p>
        </w:tc>
        <w:tc>
          <w:tcPr>
            <w:tcW w:w="497" w:type="dxa"/>
            <w:tcBorders>
              <w:top w:val="single" w:sz="4" w:space="0" w:color="auto"/>
            </w:tcBorders>
            <w:vAlign w:val="bottom"/>
          </w:tcPr>
          <w:p w14:paraId="048C2C9E"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cs="Times New Roman"/>
                <w:sz w:val="20"/>
                <w:szCs w:val="20"/>
              </w:rPr>
              <w:t>4.9</w:t>
            </w:r>
          </w:p>
        </w:tc>
        <w:tc>
          <w:tcPr>
            <w:tcW w:w="540" w:type="dxa"/>
            <w:tcBorders>
              <w:top w:val="single" w:sz="4" w:space="0" w:color="auto"/>
            </w:tcBorders>
            <w:vAlign w:val="bottom"/>
          </w:tcPr>
          <w:p w14:paraId="10986306" w14:textId="77777777" w:rsidR="002E4580" w:rsidRPr="00D9430E" w:rsidRDefault="002E4580" w:rsidP="009922D3">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20"/>
                <w:szCs w:val="20"/>
              </w:rPr>
            </w:pPr>
            <w:r w:rsidRPr="00D9430E">
              <w:rPr>
                <w:rFonts w:cs="Times New Roman"/>
                <w:sz w:val="20"/>
                <w:szCs w:val="20"/>
              </w:rPr>
              <w:t>a</w:t>
            </w:r>
          </w:p>
        </w:tc>
      </w:tr>
      <w:tr w:rsidR="009922D3" w:rsidRPr="00D9430E" w14:paraId="1B162F89" w14:textId="77777777" w:rsidTr="009922D3">
        <w:trPr>
          <w:trHeight w:val="285"/>
        </w:trPr>
        <w:tc>
          <w:tcPr>
            <w:cnfStyle w:val="001000000000" w:firstRow="0" w:lastRow="0" w:firstColumn="1" w:lastColumn="0" w:oddVBand="0" w:evenVBand="0" w:oddHBand="0" w:evenHBand="0" w:firstRowFirstColumn="0" w:firstRowLastColumn="0" w:lastRowFirstColumn="0" w:lastRowLastColumn="0"/>
            <w:tcW w:w="1898" w:type="dxa"/>
            <w:tcBorders>
              <w:bottom w:val="single" w:sz="4" w:space="0" w:color="auto"/>
            </w:tcBorders>
            <w:noWrap/>
            <w:vAlign w:val="bottom"/>
          </w:tcPr>
          <w:p w14:paraId="57B4C3C8" w14:textId="77777777" w:rsidR="002E4580" w:rsidRPr="00D9430E" w:rsidRDefault="002E4580" w:rsidP="009922D3">
            <w:pPr>
              <w:jc w:val="center"/>
              <w:rPr>
                <w:rFonts w:eastAsia="Times New Roman" w:cs="Times New Roman"/>
                <w:b w:val="0"/>
                <w:sz w:val="20"/>
                <w:szCs w:val="20"/>
              </w:rPr>
            </w:pPr>
            <w:r w:rsidRPr="00D9430E">
              <w:rPr>
                <w:rFonts w:eastAsia="Times New Roman" w:cs="Times New Roman"/>
                <w:b w:val="0"/>
                <w:sz w:val="20"/>
                <w:szCs w:val="20"/>
              </w:rPr>
              <w:t>LS98-0358-SCR</w:t>
            </w:r>
          </w:p>
        </w:tc>
        <w:tc>
          <w:tcPr>
            <w:tcW w:w="569" w:type="dxa"/>
            <w:tcBorders>
              <w:bottom w:val="single" w:sz="4" w:space="0" w:color="auto"/>
            </w:tcBorders>
            <w:noWrap/>
            <w:vAlign w:val="bottom"/>
          </w:tcPr>
          <w:p w14:paraId="4CC7BC9A"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2</w:t>
            </w:r>
          </w:p>
        </w:tc>
        <w:tc>
          <w:tcPr>
            <w:tcW w:w="604" w:type="dxa"/>
            <w:tcBorders>
              <w:bottom w:val="single" w:sz="4" w:space="0" w:color="auto"/>
            </w:tcBorders>
            <w:noWrap/>
            <w:vAlign w:val="bottom"/>
          </w:tcPr>
          <w:p w14:paraId="259B3DD5"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a</w:t>
            </w:r>
          </w:p>
        </w:tc>
        <w:tc>
          <w:tcPr>
            <w:tcW w:w="698" w:type="dxa"/>
            <w:tcBorders>
              <w:bottom w:val="single" w:sz="4" w:space="0" w:color="auto"/>
            </w:tcBorders>
            <w:noWrap/>
            <w:vAlign w:val="bottom"/>
          </w:tcPr>
          <w:p w14:paraId="4F9FDEB5"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571</w:t>
            </w:r>
          </w:p>
        </w:tc>
        <w:tc>
          <w:tcPr>
            <w:tcW w:w="646" w:type="dxa"/>
            <w:tcBorders>
              <w:bottom w:val="single" w:sz="4" w:space="0" w:color="auto"/>
            </w:tcBorders>
            <w:noWrap/>
            <w:vAlign w:val="bottom"/>
          </w:tcPr>
          <w:p w14:paraId="432FA6C9"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eastAsia="Times New Roman" w:cs="Times New Roman"/>
                <w:sz w:val="20"/>
                <w:szCs w:val="20"/>
              </w:rPr>
              <w:t>a</w:t>
            </w:r>
          </w:p>
        </w:tc>
        <w:tc>
          <w:tcPr>
            <w:tcW w:w="583" w:type="dxa"/>
            <w:tcBorders>
              <w:bottom w:val="single" w:sz="4" w:space="0" w:color="auto"/>
            </w:tcBorders>
            <w:vAlign w:val="bottom"/>
          </w:tcPr>
          <w:p w14:paraId="161E4F7A"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22</w:t>
            </w:r>
          </w:p>
        </w:tc>
        <w:tc>
          <w:tcPr>
            <w:tcW w:w="507" w:type="dxa"/>
            <w:tcBorders>
              <w:bottom w:val="single" w:sz="4" w:space="0" w:color="auto"/>
            </w:tcBorders>
            <w:vAlign w:val="bottom"/>
          </w:tcPr>
          <w:p w14:paraId="23DBC8B9"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c>
          <w:tcPr>
            <w:tcW w:w="726" w:type="dxa"/>
            <w:tcBorders>
              <w:bottom w:val="single" w:sz="4" w:space="0" w:color="auto"/>
            </w:tcBorders>
            <w:vAlign w:val="bottom"/>
          </w:tcPr>
          <w:p w14:paraId="41B02D09"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19</w:t>
            </w:r>
          </w:p>
        </w:tc>
        <w:tc>
          <w:tcPr>
            <w:tcW w:w="339" w:type="dxa"/>
            <w:tcBorders>
              <w:bottom w:val="single" w:sz="4" w:space="0" w:color="auto"/>
            </w:tcBorders>
            <w:vAlign w:val="bottom"/>
          </w:tcPr>
          <w:p w14:paraId="1EBC8538"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b</w:t>
            </w:r>
          </w:p>
        </w:tc>
        <w:tc>
          <w:tcPr>
            <w:tcW w:w="987" w:type="dxa"/>
            <w:tcBorders>
              <w:bottom w:val="single" w:sz="4" w:space="0" w:color="auto"/>
            </w:tcBorders>
            <w:vAlign w:val="bottom"/>
          </w:tcPr>
          <w:p w14:paraId="414F6BBE"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cs="Times New Roman"/>
                <w:sz w:val="20"/>
                <w:szCs w:val="20"/>
              </w:rPr>
              <w:t>15.0</w:t>
            </w:r>
          </w:p>
        </w:tc>
        <w:tc>
          <w:tcPr>
            <w:tcW w:w="316" w:type="dxa"/>
            <w:tcBorders>
              <w:bottom w:val="single" w:sz="4" w:space="0" w:color="auto"/>
            </w:tcBorders>
            <w:vAlign w:val="bottom"/>
          </w:tcPr>
          <w:p w14:paraId="1EE52CEB"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cs="Times New Roman"/>
                <w:sz w:val="20"/>
                <w:szCs w:val="20"/>
              </w:rPr>
              <w:t>b</w:t>
            </w:r>
          </w:p>
        </w:tc>
        <w:tc>
          <w:tcPr>
            <w:tcW w:w="497" w:type="dxa"/>
            <w:tcBorders>
              <w:bottom w:val="single" w:sz="4" w:space="0" w:color="auto"/>
            </w:tcBorders>
            <w:vAlign w:val="bottom"/>
          </w:tcPr>
          <w:p w14:paraId="58F9057E"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cs="Times New Roman"/>
                <w:sz w:val="20"/>
                <w:szCs w:val="20"/>
              </w:rPr>
              <w:t>3.8</w:t>
            </w:r>
          </w:p>
        </w:tc>
        <w:tc>
          <w:tcPr>
            <w:tcW w:w="540" w:type="dxa"/>
            <w:tcBorders>
              <w:bottom w:val="single" w:sz="4" w:space="0" w:color="auto"/>
            </w:tcBorders>
            <w:vAlign w:val="bottom"/>
          </w:tcPr>
          <w:p w14:paraId="64548F9C" w14:textId="77777777" w:rsidR="002E4580" w:rsidRPr="00D9430E" w:rsidRDefault="002E4580" w:rsidP="009922D3">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rPr>
            </w:pPr>
            <w:r w:rsidRPr="00D9430E">
              <w:rPr>
                <w:rFonts w:cs="Times New Roman"/>
                <w:sz w:val="20"/>
                <w:szCs w:val="20"/>
              </w:rPr>
              <w:t>b</w:t>
            </w:r>
          </w:p>
        </w:tc>
      </w:tr>
      <w:tr w:rsidR="002E4580" w:rsidRPr="00D9430E" w14:paraId="1695E29D" w14:textId="77777777" w:rsidTr="009922D3">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8910" w:type="dxa"/>
            <w:gridSpan w:val="13"/>
            <w:tcBorders>
              <w:top w:val="single" w:sz="4" w:space="0" w:color="auto"/>
            </w:tcBorders>
            <w:shd w:val="clear" w:color="auto" w:fill="auto"/>
            <w:noWrap/>
          </w:tcPr>
          <w:p w14:paraId="3D2A68C5" w14:textId="4DE6A5E6" w:rsidR="002E4580" w:rsidRPr="00D9430E" w:rsidRDefault="002E4580" w:rsidP="009922D3">
            <w:pPr>
              <w:rPr>
                <w:rFonts w:eastAsia="BemboStd" w:cs="Times New Roman"/>
                <w:b w:val="0"/>
                <w:sz w:val="20"/>
                <w:szCs w:val="20"/>
              </w:rPr>
            </w:pPr>
            <w:r w:rsidRPr="00D9430E">
              <w:rPr>
                <w:rFonts w:cs="Times New Roman"/>
                <w:b w:val="0"/>
                <w:sz w:val="20"/>
                <w:szCs w:val="20"/>
                <w:vertAlign w:val="superscript"/>
              </w:rPr>
              <w:t>a</w:t>
            </w:r>
            <w:r w:rsidRPr="00D9430E">
              <w:rPr>
                <w:rFonts w:cs="Times New Roman"/>
                <w:b w:val="0"/>
                <w:sz w:val="20"/>
                <w:szCs w:val="20"/>
              </w:rPr>
              <w:t xml:space="preserve"> Severity was based on rating split stems on a 1 to 5 scale, based on the microsclerotial load where </w:t>
            </w:r>
            <w:r w:rsidRPr="00D9430E">
              <w:rPr>
                <w:rFonts w:eastAsia="BemboStd" w:cs="Times New Roman"/>
                <w:b w:val="0"/>
                <w:sz w:val="20"/>
                <w:szCs w:val="20"/>
              </w:rPr>
              <w:t xml:space="preserve">1 = no discoloration, 2 = very few microsclerotia without tissue discoloration, 3 = vascular </w:t>
            </w:r>
            <w:r w:rsidR="00E56818" w:rsidRPr="00D9430E">
              <w:rPr>
                <w:rFonts w:eastAsia="BemboStd" w:cs="Times New Roman"/>
                <w:b w:val="0"/>
                <w:sz w:val="20"/>
                <w:szCs w:val="20"/>
              </w:rPr>
              <w:t>tissue</w:t>
            </w:r>
            <w:r w:rsidRPr="00D9430E">
              <w:rPr>
                <w:rFonts w:eastAsia="BemboStd" w:cs="Times New Roman"/>
                <w:b w:val="0"/>
                <w:sz w:val="20"/>
                <w:szCs w:val="20"/>
              </w:rPr>
              <w:t xml:space="preserve"> partly covered with microsclerotia and discolored, 4 = vascular tissue discolored with numerous </w:t>
            </w:r>
            <w:r w:rsidR="00E56818" w:rsidRPr="00D9430E">
              <w:rPr>
                <w:rFonts w:eastAsia="BemboStd" w:cs="Times New Roman"/>
                <w:b w:val="0"/>
                <w:sz w:val="20"/>
                <w:szCs w:val="20"/>
              </w:rPr>
              <w:t>microsclerotia, and</w:t>
            </w:r>
            <w:r w:rsidRPr="00D9430E">
              <w:rPr>
                <w:rFonts w:eastAsia="BemboStd" w:cs="Times New Roman"/>
                <w:b w:val="0"/>
                <w:sz w:val="20"/>
                <w:szCs w:val="20"/>
              </w:rPr>
              <w:t xml:space="preserve"> 5 = highly discolored and covered in dark microsclerotia </w:t>
            </w:r>
          </w:p>
          <w:p w14:paraId="1F022AC8" w14:textId="77777777" w:rsidR="002E4580" w:rsidRPr="00D9430E" w:rsidRDefault="002E4580" w:rsidP="009922D3">
            <w:pPr>
              <w:rPr>
                <w:rFonts w:cs="Times New Roman"/>
                <w:b w:val="0"/>
                <w:sz w:val="20"/>
                <w:szCs w:val="20"/>
              </w:rPr>
            </w:pPr>
            <w:r w:rsidRPr="00D9430E">
              <w:rPr>
                <w:rFonts w:cs="Times New Roman"/>
                <w:b w:val="0"/>
                <w:sz w:val="20"/>
                <w:szCs w:val="20"/>
                <w:vertAlign w:val="superscript"/>
              </w:rPr>
              <w:t>b</w:t>
            </w:r>
            <w:r w:rsidRPr="00D9430E">
              <w:rPr>
                <w:rFonts w:cs="Times New Roman"/>
                <w:b w:val="0"/>
                <w:sz w:val="20"/>
                <w:szCs w:val="20"/>
              </w:rPr>
              <w:t xml:space="preserve"> Colony-forming units (CFU)</w:t>
            </w:r>
          </w:p>
          <w:p w14:paraId="312FECA2" w14:textId="77777777" w:rsidR="002E4580" w:rsidRPr="00D9430E" w:rsidRDefault="002E4580" w:rsidP="009922D3">
            <w:pPr>
              <w:rPr>
                <w:rFonts w:cs="Times New Roman"/>
                <w:b w:val="0"/>
                <w:sz w:val="20"/>
                <w:szCs w:val="20"/>
              </w:rPr>
            </w:pPr>
            <w:r w:rsidRPr="00D9430E">
              <w:rPr>
                <w:rFonts w:cs="Times New Roman"/>
                <w:b w:val="0"/>
                <w:sz w:val="20"/>
                <w:szCs w:val="20"/>
                <w:vertAlign w:val="superscript"/>
              </w:rPr>
              <w:t>c</w:t>
            </w:r>
            <w:r w:rsidRPr="00D9430E">
              <w:rPr>
                <w:rFonts w:cs="Times New Roman"/>
                <w:b w:val="0"/>
                <w:sz w:val="20"/>
                <w:szCs w:val="20"/>
              </w:rPr>
              <w:t xml:space="preserve"> Seed size was estimated by dividing total seed weight by total number of seeds and multiplied by 100, to get 100 seed weight </w:t>
            </w:r>
          </w:p>
        </w:tc>
      </w:tr>
    </w:tbl>
    <w:p w14:paraId="2CF37C03" w14:textId="77777777" w:rsidR="00D20476" w:rsidRPr="008E2CD0" w:rsidRDefault="00D20476" w:rsidP="00D20476">
      <w:pPr>
        <w:ind w:left="720"/>
        <w:rPr>
          <w:rFonts w:cs="Times New Roman"/>
        </w:rPr>
      </w:pPr>
    </w:p>
    <w:p w14:paraId="13E94141" w14:textId="092DEBD8" w:rsidR="00D20476" w:rsidRDefault="00D20476">
      <w:r>
        <w:br w:type="page"/>
      </w:r>
    </w:p>
    <w:p w14:paraId="67518123" w14:textId="77777777" w:rsidR="00D20476" w:rsidRPr="008E2CD0" w:rsidRDefault="00D20476" w:rsidP="002E4580">
      <w:pPr>
        <w:pStyle w:val="Heading1"/>
        <w:ind w:left="720"/>
        <w:jc w:val="center"/>
      </w:pPr>
      <w:bookmarkStart w:id="377" w:name="_Toc101048173"/>
      <w:bookmarkStart w:id="378" w:name="_Toc98812811"/>
      <w:bookmarkStart w:id="379" w:name="_Toc98813019"/>
      <w:bookmarkStart w:id="380" w:name="_Toc98813685"/>
      <w:bookmarkEnd w:id="331"/>
      <w:bookmarkEnd w:id="332"/>
      <w:bookmarkEnd w:id="333"/>
      <w:r w:rsidRPr="008E2CD0">
        <w:t>CHAPTER</w:t>
      </w:r>
      <w:r w:rsidRPr="008E2CD0">
        <w:rPr>
          <w:spacing w:val="-3"/>
        </w:rPr>
        <w:t xml:space="preserve"> </w:t>
      </w:r>
      <w:r w:rsidRPr="008E2CD0">
        <w:t>V.</w:t>
      </w:r>
      <w:r w:rsidRPr="008E2CD0">
        <w:rPr>
          <w:spacing w:val="-3"/>
        </w:rPr>
        <w:t xml:space="preserve"> </w:t>
      </w:r>
      <w:r w:rsidRPr="008E2CD0">
        <w:t xml:space="preserve">EFFICACY OF ORGANIC FUNGICIDES AGAINST HEMP POWDERY MILDEW CAUSED BY </w:t>
      </w:r>
      <w:r w:rsidRPr="008E2CD0">
        <w:rPr>
          <w:i/>
        </w:rPr>
        <w:t>GOLOVINOMYCES AMBROSIAE</w:t>
      </w:r>
      <w:r w:rsidRPr="008E2CD0">
        <w:t xml:space="preserve"> IN THE GREENHOUSE IN TENNESSEE</w:t>
      </w:r>
      <w:bookmarkEnd w:id="377"/>
    </w:p>
    <w:p w14:paraId="3CD40E48" w14:textId="77777777" w:rsidR="00D20476" w:rsidRPr="008E2CD0" w:rsidRDefault="00D20476" w:rsidP="00D20476">
      <w:pPr>
        <w:spacing w:before="79"/>
        <w:ind w:left="720" w:right="538"/>
        <w:jc w:val="center"/>
        <w:rPr>
          <w:rFonts w:eastAsia="Times New Roman" w:cs="Times New Roman"/>
          <w:b/>
          <w:sz w:val="28"/>
          <w:szCs w:val="28"/>
        </w:rPr>
        <w:sectPr w:rsidR="00D20476" w:rsidRPr="008E2CD0" w:rsidSect="006F7E26">
          <w:pgSz w:w="12240" w:h="15840" w:code="1"/>
          <w:pgMar w:top="1440" w:right="1440" w:bottom="1440" w:left="1440" w:header="0" w:footer="1440" w:gutter="0"/>
          <w:cols w:space="720"/>
          <w:docGrid w:linePitch="326"/>
        </w:sectPr>
      </w:pPr>
    </w:p>
    <w:p w14:paraId="2E34AF95" w14:textId="77777777" w:rsidR="00D20476" w:rsidRDefault="00D20476" w:rsidP="00D20476">
      <w:pPr>
        <w:rPr>
          <w:rFonts w:cs="Times New Roman"/>
          <w:b/>
          <w:bCs/>
          <w:sz w:val="28"/>
          <w:szCs w:val="28"/>
        </w:rPr>
      </w:pPr>
      <w:bookmarkStart w:id="381" w:name="_Toc98812792"/>
      <w:bookmarkStart w:id="382" w:name="_Toc98813000"/>
      <w:bookmarkStart w:id="383" w:name="_Toc98813666"/>
      <w:r>
        <w:br w:type="page"/>
      </w:r>
    </w:p>
    <w:p w14:paraId="3640AF49" w14:textId="77777777" w:rsidR="00D20476" w:rsidRDefault="00D20476" w:rsidP="00D20476">
      <w:pPr>
        <w:pStyle w:val="Heading1"/>
        <w:ind w:left="720"/>
        <w:jc w:val="center"/>
      </w:pPr>
      <w:bookmarkStart w:id="384" w:name="_Toc101048174"/>
      <w:r w:rsidRPr="008E2CD0">
        <w:t>Abstract</w:t>
      </w:r>
      <w:bookmarkEnd w:id="381"/>
      <w:bookmarkEnd w:id="382"/>
      <w:bookmarkEnd w:id="383"/>
      <w:bookmarkEnd w:id="384"/>
    </w:p>
    <w:p w14:paraId="6A915A49" w14:textId="77777777" w:rsidR="00D20476" w:rsidRPr="008E2CD0" w:rsidRDefault="00D20476" w:rsidP="00D20476">
      <w:pPr>
        <w:pStyle w:val="Heading1"/>
        <w:ind w:left="720"/>
        <w:jc w:val="center"/>
      </w:pPr>
    </w:p>
    <w:p w14:paraId="65418965" w14:textId="77777777" w:rsidR="00D20476" w:rsidRPr="008E2CD0" w:rsidRDefault="00D20476" w:rsidP="00D20476">
      <w:pPr>
        <w:pStyle w:val="NormalWeb"/>
        <w:spacing w:before="0" w:beforeAutospacing="0" w:after="0" w:afterAutospacing="0" w:line="360" w:lineRule="auto"/>
        <w:ind w:left="720" w:firstLine="720"/>
      </w:pPr>
      <w:r w:rsidRPr="008E2CD0">
        <w:t>Hemp powdery mildew (</w:t>
      </w:r>
      <w:r w:rsidRPr="008E2CD0">
        <w:rPr>
          <w:rStyle w:val="Emphasis"/>
        </w:rPr>
        <w:t>Golovinomyces</w:t>
      </w:r>
      <w:r w:rsidRPr="008E2CD0">
        <w:t> </w:t>
      </w:r>
      <w:r w:rsidRPr="008E2CD0">
        <w:rPr>
          <w:i/>
        </w:rPr>
        <w:t>ambrosiae</w:t>
      </w:r>
      <w:r w:rsidRPr="008E2CD0">
        <w:t>) is a common disease of hemp in greenhouses in Tennessee. Efficacy data can support the use or approval of new fungicides against the disease in Tennessee. Therefore, three greenhouse experiments were conducted to assess the efficacy of commercial and experimental fungicides against powdery mildew. ‘BaOx2’ or ‘Sweetened’ hemp cultivars, which are susceptible to powdery mildew, were inoculated with a conidial suspension 1-day before or 1 or 7-day</w:t>
      </w:r>
      <w:r>
        <w:t>s</w:t>
      </w:r>
      <w:r w:rsidRPr="008E2CD0">
        <w:t>day after the first fungicide application. Two additional fungicide applications were made at 7-day intervals by thoroughly spraying the plants using a hand-held sprayer. Control plants were sprayed with water only. Weekly disease incidence and severity ratings were made three times. Disease index (DI) and the area under the disease progress curve were calculated. All treatments significantly reduced powdery mildew disease index in each trial. Compared to the control plants, disease reductions ranged from 76% to 100%. Bonide sulfur, Luna Experience, and MilStop exhibited “excellent” efficacy, reducing disease by 96% to 100%. Cinnerate, Exile, IP-1, Regalia, and Sil-Matrix exhibited “very good” efficacy, reducing disease by 86% to 95%. Defguard, IP-2, IP-V1*, Regalia*, and Stargus exhibited “good” efficacy, reducing DI by 76% to 85%. IP-V4 exhibited “fair” efficacy, reducing DI by 56% to 70%. These findings provide useful information to Tennessee hemp growers for the control of hemp powdery mildew.</w:t>
      </w:r>
    </w:p>
    <w:p w14:paraId="1E40D098" w14:textId="77777777" w:rsidR="00D20476" w:rsidRDefault="00D20476" w:rsidP="00D20476">
      <w:pPr>
        <w:rPr>
          <w:rStyle w:val="Strong"/>
          <w:rFonts w:cs="Times New Roman"/>
          <w:b w:val="0"/>
          <w:bCs w:val="0"/>
          <w:szCs w:val="24"/>
        </w:rPr>
      </w:pPr>
      <w:r>
        <w:rPr>
          <w:rStyle w:val="Strong"/>
          <w:szCs w:val="24"/>
        </w:rPr>
        <w:br w:type="page"/>
      </w:r>
    </w:p>
    <w:p w14:paraId="378F1616" w14:textId="77777777" w:rsidR="00D20476" w:rsidRDefault="00D20476" w:rsidP="00D20476">
      <w:pPr>
        <w:pStyle w:val="Heading1"/>
        <w:ind w:left="720"/>
        <w:jc w:val="center"/>
      </w:pPr>
      <w:bookmarkStart w:id="385" w:name="_Toc98812793"/>
      <w:bookmarkStart w:id="386" w:name="_Toc98813001"/>
      <w:bookmarkStart w:id="387" w:name="_Toc98813667"/>
      <w:bookmarkStart w:id="388" w:name="_Toc101048175"/>
      <w:r w:rsidRPr="008E2CD0">
        <w:t>Introduction</w:t>
      </w:r>
      <w:bookmarkEnd w:id="385"/>
      <w:bookmarkEnd w:id="386"/>
      <w:bookmarkEnd w:id="387"/>
      <w:bookmarkEnd w:id="388"/>
    </w:p>
    <w:p w14:paraId="074F0CAF" w14:textId="77777777" w:rsidR="00D20476" w:rsidRPr="008E2CD0" w:rsidRDefault="00D20476" w:rsidP="00D20476">
      <w:pPr>
        <w:pStyle w:val="Heading1"/>
        <w:ind w:left="720"/>
        <w:jc w:val="center"/>
      </w:pPr>
    </w:p>
    <w:p w14:paraId="7EA63C02" w14:textId="65D9D057" w:rsidR="00D20476" w:rsidRPr="008E2CD0" w:rsidRDefault="00D20476" w:rsidP="00D20476">
      <w:pPr>
        <w:pStyle w:val="NormalWeb"/>
        <w:spacing w:before="0" w:beforeAutospacing="0" w:after="0" w:afterAutospacing="0" w:line="360" w:lineRule="auto"/>
        <w:ind w:left="720" w:firstLine="720"/>
      </w:pPr>
      <w:r w:rsidRPr="008E2CD0">
        <w:t>Tennessee hemp acreage has steadily increased after the re-introduction of hemp as an agricultural crop by the 2014 Agricultural Act (TDA; Tennessee Department of Agriculture, 2021). Hemp acreage has increased from approximately 650 acres/year in 2015 to 4,800 acres/year in 2020 (Self, 2021). In 2018, hemp production costs approximately $2,301/acre in Tennessee (</w:t>
      </w:r>
      <w:r w:rsidRPr="00102AAA">
        <w:t>Tennessee Department of Agriculture, 2021</w:t>
      </w:r>
      <w:r w:rsidRPr="008E2CD0">
        <w:t>). At this rate, it means hemp growers spent over $11 million on hemp acreage in Tennessee in 2020. A large portion of the acreage was under high tunnel and greenhouse or indoor systems. The cultivated indoor space was up to 8 million sq. Ft. (184 acres, 74 hectares), with growers spreading across the West, Middle, and East Tennessee regions (Tennessee Department of Agriculture, 2021).</w:t>
      </w:r>
    </w:p>
    <w:p w14:paraId="4A591FE6" w14:textId="77777777" w:rsidR="00D20476" w:rsidRPr="008E2CD0" w:rsidRDefault="00D20476" w:rsidP="00D20476">
      <w:pPr>
        <w:pStyle w:val="NormalWeb"/>
        <w:spacing w:before="0" w:beforeAutospacing="0" w:after="0" w:afterAutospacing="0" w:line="360" w:lineRule="auto"/>
        <w:ind w:left="720" w:firstLine="720"/>
      </w:pPr>
      <w:r w:rsidRPr="008E2CD0">
        <w:t>Many diseases can affect all hemp production systems. The most frequently reported diseases of hemp in Tennessee are bud rot, leaf spots, southern blight, and powdery mildew (Hansen, 2020a). Among these, powdery mildew is the most common in the greenhouse. Powdery mildew pathogens are supported by warm temperatures and humid conditions that are often present in the greenhouse. This makes the greenhouse environments favorable to powdery mildew development and spread. Powdery mildew spread occurs by asexual conidial spores that are carried by air currents from infected sources to healthy leaves within the greenhouse. After 2 to 3 days on the healthy leaves, the conidial spores germinate and initiate secondary infections. The infection then results in early signs and symptoms that appear as white powdery growths, made up of fungal mycelium and conidia, on upper leaf surfaces and stems. As the mycelium and conidia penetrate the leaf tissues, they absorb nutrients and water, impair photosynthesis, and subsequently initiate secondary symptoms such as leaf distortion, necrosis, and leaf drop. In severe cases, powdery mildew can result in reduced plant health, poor yields, or plant death (Britt</w:t>
      </w:r>
      <w:r>
        <w:t>,</w:t>
      </w:r>
      <w:r w:rsidRPr="008E2CD0">
        <w:t xml:space="preserve"> 2020; Gauthier</w:t>
      </w:r>
      <w:r>
        <w:t>,</w:t>
      </w:r>
      <w:r w:rsidRPr="008E2CD0">
        <w:t xml:space="preserve"> 2020).</w:t>
      </w:r>
    </w:p>
    <w:p w14:paraId="5829881B" w14:textId="77777777" w:rsidR="00D20476" w:rsidRPr="008E2CD0" w:rsidRDefault="00D20476" w:rsidP="00D20476">
      <w:pPr>
        <w:pStyle w:val="NormalWeb"/>
        <w:spacing w:before="0" w:beforeAutospacing="0" w:after="0" w:afterAutospacing="0" w:line="360" w:lineRule="auto"/>
        <w:ind w:left="720" w:firstLine="720"/>
        <w:rPr>
          <w:shd w:val="clear" w:color="auto" w:fill="FFFFFF"/>
        </w:rPr>
      </w:pPr>
      <w:r w:rsidRPr="008E2CD0">
        <w:t xml:space="preserve">Powdery mildew can affect a wide range of hosts and is caused by many fungal genera including </w:t>
      </w:r>
      <w:r w:rsidRPr="008E2CD0">
        <w:rPr>
          <w:i/>
        </w:rPr>
        <w:t>Erisyphe, Leveillula, Golovinomyces, Podosphaera, </w:t>
      </w:r>
      <w:r w:rsidRPr="008E2CD0">
        <w:rPr>
          <w:iCs/>
        </w:rPr>
        <w:t>and</w:t>
      </w:r>
      <w:r w:rsidRPr="008E2CD0">
        <w:rPr>
          <w:i/>
        </w:rPr>
        <w:t> Sphaerotheca</w:t>
      </w:r>
      <w:r w:rsidRPr="008E2CD0">
        <w:t xml:space="preserve">. Several species of </w:t>
      </w:r>
      <w:r w:rsidRPr="008E2CD0">
        <w:rPr>
          <w:i/>
        </w:rPr>
        <w:t>Golovinomyces</w:t>
      </w:r>
      <w:r w:rsidRPr="008E2CD0">
        <w:t xml:space="preserve"> are known to cause powdery mildew on diverse crops in the United States and elsewhere. </w:t>
      </w:r>
      <w:r w:rsidRPr="008E2CD0">
        <w:rPr>
          <w:i/>
        </w:rPr>
        <w:t>Golovinomyces</w:t>
      </w:r>
      <w:r w:rsidRPr="008E2CD0">
        <w:t xml:space="preserve"> </w:t>
      </w:r>
      <w:r w:rsidRPr="008E2CD0">
        <w:rPr>
          <w:i/>
        </w:rPr>
        <w:t xml:space="preserve">spadiceus </w:t>
      </w:r>
      <w:r w:rsidRPr="008E2CD0">
        <w:t xml:space="preserve">was reported to cause powdery mildew on </w:t>
      </w:r>
      <w:r>
        <w:t>g</w:t>
      </w:r>
      <w:r w:rsidRPr="008E2CD0">
        <w:t xml:space="preserve">reen and </w:t>
      </w:r>
      <w:r>
        <w:t>g</w:t>
      </w:r>
      <w:r w:rsidRPr="008E2CD0">
        <w:t>old in Tennessee (</w:t>
      </w:r>
      <w:r w:rsidRPr="008E2CD0">
        <w:rPr>
          <w:shd w:val="clear" w:color="auto" w:fill="FFFFFF"/>
        </w:rPr>
        <w:t xml:space="preserve">Trigiano </w:t>
      </w:r>
      <w:r>
        <w:rPr>
          <w:shd w:val="clear" w:color="auto" w:fill="FFFFFF"/>
        </w:rPr>
        <w:t>et al.,</w:t>
      </w:r>
      <w:r w:rsidRPr="008E2CD0">
        <w:rPr>
          <w:shd w:val="clear" w:color="auto" w:fill="FFFFFF"/>
        </w:rPr>
        <w:t xml:space="preserve"> 2018)</w:t>
      </w:r>
      <w:r w:rsidRPr="008E2CD0">
        <w:t>; okra in Georgia (</w:t>
      </w:r>
      <w:r w:rsidRPr="008E2CD0">
        <w:rPr>
          <w:shd w:val="clear" w:color="auto" w:fill="FFFFFF"/>
        </w:rPr>
        <w:t xml:space="preserve">Moparthi </w:t>
      </w:r>
      <w:r>
        <w:rPr>
          <w:shd w:val="clear" w:color="auto" w:fill="FFFFFF"/>
        </w:rPr>
        <w:t>et al.,</w:t>
      </w:r>
      <w:r w:rsidRPr="008E2CD0">
        <w:rPr>
          <w:shd w:val="clear" w:color="auto" w:fill="FFFFFF"/>
        </w:rPr>
        <w:t xml:space="preserve"> 2018</w:t>
      </w:r>
      <w:r>
        <w:rPr>
          <w:shd w:val="clear" w:color="auto" w:fill="FFFFFF"/>
        </w:rPr>
        <w:t>a</w:t>
      </w:r>
      <w:r w:rsidRPr="008E2CD0">
        <w:rPr>
          <w:shd w:val="clear" w:color="auto" w:fill="FFFFFF"/>
        </w:rPr>
        <w:t xml:space="preserve">); </w:t>
      </w:r>
      <w:r w:rsidRPr="008E2CD0">
        <w:t>helianthus in Washington State (</w:t>
      </w:r>
      <w:r w:rsidRPr="008E2CD0">
        <w:rPr>
          <w:shd w:val="clear" w:color="auto" w:fill="FFFFFF"/>
        </w:rPr>
        <w:t xml:space="preserve">Moparthi </w:t>
      </w:r>
      <w:r>
        <w:rPr>
          <w:shd w:val="clear" w:color="auto" w:fill="FFFFFF"/>
        </w:rPr>
        <w:t>et al.,</w:t>
      </w:r>
      <w:r w:rsidRPr="008E2CD0">
        <w:rPr>
          <w:shd w:val="clear" w:color="auto" w:fill="FFFFFF"/>
        </w:rPr>
        <w:t xml:space="preserve"> 2018</w:t>
      </w:r>
      <w:r>
        <w:rPr>
          <w:shd w:val="clear" w:color="auto" w:fill="FFFFFF"/>
        </w:rPr>
        <w:t>b</w:t>
      </w:r>
      <w:r w:rsidRPr="008E2CD0">
        <w:rPr>
          <w:shd w:val="clear" w:color="auto" w:fill="FFFFFF"/>
        </w:rPr>
        <w:t>);</w:t>
      </w:r>
      <w:r w:rsidRPr="008E2CD0">
        <w:t xml:space="preserve"> and industrial hemp in Kentucky (</w:t>
      </w:r>
      <w:r w:rsidRPr="008E2CD0">
        <w:rPr>
          <w:shd w:val="clear" w:color="auto" w:fill="FFFFFF"/>
        </w:rPr>
        <w:t xml:space="preserve">Szarka </w:t>
      </w:r>
      <w:r>
        <w:rPr>
          <w:shd w:val="clear" w:color="auto" w:fill="FFFFFF"/>
        </w:rPr>
        <w:t>et al.,</w:t>
      </w:r>
      <w:r w:rsidRPr="008E2CD0">
        <w:rPr>
          <w:shd w:val="clear" w:color="auto" w:fill="FFFFFF"/>
        </w:rPr>
        <w:t xml:space="preserve"> 2019). </w:t>
      </w:r>
      <w:r w:rsidRPr="008E2CD0">
        <w:rPr>
          <w:i/>
        </w:rPr>
        <w:t>Golovinomyces</w:t>
      </w:r>
      <w:r w:rsidRPr="008E2CD0">
        <w:t xml:space="preserve"> </w:t>
      </w:r>
      <w:r w:rsidRPr="008E2CD0">
        <w:rPr>
          <w:i/>
        </w:rPr>
        <w:t>ambrosiae</w:t>
      </w:r>
      <w:r w:rsidRPr="008E2CD0">
        <w:t xml:space="preserve"> was reported on whorled sunflower in Tennessee (</w:t>
      </w:r>
      <w:r w:rsidRPr="008E2CD0">
        <w:rPr>
          <w:shd w:val="clear" w:color="auto" w:fill="FFFFFF"/>
        </w:rPr>
        <w:t>Trigiano et al 2016)</w:t>
      </w:r>
      <w:r w:rsidRPr="008E2CD0">
        <w:t xml:space="preserve">, while </w:t>
      </w:r>
      <w:r w:rsidRPr="008E2CD0">
        <w:rPr>
          <w:shd w:val="clear" w:color="auto" w:fill="FFFFFF"/>
        </w:rPr>
        <w:t xml:space="preserve">Pépin </w:t>
      </w:r>
      <w:r>
        <w:rPr>
          <w:shd w:val="clear" w:color="auto" w:fill="FFFFFF"/>
        </w:rPr>
        <w:t>et al.,</w:t>
      </w:r>
      <w:r w:rsidRPr="008E2CD0">
        <w:rPr>
          <w:shd w:val="clear" w:color="auto" w:fill="FFFFFF"/>
        </w:rPr>
        <w:t xml:space="preserve"> (2018) reported </w:t>
      </w:r>
      <w:r w:rsidRPr="008E2CD0">
        <w:rPr>
          <w:i/>
        </w:rPr>
        <w:t>G. cichoracearum</w:t>
      </w:r>
      <w:r w:rsidRPr="008E2CD0">
        <w:t xml:space="preserve"> sensu lato on medical cannabis in Canada. The pathogen causing powdery mildew on hemp in Tennessee is unknown. </w:t>
      </w:r>
      <w:r w:rsidRPr="008E2CD0">
        <w:rPr>
          <w:shd w:val="clear" w:color="auto" w:fill="FFFFFF"/>
        </w:rPr>
        <w:t>It is crucial to identify powdery mildew pathogens of hemp in Tennessee to facilitate further studies and understanding of the pathogens to provide information to support disease diagnostics and management.</w:t>
      </w:r>
    </w:p>
    <w:p w14:paraId="4C574D92" w14:textId="3C2681EA" w:rsidR="00D20476" w:rsidRPr="008E2CD0" w:rsidRDefault="00D20476" w:rsidP="00D20476">
      <w:pPr>
        <w:pStyle w:val="NormalWeb"/>
        <w:spacing w:before="0" w:beforeAutospacing="0" w:after="0" w:afterAutospacing="0" w:line="360" w:lineRule="auto"/>
        <w:ind w:left="720" w:firstLine="720"/>
      </w:pPr>
      <w:r w:rsidRPr="008E2CD0">
        <w:t xml:space="preserve">Effective management of powdery mildew can be achieved by integrating cultural and chemical management tactics. These tactics include the use of less-susceptible or resistant cultivars, removal of inoculum sources, and chemical fungicides (Marine </w:t>
      </w:r>
      <w:r>
        <w:t>et al.,</w:t>
      </w:r>
      <w:r w:rsidRPr="008E2CD0">
        <w:t xml:space="preserve"> 2010). Although there is no hemp cultivar with known complete resistance to powdery mildew, stu</w:t>
      </w:r>
      <w:r w:rsidR="00E56818">
        <w:t xml:space="preserve">dies from Tennessee and New York </w:t>
      </w:r>
      <w:r w:rsidRPr="008E2CD0">
        <w:t xml:space="preserve">showed that many CBD hemp cultivars </w:t>
      </w:r>
      <w:r w:rsidR="008F7915" w:rsidRPr="008E2CD0">
        <w:t>exhibit</w:t>
      </w:r>
      <w:r w:rsidRPr="008E2CD0">
        <w:t xml:space="preserve"> low to moderate susceptibility to powdery mildew </w:t>
      </w:r>
      <w:r w:rsidRPr="008E2CD0">
        <w:fldChar w:fldCharType="begin" w:fldLock="1"/>
      </w:r>
      <w:r>
        <w:instrText>ADDIN CSL_CITATION {"citationItems":[{"id":"ITEM-1","itemData":{"author":[{"dropping-particle":"","family":"Hansen","given":"Zachariah","non-dropping-particle":"","parse-names":false,"suffix":""},{"dropping-particle":"","family":"Akinrinlola","given":"Rufus","non-dropping-particle":"","parse-names":false,"suffix":""},{"dropping-particle":"","family":"Kelly","given":"Heather","non-dropping-particle":"","parse-names":false,"suffix":""},{"dropping-particle":"","family":"Virginia","given":"Sykes","non-dropping-particle":"","parse-names":false,"suffix":""},{"dropping-particle":"","family":"Rachel","given":"Guyer","non-dropping-particle":"","parse-names":false,"suffix":""},{"dropping-particle":"","family":"Cartwright","given":"Madison","non-dropping-particle":"","parse-names":false,"suffix":""},{"dropping-particle":"","family":"Grant","given":"Jerome","non-dropping-particle":"","parse-names":false,"suffix":""},{"dropping-particle":"","family":"Cosner","given":"Julian","non-dropping-particle":"","parse-names":false,"suffix":""}],"container-title":"UT Extension publication","id":"ITEM-1","issued":{"date-parts":[["2020"]]},"page":"1-10","title":"HEMP VARIETY TRIALS IN TENNESSEE 2020 (W 1016)","type":"article-journal"},"uris":["http://www.mendeley.com/documents/?uuid=c6794366-b820-4cb1-a188-fe8ee5b85008"]},{"id":"ITEM-2","itemData":{"DOI":"10.1111/gcbb.12793","ISSN":"17571707","abstract":"Given the dramatic rise in high-cannabinoid hemp (Cannabis sativa L.) production in the last decade, there is an increasingly urgent need to characterize available germplasm and develop knowledge to accelerate the breeding of uniform and stable cultivars. Despite persistent cultivation of hemp cultivars for grain and or fiber around the world, the diversity and genetic underpinning of key traits for breeding and cultivation are poorly understood. For 30 high-cannabidiol hemp cultivars replicated on two field sites, we sought to evaluate yield, agronomic performance, and disease resistance while also conducting a detailed study of cannabinoid accumulation over the course of floral maturation. We observed significant variation in both within and among cultivars. During the growing season, the plants clustered into five groups by growth rate and varied in flowering time from photoperiod insensitive to photoperiod sensitive with very short critical photoperiods. Based on the observed ratio of total potential cannabidiol (CBD) to total potential tetrahydrocannabinol (THC), there was segregation for cannabinoid chemotype in some seeded cultivar populations. Analysis of cannabichromene (CBC) production revealed that some cultivars had a discretely lower CBD:CBC ratio than the others. There was a continuous range of powdery mildew severity by cultivar, with one that had little to no observed powdery mildew suggesting it might have genetic resistance. Biomass production at harvest was strongly influenced by location and cultivar, and there was variation by cultivar in the relative cannabinoid production in shoot tip samples compared with whole plant samples. While our results provide preliminary guidance regarding relative performance of current cultivars, our analyses indicate a need for additional hemp breeding to provide stable, uniform, and legally compliant cultivars with improved disease resistance and flowering times optimized for the latitudes of different growing locations.","author":[{"dropping-particle":"","family":"Stack","given":"George M.","non-dropping-particle":"","parse-names":false,"suffix":""},{"dropping-particle":"","family":"Toth","given":"Jacob A.","non-dropping-particle":"","parse-names":false,"suffix":""},{"dropping-particle":"","family":"Carlson","given":"Craig H.","non-dropping-particle":"","parse-names":false,"suffix":""},{"dropping-particle":"","family":"Cala","given":"Ali R.","non-dropping-particle":"","parse-names":false,"suffix":""},{"dropping-particle":"","family":"Marrero-González","given":"Mariana I.","non-dropping-particle":"","parse-names":false,"suffix":""},{"dropping-particle":"","family":"Wilk","given":"Rebecca L.","non-dropping-particle":"","parse-names":false,"suffix":""},{"dropping-particle":"","family":"Gentner","given":"Deanna R.","non-dropping-particle":"","parse-names":false,"suffix":""},{"dropping-particle":"","family":"Crawford","given":"Jamie L.","non-dropping-particle":"","parse-names":false,"suffix":""},{"dropping-particle":"","family":"Philippe","given":"Glenn","non-dropping-particle":"","parse-names":false,"suffix":""},{"dropping-particle":"","family":"Rose","given":"Jocelyn K.C.","non-dropping-particle":"","parse-names":false,"suffix":""},{"dropping-particle":"","family":"Viands","given":"Donald R.","non-dropping-particle":"","parse-names":false,"suffix":""},{"dropping-particle":"","family":"Smart","given":"Christine D.","non-dropping-particle":"","parse-names":false,"suffix":""},{"dropping-particle":"","family":"Smart","given":"Lawrence B.","non-dropping-particle":"","parse-names":false,"suffix":""}],"container-title":"GCB Bioenergy","id":"ITEM-2","issue":"4","issued":{"date-parts":[["2021"]]},"page":"546-561","title":"Season-long characterization of high-cannabinoid hemp (Cannabis sativa L.) reveals variation in cannabinoid accumulation, flowering time, and disease resistance","type":"article-journal","volume":"13"},"uris":["http://www.mendeley.com/documents/?uuid=f99008ef-027c-4a36-8116-53b7b15c1448"]}],"mendeley":{"formattedCitation":"(Hansen et al., 2020; Stack et al., 2021)","manualFormatting":"(Hansen et al., 2020b; Stack et al., 2021).","plainTextFormattedCitation":"(Hansen et al., 2020; Stack et al., 2021)","previouslyFormattedCitation":"(Hansen et al., 2020; Stack et al., 2021)"},"properties":{"noteIndex":0},"schema":"https://github.com/citation-style-language/schema/raw/master/csl-citation.json"}</w:instrText>
      </w:r>
      <w:r w:rsidRPr="008E2CD0">
        <w:fldChar w:fldCharType="separate"/>
      </w:r>
      <w:r w:rsidRPr="008E2CD0">
        <w:rPr>
          <w:noProof/>
        </w:rPr>
        <w:t xml:space="preserve">(Hansen </w:t>
      </w:r>
      <w:r>
        <w:rPr>
          <w:noProof/>
        </w:rPr>
        <w:t>et al.,</w:t>
      </w:r>
      <w:r w:rsidRPr="008E2CD0">
        <w:rPr>
          <w:noProof/>
        </w:rPr>
        <w:t xml:space="preserve"> 2020b; </w:t>
      </w:r>
      <w:r w:rsidRPr="008E2CD0">
        <w:rPr>
          <w:noProof/>
        </w:rPr>
        <w:fldChar w:fldCharType="begin" w:fldLock="1"/>
      </w:r>
      <w:r>
        <w:rPr>
          <w:noProof/>
        </w:rPr>
        <w:instrText>ADDIN CSL_CITATION {"citationItems":[{"id":"ITEM-1","itemData":{"author":[{"dropping-particle":"","family":"Hansen","given":"Zachariah","non-dropping-particle":"","parse-names":false,"suffix":""},{"dropping-particle":"","family":"Akinrinlola","given":"Rufus","non-dropping-particle":"","parse-names":false,"suffix":""},{"dropping-particle":"","family":"Kelly","given":"Heather","non-dropping-particle":"","parse-names":false,"suffix":""},{"dropping-particle":"","family":"Virginia","given":"Sykes","non-dropping-particle":"","parse-names":false,"suffix":""},{"dropping-particle":"","family":"Rachel","given":"Guyer","non-dropping-particle":"","parse-names":false,"suffix":""},{"dropping-particle":"","family":"Cartwright","given":"Madison","non-dropping-particle":"","parse-names":false,"suffix":""},{"dropping-particle":"","family":"Grant","given":"Jerome","non-dropping-particle":"","parse-names":false,"suffix":""},{"dropping-particle":"","family":"Cosner","given":"Julian","non-dropping-particle":"","parse-names":false,"suffix":""}],"container-title":"UT Extension publication","id":"ITEM-1","issued":{"date-parts":[["2020"]]},"page":"1-10","title":"HEMP VARIETY TRIALS IN TENNESSEE 2020 (W 1016)","type":"article-journal"},"uris":["http://www.mendeley.com/documents/?uuid=c6794366-b820-4cb1-a188-fe8ee5b85008"]},{"id":"ITEM-2","itemData":{"DOI":"10.1111/gcbb.12793","ISSN":"17571707","abstract":"Given the dramatic rise in high-cannabinoid hemp (Cannabis sativa L.) production in the last decade, there is an increasingly urgent need to characterize available germplasm and develop knowledge to accelerate the breeding of uniform and stable cultivars. Despite persistent cultivation of hemp cultivars for grain and or fiber around the world, the diversity and genetic underpinning of key traits for breeding and cultivation are poorly understood. For 30 high-cannabidiol hemp cultivars replicated on two field sites, we sought to evaluate yield, agronomic performance, and disease resistance while also conducting a detailed study of cannabinoid accumulation over the course of floral maturation. We observed significant variation in both within and among cultivars. During the growing season, the plants clustered into five groups by growth rate and varied in flowering time from photoperiod insensitive to photoperiod sensitive with very short critical photoperiods. Based on the observed ratio of total potential cannabidiol (CBD) to total potential tetrahydrocannabinol (THC), there was segregation for cannabinoid chemotype in some seeded cultivar populations. Analysis of cannabichromene (CBC) production revealed that some cultivars had a discretely lower CBD:CBC ratio than the others. There was a continuous range of powdery mildew severity by cultivar, with one that had little to no observed powdery mildew suggesting it might have genetic resistance. Biomass production at harvest was strongly influenced by location and cultivar, and there was variation by cultivar in the relative cannabinoid production in shoot tip samples compared with whole plant samples. While our results provide preliminary guidance regarding relative performance of current cultivars, our analyses indicate a need for additional hemp breeding to provide stable, uniform, and legally compliant cultivars with improved disease resistance and flowering times optimized for the latitudes of different growing locations.","author":[{"dropping-particle":"","family":"Stack","given":"George M.","non-dropping-particle":"","parse-names":false,"suffix":""},{"dropping-particle":"","family":"Toth","given":"Jacob A.","non-dropping-particle":"","parse-names":false,"suffix":""},{"dropping-particle":"","family":"Carlson","given":"Craig H.","non-dropping-particle":"","parse-names":false,"suffix":""},{"dropping-particle":"","family":"Cala","given":"Ali R.","non-dropping-particle":"","parse-names":false,"suffix":""},{"dropping-particle":"","family":"Marrero-González","given":"Mariana I.","non-dropping-particle":"","parse-names":false,"suffix":""},{"dropping-particle":"","family":"Wilk","given":"Rebecca L.","non-dropping-particle":"","parse-names":false,"suffix":""},{"dropping-particle":"","family":"Gentner","given":"Deanna R.","non-dropping-particle":"","parse-names":false,"suffix":""},{"dropping-particle":"","family":"Crawford","given":"Jamie L.","non-dropping-particle":"","parse-names":false,"suffix":""},{"dropping-particle":"","family":"Philippe","given":"Glenn","non-dropping-particle":"","parse-names":false,"suffix":""},{"dropping-particle":"","family":"Rose","given":"Jocelyn K.C.","non-dropping-particle":"","parse-names":false,"suffix":""},{"dropping-particle":"","family":"Viands","given":"Donald R.","non-dropping-particle":"","parse-names":false,"suffix":""},{"dropping-particle":"","family":"Smart","given":"Christine D.","non-dropping-particle":"","parse-names":false,"suffix":""},{"dropping-particle":"","family":"Smart","given":"Lawrence B.","non-dropping-particle":"","parse-names":false,"suffix":""}],"container-title":"GCB Bioenergy","id":"ITEM-2","issue":"4","issued":{"date-parts":[["2021"]]},"page":"546-561","title":"Season-long characterization of high-cannabinoid hemp (Cannabis sativa L.) reveals variation in cannabinoid accumulation, flowering time, and disease resistance","type":"article-journal","volume":"13"},"uris":["http://www.mendeley.com/documents/?uuid=f99008ef-027c-4a36-8116-53b7b15c1448"]}],"mendeley":{"formattedCitation":"(Hansen et al., 2020; Stack et al., 2021)","manualFormatting":"Stack et al., 2021)","plainTextFormattedCitation":"(Hansen et al., 2020; Stack et al., 2021)","previouslyFormattedCitation":"(Hansen et al., 2020; Stack et al., 2021)"},"properties":{"noteIndex":0},"schema":"https://github.com/citation-style-language/schema/raw/master/csl-citation.json"}</w:instrText>
      </w:r>
      <w:r w:rsidRPr="008E2CD0">
        <w:rPr>
          <w:noProof/>
        </w:rPr>
        <w:fldChar w:fldCharType="separate"/>
      </w:r>
      <w:r w:rsidRPr="008E2CD0">
        <w:rPr>
          <w:noProof/>
        </w:rPr>
        <w:t xml:space="preserve">Stack </w:t>
      </w:r>
      <w:r>
        <w:rPr>
          <w:noProof/>
        </w:rPr>
        <w:t>et al.,</w:t>
      </w:r>
      <w:r w:rsidRPr="008E2CD0">
        <w:rPr>
          <w:noProof/>
        </w:rPr>
        <w:t xml:space="preserve"> 2021)</w:t>
      </w:r>
      <w:r w:rsidRPr="008E2CD0">
        <w:rPr>
          <w:noProof/>
        </w:rPr>
        <w:fldChar w:fldCharType="end"/>
      </w:r>
      <w:r w:rsidRPr="008E2CD0">
        <w:rPr>
          <w:noProof/>
        </w:rPr>
        <w:t>.</w:t>
      </w:r>
      <w:r w:rsidRPr="008E2CD0">
        <w:fldChar w:fldCharType="end"/>
      </w:r>
      <w:r w:rsidRPr="008E2CD0">
        <w:t xml:space="preserve"> On greenhouse hemp, maintaining low relative humidity, removing infected leaves, and applying fungicides can suppress powdery mildew (Britt, 2020). Many commercial greenhouse growers are attracted to organic or bio-pesticides because of their minimum re-entry intervals, low human toxicity, and their perceived or real reduced environmental impact </w:t>
      </w:r>
      <w:r w:rsidRPr="008E2CD0">
        <w:fldChar w:fldCharType="begin" w:fldLock="1"/>
      </w:r>
      <w:r w:rsidRPr="008E2CD0">
        <w:instrText>ADDIN CSL_CITATION {"citationItems":[{"id":"ITEM-1","itemData":{"DOI":"10.17660/actahortic.2001.547.7","ISBN":"9789066057746","ISSN":"05677572","abstract":"Commercial rose growers in the United States are under increasing pressure to use reduced-risk pesticides that have minimum re-entry intervals following application. Along with obvious environmental pressures to reduce toxic pesticide use, the growers are operating under a special exemption that allows re-entry within a pesticide re-entry restriction period. It is therefore of paramount importance to develop and test reduced risk pesticides that have minimal re-entry intervals following their application. Powdery mildew may account for 40% or more of the pesticide volume applied to rosecrops and therefore it is important to find new fungicides to control this serious disease. The experiment reported here evaluated the efficacy of many reduced-risk fungicides on rose powdery mildew, Sphaerotheca pannosa. Phytotoxicity effect was also evaluated because some of these fungicides are known to have considerable potential to cause adverse plant reactions. Fungicide treatments consisted of representatives of several fungicidal groups: strobilurins, bicarbonate salts, horticultural oils, biocontrol agents, contact chemicals, and activated resistance compounds. The strobulurins, as a group, performed well without causing loss in plant vigor. Many other products were moderately effective on mildew control but caused mild to severe loss in vigor due to phytotoxicity.","author":[{"dropping-particle":"","family":"Tjosvold","given":"Steven A.","non-dropping-particle":"","parse-names":false,"suffix":""},{"dropping-particle":"","family":"Koike","given":"Steven T.","non-dropping-particle":"","parse-names":false,"suffix":""}],"container-title":"Acta Horticulturae","id":"ITEM-1","issued":{"date-parts":[["2001"]]},"page":"59-70","title":"Evaluation of reduced risk and other biorational fungicides on the control of powdery mildew on greenhouse roses","type":"article-journal","volume":"547"},"uris":["http://www.mendeley.com/documents/?uuid=a3f8ff13-1bb8-4b2e-b147-b9fbd9d27a88"]},{"id":"ITEM-2","itemData":{"DOI":"10.1002/ps.1846","ISSN":"1526498X","PMID":"19757502","abstract":"Background: Bumble bees [Bombus impatiens (Cresson)] are widely used for supplemental pollination of greenhouse vegetables and are at risk of pesticide exposure while foraging. The objective of this study was to determine the lethal and sub-lethal effects of four insecticides (imidacloprid, abamectin, metaflumizone and chlorantraniliprole) and three fungicides (myclobutanil, potassium bicarbonate and cyprodinil + fludioxonil) used or with potential for use in Ontario greenhouse vegetable production to B. impatiens. Results: Imidacloprid, abamectin, and metaflumizone were harmful to worker bees following direct contact, while chlorantraniliprole and all fungicides tested were harmless. Worker bees fed imidacloprid-contaminated pollen had shortened life spans and were unable to produce brood. Worker bees consumedles spollen contaminated with a bamectin. Metaflumizone, chlorantraniliprole and all fungicides tested caused no sub-lethal effects in bumble bee micro-colonies. Conclusion: We conclude that the new reduced risk insecticides metaflumizone and chlorantraniliprole and the fungicides myclobutanil, potassium bicarbonate and cyprodinil + fludioxonil are safe for greenhouse use in the presence of bumble bees. This information can be used preserve greenhouse pollination programs while maintaining acceptable pest management. © 2009 Society of Chemical Industry.","author":[{"dropping-particle":"","family":"Gradish","given":"Angela E.","non-dropping-particle":"","parse-names":false,"suffix":""},{"dropping-particle":"","family":"Scott-Dupree","given":"Cynthia D.","non-dropping-particle":"","parse-names":false,"suffix":""},{"dropping-particle":"","family":"Shipp","given":"Les","non-dropping-particle":"","parse-names":false,"suffix":""},{"dropping-particle":"","family":"Harris","given":"C. Ron","non-dropping-particle":"","parse-names":false,"suffix":""},{"dropping-particle":"","family":"Ferguson","given":"Gillian","non-dropping-particle":"","parse-names":false,"suffix":""}],"container-title":"Pest Management Science","id":"ITEM-2","issue":"2","issued":{"date-parts":[["2010"]]},"page":"142-146","title":"Effect of reduced risk pesticides for use in greenhouse vegetable production on Bombus impatiens (Hymenoptera: Apidae)","type":"article-journal","volume":"66"},"uris":["http://www.mendeley.com/documents/?uuid=1277863d-42a6-47de-877f-dbd05e87bdd4"]}],"mendeley":{"formattedCitation":"(Gradish et al., 2010; Tjosvold &amp; Koike, 2001)","plainTextFormattedCitation":"(Gradish et al., 2010; Tjosvold &amp; Koike, 2001)","previouslyFormattedCitation":"(Gradish et al., 2010; Tjosvold &amp; Koike, 2001)"},"properties":{"noteIndex":0},"schema":"https://github.com/citation-style-language/schema/raw/master/csl-citation.json"}</w:instrText>
      </w:r>
      <w:r w:rsidRPr="008E2CD0">
        <w:fldChar w:fldCharType="separate"/>
      </w:r>
      <w:r w:rsidRPr="008E2CD0">
        <w:rPr>
          <w:noProof/>
        </w:rPr>
        <w:t xml:space="preserve">(Gradish </w:t>
      </w:r>
      <w:r>
        <w:rPr>
          <w:noProof/>
        </w:rPr>
        <w:t>et al.,</w:t>
      </w:r>
      <w:r w:rsidRPr="008E2CD0">
        <w:rPr>
          <w:noProof/>
        </w:rPr>
        <w:t xml:space="preserve"> 2010; Tjosvold &amp; Koike, 2001)</w:t>
      </w:r>
      <w:r w:rsidRPr="008E2CD0">
        <w:fldChar w:fldCharType="end"/>
      </w:r>
      <w:r w:rsidRPr="008E2CD0">
        <w:t>. Many organic fungicides are registered for hemp in the United States (Environmental Protection Agency, 2021), and a few of these have been approved for use in Tennessee (Tennessee Department of Agriculture, 2021). Recently, four organic fungicides including Defguard, Exile, Regalia, and Stargus were tested against hemp powdery mildew and leaf spot in a field trial (Akinrinlola and Hansen, 2021). Although the fungicides showed excellent to moderate efficacy in the field, their efficacy in the greenhouse is unknown</w:t>
      </w:r>
      <w:r>
        <w:t>, and therefore</w:t>
      </w:r>
      <w:r w:rsidRPr="008E2CD0">
        <w:t xml:space="preserve"> </w:t>
      </w:r>
      <w:r>
        <w:t>t</w:t>
      </w:r>
      <w:r w:rsidRPr="008E2CD0">
        <w:t xml:space="preserve">hese </w:t>
      </w:r>
      <w:r>
        <w:t>products</w:t>
      </w:r>
      <w:r w:rsidRPr="008E2CD0">
        <w:t xml:space="preserve"> need to be tested in the greenhouse. Also, as more fungicides have recently been approved for hemp in Tennessee, their efficacy needs to be independently validated against powdery mildew to inform Extension recommendations. Continued production of hemp in greenhouses in Tennessee may promote the dispersal, incidence, and severity of powdery mildew in greenhouses across the state, thus calling for the need for more tested products to be available for use in the state. This is essential to provide diverse fungicide options for Tennessee hemp growers and to reduce the development of fungicide resistance in powdery mildew fungi. </w:t>
      </w:r>
      <w:r w:rsidRPr="008E2CD0">
        <w:rPr>
          <w:shd w:val="clear" w:color="auto" w:fill="FFFFFF"/>
        </w:rPr>
        <w:t>Therefore, the objectives of this study were to (1) identify the fungal species causing powdery mildew on hemp in Tennessee, and (2) determine the efficacy of fungicide products against powdery mildew in the greenhouse.</w:t>
      </w:r>
      <w:r w:rsidRPr="008E2CD0" w:rsidDel="008A4CCF">
        <w:rPr>
          <w:shd w:val="clear" w:color="auto" w:fill="FFFFFF"/>
        </w:rPr>
        <w:t xml:space="preserve"> </w:t>
      </w:r>
    </w:p>
    <w:p w14:paraId="4C47CB1B" w14:textId="77777777" w:rsidR="00D20476" w:rsidRPr="008E2CD0" w:rsidRDefault="00D20476" w:rsidP="00D20476">
      <w:pPr>
        <w:spacing w:line="360" w:lineRule="auto"/>
        <w:ind w:left="720"/>
        <w:jc w:val="center"/>
        <w:rPr>
          <w:rFonts w:cs="Times New Roman"/>
          <w:b/>
          <w:szCs w:val="24"/>
        </w:rPr>
      </w:pPr>
    </w:p>
    <w:p w14:paraId="7947A851" w14:textId="77777777" w:rsidR="00D20476" w:rsidRDefault="00D20476" w:rsidP="00D20476">
      <w:pPr>
        <w:pStyle w:val="Heading1"/>
        <w:spacing w:line="360" w:lineRule="auto"/>
        <w:ind w:left="720"/>
        <w:jc w:val="center"/>
      </w:pPr>
      <w:bookmarkStart w:id="389" w:name="_Toc98812794"/>
      <w:bookmarkStart w:id="390" w:name="_Toc98813002"/>
      <w:bookmarkStart w:id="391" w:name="_Toc98813668"/>
      <w:bookmarkStart w:id="392" w:name="_Toc101048176"/>
      <w:r w:rsidRPr="008E2CD0">
        <w:t>Materials and methods</w:t>
      </w:r>
      <w:bookmarkEnd w:id="389"/>
      <w:bookmarkEnd w:id="390"/>
      <w:bookmarkEnd w:id="391"/>
      <w:bookmarkEnd w:id="392"/>
    </w:p>
    <w:p w14:paraId="4D111FA4" w14:textId="77777777" w:rsidR="00D20476" w:rsidRPr="008E2CD0" w:rsidRDefault="00D20476" w:rsidP="00FD1FC5">
      <w:pPr>
        <w:pStyle w:val="Heading2"/>
      </w:pPr>
      <w:bookmarkStart w:id="393" w:name="_Toc101048177"/>
      <w:bookmarkStart w:id="394" w:name="_Toc98812795"/>
      <w:bookmarkStart w:id="395" w:name="_Toc98813003"/>
      <w:bookmarkStart w:id="396" w:name="_Toc98813669"/>
      <w:r w:rsidRPr="008E2CD0">
        <w:t xml:space="preserve">Molecular identification </w:t>
      </w:r>
      <w:r>
        <w:t xml:space="preserve">and </w:t>
      </w:r>
      <w:r w:rsidRPr="004C3997">
        <w:t>phylogenetic analysis of the pathogen</w:t>
      </w:r>
      <w:bookmarkEnd w:id="393"/>
      <w:r w:rsidRPr="008E2CD0">
        <w:t xml:space="preserve"> </w:t>
      </w:r>
      <w:bookmarkEnd w:id="394"/>
      <w:bookmarkEnd w:id="395"/>
      <w:bookmarkEnd w:id="396"/>
    </w:p>
    <w:p w14:paraId="24F7A5EE" w14:textId="77777777" w:rsidR="00D20476" w:rsidRPr="004C3997" w:rsidRDefault="00D20476" w:rsidP="00D20476">
      <w:pPr>
        <w:spacing w:line="360" w:lineRule="auto"/>
        <w:ind w:left="720" w:firstLine="720"/>
        <w:rPr>
          <w:rFonts w:cs="Times New Roman"/>
          <w:bCs/>
          <w:szCs w:val="24"/>
          <w:shd w:val="clear" w:color="auto" w:fill="FFFFFF"/>
        </w:rPr>
      </w:pPr>
      <w:r w:rsidRPr="00C42ACC">
        <w:rPr>
          <w:rFonts w:cs="Times New Roman"/>
          <w:szCs w:val="24"/>
        </w:rPr>
        <w:t>The molecular identification of the pathogen was achieved by the amplification of three genetic regions using appropriate primer pairs: internal transcribed spacer (ITS) region using ITS-4/ITS-5 (5’-TCCTCCGCTTATTGATATGC-3’/5’-GGAAGTAAAAGTCGTAACAAGG-3’), intergenic spacer (IGS) region using IGS-12a/NSIR (5’- AGT CGT TGG ATT AGT GGC CG -3’/ 5’- GAG ACA AGC ATA TGA CTA C -3’), and the beta-tubulin (tub2) gene using TubF1/TubR1 (5’- AGG TTC ACC TCC AGA CTG G -3’/ 5’- CCA GCA CGA ACA GCA TCC AT -3’) (</w:t>
      </w:r>
      <w:r w:rsidRPr="00C42ACC">
        <w:rPr>
          <w:rFonts w:cs="Times New Roman"/>
          <w:szCs w:val="24"/>
          <w:shd w:val="clear" w:color="auto" w:fill="FFFFFF"/>
        </w:rPr>
        <w:t xml:space="preserve">Qiu </w:t>
      </w:r>
      <w:r>
        <w:rPr>
          <w:rFonts w:cs="Times New Roman"/>
          <w:szCs w:val="24"/>
          <w:shd w:val="clear" w:color="auto" w:fill="FFFFFF"/>
        </w:rPr>
        <w:t>et al.,</w:t>
      </w:r>
      <w:r w:rsidRPr="00C42ACC">
        <w:rPr>
          <w:rFonts w:cs="Times New Roman"/>
          <w:szCs w:val="24"/>
          <w:shd w:val="clear" w:color="auto" w:fill="FFFFFF"/>
        </w:rPr>
        <w:t xml:space="preserve"> 2020). </w:t>
      </w:r>
      <w:r w:rsidRPr="00C42ACC">
        <w:rPr>
          <w:rFonts w:cs="Times New Roman"/>
          <w:bCs/>
          <w:szCs w:val="24"/>
          <w:shd w:val="clear" w:color="auto" w:fill="FFFFFF"/>
        </w:rPr>
        <w:t xml:space="preserve"> Each PCR reaction was made up of a 20-µl mixture consisting of 10 µl of 2x Phire plant PCR buffer (</w:t>
      </w:r>
      <w:r w:rsidRPr="00C42ACC">
        <w:rPr>
          <w:rFonts w:cs="Times New Roman"/>
          <w:szCs w:val="24"/>
        </w:rPr>
        <w:t>Thermo Fisher Scientific</w:t>
      </w:r>
      <w:r w:rsidRPr="00C42ACC">
        <w:rPr>
          <w:rFonts w:cs="Times New Roman"/>
          <w:bCs/>
          <w:szCs w:val="24"/>
          <w:shd w:val="clear" w:color="auto" w:fill="FFFFFF"/>
        </w:rPr>
        <w:t xml:space="preserve">, </w:t>
      </w:r>
      <w:r w:rsidRPr="00C42ACC">
        <w:rPr>
          <w:rFonts w:cs="Times New Roman"/>
          <w:szCs w:val="24"/>
          <w:shd w:val="clear" w:color="auto" w:fill="FFFFFF"/>
        </w:rPr>
        <w:t>Waltham, MA</w:t>
      </w:r>
      <w:r w:rsidRPr="00C42ACC">
        <w:rPr>
          <w:rFonts w:cs="Times New Roman"/>
          <w:bCs/>
          <w:szCs w:val="24"/>
          <w:shd w:val="clear" w:color="auto" w:fill="FFFFFF"/>
        </w:rPr>
        <w:t>), 1 µl each of 10 mM forward and reverse primers, 0.4 µl of Phire Hot Start II DNA polymerase buffer (</w:t>
      </w:r>
      <w:r w:rsidRPr="00C42ACC">
        <w:rPr>
          <w:rFonts w:cs="Times New Roman"/>
          <w:szCs w:val="24"/>
        </w:rPr>
        <w:t>Thermo Fisher Scientific</w:t>
      </w:r>
      <w:r w:rsidRPr="00C42ACC">
        <w:rPr>
          <w:rFonts w:cs="Times New Roman"/>
          <w:bCs/>
          <w:szCs w:val="24"/>
          <w:shd w:val="clear" w:color="auto" w:fill="FFFFFF"/>
        </w:rPr>
        <w:t xml:space="preserve">, </w:t>
      </w:r>
      <w:r w:rsidRPr="00C42ACC">
        <w:rPr>
          <w:rFonts w:cs="Times New Roman"/>
          <w:szCs w:val="24"/>
          <w:shd w:val="clear" w:color="auto" w:fill="FFFFFF"/>
        </w:rPr>
        <w:t>Waltham, MA</w:t>
      </w:r>
      <w:r w:rsidRPr="00C42ACC">
        <w:rPr>
          <w:rFonts w:cs="Times New Roman"/>
          <w:bCs/>
          <w:szCs w:val="24"/>
          <w:shd w:val="clear" w:color="auto" w:fill="FFFFFF"/>
        </w:rPr>
        <w:t>), 7.6 µl of sterile distilled water, and 5 µl PM conidia solution or SDW (negative control). The conidia used for the beta-tubulin PCR reaction were first lysed by exposure to 5% Chelex before being used for the PCR reaction (</w:t>
      </w:r>
      <w:r w:rsidRPr="00C42ACC">
        <w:rPr>
          <w:rFonts w:cs="Times New Roman"/>
          <w:szCs w:val="24"/>
          <w:shd w:val="clear" w:color="auto" w:fill="FFFFFF"/>
        </w:rPr>
        <w:t xml:space="preserve">Hirata </w:t>
      </w:r>
      <w:r>
        <w:rPr>
          <w:rFonts w:cs="Times New Roman"/>
          <w:szCs w:val="24"/>
          <w:shd w:val="clear" w:color="auto" w:fill="FFFFFF"/>
        </w:rPr>
        <w:t xml:space="preserve">&amp; </w:t>
      </w:r>
      <w:r w:rsidRPr="00C42ACC">
        <w:rPr>
          <w:rFonts w:cs="Times New Roman"/>
          <w:szCs w:val="24"/>
          <w:shd w:val="clear" w:color="auto" w:fill="FFFFFF"/>
        </w:rPr>
        <w:t>Takamatsu, 1996</w:t>
      </w:r>
      <w:r w:rsidRPr="00C42ACC">
        <w:rPr>
          <w:rFonts w:cs="Times New Roman"/>
          <w:bCs/>
          <w:szCs w:val="24"/>
          <w:shd w:val="clear" w:color="auto" w:fill="FFFFFF"/>
        </w:rPr>
        <w:t>). The PCR reactions were run using a Bio-Rad T100 thermal cycler (Bio-Rad, Hercules, CA) using the following programs: for the ITS and IGS regions; 5 min at 98°C, then 40 cycles of 98°C for 5 s, 52°C for 5 s, and 72°C for 20 s, and a final phase of 72°C for 1 min; and the</w:t>
      </w:r>
      <w:r w:rsidRPr="00C42ACC">
        <w:rPr>
          <w:rFonts w:cs="Times New Roman"/>
          <w:szCs w:val="24"/>
        </w:rPr>
        <w:t xml:space="preserve"> beta-tubulin gene</w:t>
      </w:r>
      <w:r w:rsidRPr="00C42ACC">
        <w:rPr>
          <w:rFonts w:cs="Times New Roman"/>
          <w:bCs/>
          <w:szCs w:val="24"/>
          <w:shd w:val="clear" w:color="auto" w:fill="FFFFFF"/>
        </w:rPr>
        <w:t xml:space="preserve">, 5 min at 95°C, then 30 cycles of 95°C for 1 min, 52°C for 30 s, and 72°C for 2 min, and a final phase of 72°C for 8 min; The PCR products were viewed on 1.5% agarose gel stained with Gel Red, and successfully amplified products were then sequenced by Eurofins Genomics (Louisville, KY). Sequences were searched against the NCBI nucleotide database using the Basic Local Alignment Search Tool (BLAST), and search queries with greater than 95% coverage and identity were recorded. Sequences generated in this study were deposited in GenBank. BLAST search results were further validated through the construction of a </w:t>
      </w:r>
      <w:r w:rsidRPr="004C3997">
        <w:rPr>
          <w:rFonts w:cs="Times New Roman"/>
          <w:bCs/>
          <w:szCs w:val="24"/>
          <w:shd w:val="clear" w:color="auto" w:fill="FFFFFF"/>
        </w:rPr>
        <w:t xml:space="preserve">neighbor-joining tree. ITS, IGS, and beta-tubulin nucleotide sequences of the powdery mildew isolate (TN isolate) and 12 reference isolates belonging to </w:t>
      </w:r>
      <w:r w:rsidRPr="004C3997">
        <w:rPr>
          <w:rFonts w:cs="Times New Roman"/>
          <w:bCs/>
          <w:i/>
          <w:szCs w:val="24"/>
          <w:shd w:val="clear" w:color="auto" w:fill="FFFFFF"/>
        </w:rPr>
        <w:t xml:space="preserve">G. ambrosiae </w:t>
      </w:r>
      <w:r w:rsidRPr="004C3997">
        <w:rPr>
          <w:rFonts w:cs="Times New Roman"/>
          <w:bCs/>
          <w:iCs/>
          <w:szCs w:val="24"/>
          <w:shd w:val="clear" w:color="auto" w:fill="FFFFFF"/>
        </w:rPr>
        <w:t xml:space="preserve">(n=5), </w:t>
      </w:r>
      <w:r w:rsidRPr="004C3997">
        <w:rPr>
          <w:rFonts w:cs="Times New Roman"/>
          <w:bCs/>
          <w:i/>
          <w:szCs w:val="24"/>
          <w:shd w:val="clear" w:color="auto" w:fill="FFFFFF"/>
        </w:rPr>
        <w:t xml:space="preserve">G. latisporus </w:t>
      </w:r>
      <w:r w:rsidRPr="004C3997">
        <w:rPr>
          <w:rFonts w:cs="Times New Roman"/>
          <w:bCs/>
          <w:iCs/>
          <w:szCs w:val="24"/>
          <w:shd w:val="clear" w:color="auto" w:fill="FFFFFF"/>
        </w:rPr>
        <w:t xml:space="preserve">(n=5), </w:t>
      </w:r>
      <w:r w:rsidRPr="004C3997">
        <w:rPr>
          <w:rFonts w:cs="Times New Roman"/>
          <w:bCs/>
          <w:i/>
          <w:szCs w:val="24"/>
          <w:shd w:val="clear" w:color="auto" w:fill="FFFFFF"/>
        </w:rPr>
        <w:t xml:space="preserve">G. circumfusus </w:t>
      </w:r>
      <w:r w:rsidRPr="004C3997">
        <w:rPr>
          <w:rFonts w:cs="Times New Roman"/>
          <w:bCs/>
          <w:iCs/>
          <w:szCs w:val="24"/>
          <w:shd w:val="clear" w:color="auto" w:fill="FFFFFF"/>
        </w:rPr>
        <w:t xml:space="preserve">(n=1), and </w:t>
      </w:r>
      <w:r w:rsidRPr="004C3997">
        <w:rPr>
          <w:rFonts w:cs="Times New Roman"/>
          <w:bCs/>
          <w:i/>
          <w:szCs w:val="24"/>
          <w:shd w:val="clear" w:color="auto" w:fill="FFFFFF"/>
        </w:rPr>
        <w:t xml:space="preserve">G. magnicellatus </w:t>
      </w:r>
      <w:r w:rsidRPr="004C3997">
        <w:rPr>
          <w:rFonts w:cs="Times New Roman"/>
          <w:bCs/>
          <w:iCs/>
          <w:szCs w:val="24"/>
          <w:shd w:val="clear" w:color="auto" w:fill="FFFFFF"/>
        </w:rPr>
        <w:t xml:space="preserve">(n=1) </w:t>
      </w:r>
      <w:r w:rsidRPr="004C3997">
        <w:rPr>
          <w:rFonts w:cs="Times New Roman"/>
          <w:bCs/>
          <w:szCs w:val="24"/>
          <w:shd w:val="clear" w:color="auto" w:fill="FFFFFF"/>
        </w:rPr>
        <w:t xml:space="preserve">(Table </w:t>
      </w:r>
      <w:r>
        <w:rPr>
          <w:rFonts w:cs="Times New Roman"/>
          <w:bCs/>
          <w:szCs w:val="24"/>
          <w:shd w:val="clear" w:color="auto" w:fill="FFFFFF"/>
        </w:rPr>
        <w:t>5.</w:t>
      </w:r>
      <w:r w:rsidRPr="004C3997">
        <w:rPr>
          <w:rFonts w:cs="Times New Roman"/>
          <w:bCs/>
          <w:szCs w:val="24"/>
          <w:shd w:val="clear" w:color="auto" w:fill="FFFFFF"/>
        </w:rPr>
        <w:t>1)</w:t>
      </w:r>
      <w:r>
        <w:rPr>
          <w:rFonts w:cs="Times New Roman"/>
          <w:bCs/>
          <w:szCs w:val="24"/>
          <w:shd w:val="clear" w:color="auto" w:fill="FFFFFF"/>
        </w:rPr>
        <w:t xml:space="preserve"> (Qiu et al., 2020</w:t>
      </w:r>
      <w:r w:rsidRPr="004C3997">
        <w:rPr>
          <w:rFonts w:cs="Times New Roman"/>
          <w:bCs/>
          <w:szCs w:val="24"/>
          <w:shd w:val="clear" w:color="auto" w:fill="FFFFFF"/>
        </w:rPr>
        <w:t xml:space="preserve">) were aligned using Muscle in Mega X (Kumar </w:t>
      </w:r>
      <w:r>
        <w:rPr>
          <w:rFonts w:cs="Times New Roman"/>
          <w:bCs/>
          <w:szCs w:val="24"/>
          <w:shd w:val="clear" w:color="auto" w:fill="FFFFFF"/>
        </w:rPr>
        <w:t>et al.,</w:t>
      </w:r>
      <w:r w:rsidRPr="004C3997">
        <w:rPr>
          <w:rFonts w:cs="Times New Roman"/>
          <w:bCs/>
          <w:szCs w:val="24"/>
          <w:shd w:val="clear" w:color="auto" w:fill="FFFFFF"/>
        </w:rPr>
        <w:t xml:space="preserve"> 2018)</w:t>
      </w:r>
      <w:r>
        <w:rPr>
          <w:rFonts w:cs="Times New Roman"/>
          <w:bCs/>
          <w:szCs w:val="24"/>
          <w:shd w:val="clear" w:color="auto" w:fill="FFFFFF"/>
        </w:rPr>
        <w:t xml:space="preserve">. </w:t>
      </w:r>
      <w:r w:rsidRPr="004C3997">
        <w:rPr>
          <w:rFonts w:cs="Times New Roman"/>
          <w:bCs/>
          <w:szCs w:val="24"/>
          <w:shd w:val="clear" w:color="auto" w:fill="FFFFFF"/>
        </w:rPr>
        <w:t>The aligned sequences were concatenated and used to generate a neighbor-joining tree in Mega, using the Tamura-Nei model with 1000 bootstrapping repetitions and pairwise deletion used to address alignment gaps.</w:t>
      </w:r>
    </w:p>
    <w:p w14:paraId="4BA55CA6" w14:textId="77777777" w:rsidR="00D20476" w:rsidRPr="008E2CD0" w:rsidRDefault="00D20476" w:rsidP="00D20476">
      <w:pPr>
        <w:spacing w:line="360" w:lineRule="auto"/>
        <w:ind w:left="720"/>
        <w:rPr>
          <w:rFonts w:cs="Times New Roman"/>
          <w:bCs/>
          <w:szCs w:val="24"/>
          <w:shd w:val="clear" w:color="auto" w:fill="FFFFFF"/>
        </w:rPr>
      </w:pPr>
    </w:p>
    <w:p w14:paraId="21E02732" w14:textId="77777777" w:rsidR="00D20476" w:rsidRPr="008E2CD0" w:rsidRDefault="00D20476" w:rsidP="00FD1FC5">
      <w:pPr>
        <w:pStyle w:val="Heading2"/>
      </w:pPr>
      <w:bookmarkStart w:id="397" w:name="_Toc98812796"/>
      <w:bookmarkStart w:id="398" w:name="_Toc98813004"/>
      <w:bookmarkStart w:id="399" w:name="_Toc98813670"/>
      <w:bookmarkStart w:id="400" w:name="_Toc101048178"/>
      <w:r w:rsidRPr="008E2CD0">
        <w:t>Greenhouse experimental design</w:t>
      </w:r>
      <w:bookmarkEnd w:id="397"/>
      <w:bookmarkEnd w:id="398"/>
      <w:bookmarkEnd w:id="399"/>
      <w:bookmarkEnd w:id="400"/>
    </w:p>
    <w:p w14:paraId="2F4C694E" w14:textId="77777777" w:rsidR="00D20476" w:rsidRPr="00593FBC" w:rsidRDefault="00D20476" w:rsidP="00D20476">
      <w:pPr>
        <w:pStyle w:val="NormalWeb"/>
        <w:spacing w:before="0" w:beforeAutospacing="0" w:after="0" w:afterAutospacing="0" w:line="360" w:lineRule="auto"/>
        <w:ind w:left="720" w:firstLine="720"/>
        <w:rPr>
          <w:b/>
        </w:rPr>
      </w:pPr>
      <w:r w:rsidRPr="004C3997">
        <w:t>The study was conducted at the University of Tennessee Knoxville North Greenhouse between November 2020 and May 2021. ‘BaOx2’ (South Central Growers, Springfield, TN, experiment 1) and ‘Sweetened’</w:t>
      </w:r>
      <w:r>
        <w:t xml:space="preserve"> </w:t>
      </w:r>
      <w:r w:rsidRPr="004C3997">
        <w:t xml:space="preserve">(PWP Greenhouse, Pall Mall, TN, experiments 2 and 3), which are susceptible to powdery mildew, were used in the study.  One plant (about 6-weeks-old) was planted per pot in 1-gallon plastic pots that were filled to about 2 inches from the top with Lambert Peat Moss potting mix (Quebec, Canada).  Pots were arranged in a randomized complete block design with four replicates in the greenhouse. Experiments were conducted three times, with a varying number of fungicides tested. Greenhouse temperatures during Experiment 1 ranged from 17°C to 26°C, Experiment 2 ranged from 20°C to 27°C, and Experiment 3 ranged from 14°C to 31°C. The average relative humidity during the three trials was 51%, 48%, and 56%, respectively. Plants were maintained under a photoperiod of 16h light and 8h dark. Plants were watered at least once daily or as needed and fertilized once per week using Miracle-Gro Plant Food (The Scotts Company, Marysville, OH) at the rate of 1-tbs per gallon. </w:t>
      </w:r>
    </w:p>
    <w:p w14:paraId="21709B65" w14:textId="77777777" w:rsidR="00D20476" w:rsidRPr="008E2CD0" w:rsidRDefault="00D20476" w:rsidP="00D20476">
      <w:pPr>
        <w:pStyle w:val="NormalWeb"/>
        <w:spacing w:before="0" w:beforeAutospacing="0" w:after="0" w:afterAutospacing="0" w:line="360" w:lineRule="auto"/>
        <w:ind w:left="720"/>
      </w:pPr>
      <w:r w:rsidRPr="008E2CD0">
        <w:rPr>
          <w:b/>
        </w:rPr>
        <w:t xml:space="preserve"> </w:t>
      </w:r>
    </w:p>
    <w:p w14:paraId="7A5617F3" w14:textId="77777777" w:rsidR="000222EB" w:rsidRDefault="000222EB">
      <w:pPr>
        <w:rPr>
          <w:rFonts w:cs="Times New Roman"/>
          <w:b/>
          <w:bCs/>
          <w:i/>
          <w:szCs w:val="24"/>
          <w:shd w:val="clear" w:color="auto" w:fill="FFFFFF"/>
        </w:rPr>
      </w:pPr>
      <w:bookmarkStart w:id="401" w:name="_Toc101048179"/>
      <w:r>
        <w:br w:type="page"/>
      </w:r>
    </w:p>
    <w:p w14:paraId="78064529" w14:textId="239A87BD" w:rsidR="00D20476" w:rsidRPr="008E2CD0" w:rsidRDefault="00D20476" w:rsidP="00FD1FC5">
      <w:pPr>
        <w:pStyle w:val="Heading2"/>
      </w:pPr>
      <w:r>
        <w:t>Conidial inoculation</w:t>
      </w:r>
      <w:bookmarkEnd w:id="401"/>
      <w:r>
        <w:t xml:space="preserve"> </w:t>
      </w:r>
      <w:r w:rsidRPr="008E2CD0">
        <w:t xml:space="preserve"> </w:t>
      </w:r>
    </w:p>
    <w:p w14:paraId="23981D13" w14:textId="77777777" w:rsidR="00D20476" w:rsidRPr="004C3997" w:rsidRDefault="00D20476" w:rsidP="00D20476">
      <w:pPr>
        <w:pStyle w:val="NormalWeb"/>
        <w:spacing w:before="0" w:beforeAutospacing="0" w:after="0" w:afterAutospacing="0" w:line="360" w:lineRule="auto"/>
        <w:ind w:left="720" w:firstLine="720"/>
        <w:rPr>
          <w:color w:val="0E101A"/>
        </w:rPr>
      </w:pPr>
      <w:bookmarkStart w:id="402" w:name="_Toc98812798"/>
      <w:bookmarkStart w:id="403" w:name="_Toc98813006"/>
      <w:bookmarkStart w:id="404" w:name="_Toc98813672"/>
      <w:r w:rsidRPr="004C3997">
        <w:t>Conidial suspensions containing 2x10</w:t>
      </w:r>
      <w:r w:rsidRPr="004C3997">
        <w:rPr>
          <w:vertAlign w:val="superscript"/>
        </w:rPr>
        <w:t xml:space="preserve">5 </w:t>
      </w:r>
      <w:r w:rsidRPr="004C3997">
        <w:t xml:space="preserve">conidia/ml were prepared using conidia collected from powdery mildew-infected plants (‘Sweetened’ cultivar) that had been growing in the greenhouse. Powdery mildew-infected leaves were collected from the infected plants and washed in deionized water. The conidia released into the water </w:t>
      </w:r>
      <w:r w:rsidRPr="004C3997">
        <w:rPr>
          <w:color w:val="0E101A"/>
        </w:rPr>
        <w:t>were then separated from plant debris by filtering through a four-layer cheesecloth. The concentration of the resulting conidial suspension was then estimated using a hemocytometer under a light microscope. The concentration was standardized to 2</w:t>
      </w:r>
      <w:r>
        <w:t>×</w:t>
      </w:r>
      <w:r w:rsidRPr="004C3997">
        <w:rPr>
          <w:color w:val="0E101A"/>
        </w:rPr>
        <w:t>10</w:t>
      </w:r>
      <w:r w:rsidRPr="004C3997">
        <w:rPr>
          <w:color w:val="0E101A"/>
          <w:vertAlign w:val="superscript"/>
        </w:rPr>
        <w:t xml:space="preserve">5 </w:t>
      </w:r>
      <w:r>
        <w:rPr>
          <w:color w:val="0E101A"/>
          <w:vertAlign w:val="superscript"/>
        </w:rPr>
        <w:t xml:space="preserve"> </w:t>
      </w:r>
      <w:r w:rsidRPr="004C3997">
        <w:rPr>
          <w:color w:val="0E101A"/>
        </w:rPr>
        <w:t xml:space="preserve">conidial/ml by dilution with deionized water. Suspensions were then sprayed on the leaves of each plant using a 1-L hand-held sprayer (Solo Inc., Newport News, VA). Plants were sprayed to achieve thorough coverage of both upper and lower leaf surfaces, with approximately 20 ml of conidial suspension applied to each plant. </w:t>
      </w:r>
    </w:p>
    <w:p w14:paraId="1DA01A07" w14:textId="77777777" w:rsidR="00D20476" w:rsidRDefault="00D20476" w:rsidP="00FD1FC5">
      <w:pPr>
        <w:pStyle w:val="Heading2"/>
      </w:pPr>
    </w:p>
    <w:p w14:paraId="221333E5" w14:textId="77777777" w:rsidR="00D20476" w:rsidRPr="008E2CD0" w:rsidRDefault="00D20476" w:rsidP="00FD1FC5">
      <w:pPr>
        <w:pStyle w:val="Heading2"/>
      </w:pPr>
      <w:bookmarkStart w:id="405" w:name="_Toc101048180"/>
      <w:r w:rsidRPr="008E2CD0">
        <w:t>Fungicide applications</w:t>
      </w:r>
      <w:bookmarkEnd w:id="402"/>
      <w:bookmarkEnd w:id="403"/>
      <w:bookmarkEnd w:id="404"/>
      <w:bookmarkEnd w:id="405"/>
      <w:r w:rsidRPr="008E2CD0">
        <w:t xml:space="preserve"> </w:t>
      </w:r>
    </w:p>
    <w:p w14:paraId="55BA9841" w14:textId="77777777" w:rsidR="00D20476" w:rsidRPr="004C3997" w:rsidRDefault="00D20476" w:rsidP="00D20476">
      <w:pPr>
        <w:pStyle w:val="NormalWeb"/>
        <w:spacing w:before="0" w:beforeAutospacing="0" w:after="0" w:afterAutospacing="0" w:line="360" w:lineRule="auto"/>
        <w:ind w:left="720" w:firstLine="720"/>
      </w:pPr>
      <w:r w:rsidRPr="004C3997">
        <w:t xml:space="preserve">Thirteen fungicide products, consisting of nine commercial and four experimental products, were evaluated in this study (Table </w:t>
      </w:r>
      <w:r>
        <w:t>5.</w:t>
      </w:r>
      <w:r w:rsidRPr="004C3997">
        <w:t xml:space="preserve">2). </w:t>
      </w:r>
      <w:r w:rsidRPr="004C3997">
        <w:rPr>
          <w:color w:val="0E101A"/>
        </w:rPr>
        <w:t xml:space="preserve">Most of the commercial products are considered organic bio-pesticides, labeled for controlling fungal diseases on several crops, and are registered for use on hemp in Tennessee. </w:t>
      </w:r>
      <w:r w:rsidRPr="004C3997">
        <w:t xml:space="preserve">The products included </w:t>
      </w:r>
      <w:r w:rsidRPr="004C3997">
        <w:rPr>
          <w:color w:val="0E101A"/>
        </w:rPr>
        <w:t>Bonide sulfur (sulfur), Cinnerate (</w:t>
      </w:r>
      <w:r w:rsidRPr="004C3997">
        <w:t>Cinnamon oil)</w:t>
      </w:r>
      <w:r w:rsidRPr="004C3997">
        <w:rPr>
          <w:color w:val="0E101A"/>
        </w:rPr>
        <w:t xml:space="preserve">, </w:t>
      </w:r>
      <w:r w:rsidRPr="004C3997">
        <w:t>Defguard (</w:t>
      </w:r>
      <w:r w:rsidRPr="004C3997">
        <w:rPr>
          <w:i/>
          <w:iCs/>
        </w:rPr>
        <w:t xml:space="preserve">B. amyloliquefaciens </w:t>
      </w:r>
      <w:r w:rsidRPr="004C3997">
        <w:t xml:space="preserve">D747), Exile (potassium salts of fatty acids), MilStop (Potassium bicarbonate), Regalia (extract of </w:t>
      </w:r>
      <w:r w:rsidRPr="004C3997">
        <w:rPr>
          <w:i/>
          <w:iCs/>
        </w:rPr>
        <w:t>Reynoutria sachalinensis)</w:t>
      </w:r>
      <w:r w:rsidRPr="004C3997">
        <w:t>, Sil-Matrix (Potassium silicate), and Stargus (</w:t>
      </w:r>
      <w:r w:rsidRPr="004C3997">
        <w:rPr>
          <w:i/>
          <w:iCs/>
        </w:rPr>
        <w:t xml:space="preserve">Bacillus amyloliquefaciens </w:t>
      </w:r>
      <w:r w:rsidRPr="004C3997">
        <w:t xml:space="preserve">F727). Luna Experience is a commercial product containing </w:t>
      </w:r>
      <w:r w:rsidRPr="004C3997">
        <w:rPr>
          <w:color w:val="0E101A"/>
        </w:rPr>
        <w:t>fluoypram and tebuconazole</w:t>
      </w:r>
      <w:r w:rsidRPr="004C3997">
        <w:t>. Although not registered for use on hemp, it was included in the study as a positive control because of its known efficacy against powdery mildew on other crops (</w:t>
      </w:r>
      <w:r w:rsidRPr="004C3997">
        <w:rPr>
          <w:color w:val="222222"/>
          <w:shd w:val="clear" w:color="auto" w:fill="FFFFFF"/>
        </w:rPr>
        <w:t xml:space="preserve">Blundell </w:t>
      </w:r>
      <w:r>
        <w:rPr>
          <w:color w:val="222222"/>
          <w:shd w:val="clear" w:color="auto" w:fill="FFFFFF"/>
        </w:rPr>
        <w:t>et al.,</w:t>
      </w:r>
      <w:r w:rsidRPr="004C3997">
        <w:rPr>
          <w:color w:val="222222"/>
          <w:shd w:val="clear" w:color="auto" w:fill="FFFFFF"/>
        </w:rPr>
        <w:t xml:space="preserve"> 2019; </w:t>
      </w:r>
      <w:r w:rsidRPr="004C3997">
        <w:fldChar w:fldCharType="begin" w:fldLock="1"/>
      </w:r>
      <w:r w:rsidRPr="004C3997">
        <w:instrText>ADDIN CSL_CITATION {"citationItems":[{"id":"ITEM-1","itemData":{"DOI":"10.1002/jsfa.10542","ISSN":"10970010","PMID":"32500528","abstract":"BACKGROUND: Fluopyram is a pesticide widely used in tomato and cucumber crops cultivation to control fungal diseases that develop especially in environments with moderate temperatures and high humidity, such as in a greenhouse. The pathway of fluopyram dissipation has been monitored in cucumber and cherry tomato under greenhouse conditions. RESULTS: In the greenhouse trials, cherry tomato and cucumber were treated by irrigation water with the commercial product at the manufacturer’s recommended dose and double dose. High-resolution mass spectrometry (HRMS) coupled to ultra-high-performance liquid chromatography (UHPLC) has been selected as the technique to obtain the identification of fluopyram and metabolites. The fate of fluopyram in greenhouse tomato and cucumber was investigated over 44 days. The metabolic pathway of fluopyram was: in a first step there was a primary transformation to fluopyram-7-hydroxy and fluopyram-8-hydroxy, isomeric compounds, and in a second phase to fluopyram-benzamide and fluopyram-pyridyl-carboxylic acid. The behavior of fluopyram does not fit any type of kinetic classical model of degradation. CONCLUSIONS: Greenhouse trials revealed that the fluopyram is a very persistent compound, and their terminal residues do not exceed maximum residue level (MRL) at the end of the study. © 2020 Society of Chemical Industry.","author":[{"dropping-particle":"","family":"Vargas-Pérez","given":"Marta","non-dropping-particle":"","parse-names":false,"suffix":""},{"dropping-particle":"","family":"Egea González","given":"Francisco Javier","non-dropping-particle":"","parse-names":false,"suffix":""},{"dropping-particle":"","family":"Garrido Frenich","given":"Antonia","non-dropping-particle":"","parse-names":false,"suffix":""}],"container-title":"Journal of the Science of Food and Agriculture","id":"ITEM-1","issue":"13","issued":{"date-parts":[["2020"]]},"page":"4826-4833","title":"Dissipation and residue determination of fluopyram and its metabolites in greenhouse crops","type":"article-journal","volume":"100"},"uris":["http://www.mendeley.com/documents/?uuid=afdae12e-44c2-49f1-b47d-f22d2594debe"]},{"id":"ITEM-2","itemData":{"author":[{"dropping-particle":"","family":"Kwok","given":"Iris M","non-dropping-particle":"","parse-names":false,"suffix":""},{"dropping-particle":"","family":"Loeffler","given":"R Thomas","non-dropping-particle":"","parse-names":false,"suffix":""}],"id":"ITEM-2","issued":{"date-parts":[["1993"]]},"page":"1-11","title":"The Biochemical Mode","type":"article-journal"},"uris":["http://www.mendeley.com/documents/?uuid=eed1fc4e-d6ba-4a11-9808-55a35a6c98a9"]}],"mendeley":{"formattedCitation":"(Kwok &amp; Loeffler, 1993; Vargas-Pérez et al., 2020)","manualFormatting":"Proffer et al. 2012; Veloukas and Karaoglanidis 2012; Vitale et al. 2016","plainTextFormattedCitation":"(Kwok &amp; Loeffler, 1993; Vargas-Pérez et al., 2020)","previouslyFormattedCitation":"(Kwok &amp; Loeffler, 1993; Vargas-Pérez et al., 2020)"},"properties":{"noteIndex":0},"schema":"https://github.com/citation-style-language/schema/raw/master/csl-citation.json"}</w:instrText>
      </w:r>
      <w:r w:rsidRPr="004C3997">
        <w:fldChar w:fldCharType="separate"/>
      </w:r>
      <w:r w:rsidRPr="004C3997">
        <w:rPr>
          <w:noProof/>
        </w:rPr>
        <w:t xml:space="preserve">Proffer </w:t>
      </w:r>
      <w:r>
        <w:rPr>
          <w:noProof/>
        </w:rPr>
        <w:t>et al., 2013</w:t>
      </w:r>
      <w:r w:rsidRPr="004C3997">
        <w:rPr>
          <w:noProof/>
        </w:rPr>
        <w:t>; Veloukas and Karaoglanidis</w:t>
      </w:r>
      <w:r>
        <w:rPr>
          <w:noProof/>
        </w:rPr>
        <w:t>,</w:t>
      </w:r>
      <w:r w:rsidRPr="004C3997">
        <w:rPr>
          <w:noProof/>
        </w:rPr>
        <w:t xml:space="preserve"> 2012; Vitale </w:t>
      </w:r>
      <w:r>
        <w:rPr>
          <w:noProof/>
        </w:rPr>
        <w:t>et al.,</w:t>
      </w:r>
      <w:r w:rsidRPr="004C3997">
        <w:rPr>
          <w:noProof/>
        </w:rPr>
        <w:t xml:space="preserve"> 2016</w:t>
      </w:r>
      <w:r w:rsidRPr="004C3997">
        <w:fldChar w:fldCharType="end"/>
      </w:r>
      <w:r w:rsidRPr="004C3997">
        <w:t>). The experimental products included IP-1, IP-2, IP-V1, and IP-V4 from industry partners (Table</w:t>
      </w:r>
      <w:r>
        <w:t xml:space="preserve"> 5.</w:t>
      </w:r>
      <w:r w:rsidRPr="004C3997">
        <w:t xml:space="preserve">2). </w:t>
      </w:r>
    </w:p>
    <w:p w14:paraId="726FDB10" w14:textId="77777777" w:rsidR="00D20476" w:rsidRPr="004C3997" w:rsidRDefault="00D20476" w:rsidP="00D20476">
      <w:pPr>
        <w:pStyle w:val="NormalWeb"/>
        <w:spacing w:before="0" w:beforeAutospacing="0" w:after="0" w:afterAutospacing="0" w:line="360" w:lineRule="auto"/>
        <w:ind w:left="720"/>
        <w:rPr>
          <w:color w:val="0E101A"/>
        </w:rPr>
      </w:pPr>
      <w:r>
        <w:tab/>
      </w:r>
      <w:r w:rsidRPr="004C3997">
        <w:t>There were a total of 14 treatments across the three experiments, with each treatment tested in at least two experiments. Applications were made three times at 7-day intervals in each experiment, either as a prophylactic or post-inoculation treatment. The first application of the prophylactic treatments was made 1-day before conidial inoculation, while that of the post-inoculation treatments was made 1-day or 7-days (Regalia*) after conidial inoculation. Experiment 1 consisted of 11 prophylactic and 1 post-inoculation treatment. Experiment 2 consisted of 12 prophylactic and 2 post-inoculation treatments. Experiment 3 consisted of 5 prophylactic and 1 post-inoculation treatment. Regalia* and IP-V1* were the post-inoculation treatments. All treatments were applied to the plants the same day the treatments were prepared. The leaves of the plants were thoroughly sprayed with treatment solutions using 1-L hand-held sprayers (Solo Inc., Newport News, VA). Water was sprayed on plants as the control treatment.</w:t>
      </w:r>
    </w:p>
    <w:p w14:paraId="4833F2C4" w14:textId="77777777" w:rsidR="00D20476" w:rsidRPr="008E2CD0" w:rsidRDefault="00D20476" w:rsidP="00D20476">
      <w:pPr>
        <w:pStyle w:val="NormalWeb"/>
        <w:spacing w:before="0" w:beforeAutospacing="0" w:after="0" w:afterAutospacing="0" w:line="360" w:lineRule="auto"/>
        <w:ind w:left="720"/>
        <w:rPr>
          <w:b/>
        </w:rPr>
      </w:pPr>
    </w:p>
    <w:p w14:paraId="0BF53015" w14:textId="77777777" w:rsidR="00D20476" w:rsidRPr="008E2CD0" w:rsidRDefault="00D20476" w:rsidP="00FD1FC5">
      <w:pPr>
        <w:pStyle w:val="Heading2"/>
      </w:pPr>
      <w:bookmarkStart w:id="406" w:name="_Toc98812799"/>
      <w:bookmarkStart w:id="407" w:name="_Toc98813007"/>
      <w:bookmarkStart w:id="408" w:name="_Toc98813673"/>
      <w:bookmarkStart w:id="409" w:name="_Toc101048181"/>
      <w:r w:rsidRPr="008E2CD0">
        <w:t>Disease assessments</w:t>
      </w:r>
      <w:bookmarkEnd w:id="406"/>
      <w:bookmarkEnd w:id="407"/>
      <w:bookmarkEnd w:id="408"/>
      <w:bookmarkEnd w:id="409"/>
    </w:p>
    <w:p w14:paraId="5842582A" w14:textId="77777777" w:rsidR="00D20476" w:rsidRPr="004C3997" w:rsidRDefault="00D20476" w:rsidP="00D20476">
      <w:pPr>
        <w:pStyle w:val="NormalWeb"/>
        <w:spacing w:before="0" w:beforeAutospacing="0" w:after="0" w:afterAutospacing="0" w:line="360" w:lineRule="auto"/>
        <w:ind w:left="720" w:firstLine="720"/>
      </w:pPr>
      <w:r w:rsidRPr="004C3997">
        <w:rPr>
          <w:color w:val="0E101A"/>
        </w:rPr>
        <w:t xml:space="preserve">The plants were visually assessed for powdery mildew incidence and severity weekly at 7-days, 14-days, and 21-days after the first treatment application. The </w:t>
      </w:r>
      <w:r w:rsidRPr="004C3997">
        <w:t xml:space="preserve">incidence represented the percentage of leaves exhibiting powdery mildew symptoms, and the severity represented the average percent leaf area exhibiting powdery mildew </w:t>
      </w:r>
      <w:r w:rsidRPr="004C3997">
        <w:rPr>
          <w:color w:val="0E101A"/>
        </w:rPr>
        <w:t>symptoms on each leaf with at least one powdery mildew lesion</w:t>
      </w:r>
      <w:r w:rsidRPr="004C3997">
        <w:t xml:space="preserve">, rated between 0% to 100% </w:t>
      </w:r>
      <w:r w:rsidRPr="004C3997">
        <w:rPr>
          <w:color w:val="0E101A"/>
        </w:rPr>
        <w:t xml:space="preserve">(Tables </w:t>
      </w:r>
      <w:r>
        <w:rPr>
          <w:color w:val="0E101A"/>
        </w:rPr>
        <w:t>5.</w:t>
      </w:r>
      <w:r w:rsidRPr="004C3997">
        <w:rPr>
          <w:color w:val="0E101A"/>
        </w:rPr>
        <w:t>3-</w:t>
      </w:r>
      <w:r>
        <w:rPr>
          <w:color w:val="0E101A"/>
        </w:rPr>
        <w:t>5.</w:t>
      </w:r>
      <w:r w:rsidRPr="004C3997">
        <w:rPr>
          <w:color w:val="0E101A"/>
        </w:rPr>
        <w:t>5)</w:t>
      </w:r>
      <w:r w:rsidRPr="004C3997">
        <w:t xml:space="preserve">. </w:t>
      </w:r>
    </w:p>
    <w:p w14:paraId="043D287D" w14:textId="77777777" w:rsidR="00D20476" w:rsidRPr="008E2CD0" w:rsidRDefault="00D20476" w:rsidP="00D20476">
      <w:pPr>
        <w:pStyle w:val="NormalWeb"/>
        <w:spacing w:before="0" w:beforeAutospacing="0" w:after="0" w:afterAutospacing="0" w:line="360" w:lineRule="auto"/>
        <w:ind w:left="720"/>
      </w:pPr>
    </w:p>
    <w:p w14:paraId="39470619" w14:textId="77777777" w:rsidR="00D20476" w:rsidRPr="008E2CD0" w:rsidRDefault="00D20476" w:rsidP="00FD1FC5">
      <w:pPr>
        <w:pStyle w:val="Heading2"/>
      </w:pPr>
      <w:bookmarkStart w:id="410" w:name="_Toc98812800"/>
      <w:bookmarkStart w:id="411" w:name="_Toc98813008"/>
      <w:bookmarkStart w:id="412" w:name="_Toc98813674"/>
      <w:bookmarkStart w:id="413" w:name="_Toc101048182"/>
      <w:r w:rsidRPr="008E2CD0">
        <w:t>Data analysis and interpretation</w:t>
      </w:r>
      <w:bookmarkEnd w:id="410"/>
      <w:bookmarkEnd w:id="411"/>
      <w:bookmarkEnd w:id="412"/>
      <w:bookmarkEnd w:id="413"/>
    </w:p>
    <w:p w14:paraId="74C1B9E1" w14:textId="77777777" w:rsidR="00D20476" w:rsidRPr="004C3997" w:rsidRDefault="00D20476" w:rsidP="00D20476">
      <w:pPr>
        <w:pStyle w:val="NormalWeb"/>
        <w:spacing w:before="0" w:beforeAutospacing="0" w:after="0" w:afterAutospacing="0" w:line="360" w:lineRule="auto"/>
        <w:ind w:left="720" w:firstLine="720"/>
      </w:pPr>
      <w:r w:rsidRPr="004C3997">
        <w:rPr>
          <w:color w:val="0E101A"/>
        </w:rPr>
        <w:t xml:space="preserve">Disease index (DI) was calculated from the incidence and severity </w:t>
      </w:r>
      <w:r w:rsidRPr="004C3997">
        <w:t xml:space="preserve">data to summarize disease levels </w:t>
      </w:r>
      <w:r w:rsidRPr="004C3997">
        <w:rPr>
          <w:color w:val="0E101A"/>
        </w:rPr>
        <w:t>at each disease rating date (Table</w:t>
      </w:r>
      <w:r>
        <w:rPr>
          <w:color w:val="0E101A"/>
        </w:rPr>
        <w:t>s</w:t>
      </w:r>
      <w:r w:rsidRPr="004C3997">
        <w:rPr>
          <w:color w:val="0E101A"/>
        </w:rPr>
        <w:t xml:space="preserve"> </w:t>
      </w:r>
      <w:r>
        <w:rPr>
          <w:color w:val="0E101A"/>
        </w:rPr>
        <w:t>5.</w:t>
      </w:r>
      <w:r w:rsidRPr="004C3997">
        <w:rPr>
          <w:color w:val="0E101A"/>
        </w:rPr>
        <w:t>3-</w:t>
      </w:r>
      <w:r>
        <w:rPr>
          <w:color w:val="0E101A"/>
        </w:rPr>
        <w:t>5.</w:t>
      </w:r>
      <w:r w:rsidRPr="004C3997">
        <w:rPr>
          <w:color w:val="0E101A"/>
        </w:rPr>
        <w:t>5)</w:t>
      </w:r>
      <w:r w:rsidRPr="004C3997">
        <w:t>.</w:t>
      </w:r>
      <w:r w:rsidRPr="004C3997">
        <w:rPr>
          <w:color w:val="0E101A"/>
        </w:rPr>
        <w:t xml:space="preserve"> The DI was calculated as shown: </w:t>
      </w:r>
      <w:r w:rsidRPr="004C3997">
        <w:t xml:space="preserve">DI = (I*S)/100, where I=disease incidence, S = disease severity, and 100 represents the maximum possible incidence and severity scores. Also, </w:t>
      </w:r>
      <w:r w:rsidRPr="004C3997">
        <w:rPr>
          <w:color w:val="0E101A"/>
        </w:rPr>
        <w:t xml:space="preserve">the Area Under the Disease Progress Curve (AUDPC) was calculated to show disease progress during each experiment. The AUDPC was calculated as: </w:t>
      </w:r>
      <w:r w:rsidRPr="004C3997">
        <w:t xml:space="preserve">AUDPC = sum ({average [rating #0 + rating #1]}*{days between rating #0 + rating #1} + {average [rating #1 + rating #2]}*{days between rating #1 and rating #2 + {average [rating #2 + rating #3]}*{days between rating #2 + rating #3}). </w:t>
      </w:r>
      <w:r w:rsidRPr="004C3997">
        <w:rPr>
          <w:color w:val="0E101A"/>
        </w:rPr>
        <w:t>To test for significant differences between treatments in all datasets (</w:t>
      </w:r>
      <w:r w:rsidRPr="004C3997">
        <w:t>incidence, severity, disease index, and AUDPC)</w:t>
      </w:r>
      <w:r w:rsidRPr="004C3997">
        <w:rPr>
          <w:color w:val="0E101A"/>
        </w:rPr>
        <w:t xml:space="preserve">, data were subjected to ANOVA </w:t>
      </w:r>
      <w:r w:rsidRPr="004C3997">
        <w:t>in SAS (SAS Institute, 9.4, Cary NC), and means were separated using the Tukey test (</w:t>
      </w:r>
      <w:r w:rsidRPr="004C3997">
        <w:rPr>
          <w:i/>
          <w:iCs/>
        </w:rPr>
        <w:t xml:space="preserve">α </w:t>
      </w:r>
      <w:r w:rsidRPr="004C3997">
        <w:t>= 0.05) with treatment as the fixed effect and replicate as the random effect. Furthermore, using disease index and disease index AUDPC means, percent disease reduction by each treatment compared to the control plants was calculated for each trial. The percent disease reduction was calculated using the equation: ([disease rating for untreated – disease rating for a treatment]</w:t>
      </w:r>
      <w:r w:rsidRPr="004C3997">
        <w:rPr>
          <w:b/>
        </w:rPr>
        <w:t>/</w:t>
      </w:r>
      <w:r w:rsidRPr="004C3997">
        <w:t xml:space="preserve">disease rating for untreated) *100. The overall disease reduction efficacy of each treatment was summarized as the average of all disease reduction percentages by each treatment across the trials. The average disease reduction percentage was then classified into different efficacy categories, ranging from excellent to fair. From 100% to 96% was “excellent”, 95% to 86% was “very good”, 85% to 76% was “good”, and 75% to 66% was “Fair” </w:t>
      </w:r>
      <w:r w:rsidRPr="004C3997">
        <w:rPr>
          <w:color w:val="0E101A"/>
        </w:rPr>
        <w:t xml:space="preserve">(Table </w:t>
      </w:r>
      <w:r>
        <w:rPr>
          <w:color w:val="0E101A"/>
        </w:rPr>
        <w:t>5.</w:t>
      </w:r>
      <w:r w:rsidRPr="004C3997">
        <w:rPr>
          <w:color w:val="0E101A"/>
        </w:rPr>
        <w:t>6)</w:t>
      </w:r>
      <w:r w:rsidRPr="004C3997">
        <w:t>.</w:t>
      </w:r>
    </w:p>
    <w:p w14:paraId="4704F3E9" w14:textId="77777777" w:rsidR="00D20476" w:rsidRPr="008E2CD0" w:rsidRDefault="00D20476" w:rsidP="00D20476">
      <w:pPr>
        <w:pStyle w:val="NormalWeb"/>
        <w:spacing w:before="0" w:beforeAutospacing="0" w:after="0" w:afterAutospacing="0" w:line="360" w:lineRule="auto"/>
        <w:ind w:left="720"/>
        <w:rPr>
          <w:b/>
        </w:rPr>
      </w:pPr>
    </w:p>
    <w:p w14:paraId="240DFF33" w14:textId="7A93F25D" w:rsidR="00D20476" w:rsidRDefault="00D20476" w:rsidP="00D20476">
      <w:pPr>
        <w:pStyle w:val="Heading1"/>
        <w:spacing w:line="360" w:lineRule="auto"/>
        <w:ind w:left="720"/>
        <w:jc w:val="center"/>
      </w:pPr>
      <w:bookmarkStart w:id="414" w:name="_Toc98812801"/>
      <w:bookmarkStart w:id="415" w:name="_Toc98813009"/>
      <w:bookmarkStart w:id="416" w:name="_Toc98813675"/>
      <w:bookmarkStart w:id="417" w:name="_Toc101048183"/>
      <w:r w:rsidRPr="008E2CD0">
        <w:t>Results</w:t>
      </w:r>
      <w:bookmarkEnd w:id="414"/>
      <w:bookmarkEnd w:id="415"/>
      <w:bookmarkEnd w:id="416"/>
      <w:bookmarkEnd w:id="417"/>
    </w:p>
    <w:p w14:paraId="4803FAEE" w14:textId="77777777" w:rsidR="00D20476" w:rsidRPr="008E2CD0" w:rsidRDefault="00D20476" w:rsidP="00FD1FC5">
      <w:pPr>
        <w:pStyle w:val="Heading2"/>
      </w:pPr>
      <w:bookmarkStart w:id="418" w:name="_Toc98812802"/>
      <w:bookmarkStart w:id="419" w:name="_Toc98813010"/>
      <w:bookmarkStart w:id="420" w:name="_Toc98813676"/>
      <w:bookmarkStart w:id="421" w:name="_Toc101048184"/>
      <w:r w:rsidRPr="008E2CD0">
        <w:t>Molecular identification of powdery mildew pathogen</w:t>
      </w:r>
      <w:bookmarkEnd w:id="418"/>
      <w:bookmarkEnd w:id="419"/>
      <w:bookmarkEnd w:id="420"/>
      <w:bookmarkEnd w:id="421"/>
    </w:p>
    <w:p w14:paraId="5BBE472A" w14:textId="243064A2" w:rsidR="00D20476" w:rsidRPr="004C3997" w:rsidRDefault="00D20476" w:rsidP="00D20476">
      <w:pPr>
        <w:spacing w:line="360" w:lineRule="auto"/>
        <w:ind w:left="720" w:firstLine="720"/>
        <w:rPr>
          <w:rFonts w:eastAsia="Times New Roman" w:cs="Times New Roman"/>
          <w:szCs w:val="24"/>
        </w:rPr>
      </w:pPr>
      <w:r w:rsidRPr="004C3997">
        <w:rPr>
          <w:rFonts w:cs="Times New Roman"/>
          <w:color w:val="0E101A"/>
          <w:szCs w:val="24"/>
        </w:rPr>
        <w:t xml:space="preserve">The PCR resulted in an amplified region </w:t>
      </w:r>
      <w:r w:rsidRPr="004C3997">
        <w:rPr>
          <w:rFonts w:cs="Times New Roman"/>
          <w:szCs w:val="24"/>
        </w:rPr>
        <w:t xml:space="preserve">of about 381 bp for the ITS region, 337 bp for the IGS region, and 423 bp for the beta-tubulin gene. An </w:t>
      </w:r>
      <w:r w:rsidRPr="004C3997">
        <w:rPr>
          <w:rFonts w:eastAsia="Times New Roman" w:cs="Times New Roman"/>
          <w:szCs w:val="24"/>
        </w:rPr>
        <w:t xml:space="preserve">NCBI BLAST search matched </w:t>
      </w:r>
      <w:r w:rsidRPr="00E326B2">
        <w:rPr>
          <w:rFonts w:eastAsia="Times New Roman" w:cs="Times New Roman"/>
          <w:szCs w:val="24"/>
        </w:rPr>
        <w:t xml:space="preserve">the sequences with that of </w:t>
      </w:r>
      <w:r w:rsidRPr="00E326B2">
        <w:rPr>
          <w:rFonts w:eastAsia="Times New Roman" w:cs="Times New Roman"/>
          <w:i/>
          <w:szCs w:val="24"/>
        </w:rPr>
        <w:t>Golovinomyces ambrosiae</w:t>
      </w:r>
      <w:r w:rsidRPr="00E326B2">
        <w:rPr>
          <w:rFonts w:eastAsia="Times New Roman" w:cs="Times New Roman"/>
          <w:szCs w:val="24"/>
        </w:rPr>
        <w:t xml:space="preserve"> with a 100% query coverage and identity for ITS (accession No. </w:t>
      </w:r>
      <w:r w:rsidRPr="00E326B2">
        <w:rPr>
          <w:rFonts w:cs="Times New Roman"/>
        </w:rPr>
        <w:t>MT355556.1</w:t>
      </w:r>
      <w:r w:rsidRPr="00E326B2">
        <w:rPr>
          <w:rFonts w:eastAsia="Times New Roman" w:cs="Times New Roman"/>
          <w:bCs/>
          <w:szCs w:val="24"/>
        </w:rPr>
        <w:t xml:space="preserve">), </w:t>
      </w:r>
      <w:r w:rsidRPr="00E326B2">
        <w:rPr>
          <w:rFonts w:eastAsia="Times New Roman" w:cs="Times New Roman"/>
          <w:szCs w:val="24"/>
        </w:rPr>
        <w:t xml:space="preserve">99% for IGS (accession No. </w:t>
      </w:r>
      <w:r w:rsidRPr="00E326B2">
        <w:rPr>
          <w:rFonts w:cs="Times New Roman"/>
          <w:bCs/>
          <w:szCs w:val="24"/>
        </w:rPr>
        <w:t> </w:t>
      </w:r>
      <w:r w:rsidR="00E326B2">
        <w:rPr>
          <w:rFonts w:cs="Times New Roman"/>
          <w:szCs w:val="24"/>
        </w:rPr>
        <w:t xml:space="preserve">MK452567.1; </w:t>
      </w:r>
      <w:r w:rsidRPr="00E326B2">
        <w:rPr>
          <w:rFonts w:cs="Times New Roman"/>
          <w:szCs w:val="24"/>
        </w:rPr>
        <w:t>MK452502</w:t>
      </w:r>
      <w:r w:rsidRPr="00E326B2">
        <w:rPr>
          <w:rFonts w:eastAsia="Times New Roman" w:cs="Times New Roman"/>
          <w:bCs/>
          <w:szCs w:val="24"/>
        </w:rPr>
        <w:t>)</w:t>
      </w:r>
      <w:r w:rsidRPr="00E326B2">
        <w:rPr>
          <w:rFonts w:cs="Times New Roman"/>
          <w:szCs w:val="24"/>
        </w:rPr>
        <w:t xml:space="preserve">, and </w:t>
      </w:r>
      <w:r w:rsidRPr="00E326B2">
        <w:rPr>
          <w:rFonts w:eastAsia="Times New Roman" w:cs="Times New Roman"/>
          <w:szCs w:val="24"/>
        </w:rPr>
        <w:t xml:space="preserve">99% for </w:t>
      </w:r>
      <w:r w:rsidRPr="00E326B2">
        <w:rPr>
          <w:rFonts w:cs="Times New Roman"/>
          <w:szCs w:val="24"/>
        </w:rPr>
        <w:t>beta-tubulin (</w:t>
      </w:r>
      <w:r w:rsidRPr="00E326B2">
        <w:rPr>
          <w:rFonts w:eastAsia="Times New Roman" w:cs="Times New Roman"/>
          <w:szCs w:val="24"/>
        </w:rPr>
        <w:t xml:space="preserve">accession No. </w:t>
      </w:r>
      <w:r w:rsidRPr="00E326B2">
        <w:rPr>
          <w:rFonts w:cs="Times New Roman"/>
          <w:szCs w:val="24"/>
        </w:rPr>
        <w:t>MK389490.1</w:t>
      </w:r>
      <w:r w:rsidRPr="00E326B2">
        <w:rPr>
          <w:rFonts w:eastAsia="Times New Roman" w:cs="Times New Roman"/>
          <w:bCs/>
          <w:szCs w:val="24"/>
        </w:rPr>
        <w:t xml:space="preserve">). Likewise, the neighbor-joining tree constructed using these three genes and sequence data published in the Qui et al., (2020) phylogeny of </w:t>
      </w:r>
      <w:r w:rsidRPr="00E326B2">
        <w:rPr>
          <w:rFonts w:eastAsia="Times New Roman" w:cs="Times New Roman"/>
          <w:bCs/>
          <w:i/>
          <w:iCs/>
          <w:szCs w:val="24"/>
        </w:rPr>
        <w:t xml:space="preserve">Golovinomyces </w:t>
      </w:r>
      <w:r w:rsidRPr="004C3997">
        <w:rPr>
          <w:rFonts w:eastAsia="Times New Roman" w:cs="Times New Roman"/>
          <w:bCs/>
          <w:szCs w:val="24"/>
        </w:rPr>
        <w:t xml:space="preserve">spp. showed the powdery mildew isolate from this study belongs to a monophyletic clade of </w:t>
      </w:r>
      <w:r w:rsidRPr="004C3997">
        <w:rPr>
          <w:rFonts w:eastAsia="Times New Roman" w:cs="Times New Roman"/>
          <w:bCs/>
          <w:i/>
          <w:szCs w:val="24"/>
        </w:rPr>
        <w:t>G. ambrosiae</w:t>
      </w:r>
      <w:r w:rsidRPr="004C3997">
        <w:rPr>
          <w:rFonts w:eastAsia="Times New Roman" w:cs="Times New Roman"/>
          <w:bCs/>
          <w:szCs w:val="24"/>
        </w:rPr>
        <w:t xml:space="preserve"> isolates (Fig</w:t>
      </w:r>
      <w:r>
        <w:rPr>
          <w:rFonts w:eastAsia="Times New Roman" w:cs="Times New Roman"/>
          <w:bCs/>
          <w:szCs w:val="24"/>
        </w:rPr>
        <w:t>ure 5.</w:t>
      </w:r>
      <w:r w:rsidRPr="004C3997">
        <w:rPr>
          <w:rFonts w:eastAsia="Times New Roman" w:cs="Times New Roman"/>
          <w:bCs/>
          <w:szCs w:val="24"/>
        </w:rPr>
        <w:t xml:space="preserve">1). </w:t>
      </w:r>
    </w:p>
    <w:p w14:paraId="2DBCF3C5" w14:textId="77777777" w:rsidR="00D20476" w:rsidRPr="008E2CD0" w:rsidRDefault="00D20476" w:rsidP="00D20476">
      <w:pPr>
        <w:pStyle w:val="NormalWeb"/>
        <w:spacing w:before="0" w:beforeAutospacing="0" w:after="0" w:afterAutospacing="0" w:line="360" w:lineRule="auto"/>
        <w:ind w:left="720"/>
        <w:rPr>
          <w:b/>
          <w:i/>
        </w:rPr>
      </w:pPr>
    </w:p>
    <w:p w14:paraId="44E09A6B" w14:textId="77777777" w:rsidR="00D20476" w:rsidRPr="008E2CD0" w:rsidRDefault="00D20476" w:rsidP="00FD1FC5">
      <w:pPr>
        <w:pStyle w:val="Heading2"/>
      </w:pPr>
      <w:bookmarkStart w:id="422" w:name="_Toc98812803"/>
      <w:bookmarkStart w:id="423" w:name="_Toc98813011"/>
      <w:bookmarkStart w:id="424" w:name="_Toc98813677"/>
      <w:bookmarkStart w:id="425" w:name="_Toc101048185"/>
      <w:r w:rsidRPr="008E2CD0">
        <w:t>Fungicide efficacy</w:t>
      </w:r>
      <w:bookmarkEnd w:id="422"/>
      <w:bookmarkEnd w:id="423"/>
      <w:bookmarkEnd w:id="424"/>
      <w:bookmarkEnd w:id="425"/>
    </w:p>
    <w:p w14:paraId="7790CA24" w14:textId="77777777" w:rsidR="00D20476" w:rsidRPr="004C3997" w:rsidRDefault="00D20476" w:rsidP="00D20476">
      <w:pPr>
        <w:pStyle w:val="NormalWeb"/>
        <w:spacing w:before="0" w:beforeAutospacing="0" w:after="0" w:afterAutospacing="0" w:line="360" w:lineRule="auto"/>
        <w:ind w:left="720" w:firstLine="720"/>
      </w:pPr>
      <w:r w:rsidRPr="004C3997">
        <w:t>Fungicide treatments showed varying levels of powdery mildew suppression in the</w:t>
      </w:r>
      <w:r>
        <w:t xml:space="preserve"> trials (Figure 5.</w:t>
      </w:r>
      <w:r w:rsidRPr="004C3997">
        <w:t xml:space="preserve">2). Results related to disease incidence, severity, and index are presented in Tables </w:t>
      </w:r>
      <w:r>
        <w:t>5.</w:t>
      </w:r>
      <w:r w:rsidRPr="004C3997">
        <w:t>3-</w:t>
      </w:r>
      <w:r>
        <w:t>5.</w:t>
      </w:r>
      <w:r w:rsidRPr="004C3997">
        <w:t xml:space="preserve">5. Disease index and index AUDPC data are discussed because the disease index is a summary statistic that includes disease incidence and severity. </w:t>
      </w:r>
    </w:p>
    <w:p w14:paraId="08A7CE07" w14:textId="29C4FF4E" w:rsidR="005F275F" w:rsidRDefault="005F275F">
      <w:pPr>
        <w:rPr>
          <w:rFonts w:eastAsia="Times New Roman" w:cs="Times New Roman"/>
          <w:szCs w:val="24"/>
        </w:rPr>
      </w:pPr>
      <w:r>
        <w:br w:type="page"/>
      </w:r>
    </w:p>
    <w:p w14:paraId="28979B44" w14:textId="77777777" w:rsidR="00D20476" w:rsidRPr="008E2CD0" w:rsidRDefault="00D20476" w:rsidP="00FD1FC5">
      <w:pPr>
        <w:pStyle w:val="Heading2"/>
      </w:pPr>
      <w:bookmarkStart w:id="426" w:name="_Toc98812804"/>
      <w:bookmarkStart w:id="427" w:name="_Toc98813012"/>
      <w:bookmarkStart w:id="428" w:name="_Toc98813678"/>
      <w:bookmarkStart w:id="429" w:name="_Toc101048186"/>
      <w:r w:rsidRPr="008E2CD0">
        <w:t>Experiment 1</w:t>
      </w:r>
      <w:bookmarkEnd w:id="426"/>
      <w:bookmarkEnd w:id="427"/>
      <w:bookmarkEnd w:id="428"/>
      <w:bookmarkEnd w:id="429"/>
      <w:r w:rsidRPr="008E2CD0">
        <w:t xml:space="preserve"> </w:t>
      </w:r>
    </w:p>
    <w:p w14:paraId="5B2C466F" w14:textId="77777777" w:rsidR="00D20476" w:rsidRDefault="00D20476" w:rsidP="00D20476">
      <w:pPr>
        <w:pStyle w:val="NormalWeb"/>
        <w:spacing w:before="0" w:beforeAutospacing="0" w:after="0" w:afterAutospacing="0" w:line="360" w:lineRule="auto"/>
        <w:ind w:left="720"/>
        <w:rPr>
          <w:rStyle w:val="Heading3Char"/>
        </w:rPr>
      </w:pPr>
      <w:bookmarkStart w:id="430" w:name="_Toc101048187"/>
      <w:r w:rsidRPr="005F396F">
        <w:rPr>
          <w:rStyle w:val="Heading3Char"/>
        </w:rPr>
        <w:t>Disease index</w:t>
      </w:r>
      <w:bookmarkEnd w:id="430"/>
    </w:p>
    <w:p w14:paraId="4C96FC25" w14:textId="763782BB" w:rsidR="00D20476" w:rsidRPr="004C3997" w:rsidRDefault="00D20476" w:rsidP="00D20476">
      <w:pPr>
        <w:pStyle w:val="NormalWeb"/>
        <w:spacing w:before="0" w:beforeAutospacing="0" w:after="0" w:afterAutospacing="0" w:line="360" w:lineRule="auto"/>
        <w:ind w:left="720" w:firstLine="720"/>
      </w:pPr>
      <w:r w:rsidRPr="004C3997">
        <w:rPr>
          <w:bCs/>
        </w:rPr>
        <w:t xml:space="preserve">Disease index for the control plants increased from 7 on the 7-day observation to 47 on the 21-day observation. Disease index for the fungicide-treated plants ranged from 0 </w:t>
      </w:r>
      <w:r w:rsidRPr="004C3997">
        <w:t xml:space="preserve">(Bonide sulfur) </w:t>
      </w:r>
      <w:r w:rsidRPr="004C3997">
        <w:rPr>
          <w:bCs/>
        </w:rPr>
        <w:t xml:space="preserve">to 8 </w:t>
      </w:r>
      <w:r w:rsidRPr="004C3997">
        <w:t>(Regalia*) on the 7</w:t>
      </w:r>
      <w:r w:rsidRPr="004C3997">
        <w:rPr>
          <w:bCs/>
        </w:rPr>
        <w:t>-day observation</w:t>
      </w:r>
      <w:r w:rsidRPr="004C3997">
        <w:t xml:space="preserve">, </w:t>
      </w:r>
      <w:r w:rsidRPr="004C3997">
        <w:rPr>
          <w:bCs/>
        </w:rPr>
        <w:t xml:space="preserve">and from 0 </w:t>
      </w:r>
      <w:r w:rsidRPr="004C3997">
        <w:t xml:space="preserve">(Bonide sulfur) </w:t>
      </w:r>
      <w:r w:rsidRPr="004C3997">
        <w:rPr>
          <w:bCs/>
        </w:rPr>
        <w:t xml:space="preserve">to 18 </w:t>
      </w:r>
      <w:r w:rsidRPr="004C3997">
        <w:t xml:space="preserve">(IP-2) on the </w:t>
      </w:r>
      <w:r w:rsidRPr="004C3997">
        <w:rPr>
          <w:bCs/>
        </w:rPr>
        <w:t xml:space="preserve">21-day observation (Table </w:t>
      </w:r>
      <w:r>
        <w:rPr>
          <w:bCs/>
        </w:rPr>
        <w:t>5.</w:t>
      </w:r>
      <w:r w:rsidRPr="004C3997">
        <w:rPr>
          <w:bCs/>
        </w:rPr>
        <w:t>3). A</w:t>
      </w:r>
      <w:r w:rsidRPr="004C3997">
        <w:t xml:space="preserve">ll 12 treatments significantly reduced disease index at least once among the three disease rating times compared to the control plants. Four treatments (Cinnerate, Defguard, Milstop, and Bonide sulfur) significantly reduced the disease index two times, at 14-day and 21-day observations. The other eight treatments significantly reduced disease index only once, </w:t>
      </w:r>
      <w:r w:rsidR="00694B7C">
        <w:t>during</w:t>
      </w:r>
      <w:r w:rsidRPr="004C3997">
        <w:t xml:space="preserve"> the 14-day observation. None of the treatments significantly reduced the disease index on 11/24 (Table </w:t>
      </w:r>
      <w:r>
        <w:t>5.</w:t>
      </w:r>
      <w:r w:rsidRPr="004C3997">
        <w:t xml:space="preserve">3). There was no significant difference among the 12 treatments. </w:t>
      </w:r>
    </w:p>
    <w:p w14:paraId="5753FFE4" w14:textId="77777777" w:rsidR="00D20476" w:rsidRPr="008E2CD0" w:rsidRDefault="00D20476" w:rsidP="00D20476">
      <w:pPr>
        <w:pStyle w:val="NormalWeb"/>
        <w:spacing w:before="0" w:beforeAutospacing="0" w:after="0" w:afterAutospacing="0" w:line="360" w:lineRule="auto"/>
        <w:ind w:left="720"/>
      </w:pPr>
    </w:p>
    <w:p w14:paraId="4C8CAF9C" w14:textId="77777777" w:rsidR="00D20476" w:rsidRDefault="00D20476" w:rsidP="00D20476">
      <w:pPr>
        <w:pStyle w:val="NormalWeb"/>
        <w:spacing w:before="0" w:beforeAutospacing="0" w:after="0" w:afterAutospacing="0" w:line="360" w:lineRule="auto"/>
        <w:ind w:left="720"/>
        <w:rPr>
          <w:rStyle w:val="Heading3Char"/>
        </w:rPr>
      </w:pPr>
      <w:bookmarkStart w:id="431" w:name="_Toc101048188"/>
      <w:r w:rsidRPr="005F396F">
        <w:rPr>
          <w:rStyle w:val="Heading3Char"/>
        </w:rPr>
        <w:t>Disease progress (AUDPC)</w:t>
      </w:r>
      <w:bookmarkEnd w:id="431"/>
    </w:p>
    <w:p w14:paraId="4C39CF15" w14:textId="77777777" w:rsidR="00D20476" w:rsidRPr="004C3997" w:rsidRDefault="00D20476" w:rsidP="00D20476">
      <w:pPr>
        <w:pStyle w:val="NormalWeb"/>
        <w:spacing w:before="0" w:beforeAutospacing="0" w:after="0" w:afterAutospacing="0" w:line="360" w:lineRule="auto"/>
        <w:ind w:left="720" w:firstLine="720"/>
      </w:pPr>
      <w:r w:rsidRPr="004C3997">
        <w:rPr>
          <w:bCs/>
        </w:rPr>
        <w:t>Disease</w:t>
      </w:r>
      <w:r w:rsidRPr="004C3997">
        <w:rPr>
          <w:b/>
        </w:rPr>
        <w:t xml:space="preserve"> </w:t>
      </w:r>
      <w:r w:rsidRPr="004C3997">
        <w:t>index AUDPC value was 529 for the control plants, while the value ranged between 1 (Bonide sulfur) and 184 (Regalia*) for the fungicide-treated plants. All of the treatments had a significantly lower index AUDPC value compared to the control plants. There was no significant difference in index AUDPC values among the fungicide-treated plants (Fig</w:t>
      </w:r>
      <w:r>
        <w:t>ure 5.</w:t>
      </w:r>
      <w:r w:rsidRPr="004C3997">
        <w:t xml:space="preserve">3a). </w:t>
      </w:r>
    </w:p>
    <w:p w14:paraId="60CA498B" w14:textId="77777777" w:rsidR="00D20476" w:rsidRPr="008E2CD0" w:rsidRDefault="00D20476" w:rsidP="00D20476">
      <w:pPr>
        <w:pStyle w:val="NormalWeb"/>
        <w:spacing w:before="0" w:beforeAutospacing="0" w:after="0" w:afterAutospacing="0" w:line="360" w:lineRule="auto"/>
        <w:ind w:left="720"/>
      </w:pPr>
    </w:p>
    <w:p w14:paraId="4B744F6F" w14:textId="77777777" w:rsidR="00D20476" w:rsidRPr="008E2CD0" w:rsidRDefault="00D20476" w:rsidP="00FD1FC5">
      <w:pPr>
        <w:pStyle w:val="Heading2"/>
      </w:pPr>
      <w:bookmarkStart w:id="432" w:name="_Toc98812805"/>
      <w:bookmarkStart w:id="433" w:name="_Toc98813013"/>
      <w:bookmarkStart w:id="434" w:name="_Toc98813679"/>
      <w:bookmarkStart w:id="435" w:name="_Toc101048189"/>
      <w:r w:rsidRPr="008E2CD0">
        <w:t>Experiment 2</w:t>
      </w:r>
      <w:bookmarkEnd w:id="432"/>
      <w:bookmarkEnd w:id="433"/>
      <w:bookmarkEnd w:id="434"/>
      <w:bookmarkEnd w:id="435"/>
    </w:p>
    <w:p w14:paraId="48182B6B" w14:textId="77777777" w:rsidR="00D20476" w:rsidRDefault="00D20476" w:rsidP="00D20476">
      <w:pPr>
        <w:pStyle w:val="NormalWeb"/>
        <w:spacing w:before="0" w:beforeAutospacing="0" w:after="0" w:afterAutospacing="0" w:line="360" w:lineRule="auto"/>
        <w:ind w:left="720"/>
        <w:rPr>
          <w:rStyle w:val="Heading3Char"/>
        </w:rPr>
      </w:pPr>
      <w:bookmarkStart w:id="436" w:name="_Toc101048190"/>
      <w:r w:rsidRPr="005F396F">
        <w:rPr>
          <w:rStyle w:val="Heading3Char"/>
        </w:rPr>
        <w:t>Disease index.</w:t>
      </w:r>
      <w:bookmarkEnd w:id="436"/>
    </w:p>
    <w:p w14:paraId="62467665" w14:textId="77777777" w:rsidR="00D20476" w:rsidRPr="004C3997" w:rsidRDefault="00D20476" w:rsidP="00D20476">
      <w:pPr>
        <w:pStyle w:val="NormalWeb"/>
        <w:spacing w:before="0" w:beforeAutospacing="0" w:after="0" w:afterAutospacing="0" w:line="360" w:lineRule="auto"/>
        <w:ind w:left="720" w:firstLine="720"/>
      </w:pPr>
      <w:r>
        <w:rPr>
          <w:rStyle w:val="Heading3Char"/>
        </w:rPr>
        <w:t xml:space="preserve"> </w:t>
      </w:r>
      <w:r w:rsidRPr="004C3997">
        <w:rPr>
          <w:bCs/>
        </w:rPr>
        <w:t xml:space="preserve">Disease index for the control plants increased from 7 on the 14-day observation to 43 on the 21-day observation. Whereas disease index ranged between 0 (multiple treatments) and 9 (Defguard) </w:t>
      </w:r>
      <w:r w:rsidRPr="004C3997">
        <w:t>on the 14</w:t>
      </w:r>
      <w:r w:rsidRPr="004C3997">
        <w:rPr>
          <w:bCs/>
        </w:rPr>
        <w:t>-day observation</w:t>
      </w:r>
      <w:r w:rsidRPr="004C3997">
        <w:t xml:space="preserve">, and between </w:t>
      </w:r>
      <w:r w:rsidRPr="004C3997">
        <w:rPr>
          <w:bCs/>
        </w:rPr>
        <w:t xml:space="preserve">0 </w:t>
      </w:r>
      <w:r w:rsidRPr="004C3997">
        <w:t xml:space="preserve">(multiple treatments) </w:t>
      </w:r>
      <w:r w:rsidRPr="004C3997">
        <w:rPr>
          <w:bCs/>
        </w:rPr>
        <w:t xml:space="preserve">to 16 </w:t>
      </w:r>
      <w:r w:rsidRPr="004C3997">
        <w:t>(Defguard) on the 21</w:t>
      </w:r>
      <w:r w:rsidRPr="004C3997">
        <w:rPr>
          <w:bCs/>
        </w:rPr>
        <w:t>-day observation</w:t>
      </w:r>
      <w:r w:rsidRPr="004C3997">
        <w:t xml:space="preserve"> (Table </w:t>
      </w:r>
      <w:r>
        <w:t>5.</w:t>
      </w:r>
      <w:r w:rsidRPr="004C3997">
        <w:t xml:space="preserve">4). </w:t>
      </w:r>
      <w:r w:rsidRPr="004C3997">
        <w:rPr>
          <w:bCs/>
        </w:rPr>
        <w:t>A</w:t>
      </w:r>
      <w:r w:rsidRPr="004C3997">
        <w:t xml:space="preserve">ll 14 treatments significantly reduced the disease index at least once among the three disease rating times compared to the control plants (Table </w:t>
      </w:r>
      <w:r>
        <w:t>5.</w:t>
      </w:r>
      <w:r w:rsidRPr="004C3997">
        <w:t xml:space="preserve">4). No disease was present at the 7-day observation. Significant disease reductions started on the 14-day disease observation. Eight treatments significantly reduced the disease index two times at the 14-day and 21-day (3/23 and 3/30) observations compared to the controls, and four treatments (Defguard, Stargus, Regalia, and IP-V1*) significantly reduced the disease index once at the 21-day (3/30) observation (Table </w:t>
      </w:r>
      <w:r>
        <w:t>5.</w:t>
      </w:r>
      <w:r w:rsidRPr="004C3997">
        <w:t xml:space="preserve">4). There was no significant difference among the 14 treatments at the 21-day disease index. Data were presented for two dates only in this trial because no disease was observed at the 7-day (3/16) disease rating. </w:t>
      </w:r>
    </w:p>
    <w:p w14:paraId="4438E851" w14:textId="77777777" w:rsidR="00D20476" w:rsidRPr="008E2CD0" w:rsidRDefault="00D20476" w:rsidP="00D20476">
      <w:pPr>
        <w:pStyle w:val="NormalWeb"/>
        <w:spacing w:before="0" w:beforeAutospacing="0" w:after="0" w:afterAutospacing="0" w:line="360" w:lineRule="auto"/>
        <w:ind w:left="720"/>
      </w:pPr>
    </w:p>
    <w:p w14:paraId="56354D48" w14:textId="77777777" w:rsidR="00D20476" w:rsidRDefault="00D20476" w:rsidP="00D20476">
      <w:pPr>
        <w:pStyle w:val="NormalWeb"/>
        <w:spacing w:before="0" w:beforeAutospacing="0" w:after="0" w:afterAutospacing="0" w:line="360" w:lineRule="auto"/>
        <w:ind w:left="720"/>
        <w:rPr>
          <w:b/>
        </w:rPr>
      </w:pPr>
      <w:bookmarkStart w:id="437" w:name="_Toc101048191"/>
      <w:r w:rsidRPr="005F396F">
        <w:rPr>
          <w:rStyle w:val="Heading3Char"/>
        </w:rPr>
        <w:t>Disease progress (AUDPC)</w:t>
      </w:r>
      <w:bookmarkEnd w:id="437"/>
      <w:r w:rsidRPr="008E2CD0">
        <w:rPr>
          <w:b/>
        </w:rPr>
        <w:t xml:space="preserve"> </w:t>
      </w:r>
      <w:r>
        <w:rPr>
          <w:b/>
        </w:rPr>
        <w:t xml:space="preserve"> </w:t>
      </w:r>
    </w:p>
    <w:p w14:paraId="55E2A589" w14:textId="77777777" w:rsidR="00D20476" w:rsidRPr="004C3997" w:rsidRDefault="00D20476" w:rsidP="00D20476">
      <w:pPr>
        <w:pStyle w:val="NormalWeb"/>
        <w:spacing w:before="0" w:beforeAutospacing="0" w:after="0" w:afterAutospacing="0" w:line="360" w:lineRule="auto"/>
        <w:ind w:left="720" w:firstLine="720"/>
        <w:rPr>
          <w:b/>
        </w:rPr>
      </w:pPr>
      <w:r w:rsidRPr="004C3997">
        <w:rPr>
          <w:bCs/>
          <w:iCs/>
        </w:rPr>
        <w:t>A</w:t>
      </w:r>
      <w:r w:rsidRPr="004C3997">
        <w:t>ll treatments exhibited efficacy against powdery mildew index AUDPC. Disease progress was generally slow. The index AUDPC value for the control plants was 152, while the value for the fungicide-treated plants ranged between 0 (Bonide Sulfur, IP-2, Luna Experience, and Milstop) and 57 (Defguard). All of the treatments had a significantly lower index AUDPC value compared to the control plants. Bonide sulfur, Cinnerate, Exile, IP-1, IP-2, Luna Experience, Milstop, Regalia, Sil-Matrix, Stargus, IP-V1, and IP-V4 had similar index AUDPC values that ranged from 0 to 44, and they were not significantly different from each other. Defguard, with an index AUDPC value of 57, had a significantly higher AUDPC value than several of the best-performing treatments, but it was still significantly lower than the control (</w:t>
      </w:r>
      <w:r>
        <w:t>Figure 5.</w:t>
      </w:r>
      <w:r w:rsidRPr="004C3997">
        <w:t xml:space="preserve">3b). </w:t>
      </w:r>
    </w:p>
    <w:p w14:paraId="72F56590" w14:textId="77777777" w:rsidR="00D20476" w:rsidRDefault="00D20476" w:rsidP="00D20476">
      <w:pPr>
        <w:pStyle w:val="NormalWeb"/>
        <w:spacing w:before="0" w:beforeAutospacing="0" w:after="0" w:afterAutospacing="0" w:line="360" w:lineRule="auto"/>
        <w:ind w:left="720"/>
        <w:rPr>
          <w:b/>
        </w:rPr>
      </w:pPr>
    </w:p>
    <w:p w14:paraId="4B463BA0" w14:textId="77777777" w:rsidR="00D20476" w:rsidRPr="008E2CD0" w:rsidRDefault="00D20476" w:rsidP="00FD1FC5">
      <w:pPr>
        <w:pStyle w:val="Heading2"/>
      </w:pPr>
      <w:bookmarkStart w:id="438" w:name="_Toc98812806"/>
      <w:bookmarkStart w:id="439" w:name="_Toc98813014"/>
      <w:bookmarkStart w:id="440" w:name="_Toc98813680"/>
      <w:bookmarkStart w:id="441" w:name="_Toc101048192"/>
      <w:r w:rsidRPr="008E2CD0">
        <w:t>Experiment 3</w:t>
      </w:r>
      <w:bookmarkEnd w:id="438"/>
      <w:bookmarkEnd w:id="439"/>
      <w:bookmarkEnd w:id="440"/>
      <w:bookmarkEnd w:id="441"/>
    </w:p>
    <w:p w14:paraId="606A3BC5" w14:textId="77777777" w:rsidR="00D20476" w:rsidRDefault="00D20476" w:rsidP="00D20476">
      <w:pPr>
        <w:pStyle w:val="NormalWeb"/>
        <w:spacing w:before="0" w:beforeAutospacing="0" w:after="0" w:afterAutospacing="0" w:line="360" w:lineRule="auto"/>
        <w:ind w:left="720"/>
        <w:rPr>
          <w:b/>
        </w:rPr>
      </w:pPr>
      <w:bookmarkStart w:id="442" w:name="_Toc101048193"/>
      <w:r w:rsidRPr="005F396F">
        <w:rPr>
          <w:rStyle w:val="Heading3Char"/>
        </w:rPr>
        <w:t>Disease index</w:t>
      </w:r>
      <w:bookmarkEnd w:id="442"/>
      <w:r w:rsidRPr="008E2CD0">
        <w:rPr>
          <w:rStyle w:val="Style2Char"/>
          <w:rFonts w:eastAsia="Arial"/>
        </w:rPr>
        <w:t>.</w:t>
      </w:r>
      <w:r w:rsidRPr="008E2CD0">
        <w:rPr>
          <w:b/>
        </w:rPr>
        <w:t xml:space="preserve"> </w:t>
      </w:r>
    </w:p>
    <w:p w14:paraId="6683DBD1" w14:textId="77777777" w:rsidR="00D20476" w:rsidRPr="004C3997" w:rsidRDefault="00D20476" w:rsidP="00D20476">
      <w:pPr>
        <w:pStyle w:val="NormalWeb"/>
        <w:spacing w:before="0" w:beforeAutospacing="0" w:after="0" w:afterAutospacing="0" w:line="360" w:lineRule="auto"/>
        <w:ind w:left="720" w:firstLine="720"/>
      </w:pPr>
      <w:r w:rsidRPr="004C3997">
        <w:rPr>
          <w:bCs/>
        </w:rPr>
        <w:t xml:space="preserve">Disease index for the control plants increased from 14 on the 7-day observation to 45 on the 21-day observation (Table </w:t>
      </w:r>
      <w:r>
        <w:rPr>
          <w:bCs/>
        </w:rPr>
        <w:t>5.</w:t>
      </w:r>
      <w:r w:rsidRPr="004C3997">
        <w:rPr>
          <w:bCs/>
        </w:rPr>
        <w:t xml:space="preserve">5). Disease index for the fungicide-treated plants ranged between 0 </w:t>
      </w:r>
      <w:r w:rsidRPr="004C3997">
        <w:t xml:space="preserve">(IP-1, Luna Experience, and Regalia) to 3 (IP-V4) </w:t>
      </w:r>
      <w:r w:rsidRPr="004C3997">
        <w:rPr>
          <w:bCs/>
        </w:rPr>
        <w:t xml:space="preserve">on the 7-day observation, and from 0 (IP-V1* and Luna Experience) to 12 </w:t>
      </w:r>
      <w:r w:rsidRPr="004C3997">
        <w:t xml:space="preserve">(IP-2) on the </w:t>
      </w:r>
      <w:r w:rsidRPr="004C3997">
        <w:rPr>
          <w:bCs/>
        </w:rPr>
        <w:t xml:space="preserve">21-day observation (Table </w:t>
      </w:r>
      <w:r>
        <w:rPr>
          <w:bCs/>
        </w:rPr>
        <w:t>5.</w:t>
      </w:r>
      <w:r w:rsidRPr="004C3997">
        <w:rPr>
          <w:bCs/>
        </w:rPr>
        <w:t>5). All</w:t>
      </w:r>
      <w:r w:rsidRPr="004C3997">
        <w:t xml:space="preserve"> six treatments significantly reduced the disease index on all three disease rating days compared to the control. There was no significant difference among treatments </w:t>
      </w:r>
      <w:r w:rsidRPr="004C3997">
        <w:rPr>
          <w:bCs/>
        </w:rPr>
        <w:t xml:space="preserve">(Table </w:t>
      </w:r>
      <w:r>
        <w:rPr>
          <w:bCs/>
        </w:rPr>
        <w:t>5.</w:t>
      </w:r>
      <w:r w:rsidRPr="004C3997">
        <w:rPr>
          <w:bCs/>
        </w:rPr>
        <w:t xml:space="preserve">5). </w:t>
      </w:r>
      <w:r w:rsidRPr="004C3997">
        <w:t xml:space="preserve"> </w:t>
      </w:r>
    </w:p>
    <w:p w14:paraId="6B94C64D" w14:textId="77777777" w:rsidR="00D20476" w:rsidRPr="008E2CD0" w:rsidRDefault="00D20476" w:rsidP="00D20476">
      <w:pPr>
        <w:pStyle w:val="NormalWeb"/>
        <w:spacing w:before="0" w:beforeAutospacing="0" w:after="0" w:afterAutospacing="0" w:line="360" w:lineRule="auto"/>
        <w:ind w:left="720"/>
        <w:rPr>
          <w:b/>
        </w:rPr>
      </w:pPr>
    </w:p>
    <w:p w14:paraId="144379A9" w14:textId="77777777" w:rsidR="000222EB" w:rsidRDefault="000222EB">
      <w:pPr>
        <w:rPr>
          <w:rStyle w:val="Heading3Char"/>
        </w:rPr>
      </w:pPr>
      <w:bookmarkStart w:id="443" w:name="_Toc101048194"/>
      <w:r>
        <w:rPr>
          <w:rStyle w:val="Heading3Char"/>
        </w:rPr>
        <w:br w:type="page"/>
      </w:r>
    </w:p>
    <w:p w14:paraId="45886EF5" w14:textId="49887D80" w:rsidR="00D20476" w:rsidRDefault="00D20476" w:rsidP="00D20476">
      <w:pPr>
        <w:pStyle w:val="NormalWeb"/>
        <w:spacing w:before="0" w:beforeAutospacing="0" w:after="0" w:afterAutospacing="0" w:line="360" w:lineRule="auto"/>
        <w:ind w:left="720"/>
        <w:rPr>
          <w:b/>
        </w:rPr>
      </w:pPr>
      <w:r w:rsidRPr="005F396F">
        <w:rPr>
          <w:rStyle w:val="Heading3Char"/>
        </w:rPr>
        <w:t>Disease progress (AUDPC)</w:t>
      </w:r>
      <w:bookmarkEnd w:id="443"/>
    </w:p>
    <w:p w14:paraId="1E1597EE" w14:textId="77777777" w:rsidR="00D20476" w:rsidRPr="004C3997" w:rsidRDefault="00D20476" w:rsidP="00D20476">
      <w:pPr>
        <w:pStyle w:val="NormalWeb"/>
        <w:spacing w:before="0" w:beforeAutospacing="0" w:after="0" w:afterAutospacing="0" w:line="360" w:lineRule="auto"/>
        <w:ind w:left="720" w:firstLine="720"/>
      </w:pPr>
      <w:r w:rsidRPr="004C3997">
        <w:t xml:space="preserve">All treatments exhibited efficacy against powdery mildew progress (Table </w:t>
      </w:r>
      <w:r>
        <w:t>5.</w:t>
      </w:r>
      <w:r w:rsidRPr="004C3997">
        <w:t xml:space="preserve">5). The index AUDPC value was 493 for the control plants, while the value ranged between 0 (Luna Experience) and 158 (IP-V4) for the fungicide-treated plants (Table </w:t>
      </w:r>
      <w:r>
        <w:t>5.</w:t>
      </w:r>
      <w:r w:rsidRPr="004C3997">
        <w:t>5). All of the treatments had a significantly lower index AUDPC value compared to the control (Fig</w:t>
      </w:r>
      <w:r>
        <w:t>ure 5.</w:t>
      </w:r>
      <w:r w:rsidRPr="004C3997">
        <w:t xml:space="preserve">3c). Luna Experience, Regalia, IP-V1, and IP-1 had the lowest and statistically similar index AUDPC values. The value was 0 for Luna experience, 8 for Regalia, 28 for IP-V1, and 82 for IP-1. Treatments IP-2 having index AUDPC of 137 and IP-V4 having index AUDPC of 158 had the second-lowest index AUDPC values compared to the control (Table </w:t>
      </w:r>
      <w:r>
        <w:t>5.</w:t>
      </w:r>
      <w:r w:rsidRPr="004C3997">
        <w:t>5).</w:t>
      </w:r>
    </w:p>
    <w:p w14:paraId="3D7240A8" w14:textId="77777777" w:rsidR="00D20476" w:rsidRPr="008E2CD0" w:rsidRDefault="00D20476" w:rsidP="00D20476">
      <w:pPr>
        <w:pStyle w:val="NormalWeb"/>
        <w:spacing w:before="0" w:beforeAutospacing="0" w:after="0" w:afterAutospacing="0" w:line="360" w:lineRule="auto"/>
        <w:ind w:left="720"/>
        <w:rPr>
          <w:b/>
        </w:rPr>
      </w:pPr>
    </w:p>
    <w:p w14:paraId="63273389" w14:textId="77777777" w:rsidR="00D20476" w:rsidRPr="008E2CD0" w:rsidRDefault="00D20476" w:rsidP="00FD1FC5">
      <w:pPr>
        <w:pStyle w:val="Heading2"/>
      </w:pPr>
      <w:bookmarkStart w:id="444" w:name="_Toc98812807"/>
      <w:bookmarkStart w:id="445" w:name="_Toc98813015"/>
      <w:bookmarkStart w:id="446" w:name="_Toc98813681"/>
      <w:bookmarkStart w:id="447" w:name="_Toc101048195"/>
      <w:r w:rsidRPr="008E2CD0">
        <w:t>Disease reduction percentage</w:t>
      </w:r>
      <w:bookmarkEnd w:id="444"/>
      <w:bookmarkEnd w:id="445"/>
      <w:bookmarkEnd w:id="446"/>
      <w:bookmarkEnd w:id="447"/>
      <w:r w:rsidRPr="008E2CD0">
        <w:t xml:space="preserve"> </w:t>
      </w:r>
    </w:p>
    <w:p w14:paraId="71F10C0C" w14:textId="77777777" w:rsidR="00D20476" w:rsidRPr="004C3997" w:rsidRDefault="00D20476" w:rsidP="00D20476">
      <w:pPr>
        <w:pStyle w:val="NormalWeb"/>
        <w:spacing w:before="0" w:beforeAutospacing="0" w:after="0" w:afterAutospacing="0" w:line="360" w:lineRule="auto"/>
        <w:ind w:left="720" w:firstLine="720"/>
      </w:pPr>
      <w:bookmarkStart w:id="448" w:name="_Toc98812808"/>
      <w:bookmarkStart w:id="449" w:name="_Toc98813016"/>
      <w:bookmarkStart w:id="450" w:name="_Toc98813682"/>
      <w:r w:rsidRPr="004C3997">
        <w:t xml:space="preserve">Overall disease reduction was calculated as the average of all index AUDPC reductions across trials (Table </w:t>
      </w:r>
      <w:r>
        <w:t>5.</w:t>
      </w:r>
      <w:r w:rsidRPr="004C3997">
        <w:t xml:space="preserve">6). Three treatments (Bonide sulfur, Luna Experience, and Milstop) had excellent overall disease reduction efficacy by reducing disease by over 95%. The overall disease index AUDPC reduction by Bonide sulfur was 100%, Milstop was 99%, and Luna Experience was 98%. Five treatments (Cinnerate, Exile, IP-1, Regalia, and Sil-Matrix) had very-good disease reduction efficacy by reducing disease by 86% to 95%. Regalia reduced disease by 94%, Exile reduced disease by 93%, Cinnerate reduced disease by 92%, and IP-1 and Sil-Matrix reduced disease by 88%, Five treatments (Defguard, IP-2, IP-V1*, Regalia*, and Stargus) had good disease reduction efficacy by reducing disease by 76% to 85%. IP-V1* reduced disease by 84%, Regalia* reduced disease by 82%, IP-2 reduced disease by 80%, Defguard reduced disease by 79%, and Stargus reduced disease by 76%. Treatment IP-V4 had fair disease reduction efficacy by reducing disease index AUDPC across trials by 70% (Table </w:t>
      </w:r>
      <w:r>
        <w:t>5.</w:t>
      </w:r>
      <w:r w:rsidRPr="004C3997">
        <w:t>6).</w:t>
      </w:r>
    </w:p>
    <w:p w14:paraId="47681D2C" w14:textId="77777777" w:rsidR="00D20476" w:rsidRDefault="00D20476" w:rsidP="00D20476">
      <w:pPr>
        <w:pStyle w:val="Heading1"/>
        <w:spacing w:line="360" w:lineRule="auto"/>
        <w:ind w:left="720"/>
        <w:jc w:val="center"/>
      </w:pPr>
    </w:p>
    <w:p w14:paraId="003401B9" w14:textId="77777777" w:rsidR="00D20476" w:rsidRDefault="00D20476" w:rsidP="00D20476">
      <w:pPr>
        <w:pStyle w:val="Heading1"/>
        <w:spacing w:line="360" w:lineRule="auto"/>
        <w:ind w:left="720"/>
        <w:jc w:val="center"/>
      </w:pPr>
      <w:bookmarkStart w:id="451" w:name="_Toc101048196"/>
      <w:r w:rsidRPr="008E2CD0">
        <w:t>Discussion</w:t>
      </w:r>
      <w:bookmarkEnd w:id="448"/>
      <w:bookmarkEnd w:id="449"/>
      <w:bookmarkEnd w:id="450"/>
      <w:bookmarkEnd w:id="451"/>
    </w:p>
    <w:p w14:paraId="6632B66D" w14:textId="6E3285AA" w:rsidR="00D20476" w:rsidRPr="004C3997" w:rsidRDefault="00D20476" w:rsidP="00D20476">
      <w:pPr>
        <w:pStyle w:val="Default"/>
        <w:spacing w:line="360" w:lineRule="auto"/>
        <w:ind w:left="720" w:firstLine="720"/>
        <w:rPr>
          <w:color w:val="auto"/>
        </w:rPr>
      </w:pPr>
      <w:r w:rsidRPr="004C3997">
        <w:rPr>
          <w:color w:val="auto"/>
        </w:rPr>
        <w:t xml:space="preserve">This study indicates that </w:t>
      </w:r>
      <w:r w:rsidRPr="004C3997">
        <w:rPr>
          <w:i/>
          <w:color w:val="auto"/>
        </w:rPr>
        <w:t>Golovinomyces ambrosiae</w:t>
      </w:r>
      <w:r w:rsidRPr="004C3997">
        <w:rPr>
          <w:color w:val="auto"/>
        </w:rPr>
        <w:t xml:space="preserve"> is at least one of the pathogens responsible for greenhouse hemp powdery mildew in Tennessee. All of the sequenced genetic regions in this study matched those of </w:t>
      </w:r>
      <w:r w:rsidRPr="004C3997">
        <w:rPr>
          <w:i/>
          <w:color w:val="auto"/>
        </w:rPr>
        <w:t>G. ambrosiae</w:t>
      </w:r>
      <w:r w:rsidRPr="004C3997">
        <w:rPr>
          <w:color w:val="auto"/>
        </w:rPr>
        <w:t xml:space="preserve"> with 99% to 100% homology, and they were in the same clade with previously reported </w:t>
      </w:r>
      <w:r w:rsidRPr="004C3997">
        <w:rPr>
          <w:i/>
          <w:iCs/>
          <w:color w:val="auto"/>
        </w:rPr>
        <w:t>G. ambrosiae</w:t>
      </w:r>
      <w:r w:rsidRPr="004C3997">
        <w:rPr>
          <w:color w:val="auto"/>
        </w:rPr>
        <w:t xml:space="preserve"> in the phylogenetic analysis. This is the first report of </w:t>
      </w:r>
      <w:r w:rsidRPr="004C3997">
        <w:rPr>
          <w:i/>
          <w:color w:val="auto"/>
        </w:rPr>
        <w:t>G. ambrosiae</w:t>
      </w:r>
      <w:r w:rsidRPr="004C3997">
        <w:rPr>
          <w:color w:val="auto"/>
        </w:rPr>
        <w:t xml:space="preserve"> causing powdery mildew on hemp in Tennessee. However, the </w:t>
      </w:r>
      <w:r w:rsidRPr="004C3997">
        <w:rPr>
          <w:i/>
          <w:color w:val="auto"/>
        </w:rPr>
        <w:t>Golovinomyces</w:t>
      </w:r>
      <w:r w:rsidRPr="004C3997">
        <w:rPr>
          <w:color w:val="auto"/>
        </w:rPr>
        <w:t xml:space="preserve"> genus being identified as a hemp powdery mildew pathogen in this study is consistent with other studies in the United States and Canada (</w:t>
      </w:r>
      <w:r w:rsidRPr="004C3997">
        <w:rPr>
          <w:color w:val="auto"/>
          <w:shd w:val="clear" w:color="auto" w:fill="FFFFFF"/>
        </w:rPr>
        <w:t xml:space="preserve">Scott and Punja 2021). Likewise, </w:t>
      </w:r>
      <w:r w:rsidRPr="004C3997">
        <w:rPr>
          <w:i/>
          <w:color w:val="auto"/>
          <w:shd w:val="clear" w:color="auto" w:fill="FFFFFF"/>
        </w:rPr>
        <w:t>G. ambrosiae</w:t>
      </w:r>
      <w:r w:rsidRPr="004C3997">
        <w:rPr>
          <w:color w:val="auto"/>
          <w:shd w:val="clear" w:color="auto" w:fill="FFFFFF"/>
        </w:rPr>
        <w:t xml:space="preserve"> has been reported to cause hemp powdery mildew in Oregon (Wiseman </w:t>
      </w:r>
      <w:r>
        <w:rPr>
          <w:color w:val="auto"/>
          <w:shd w:val="clear" w:color="auto" w:fill="FFFFFF"/>
        </w:rPr>
        <w:t>et al.,</w:t>
      </w:r>
      <w:r w:rsidRPr="004C3997">
        <w:rPr>
          <w:color w:val="auto"/>
          <w:shd w:val="clear" w:color="auto" w:fill="FFFFFF"/>
        </w:rPr>
        <w:t xml:space="preserve"> 2021) and Nevada (Schoener</w:t>
      </w:r>
      <w:r>
        <w:rPr>
          <w:color w:val="auto"/>
          <w:shd w:val="clear" w:color="auto" w:fill="FFFFFF"/>
        </w:rPr>
        <w:t>,</w:t>
      </w:r>
      <w:r w:rsidRPr="004C3997">
        <w:rPr>
          <w:color w:val="auto"/>
          <w:shd w:val="clear" w:color="auto" w:fill="FFFFFF"/>
        </w:rPr>
        <w:t xml:space="preserve"> 2021). Aside from hemp, </w:t>
      </w:r>
      <w:r w:rsidRPr="004C3997">
        <w:rPr>
          <w:i/>
          <w:color w:val="auto"/>
          <w:shd w:val="clear" w:color="auto" w:fill="FFFFFF"/>
        </w:rPr>
        <w:t>G. ambrosiae</w:t>
      </w:r>
      <w:r w:rsidRPr="004C3997">
        <w:rPr>
          <w:color w:val="auto"/>
          <w:shd w:val="clear" w:color="auto" w:fill="FFFFFF"/>
        </w:rPr>
        <w:t xml:space="preserve"> is a known </w:t>
      </w:r>
      <w:r w:rsidRPr="004C3997">
        <w:rPr>
          <w:color w:val="auto"/>
        </w:rPr>
        <w:t>pathogen</w:t>
      </w:r>
      <w:r w:rsidRPr="004C3997">
        <w:rPr>
          <w:color w:val="auto"/>
          <w:shd w:val="clear" w:color="auto" w:fill="FFFFFF"/>
        </w:rPr>
        <w:t xml:space="preserve"> of on whorled sunflower (</w:t>
      </w:r>
      <w:r w:rsidRPr="004C3997">
        <w:rPr>
          <w:i/>
          <w:color w:val="auto"/>
        </w:rPr>
        <w:t>Helianthus verticillatus</w:t>
      </w:r>
      <w:r w:rsidRPr="004C3997">
        <w:rPr>
          <w:color w:val="auto"/>
        </w:rPr>
        <w:t>) in Tennessee (</w:t>
      </w:r>
      <w:r w:rsidRPr="004C3997">
        <w:rPr>
          <w:color w:val="auto"/>
          <w:shd w:val="clear" w:color="auto" w:fill="FFFFFF"/>
        </w:rPr>
        <w:t xml:space="preserve">Trigiano </w:t>
      </w:r>
      <w:r>
        <w:rPr>
          <w:color w:val="auto"/>
          <w:shd w:val="clear" w:color="auto" w:fill="FFFFFF"/>
        </w:rPr>
        <w:t>et al.,</w:t>
      </w:r>
      <w:r w:rsidRPr="004C3997">
        <w:rPr>
          <w:color w:val="auto"/>
          <w:shd w:val="clear" w:color="auto" w:fill="FFFFFF"/>
        </w:rPr>
        <w:t xml:space="preserve"> 2016). Findings from Kentucky, which neighbors Tennessee, as well as Ohio and New York, identified </w:t>
      </w:r>
      <w:r w:rsidRPr="004C3997">
        <w:rPr>
          <w:i/>
          <w:color w:val="auto"/>
          <w:shd w:val="clear" w:color="auto" w:fill="FFFFFF"/>
        </w:rPr>
        <w:t>G. spadiceus</w:t>
      </w:r>
      <w:r w:rsidRPr="004C3997">
        <w:rPr>
          <w:color w:val="auto"/>
          <w:shd w:val="clear" w:color="auto" w:fill="FFFFFF"/>
        </w:rPr>
        <w:t xml:space="preserve"> as the hemp powdery mildew pathogen, which differs from the results of this study </w:t>
      </w:r>
      <w:r w:rsidRPr="004C3997">
        <w:rPr>
          <w:color w:val="auto"/>
        </w:rPr>
        <w:t>(</w:t>
      </w:r>
      <w:r w:rsidRPr="004C3997">
        <w:rPr>
          <w:color w:val="auto"/>
          <w:shd w:val="clear" w:color="auto" w:fill="FFFFFF"/>
        </w:rPr>
        <w:t xml:space="preserve">Szarka </w:t>
      </w:r>
      <w:r>
        <w:rPr>
          <w:color w:val="auto"/>
          <w:shd w:val="clear" w:color="auto" w:fill="FFFFFF"/>
        </w:rPr>
        <w:t>et al.,</w:t>
      </w:r>
      <w:r w:rsidRPr="004C3997">
        <w:rPr>
          <w:color w:val="auto"/>
          <w:shd w:val="clear" w:color="auto" w:fill="FFFFFF"/>
        </w:rPr>
        <w:t xml:space="preserve"> 2019; Farinas and Peduto</w:t>
      </w:r>
      <w:r>
        <w:rPr>
          <w:color w:val="auto"/>
          <w:shd w:val="clear" w:color="auto" w:fill="FFFFFF"/>
        </w:rPr>
        <w:t>,</w:t>
      </w:r>
      <w:r w:rsidRPr="004C3997">
        <w:rPr>
          <w:color w:val="auto"/>
          <w:shd w:val="clear" w:color="auto" w:fill="FFFFFF"/>
        </w:rPr>
        <w:t xml:space="preserve"> 2020; Weldon </w:t>
      </w:r>
      <w:r>
        <w:rPr>
          <w:color w:val="auto"/>
          <w:shd w:val="clear" w:color="auto" w:fill="FFFFFF"/>
        </w:rPr>
        <w:t>et al.,</w:t>
      </w:r>
      <w:r w:rsidRPr="004C3997">
        <w:rPr>
          <w:color w:val="auto"/>
          <w:shd w:val="clear" w:color="auto" w:fill="FFFFFF"/>
        </w:rPr>
        <w:t xml:space="preserve"> 2020).</w:t>
      </w:r>
      <w:r w:rsidRPr="004C3997">
        <w:rPr>
          <w:color w:val="auto"/>
        </w:rPr>
        <w:t xml:space="preserve"> Together, these findings suggest that multiple species are responsible for causing hemp powdery mildew in the U.S., and the fact that different species were identified in neighboring states implies that multiple pathogen species may be found in relative proximity. </w:t>
      </w:r>
    </w:p>
    <w:p w14:paraId="428D517C" w14:textId="77777777" w:rsidR="00D20476" w:rsidRPr="004C3997" w:rsidRDefault="00D20476" w:rsidP="00D20476">
      <w:pPr>
        <w:pStyle w:val="Default"/>
        <w:spacing w:line="360" w:lineRule="auto"/>
        <w:ind w:left="720" w:firstLine="720"/>
        <w:rPr>
          <w:color w:val="0E101A"/>
        </w:rPr>
      </w:pPr>
      <w:r w:rsidRPr="004C3997">
        <w:rPr>
          <w:color w:val="auto"/>
        </w:rPr>
        <w:t>Fungicides are important in developing management programs for powdery mildew disease. Among the nine commercial fungicides tested in this study, five (Defguard, Exile, Regalia, Sil</w:t>
      </w:r>
      <w:r>
        <w:rPr>
          <w:color w:val="auto"/>
        </w:rPr>
        <w:t>-M</w:t>
      </w:r>
      <w:r w:rsidRPr="004C3997">
        <w:rPr>
          <w:color w:val="auto"/>
        </w:rPr>
        <w:t xml:space="preserve">atrix, Stargus) are approved </w:t>
      </w:r>
      <w:r w:rsidRPr="004C3997">
        <w:rPr>
          <w:color w:val="0E101A"/>
        </w:rPr>
        <w:t>by</w:t>
      </w:r>
      <w:r w:rsidRPr="004C3997">
        <w:t xml:space="preserve"> the Tennessee Department of Agriculture f</w:t>
      </w:r>
      <w:r w:rsidRPr="004C3997">
        <w:rPr>
          <w:color w:val="0E101A"/>
        </w:rPr>
        <w:t xml:space="preserve">or hemp. Our results showed that all nine fungicides exhibited varying efficacy against hemp powdery mildew caused by </w:t>
      </w:r>
      <w:r w:rsidRPr="004C3997">
        <w:rPr>
          <w:i/>
          <w:color w:val="0E101A"/>
        </w:rPr>
        <w:t>G. ambrosiae</w:t>
      </w:r>
      <w:r w:rsidRPr="004C3997">
        <w:rPr>
          <w:color w:val="0E101A"/>
        </w:rPr>
        <w:t xml:space="preserve">. </w:t>
      </w:r>
    </w:p>
    <w:p w14:paraId="427BDAC3" w14:textId="6E0830CC" w:rsidR="00D20476" w:rsidRPr="005F275F" w:rsidRDefault="00D20476" w:rsidP="00D20476">
      <w:pPr>
        <w:pStyle w:val="Default"/>
        <w:spacing w:line="360" w:lineRule="auto"/>
        <w:ind w:left="720" w:firstLine="720"/>
      </w:pPr>
      <w:r w:rsidRPr="004C3997">
        <w:rPr>
          <w:color w:val="0E101A"/>
        </w:rPr>
        <w:t>Bonide sulfur, Luna Experience, and Milst</w:t>
      </w:r>
      <w:r>
        <w:rPr>
          <w:color w:val="0E101A"/>
        </w:rPr>
        <w:t xml:space="preserve">op exhibited excellent efficacy. </w:t>
      </w:r>
      <w:r w:rsidRPr="004C3997">
        <w:rPr>
          <w:color w:val="0E101A"/>
        </w:rPr>
        <w:t>Luna Experience and Milst</w:t>
      </w:r>
      <w:r>
        <w:rPr>
          <w:color w:val="0E101A"/>
        </w:rPr>
        <w:t xml:space="preserve">op are not in the list of approved products on hemp in Tennessee, indicating </w:t>
      </w:r>
      <w:r w:rsidRPr="004C3997">
        <w:rPr>
          <w:color w:val="0E101A"/>
        </w:rPr>
        <w:t xml:space="preserve">they are </w:t>
      </w:r>
      <w:r>
        <w:rPr>
          <w:color w:val="0E101A"/>
        </w:rPr>
        <w:t xml:space="preserve">not yet allowed on hemp in the state. </w:t>
      </w:r>
      <w:r w:rsidRPr="004C3997">
        <w:rPr>
          <w:color w:val="0E101A"/>
        </w:rPr>
        <w:t>Bonide sulfur</w:t>
      </w:r>
      <w:r>
        <w:rPr>
          <w:color w:val="0E101A"/>
        </w:rPr>
        <w:t xml:space="preserve">, however, has been historically </w:t>
      </w:r>
      <w:r w:rsidRPr="004C3997">
        <w:rPr>
          <w:color w:val="0E101A"/>
        </w:rPr>
        <w:t>used as an organic product to control many plant diseases for over 2,000 years</w:t>
      </w:r>
      <w:r>
        <w:rPr>
          <w:color w:val="0E101A"/>
        </w:rPr>
        <w:t xml:space="preserve">. Bonide sulfur </w:t>
      </w:r>
      <w:r w:rsidRPr="004C3997">
        <w:rPr>
          <w:color w:val="0E101A"/>
        </w:rPr>
        <w:t>is a w</w:t>
      </w:r>
      <w:r>
        <w:rPr>
          <w:color w:val="0E101A"/>
        </w:rPr>
        <w:t xml:space="preserve">ettable powder sulfur treatment that </w:t>
      </w:r>
      <w:r w:rsidRPr="004C3997">
        <w:rPr>
          <w:color w:val="0E101A"/>
        </w:rPr>
        <w:t>is toxic to man</w:t>
      </w:r>
      <w:r>
        <w:rPr>
          <w:color w:val="0E101A"/>
        </w:rPr>
        <w:t xml:space="preserve">y pathogens including fungi. It is effective </w:t>
      </w:r>
      <w:r w:rsidRPr="004C3997">
        <w:rPr>
          <w:color w:val="0E101A"/>
        </w:rPr>
        <w:t>when used as a prophylactic treatment (</w:t>
      </w:r>
      <w:r w:rsidRPr="004C3997">
        <w:t>Mangandi and Peres</w:t>
      </w:r>
      <w:r>
        <w:t>,</w:t>
      </w:r>
      <w:r w:rsidRPr="004C3997">
        <w:t xml:space="preserve"> 2009a, 2009b</w:t>
      </w:r>
      <w:r w:rsidRPr="004C3997">
        <w:rPr>
          <w:color w:val="0E101A"/>
        </w:rPr>
        <w:t>; Beckerman</w:t>
      </w:r>
      <w:r>
        <w:rPr>
          <w:color w:val="0E101A"/>
        </w:rPr>
        <w:t>,</w:t>
      </w:r>
      <w:r w:rsidRPr="004C3997">
        <w:rPr>
          <w:color w:val="0E101A"/>
        </w:rPr>
        <w:t xml:space="preserve"> 2008; Davis </w:t>
      </w:r>
      <w:r>
        <w:rPr>
          <w:color w:val="0E101A"/>
        </w:rPr>
        <w:t>et al.,</w:t>
      </w:r>
      <w:r w:rsidRPr="004C3997">
        <w:rPr>
          <w:color w:val="0E101A"/>
        </w:rPr>
        <w:t xml:space="preserve"> 2008). Our study corroborates the prophylactic efficacy of sulfur against powdery mildew in the greenhouse. Luna Experience contains fluoypram and tebuconazole as the active ingredients. Fluopyram kills target pathogens by suppressing respiration. Tebuconazole, on the other hand, interferes with cell walls to prevent spore germination </w:t>
      </w:r>
      <w:r w:rsidRPr="004C3997">
        <w:fldChar w:fldCharType="begin" w:fldLock="1"/>
      </w:r>
      <w:r>
        <w:instrText>ADDIN CSL_CITATION {"citationItems":[{"id":"ITEM-1","itemData":{"DOI":"10.1002/jsfa.10542","ISSN":"10970010","PMID":"32500528","abstract":"BACKGROUND: Fluopyram is a pesticide widely used in tomato and cucumber crops cultivation to control fungal diseases that develop especially in environments with moderate temperatures and high humidity, such as in a greenhouse. The pathway of fluopyram dissipation has been monitored in cucumber and cherry tomato under greenhouse conditions. RESULTS: In the greenhouse trials, cherry tomato and cucumber were treated by irrigation water with the commercial product at the manufacturer’s recommended dose and double dose. High-resolution mass spectrometry (HRMS) coupled to ultra-high-performance liquid chromatography (UHPLC) has been selected as the technique to obtain the identification of fluopyram and metabolites. The fate of fluopyram in greenhouse tomato and cucumber was investigated over 44 days. The metabolic pathway of fluopyram was: in a first step there was a primary transformation to fluopyram-7-hydroxy and fluopyram-8-hydroxy, isomeric compounds, and in a second phase to fluopyram-benzamide and fluopyram-pyridyl-carboxylic acid. The behavior of fluopyram does not fit any type of kinetic classical model of degradation. CONCLUSIONS: Greenhouse trials revealed that the fluopyram is a very persistent compound, and their terminal residues do not exceed maximum residue level (MRL) at the end of the study. © 2020 Society of Chemical Industry.","author":[{"dropping-particle":"","family":"Vargas-Pérez","given":"Marta","non-dropping-particle":"","parse-names":false,"suffix":""},{"dropping-particle":"","family":"Egea González","given":"Francisco Javier","non-dropping-particle":"","parse-names":false,"suffix":""},{"dropping-particle":"","family":"Garrido Frenich","given":"Antonia","non-dropping-particle":"","parse-names":false,"suffix":""}],"container-title":"Journal of the Science of Food and Agriculture","id":"ITEM-1","issue":"13","issued":{"date-parts":[["2020"]]},"page":"4826-4833","title":"Dissipation and residue determination of fluopyram and its metabolites in greenhouse crops","type":"article-journal","volume":"100"},"uris":["http://www.mendeley.com/documents/?uuid=afdae12e-44c2-49f1-b47d-f22d2594debe"]},{"id":"ITEM-2","itemData":{"author":[{"dropping-particle":"","family":"Kwok","given":"Iris M","non-dropping-particle":"","parse-names":false,"suffix":""},{"dropping-particle":"","family":"Loeffler","given":"R Thomas","non-dropping-particle":"","parse-names":false,"suffix":""}],"id":"ITEM-2","issued":{"date-parts":[["1993"]]},"page":"1-11","title":"The Biochemical Mode","type":"article-journal"},"uris":["http://www.mendeley.com/documents/?uuid=eed1fc4e-d6ba-4a11-9808-55a35a6c98a9"]}],"mendeley":{"formattedCitation":"(Kwok &amp; Loeffler, 1993; Vargas-Pérez et al., 2020)","manualFormatting":"(Kwok and Loeffler 1993; Vargas-Pérez et al. 2020)","plainTextFormattedCitation":"(Kwok &amp; Loeffler, 1993; Vargas-Pérez et al., 2020)","previouslyFormattedCitation":"(Kwok &amp; Loeffler, 1993; Vargas-Pérez et al., 2020)"},"properties":{"noteIndex":0},"schema":"https://github.com/citation-style-language/schema/raw/master/csl-citation.json"}</w:instrText>
      </w:r>
      <w:r w:rsidRPr="004C3997">
        <w:fldChar w:fldCharType="separate"/>
      </w:r>
      <w:r w:rsidRPr="004C3997">
        <w:rPr>
          <w:noProof/>
        </w:rPr>
        <w:t>(Kwok and Loeffler</w:t>
      </w:r>
      <w:r>
        <w:rPr>
          <w:noProof/>
        </w:rPr>
        <w:t>,</w:t>
      </w:r>
      <w:r w:rsidRPr="004C3997">
        <w:rPr>
          <w:noProof/>
        </w:rPr>
        <w:t xml:space="preserve"> 1993; Vargas-Pérez </w:t>
      </w:r>
      <w:r>
        <w:rPr>
          <w:noProof/>
        </w:rPr>
        <w:t>et al.,</w:t>
      </w:r>
      <w:r w:rsidRPr="004C3997">
        <w:rPr>
          <w:noProof/>
        </w:rPr>
        <w:t xml:space="preserve"> 2020)</w:t>
      </w:r>
      <w:r w:rsidRPr="004C3997">
        <w:fldChar w:fldCharType="end"/>
      </w:r>
      <w:r w:rsidRPr="004C3997">
        <w:t xml:space="preserve">. </w:t>
      </w:r>
      <w:r w:rsidRPr="004C3997">
        <w:rPr>
          <w:color w:val="0E101A"/>
        </w:rPr>
        <w:t>Both compounds are systemic fungicides that are mobile within plant tissue and can protect against pathogen invasion</w:t>
      </w:r>
      <w:r w:rsidRPr="004C3997">
        <w:t xml:space="preserve">. These modes of action may explain the high efficacy of Luna Experience in this study. Many researchers have shown that products containing either fluopyram or tebuconazole or both are effective against powdery mildew. Researchers reported that fluopyram-containing fungicides were effective against fungal diseases including powdery mildew, leaf spots, and grey mold on different crops (Proffer </w:t>
      </w:r>
      <w:r>
        <w:t>et al.,</w:t>
      </w:r>
      <w:r w:rsidRPr="004C3997">
        <w:t xml:space="preserve"> 2012; Veloukas and Karaoglan</w:t>
      </w:r>
      <w:r>
        <w:t xml:space="preserve">idis, 2012; Vitale et al., 2016). </w:t>
      </w:r>
      <w:r w:rsidRPr="004C3997">
        <w:t xml:space="preserve">Likewise, a product containing tebuconazole, otherwise known as a sterol </w:t>
      </w:r>
      <w:r w:rsidRPr="00B751B4">
        <w:rPr>
          <w:color w:val="auto"/>
        </w:rPr>
        <w:t xml:space="preserve">demethylation inhibitor fungicide, was effective against fusarium head blight caused by </w:t>
      </w:r>
      <w:r w:rsidRPr="00B751B4">
        <w:rPr>
          <w:i/>
          <w:color w:val="auto"/>
        </w:rPr>
        <w:t>Fusarium graminearium</w:t>
      </w:r>
      <w:r w:rsidRPr="00B751B4">
        <w:rPr>
          <w:color w:val="auto"/>
        </w:rPr>
        <w:t xml:space="preserve"> (</w:t>
      </w:r>
      <w:r w:rsidRPr="00B751B4">
        <w:rPr>
          <w:color w:val="auto"/>
          <w:shd w:val="clear" w:color="auto" w:fill="FFFFFF"/>
        </w:rPr>
        <w:t xml:space="preserve">Sun </w:t>
      </w:r>
      <w:r>
        <w:rPr>
          <w:color w:val="auto"/>
          <w:shd w:val="clear" w:color="auto" w:fill="FFFFFF"/>
        </w:rPr>
        <w:t>et al.,</w:t>
      </w:r>
      <w:r w:rsidRPr="00B751B4">
        <w:rPr>
          <w:color w:val="auto"/>
          <w:shd w:val="clear" w:color="auto" w:fill="FFFFFF"/>
        </w:rPr>
        <w:t xml:space="preserve"> 2014). These studies and the result of the present study </w:t>
      </w:r>
      <w:r w:rsidRPr="005F275F">
        <w:rPr>
          <w:color w:val="auto"/>
          <w:shd w:val="clear" w:color="auto" w:fill="FFFFFF"/>
        </w:rPr>
        <w:t xml:space="preserve">implicate that Luna Experience is an effective fungicide against hemp powdery mildew. Even though Luna Experience is not registered for hemp, it will be useful for hemp researchers to be aware of a conventional synthetic </w:t>
      </w:r>
      <w:r w:rsidRPr="005F275F">
        <w:rPr>
          <w:color w:val="222222"/>
          <w:shd w:val="clear" w:color="auto" w:fill="FFFFFF"/>
        </w:rPr>
        <w:t xml:space="preserve">fungicide with high efficacy as a potential control product in further research. Milstop is registered for use on hemp in the United States but it is currently not among the fungicides approved on hemp in Tennessee. Milstop is a “contact and kills” foliar fungicide with potassium bicarbonate as the active compound. Bicarbonate fungicides work by altering cellular pH, osmotic imbalance, and affecting cell membrane permeability; thus spore formation and mycelial growth (Ordóñez-Valencia et al., 2009). Potassium bicarbonate products have shown efficacy against varieties of diseases on different crops including apple scab on apples (Jamar et al., 2008), silver scurf on potato </w:t>
      </w:r>
      <w:r w:rsidRPr="005F275F">
        <w:rPr>
          <w:color w:val="222222"/>
          <w:shd w:val="clear" w:color="auto" w:fill="FFFFFF"/>
        </w:rPr>
        <w:fldChar w:fldCharType="begin" w:fldLock="1"/>
      </w:r>
      <w:r w:rsidRPr="005F275F">
        <w:rPr>
          <w:color w:val="222222"/>
          <w:shd w:val="clear" w:color="auto" w:fill="FFFFFF"/>
        </w:rPr>
        <w:instrText>ADDIN CSL_CITATION {"citationItems":[{"id":"ITEM-1","itemData":{"DOI":"10.1094/PDIS.1998.82.2.213","ISSN":"01912917","abstract":"Seven organic and inorganic salts were tested for suppression of silver scurf, a postharvest disease of potato tubers caused by Helminthosporium solani. Potassium sorbate, calcium propionate, sodium carbonate, sodium bicarbonate, potassium carbonate, potassium bicarbonate, and ammonium bicarbonate were added to V8 agar at concentrations of 0.06-0.2 M. Radial growth of H. solani was significantly reduced (P &lt; 0.05) by all salts at all concentrations. All salts except sodium bicarbonate and potassium bicarbonate were fungicidal at 0.2 M. Effects of postharvest salt treatments on disease severity and sporulation of H. solani on inoculated and naturally infected potato tubers were evaluated in separate experiments. Greenhouse-grown tubers were inoculated with H. solani spore suspensions (2 x 105 spores/ml), incubated for 5 days, dipped into 0.2 M solutions of each of the salts, and incubated in a moist chamber at 22-24°C for 6 weeks. All salt treatments prevented lesion development and sporulation of H. solani and differed significantly (P &lt; 0.05) from the control. Postharvest applications of test compounds (0.2M) also significantly (P &lt; 0.05) reduced disease severity and H. solani sporulation on naturally infected, field-grown tubers after 15 weeks of storage at 10°C. Salt treatments did not differ in disease or pathogen suppression. These relatively nontoxic organic and inorganic salts have potential as postharvest applications for control of silver scurf.","author":[{"dropping-particle":"","family":"Olivier","given":"Claudia","non-dropping-particle":"","parse-names":false,"suffix":""},{"dropping-particle":"","family":"Halseth","given":"Donald E.","non-dropping-particle":"","parse-names":false,"suffix":""},{"dropping-particle":"","family":"Mizubuti","given":"Eduardo S.G.","non-dropping-particle":"","parse-names":false,"suffix":""},{"dropping-particle":"","family":"Loria","given":"Rosemary","non-dropping-particle":"","parse-names":false,"suffix":""}],"container-title":"Plant Disease","id":"ITEM-1","issue":"2","issued":{"date-parts":[["1998"]]},"page":"213-217","title":"Postharvest application of organic and inorganic salts for suppression of silver scurf on potato tubers","type":"article-journal","volume":"82"},"uris":["http://www.mendeley.com/documents/?uuid=01494d8b-6fa6-43c7-ad37-58f4ec8978de"]}],"mendeley":{"formattedCitation":"(Olivier et al., 1998)","manualFormatting":"(Olivier et al. 1998)","plainTextFormattedCitation":"(Olivier et al., 1998)","previouslyFormattedCitation":"(Olivier et al., 1998)"},"properties":{"noteIndex":0},"schema":"https://github.com/citation-style-language/schema/raw/master/csl-citation.json"}</w:instrText>
      </w:r>
      <w:r w:rsidRPr="005F275F">
        <w:rPr>
          <w:color w:val="222222"/>
          <w:shd w:val="clear" w:color="auto" w:fill="FFFFFF"/>
        </w:rPr>
        <w:fldChar w:fldCharType="separate"/>
      </w:r>
      <w:r w:rsidRPr="005F275F">
        <w:rPr>
          <w:noProof/>
          <w:color w:val="222222"/>
          <w:shd w:val="clear" w:color="auto" w:fill="FFFFFF"/>
        </w:rPr>
        <w:t>(Olivier et al., 1998)</w:t>
      </w:r>
      <w:r w:rsidRPr="005F275F">
        <w:rPr>
          <w:color w:val="222222"/>
          <w:shd w:val="clear" w:color="auto" w:fill="FFFFFF"/>
        </w:rPr>
        <w:fldChar w:fldCharType="end"/>
      </w:r>
      <w:r w:rsidRPr="005F275F">
        <w:rPr>
          <w:color w:val="222222"/>
          <w:shd w:val="clear" w:color="auto" w:fill="FFFFFF"/>
        </w:rPr>
        <w:t xml:space="preserve">, and powdery mildew on a gooseberry (Wenneker, 2015);  gerbera daisies (Moyer and Peres, 2008); apples (Jamar et al., 2008); cantaloupe (Matheron and Porchas, 2013); and cucurbit </w:t>
      </w:r>
      <w:r w:rsidRPr="005F275F">
        <w:rPr>
          <w:color w:val="222222"/>
          <w:shd w:val="clear" w:color="auto" w:fill="FFFFFF"/>
        </w:rPr>
        <w:fldChar w:fldCharType="begin" w:fldLock="1"/>
      </w:r>
      <w:r w:rsidRPr="005F275F">
        <w:rPr>
          <w:color w:val="222222"/>
          <w:shd w:val="clear" w:color="auto" w:fill="FFFFFF"/>
        </w:rPr>
        <w:instrText>ADDIN CSL_CITATION {"citationItems":[{"id":"ITEM-1","itemData":{"DOI":"10.1016/S0261-2194(99)00048-4","ISSN":"02612194","abstract":"The biocompatible products AQ10 (hyperparasitic fungus Ampelomyces quisqualis), JMS Stylet-Oil (medium viscosity mineral oil), M-Pede (potassium salts of fatty acids) and Kaligreen (82% potassium bicarbonate) suppressed powdery mildew (Sphaerotheca fusca) on winter squash, muskmelon, and pumpkin and increased yield compared with nontreated plants under field conditions. Applications were started after disease detection. JMS Stylet-Oil most effectively controlled powdery mildew. However, these products did not provide the degree of full-season control or yield increase obtained with the conventional fungicide program of Bravo (chlorothalonil) plus Nova (myclobutanil). For example, in muskmelon on 17 August 1995, 7 days after the third application, powdery mildew severity on upper and lower (under) leaf surfaces was 66 and 80% for untreated, 3 and 13% for Bravo plus Nova, 43 and 44% for JMS Stylet-Oil, 38 and 65% for AQ10, and 53 and 65% for Kaligreen, respectively. Yield (ton/ha) was 22.8, 44.2, 36.4, 40.6, and 38.5, respectively. Sucrose content was 3.5%, 6.6%, 4.6%, 3.2%, and 4.0%, respectively.","author":[{"dropping-particle":"","family":"McGrath","given":"M. T.","non-dropping-particle":"","parse-names":false,"suffix":""},{"dropping-particle":"","family":"Shishkoff","given":"N.","non-dropping-particle":"","parse-names":false,"suffix":""}],"container-title":"Crop Protection","id":"ITEM-1","issue":"7","issued":{"date-parts":[["1999"]]},"page":"471-478","title":"Evaluation of biocompatible products for managing cucurbit powdery mildew","type":"article-journal","volume":"18"},"uris":["http://www.mendeley.com/documents/?uuid=e9bd8e1f-9f7d-4585-a96b-2a46eb55226e"]}],"mendeley":{"formattedCitation":"(McGrath &amp; Shishkoff, 1999)","manualFormatting":"(McGrath and Shishkoff 1999)","plainTextFormattedCitation":"(McGrath &amp; Shishkoff, 1999)","previouslyFormattedCitation":"(McGrath &amp; Shishkoff, 1999)"},"properties":{"noteIndex":0},"schema":"https://github.com/citation-style-language/schema/raw/master/csl-citation.json"}</w:instrText>
      </w:r>
      <w:r w:rsidRPr="005F275F">
        <w:rPr>
          <w:color w:val="222222"/>
          <w:shd w:val="clear" w:color="auto" w:fill="FFFFFF"/>
        </w:rPr>
        <w:fldChar w:fldCharType="separate"/>
      </w:r>
      <w:r w:rsidRPr="005F275F">
        <w:rPr>
          <w:noProof/>
          <w:color w:val="222222"/>
          <w:shd w:val="clear" w:color="auto" w:fill="FFFFFF"/>
        </w:rPr>
        <w:t>(McGrath and Shishkoff 1999)</w:t>
      </w:r>
      <w:r w:rsidRPr="005F275F">
        <w:rPr>
          <w:color w:val="222222"/>
          <w:shd w:val="clear" w:color="auto" w:fill="FFFFFF"/>
        </w:rPr>
        <w:fldChar w:fldCharType="end"/>
      </w:r>
      <w:r w:rsidRPr="005F275F">
        <w:rPr>
          <w:color w:val="222222"/>
          <w:shd w:val="clear" w:color="auto" w:fill="FFFFFF"/>
        </w:rPr>
        <w:t xml:space="preserve">. These studies support our finding and implicate that potassium bicarbonate fungicides including Milstop exhibit promising potential as an effective organic product against hemp powdery mildew. </w:t>
      </w:r>
    </w:p>
    <w:p w14:paraId="24844714" w14:textId="5DD8A7F2" w:rsidR="00D20476" w:rsidRDefault="00D20476" w:rsidP="00D20476">
      <w:pPr>
        <w:pStyle w:val="Default"/>
        <w:spacing w:line="360" w:lineRule="auto"/>
        <w:ind w:left="720" w:firstLine="720"/>
      </w:pPr>
      <w:r w:rsidRPr="005F275F">
        <w:rPr>
          <w:color w:val="222222"/>
          <w:shd w:val="clear" w:color="auto" w:fill="FFFFFF"/>
        </w:rPr>
        <w:t xml:space="preserve">Cinnerate, Exile, Regalia, and Sil-Matrix exhibited high efficacy against hemp powdery mildew, indicating that they are great options for controlling powdery mildew caused by </w:t>
      </w:r>
      <w:r w:rsidRPr="005F275F">
        <w:rPr>
          <w:i/>
          <w:color w:val="222222"/>
          <w:shd w:val="clear" w:color="auto" w:fill="FFFFFF"/>
        </w:rPr>
        <w:t>G. ambrosiae</w:t>
      </w:r>
      <w:r w:rsidRPr="005F275F">
        <w:rPr>
          <w:color w:val="222222"/>
          <w:shd w:val="clear" w:color="auto" w:fill="FFFFFF"/>
        </w:rPr>
        <w:t xml:space="preserve"> in greenhouse hemp production in Tennessee. Cinnamon oil is the active ingredient in Cinnerate, and cinnamon oil is known to inhibit fungal growth by disrupting cell membranes and causing cellular dehydration </w:t>
      </w:r>
      <w:r w:rsidRPr="005F275F">
        <w:rPr>
          <w:color w:val="222222"/>
          <w:shd w:val="clear" w:color="auto" w:fill="FFFFFF"/>
        </w:rPr>
        <w:fldChar w:fldCharType="begin" w:fldLock="1"/>
      </w:r>
      <w:r w:rsidRPr="005F275F">
        <w:rPr>
          <w:color w:val="222222"/>
          <w:shd w:val="clear" w:color="auto" w:fill="FFFFFF"/>
        </w:rPr>
        <w:instrText>ADDIN CSL_CITATION {"citationItems":[{"id":"ITEM-1","itemData":{"DOI":"10.1111/ijfs.12991","ISSN":"13652621","abstract":"Mango fruit has high commercial value; however, major postharvest losses are encountered throughout the supply chain due to postharvest diseases. These results lead to the search for natural fungicide for postharvest diseases control. The antifungal effects of five essential oils (thyme, clove, cinnamon, anise and vitex) were assessed by disc volatilisation method. Thyme oil vapours at 5 μL per Petriplate, and clove and cinnamon oil at 8 μL per Petriplate showed 100% growth inhibition of mango pathogens in vitro. GC/MS analysis of essential oil showed thymol (23.88), o-cymol (23.88) and terpinolene (23.88) as the major constituents of thyme oil. Clove and cinnamon oils contain 3-allyl-2-methoxyphenol (37.42%) and benzofuran 3-methyl (17.97%), respectively. Thyme oil as a fumigant at 66.7 μL L-1 showed a significant (P &lt; 0.05) inhibition on postharvest pathogens of mango fruits stored at 25 °C for 6 days. Results of our study suggest the possibility of using thyme oil as an alternate natural fungicide to manage postharvest diseases in mango. Antifungal effect of five essential oils (thyme, clove, cinnamon, anise and vitex) was determined by disc volatilization method. Thyme oil at 5 μL/Petriplate and 66.7 μL/L on artificial infected mangoes provided significant control on the postharvest diseases. The findings recommend that thyme oil vapors could be used as alternate natural fungicide to control the common postharvest diseases in mango.","author":[{"dropping-particle":"","family":"Perumal","given":"Anand Babu","non-dropping-particle":"","parse-names":false,"suffix":""},{"dropping-particle":"","family":"Sellamuthu","given":"Periyar Selvam","non-dropping-particle":"","parse-names":false,"suffix":""},{"dropping-particle":"","family":"Nambiar","given":"Reshma B.","non-dropping-particle":"","parse-names":false,"suffix":""},{"dropping-particle":"","family":"Sadiku","given":"Emmanuel Rotimi","non-dropping-particle":"","parse-names":false,"suffix":""}],"container-title":"International Journal of Food Science and Technology","id":"ITEM-1","issue":"2","issued":{"date-parts":[["2016"]]},"page":"411-418","title":"Antifungal activity of five different essential oils in vapour phase for the control of Colletotrichum gloeosporioides and Lasiodiplodia theobromae in vitro and on mango","type":"article-journal","volume":"51"},"uris":["http://www.mendeley.com/documents/?uuid=388f46e7-2bd7-4d58-909b-eea34dece3d9"]}],"mendeley":{"formattedCitation":"(Perumal et al., 2016)","manualFormatting":"(Perumal et al. 2016)","plainTextFormattedCitation":"(Perumal et al., 2016)","previouslyFormattedCitation":"(Perumal et al., 2016)"},"properties":{"noteIndex":0},"schema":"https://github.com/citation-style-language/schema/raw/master/csl-citation.json"}</w:instrText>
      </w:r>
      <w:r w:rsidRPr="005F275F">
        <w:rPr>
          <w:color w:val="222222"/>
          <w:shd w:val="clear" w:color="auto" w:fill="FFFFFF"/>
        </w:rPr>
        <w:fldChar w:fldCharType="separate"/>
      </w:r>
      <w:r w:rsidRPr="005F275F">
        <w:rPr>
          <w:noProof/>
          <w:color w:val="222222"/>
          <w:shd w:val="clear" w:color="auto" w:fill="FFFFFF"/>
        </w:rPr>
        <w:t>(Perumal et al., 2016)</w:t>
      </w:r>
      <w:r w:rsidRPr="005F275F">
        <w:rPr>
          <w:color w:val="222222"/>
          <w:shd w:val="clear" w:color="auto" w:fill="FFFFFF"/>
        </w:rPr>
        <w:fldChar w:fldCharType="end"/>
      </w:r>
      <w:r w:rsidRPr="005F275F">
        <w:rPr>
          <w:color w:val="222222"/>
          <w:shd w:val="clear" w:color="auto" w:fill="FFFFFF"/>
        </w:rPr>
        <w:t>. This</w:t>
      </w:r>
      <w:r w:rsidRPr="004C3997">
        <w:rPr>
          <w:color w:val="222222"/>
          <w:shd w:val="clear" w:color="auto" w:fill="FFFFFF"/>
        </w:rPr>
        <w:t xml:space="preserve"> attribute may explain the efficacy of Cinnerate in this study whereby Cinnerate suppressed powdery mildew disease by 92%. In a similar report, cinnamon oil sprayed on the leaves of </w:t>
      </w:r>
      <w:r w:rsidRPr="004C3997">
        <w:rPr>
          <w:i/>
          <w:iCs/>
        </w:rPr>
        <w:t>Zinnia elegans</w:t>
      </w:r>
      <w:r w:rsidRPr="004C3997">
        <w:rPr>
          <w:iCs/>
        </w:rPr>
        <w:t xml:space="preserve"> in a field study was found to decrease </w:t>
      </w:r>
      <w:r w:rsidRPr="004C3997">
        <w:rPr>
          <w:i/>
          <w:iCs/>
        </w:rPr>
        <w:t>Erysiphe cichoracearum</w:t>
      </w:r>
      <w:r w:rsidRPr="004C3997">
        <w:rPr>
          <w:iCs/>
        </w:rPr>
        <w:t xml:space="preserve"> powdery mildew incidence and severity by up to 95% and 92%, respectively </w:t>
      </w:r>
      <w:r w:rsidRPr="004C3997">
        <w:rPr>
          <w:iCs/>
        </w:rPr>
        <w:fldChar w:fldCharType="begin" w:fldLock="1"/>
      </w:r>
      <w:r>
        <w:rPr>
          <w:iCs/>
        </w:rPr>
        <w:instrText>ADDIN CSL_CITATION {"citationItems":[{"id":"ITEM-1","itemData":{"DOI":"10.37855/jah.2010.v12i01.17","ISSN":"09721045","abstract":"A field experiment was carried out during two successive seasons at the Experimental Farm of the Faculty of Agriculture, Kafr El- Sheikh University to evaluate some essential oils as biocontrol agents for powdery mildew on Zinnia elegans, L. Marjoram, clove, cinnamon, garlic, ginger and fennel oil were used as a foliar spray at 2 levels (250 and 500 ppm) beside Kema zein 75% and distilled water as a control. The plants were sprayed four times beginning from June 15th with one week interval by a hand atomizer as soon as the first sign of powdery mildew detected on plants. Disease incidence and severity as well as vegetative parameters such as plant height, number of branches per plant, leaf area, fresh and dry weights of shoots, root length and fresh and dry weights of roots were determined in the two seasons. Peroxidase and polyphenol oxidase activities were determined after 24 hour from the last spray in leaves samples. The highest significant decrease in disease incidence and severity and the best results for most of the studied growth and flowering parameters and total green colour were recorded when plants were sprayed with ginger, cinnamon and clove oils, respectively each at 500 ppm compared to the other treatments in both seasons. In addition, the activities of peroxidase (POX) and polyphenol oxidase (PPO) enzymes increased as a result of oil spray on plants. In conclusion, these findings provide a rational basis for possible utilization of these essential oils as a safe and alternative method to fungicides for controlling powdery mildew in zinnia plants.","author":[{"dropping-particle":"","family":"Hegazi","given":"M. A.","non-dropping-particle":"","parse-names":false,"suffix":""},{"dropping-particle":"","family":"El-Kot","given":"G. A.N.","non-dropping-particle":"","parse-names":false,"suffix":""}],"container-title":"Journal of Applied Horticulture","id":"ITEM-1","issue":"1","issued":{"date-parts":[["2010"]]},"page":"75-80","title":"Efficacy of some essential oils on controlling powdery mildew on zinnia (Zinnia elegans L.)","type":"article-journal","volume":"12"},"uris":["http://www.mendeley.com/documents/?uuid=baa34eea-8cc7-4e6b-b5d2-ac48d54349a6"]}],"mendeley":{"formattedCitation":"(Hegazi &amp; El-Kot, 2010)","manualFormatting":"(Hegazi and El-Kot 2010)","plainTextFormattedCitation":"(Hegazi &amp; El-Kot, 2010)","previouslyFormattedCitation":"(Hegazi &amp; El-Kot, 2010)"},"properties":{"noteIndex":0},"schema":"https://github.com/citation-style-language/schema/raw/master/csl-citation.json"}</w:instrText>
      </w:r>
      <w:r w:rsidRPr="004C3997">
        <w:rPr>
          <w:iCs/>
        </w:rPr>
        <w:fldChar w:fldCharType="separate"/>
      </w:r>
      <w:r w:rsidRPr="004C3997">
        <w:rPr>
          <w:iCs/>
          <w:noProof/>
        </w:rPr>
        <w:t>(Hegazi and El-Kot</w:t>
      </w:r>
      <w:r>
        <w:rPr>
          <w:iCs/>
          <w:noProof/>
        </w:rPr>
        <w:t>,</w:t>
      </w:r>
      <w:r w:rsidRPr="004C3997">
        <w:rPr>
          <w:iCs/>
          <w:noProof/>
        </w:rPr>
        <w:t xml:space="preserve"> 2010)</w:t>
      </w:r>
      <w:r w:rsidRPr="004C3997">
        <w:rPr>
          <w:iCs/>
        </w:rPr>
        <w:fldChar w:fldCharType="end"/>
      </w:r>
      <w:r w:rsidRPr="004C3997">
        <w:rPr>
          <w:iCs/>
        </w:rPr>
        <w:t>. Likewise, in another study, lauric acid (a major component of cinnamon oil) sprayed on barley seedlings was found to significantly reduce barley powdery mildew (</w:t>
      </w:r>
      <w:r w:rsidRPr="004C3997">
        <w:rPr>
          <w:i/>
        </w:rPr>
        <w:t>Blumeria graminis</w:t>
      </w:r>
      <w:r w:rsidRPr="004C3997">
        <w:t xml:space="preserve"> f. sp. </w:t>
      </w:r>
      <w:r w:rsidRPr="004C3997">
        <w:rPr>
          <w:i/>
        </w:rPr>
        <w:t>hordei</w:t>
      </w:r>
      <w:r w:rsidRPr="004C3997">
        <w:t>)</w:t>
      </w:r>
      <w:r w:rsidRPr="004C3997">
        <w:rPr>
          <w:iCs/>
        </w:rPr>
        <w:t xml:space="preserve"> infection by 33% to 84%  at different concentrations  </w:t>
      </w:r>
      <w:r w:rsidRPr="004C3997">
        <w:rPr>
          <w:iCs/>
        </w:rPr>
        <w:fldChar w:fldCharType="begin" w:fldLock="1"/>
      </w:r>
      <w:r>
        <w:rPr>
          <w:iCs/>
        </w:rPr>
        <w:instrText>ADDIN CSL_CITATION {"citationItems":[{"id":"ITEM-1","itemData":{"DOI":"10.1046/j.1439-0434.2003.00713.x","ISSN":"09311785","abstract":"This study aimed at examining the effects of the saturated fatty acid lauric acid on mycelial growth of Rhizoctonia solani and Pythium ultimum and on infection of barley seedlings with Blumeria graminis f. sp. hordei. Mycelial growth of R. solani and P. ultimum in agar culture was significantly reduced by lauric acid at concentrations of 100 μM and above, while no fungal growth occurred in liquid culture at concentrations above 50 μM. Application of lauric acid at concentrations ranging from 250 to 1000 μM to barley leaves before or after inoculation with B. graminis f. sp. hordei led to significant reductions in infection. This study provides the first report of the activity of lauric acid against plant pathogenic fungi and indicates the need for investigation of its mechanism of action.","author":[{"dropping-particle":"","family":"Walters","given":"D. R.","non-dropping-particle":"","parse-names":false,"suffix":""},{"dropping-particle":"","family":"Walker","given":"R. L.","non-dropping-particle":"","parse-names":false,"suffix":""},{"dropping-particle":"","family":"Walker","given":"K. C.","non-dropping-particle":"","parse-names":false,"suffix":""}],"container-title":"Journal of Phytopathology","id":"ITEM-1","issue":"4","issued":{"date-parts":[["2003"]]},"page":"228-230","title":"Lauric acid exhibits antifungal activity against plant pathogenic fungi","type":"article-journal","volume":"151"},"uris":["http://www.mendeley.com/documents/?uuid=f926b264-4060-478b-a797-5b6d5f8bd82f"]}],"mendeley":{"formattedCitation":"(Walters et al., 2003)","manualFormatting":"(Walters et al. 2003)","plainTextFormattedCitation":"(Walters et al., 2003)","previouslyFormattedCitation":"(Walters et al., 2003)"},"properties":{"noteIndex":0},"schema":"https://github.com/citation-style-language/schema/raw/master/csl-citation.json"}</w:instrText>
      </w:r>
      <w:r w:rsidRPr="004C3997">
        <w:rPr>
          <w:iCs/>
        </w:rPr>
        <w:fldChar w:fldCharType="separate"/>
      </w:r>
      <w:r w:rsidRPr="004C3997">
        <w:rPr>
          <w:iCs/>
          <w:noProof/>
        </w:rPr>
        <w:t xml:space="preserve">(Walters </w:t>
      </w:r>
      <w:r>
        <w:rPr>
          <w:iCs/>
          <w:noProof/>
        </w:rPr>
        <w:t>et al.,</w:t>
      </w:r>
      <w:r w:rsidRPr="004C3997">
        <w:rPr>
          <w:iCs/>
          <w:noProof/>
        </w:rPr>
        <w:t xml:space="preserve"> 2003)</w:t>
      </w:r>
      <w:r w:rsidRPr="004C3997">
        <w:rPr>
          <w:iCs/>
        </w:rPr>
        <w:fldChar w:fldCharType="end"/>
      </w:r>
      <w:r w:rsidRPr="004C3997">
        <w:rPr>
          <w:iCs/>
        </w:rPr>
        <w:t xml:space="preserve">. </w:t>
      </w:r>
      <w:r w:rsidRPr="006F7E26">
        <w:t>These reports are consistent with our findings and implicate that cinnamon oil products including Cinnerate could be used to control powdery mildew successfully in the greenhouse. Exile contains potassium salts of fatty acids, which is known to act through a “contact and kill</w:t>
      </w:r>
      <w:r w:rsidRPr="004C3997">
        <w:t xml:space="preserve">” mode of action, whereby it disrupts the cell membrane and cellular function of target pathogens leading to their desiccation, suffocation, and cell death </w:t>
      </w:r>
      <w:r w:rsidRPr="004C3997">
        <w:fldChar w:fldCharType="begin" w:fldLock="1"/>
      </w:r>
      <w:r>
        <w:instrText>ADDIN CSL_CITATION {"citationItems":[{"id":"ITEM-1","itemData":{"abstract":"Field trials were conducted with pesticides approved (some very recently) by the United States Department of Agriculture for certified organic production in the United States for fruiting vegetables. The list includes copper octanoate (Cueva), clarified neem oil (Trilogy), Gliocladium virens (SoilGard), Paecilomyces lilacinus (Melocon), potassium salts of fatty acids (Des-X), Bacillus thuringiensis (Agree, Javelin, Deliver), and the nuclear polyhegrosis virus of Helicoverpa (Gemstar). Results from field trials have shown good activity controlling the common parasitic nematode, disease, insect, and mite pests encountered in Florida production systems using these products and following label directions.","author":[{"dropping-particle":"","family":"Drive","given":"Eisenhower","non-dropping-particle":"","parse-names":false,"suffix":""}],"id":"ITEM-1","issued":{"date-parts":[["2010"]]},"page":"151-155","title":"Organically Approved and Reduced Risk Pest Control Options for Fruiting Vegetable Production","type":"article-journal"},"uris":["http://www.mendeley.com/documents/?uuid=482e1690-8dcd-439e-8094-f1581dfddc91"]}],"mendeley":{"formattedCitation":"(Drive, 2010)","manualFormatting":"(Highland 2010).","plainTextFormattedCitation":"(Drive, 2010)","previouslyFormattedCitation":"(Drive, 2010)"},"properties":{"noteIndex":0},"schema":"https://github.com/citation-style-language/schema/raw/master/csl-citation.json"}</w:instrText>
      </w:r>
      <w:r w:rsidRPr="004C3997">
        <w:fldChar w:fldCharType="separate"/>
      </w:r>
      <w:r w:rsidRPr="004C3997">
        <w:rPr>
          <w:noProof/>
        </w:rPr>
        <w:t>(</w:t>
      </w:r>
      <w:r w:rsidRPr="004C3997">
        <w:rPr>
          <w:noProof/>
          <w:color w:val="222222"/>
          <w:shd w:val="clear" w:color="auto" w:fill="FFFFFF"/>
        </w:rPr>
        <w:t>Highland</w:t>
      </w:r>
      <w:r>
        <w:rPr>
          <w:noProof/>
          <w:color w:val="222222"/>
          <w:shd w:val="clear" w:color="auto" w:fill="FFFFFF"/>
        </w:rPr>
        <w:t>,</w:t>
      </w:r>
      <w:r w:rsidRPr="004C3997">
        <w:rPr>
          <w:noProof/>
          <w:color w:val="222222"/>
          <w:shd w:val="clear" w:color="auto" w:fill="FFFFFF"/>
        </w:rPr>
        <w:t xml:space="preserve"> 2010).</w:t>
      </w:r>
      <w:r w:rsidRPr="004C3997">
        <w:fldChar w:fldCharType="end"/>
      </w:r>
      <w:r w:rsidRPr="004C3997">
        <w:t xml:space="preserve"> Many earlier reports by other researchers have shown the efficacy of potassium salts of fatty acids against powdery mildew. </w:t>
      </w:r>
      <w:r w:rsidRPr="004C3997">
        <w:fldChar w:fldCharType="begin" w:fldLock="1"/>
      </w:r>
      <w:r>
        <w:instrText>ADDIN CSL_CITATION {"citationItems":[{"id":"ITEM-1","itemData":{"author":[{"dropping-particle":"","family":"Pasini","given":"Carlo","non-dropping-particle":"","parse-names":false,"suffix":""},{"dropping-particle":"","family":"D'Aquila","given":"Ferdinando","non-dropping-particle":"","parse-names":false,"suffix":""},{"dropping-particle":"","family":"Curir","given":"Paolo","non-dropping-particle":"","parse-names":false,"suffix":""},{"dropping-particle":"","family":"Lodovica","given":"Maria","non-dropping-particle":"","parse-names":false,"suffix":""}],"container-title":"Crop Protection","id":"ITEM-1","issue":"3","issued":{"date-parts":[["1997"]]},"page":"251-256","title":"Effectiveness of antifungal compounds against rose powdery mildew in glasshouses","type":"article-journal","volume":"16"},"uris":["http://www.mendeley.com/documents/?uuid=a4c76a20-1ff7-417f-890d-e0eeda2b5013"]}],"mendeley":{"formattedCitation":"(Pasini et al., 1997)","manualFormatting":"Pasini et al. (1997)","plainTextFormattedCitation":"(Pasini et al., 1997)","previouslyFormattedCitation":"(Pasini et al., 1997)"},"properties":{"noteIndex":0},"schema":"https://github.com/citation-style-language/schema/raw/master/csl-citation.json"}</w:instrText>
      </w:r>
      <w:r w:rsidRPr="004C3997">
        <w:fldChar w:fldCharType="separate"/>
      </w:r>
      <w:r w:rsidRPr="004C3997">
        <w:rPr>
          <w:noProof/>
        </w:rPr>
        <w:t xml:space="preserve">Pasini </w:t>
      </w:r>
      <w:r>
        <w:rPr>
          <w:noProof/>
        </w:rPr>
        <w:t>et al.,</w:t>
      </w:r>
      <w:r w:rsidRPr="004C3997">
        <w:rPr>
          <w:noProof/>
        </w:rPr>
        <w:t xml:space="preserve"> (1997)</w:t>
      </w:r>
      <w:r w:rsidRPr="004C3997">
        <w:fldChar w:fldCharType="end"/>
      </w:r>
      <w:r w:rsidRPr="004C3997">
        <w:t xml:space="preserve"> reported that potassium salts of fatty acids product significantly and consistently reduced the severity of rose powdery mildew (</w:t>
      </w:r>
      <w:r w:rsidRPr="004C3997">
        <w:rPr>
          <w:i/>
        </w:rPr>
        <w:t>Sphaerotheca pannosa</w:t>
      </w:r>
      <w:r w:rsidRPr="004C3997">
        <w:t xml:space="preserve"> var. rosae) in a glasshouse. </w:t>
      </w:r>
      <w:r w:rsidRPr="004C3997">
        <w:fldChar w:fldCharType="begin" w:fldLock="1"/>
      </w:r>
      <w:r w:rsidRPr="004C3997">
        <w:instrText>ADDIN CSL_CITATION {"citationItems":[{"id":"ITEM-1","itemData":{"author":[{"dropping-particle":"","family":"Emilia-romagna","given":"L","non-dropping-particle":"","parse-names":false,"suffix":""},{"dropping-particle":"","family":"Elia","given":"D","non-dropping-particle":"","parse-names":false,"suffix":""}],"id":"ITEM-1","issued":{"date-parts":[["2000"]]},"page":"9","title":"Activity of synthetic and natural fungicides against grapevine powdery mildew ( Uncinula necator ) [ Vitis","type":"article-journal"},"uris":["http://www.mendeley.com/documents/?uuid=b75c24b8-056b-49e3-9181-34ae870d0b8a"]}],"mendeley":{"formattedCitation":"(Emilia-romagna &amp; Elia, 2000)","manualFormatting":"Emilia-Romagna and Elia (2000)","plainTextFormattedCitation":"(Emilia-romagna &amp; Elia, 2000)","previouslyFormattedCitation":"(Emilia-romagna &amp; Elia, 2000)"},"properties":{"noteIndex":0},"schema":"https://github.com/citation-style-language/schema/raw/master/csl-citation.json"}</w:instrText>
      </w:r>
      <w:r w:rsidRPr="004C3997">
        <w:fldChar w:fldCharType="separate"/>
      </w:r>
      <w:r w:rsidRPr="004C3997">
        <w:rPr>
          <w:noProof/>
        </w:rPr>
        <w:t>Emilia-Romagna and Elia (2000)</w:t>
      </w:r>
      <w:r w:rsidRPr="004C3997">
        <w:fldChar w:fldCharType="end"/>
      </w:r>
      <w:r w:rsidRPr="004C3997">
        <w:t xml:space="preserve"> showed that potassium salts of fatty acids treatments protected grape berries against grape powdery mildew (</w:t>
      </w:r>
      <w:r w:rsidRPr="004C3997">
        <w:rPr>
          <w:i/>
        </w:rPr>
        <w:t>Uncinula necator</w:t>
      </w:r>
      <w:r w:rsidRPr="004C3997">
        <w:t>). However, contrary to our finding, P</w:t>
      </w:r>
      <w:r w:rsidRPr="004C3997">
        <w:rPr>
          <w:noProof/>
        </w:rPr>
        <w:t xml:space="preserve">asini </w:t>
      </w:r>
      <w:r>
        <w:rPr>
          <w:noProof/>
        </w:rPr>
        <w:t>et al.,</w:t>
      </w:r>
      <w:r w:rsidRPr="004C3997">
        <w:rPr>
          <w:noProof/>
        </w:rPr>
        <w:t xml:space="preserve"> (1997) </w:t>
      </w:r>
      <w:r w:rsidRPr="004C3997">
        <w:t xml:space="preserve">found that the treatments exhibited a (rose flowers spotting) phytotoxicity, while </w:t>
      </w:r>
      <w:r w:rsidRPr="004C3997">
        <w:fldChar w:fldCharType="begin" w:fldLock="1"/>
      </w:r>
      <w:r w:rsidRPr="004C3997">
        <w:instrText>ADDIN CSL_CITATION {"citationItems":[{"id":"ITEM-1","itemData":{"author":[{"dropping-particle":"","family":"Emilia-romagna","given":"L","non-dropping-particle":"","parse-names":false,"suffix":""},{"dropping-particle":"","family":"Elia","given":"D","non-dropping-particle":"","parse-names":false,"suffix":""}],"id":"ITEM-1","issued":{"date-parts":[["2000"]]},"page":"9","title":"Activity of synthetic and natural fungicides against grapevine powdery mildew ( Uncinula necator ) [ Vitis","type":"article-journal"},"uris":["http://www.mendeley.com/documents/?uuid=b75c24b8-056b-49e3-9181-34ae870d0b8a"]}],"mendeley":{"formattedCitation":"(Emilia-romagna &amp; Elia, 2000)","manualFormatting":"Emilia-Romagna and Elia (2000)","plainTextFormattedCitation":"(Emilia-romagna &amp; Elia, 2000)","previouslyFormattedCitation":"(Emilia-romagna &amp; Elia, 2000)"},"properties":{"noteIndex":0},"schema":"https://github.com/citation-style-language/schema/raw/master/csl-citation.json"}</w:instrText>
      </w:r>
      <w:r w:rsidRPr="004C3997">
        <w:fldChar w:fldCharType="separate"/>
      </w:r>
      <w:r w:rsidRPr="004C3997">
        <w:rPr>
          <w:noProof/>
        </w:rPr>
        <w:t>Emilia-Romagna and Elia (2000)</w:t>
      </w:r>
      <w:r w:rsidRPr="004C3997">
        <w:fldChar w:fldCharType="end"/>
      </w:r>
      <w:r w:rsidRPr="004C3997">
        <w:t xml:space="preserve"> reported alterations of grape berry phytotoxicity. This may suggest that different crop varieties may exhibit different sensitivity to potassium salts of fatty acids, therefore caution should be observed before applying the pr</w:t>
      </w:r>
      <w:r>
        <w:t xml:space="preserve">oducts on new commercial crops. </w:t>
      </w:r>
      <w:r w:rsidRPr="004C3997">
        <w:t xml:space="preserve">Regalia (extract of </w:t>
      </w:r>
      <w:r w:rsidRPr="004C3997">
        <w:rPr>
          <w:i/>
        </w:rPr>
        <w:t xml:space="preserve">Reynoutria </w:t>
      </w:r>
      <w:r w:rsidRPr="004C3997">
        <w:rPr>
          <w:i/>
          <w:color w:val="auto"/>
        </w:rPr>
        <w:t xml:space="preserve">sachalinensis </w:t>
      </w:r>
      <w:r w:rsidRPr="004C3997">
        <w:rPr>
          <w:color w:val="auto"/>
        </w:rPr>
        <w:t xml:space="preserve">[giant knotweed]) exhibited very high efficacy (94% average disease reduction) when applied preventively, and good efficacy (80% average disease reduction) when used curatively. Extract of </w:t>
      </w:r>
      <w:r w:rsidRPr="004C3997">
        <w:rPr>
          <w:i/>
          <w:color w:val="auto"/>
        </w:rPr>
        <w:t xml:space="preserve">Reynoutria sachalinensis </w:t>
      </w:r>
      <w:r w:rsidRPr="004C3997">
        <w:rPr>
          <w:color w:val="auto"/>
        </w:rPr>
        <w:t xml:space="preserve">is known to contain compounds such as resveratrol, physcion, and emodin, all of which possess antimicrobial properties. The extract acts by way of inducing plant resistance via the induction of phytoalexins, production of phenolic compounds, and increased production of defense-related proteins (chitinase, glucanase, and peroxidase) in plants </w:t>
      </w:r>
      <w:r w:rsidRPr="004C3997">
        <w:rPr>
          <w:color w:val="auto"/>
        </w:rPr>
        <w:fldChar w:fldCharType="begin" w:fldLock="1"/>
      </w:r>
      <w:r>
        <w:rPr>
          <w:color w:val="auto"/>
        </w:rPr>
        <w:instrText>ADDIN CSL_CITATION {"citationItems":[{"id":"ITEM-1","itemData":{"DOI":"10.1564/23feb09","ISSN":"17431026","abstract":"Plants have long been used as herbal medicines for treatment of human diseases. However, only a limited number of plant extracts have been developed into fungicides for plant disease control. The commercialization of Regalia illustrates the potential for plant extracts to be an important tool for disease management in both organic and conventional production systems and emphasises the need for additional plant extracts to be explored as a source of biopesticides. Regalia is formulated from the extract of giant knotweed (Reynoutria sachalinensis (REYSA)) and is now becoming widely used in commercial crop production. Giant knotweed is used as a food in many countries, especially Asia. Knotweed was formerly formulated as Milsana in the1980s and was tested in field trials through the 1990s. Trial demonstrations were limited to cucumber powdery mildew (Sphaerotheca fuliginea) and a few other diseases such as Botrytis fruit rot (Botrytis cinerea) and wheat powdery mildew (Blumeria graminis f. sp. tritici). Since the 2009 introduction as the reformulated product Regalia by Marrone Bio Innovations, extensive tests have been conducted in the laboratory, glasshouse and field on multiple crop-disease systems to evaluate its efficacy for disease control. Test results demonstrate the efficacy of Regalia? applied as a foliar spray in controlling a wide range of fungal and bacterial diseases, such as powdery mildew of cucurbits, downy mildew of lettuce (Bremia lactucae), Botrytis of grapes and strawberries, bacterial spot of tomatoes and peppers (Xanthomonas campestris pv. vesicatoria), Cercospora on soybeans (Cercospora kikuchii) and bacterial canker on citrus (Xanthomonas axonopodis pv. citri), amongst others. The broad spectrum of disease control by Regalia relies on the unique mechanism of induced plant resistance. Studies in plants show that Regalia? treatment increases the activity of chalcone synthase and chalcone isomerase in the phenylpropanoid pathway and induces the production and accumulation of phytoalexins. Simple phenolic compounds, which are fungitoxic, also accumulate. Additional studies show that Regalia increases the papillae formation at pathogen penetration sites as well as the liginification of plant cell walls. Activities of pathogenesis-related protein (PR-proteins) such as chitinase, glucanase, and peroxidase are also increased. Regalia is an excellent tool for fungicide resistance management and is synergistic with commonly used fungicides, s…","author":[{"dropping-particle":"","family":"Su","given":"Hai","non-dropping-particle":"","parse-names":false,"suffix":""},{"dropping-particle":"","family":"Blair","given":"Russell","non-dropping-particle":"","parse-names":false,"suffix":""},{"dropping-particle":"","family":"Johnson","given":"Tim","non-dropping-particle":"","parse-names":false,"suffix":""},{"dropping-particle":"","family":"Marrone","given":"Pamela","non-dropping-particle":"","parse-names":false,"suffix":""}],"container-title":"Outlooks on Pest Management","id":"ITEM-1","issue":"1","issued":{"date-parts":[["2012"]]},"page":"30-34","title":"Regalia® bioprotectant in plant disease management","type":"article-journal","volume":"23"},"uris":["http://www.mendeley.com/documents/?uuid=164df31e-baaa-4cf7-9644-e748fe4f10ef"]},{"id":"ITEM-2","itemData":{"DOI":"10.1038/s41598-020-60148-6","ISBN":"4159802060","ISSN":"20452322","PMID":"32098979","abstract":"Powdery mildew (PM) caused by Podosphaera xanthii is one of the most important courgette diseases with high yield losses and is currently controlled by fungicides and sulphur applications in conventional and organic production. Plant derived elicitors/inducers of resistance are natural compounds that induce resistance to pathogen attack and promote a faster and/or more robust activation of plant defense responses. Giant knotweed (Reynoutria sachalinensis, RS) extract is a known elicitor of plant defenses but its mode of action remains elusive. The aim of this study was to investigate the mechanisms of foliar RS applications and how these affect PM severity and crop performance when used alone or in combination with genetic resistance. RS foliar treatments significantly reduced conidial germination and PM severity on both an intermediate resistance (IR) and a susceptible (S) genotype. RS application triggered plant defense responses, which induced the formation of callose papillae, hydrogen peroxide accumulation and the Salicylic acid (SA) - dependent pathway. Increased SA production was detected along with increased p-coumaric and caffeic acid concentrations. These findings clearly indicate that RS elicits plant defenses notably as a consequence of SA pathway induction.","author":[{"dropping-particle":"","family":"Margaritopoulou","given":"Theoni","non-dropping-particle":"","parse-names":false,"suffix":""},{"dropping-particle":"","family":"Toufexi","given":"Eleftheria","non-dropping-particle":"","parse-names":false,"suffix":""},{"dropping-particle":"","family":"Kizis","given":"Dimosthenis","non-dropping-particle":"","parse-names":false,"suffix":""},{"dropping-particle":"","family":"Balayiannis","given":"George","non-dropping-particle":"","parse-names":false,"suffix":""},{"dropping-particle":"","family":"Anagnostopoulos","given":"Christos","non-dropping-particle":"","parse-names":false,"suffix":""},{"dropping-particle":"","family":"Theocharis","given":"Andreas","non-dropping-particle":"","parse-names":false,"suffix":""},{"dropping-particle":"","family":"Rempelos","given":"Leonidas","non-dropping-particle":"","parse-names":false,"suffix":""},{"dropping-particle":"","family":"Troyanos","given":"Yerasimos","non-dropping-particle":"","parse-names":false,"suffix":""},{"dropping-particle":"","family":"Leifert","given":"Carlo","non-dropping-particle":"","parse-names":false,"suffix":""},{"dropping-particle":"","family":"Markellou","given":"Emilia","non-dropping-particle":"","parse-names":false,"suffix":""}],"container-title":"Scientific reports","id":"ITEM-2","issue":"1","issued":{"date-parts":[["2020"]]},"page":"3354","title":"Reynoutria sachalinensis extract elicits SA-dependent defense responses in courgette genotypes against powdery mildew caused by Podosphaera xanthii","type":"article-journal","volume":"10"},"uris":["http://www.mendeley.com/documents/?uuid=25983df4-05b3-4197-aadb-8ee5a0be7b28"]}],"mendeley":{"formattedCitation":"(Margaritopoulou et al., 2020; Su et al., 2012)","manualFormatting":"(Margaritopoulou et al. 2020","plainTextFormattedCitation":"(Margaritopoulou et al., 2020; Su et al., 2012)","previouslyFormattedCitation":"(Margaritopoulou et al., 2020; Su et al., 2012)"},"properties":{"noteIndex":0},"schema":"https://github.com/citation-style-language/schema/raw/master/csl-citation.json"}</w:instrText>
      </w:r>
      <w:r w:rsidRPr="004C3997">
        <w:rPr>
          <w:color w:val="auto"/>
        </w:rPr>
        <w:fldChar w:fldCharType="separate"/>
      </w:r>
      <w:r w:rsidRPr="004C3997">
        <w:rPr>
          <w:noProof/>
          <w:color w:val="auto"/>
        </w:rPr>
        <w:t xml:space="preserve">(Margaritopoulou </w:t>
      </w:r>
      <w:r>
        <w:rPr>
          <w:noProof/>
          <w:color w:val="auto"/>
        </w:rPr>
        <w:t>et al.,</w:t>
      </w:r>
      <w:r w:rsidRPr="004C3997">
        <w:rPr>
          <w:noProof/>
          <w:color w:val="auto"/>
        </w:rPr>
        <w:t xml:space="preserve"> 2020</w:t>
      </w:r>
      <w:r w:rsidRPr="004C3997">
        <w:rPr>
          <w:color w:val="auto"/>
        </w:rPr>
        <w:fldChar w:fldCharType="end"/>
      </w:r>
      <w:r w:rsidRPr="004C3997">
        <w:t xml:space="preserve">). These multiple modes of action may explain the excellent efficacy of Regalia in our study and </w:t>
      </w:r>
      <w:r w:rsidRPr="004C3997">
        <w:rPr>
          <w:i/>
        </w:rPr>
        <w:t xml:space="preserve">Reynoutria </w:t>
      </w:r>
      <w:r w:rsidRPr="004C3997">
        <w:rPr>
          <w:i/>
          <w:color w:val="auto"/>
        </w:rPr>
        <w:t>sachalinensis</w:t>
      </w:r>
      <w:r w:rsidRPr="004C3997">
        <w:rPr>
          <w:color w:val="auto"/>
        </w:rPr>
        <w:t xml:space="preserve"> treatments in many reports. A formulation of </w:t>
      </w:r>
      <w:r w:rsidRPr="004C3997">
        <w:rPr>
          <w:i/>
          <w:color w:val="auto"/>
        </w:rPr>
        <w:t>Reynoutria sachalinensis</w:t>
      </w:r>
      <w:r w:rsidRPr="004C3997">
        <w:rPr>
          <w:color w:val="auto"/>
        </w:rPr>
        <w:t xml:space="preserve"> significantly reduced powdery mildew (</w:t>
      </w:r>
      <w:r w:rsidRPr="004C3997">
        <w:rPr>
          <w:i/>
          <w:color w:val="auto"/>
        </w:rPr>
        <w:t>Podosphaera xanthii</w:t>
      </w:r>
      <w:r w:rsidRPr="004C3997">
        <w:rPr>
          <w:color w:val="auto"/>
        </w:rPr>
        <w:t>) spore germination on courgette as early as 12-hours after inoculation as well as delayed hyphae and conidiophore formation (</w:t>
      </w:r>
      <w:r>
        <w:rPr>
          <w:noProof/>
          <w:color w:val="auto"/>
        </w:rPr>
        <w:t xml:space="preserve">Margaritopoulou et al., 2020). </w:t>
      </w:r>
      <w:r w:rsidRPr="004C3997">
        <w:rPr>
          <w:noProof/>
          <w:color w:val="auto"/>
        </w:rPr>
        <w:t xml:space="preserve">Also, the treatment </w:t>
      </w:r>
      <w:r w:rsidRPr="004C3997">
        <w:rPr>
          <w:color w:val="auto"/>
        </w:rPr>
        <w:t>exhibited similar disease reduction activity against Zucchini powdery mildew (</w:t>
      </w:r>
      <w:r w:rsidRPr="004C3997">
        <w:rPr>
          <w:i/>
          <w:color w:val="auto"/>
        </w:rPr>
        <w:t xml:space="preserve">Podosphaera xanthii) </w:t>
      </w:r>
      <w:r w:rsidRPr="004C3997">
        <w:rPr>
          <w:color w:val="auto"/>
        </w:rPr>
        <w:t xml:space="preserve">on susceptible and moderately resistant genotypes. The treatment had improved efficacy against </w:t>
      </w:r>
      <w:r w:rsidRPr="004C3997">
        <w:rPr>
          <w:noProof/>
          <w:color w:val="auto"/>
        </w:rPr>
        <w:t xml:space="preserve">cucurbit powdery mildew </w:t>
      </w:r>
      <w:r w:rsidRPr="004C3997">
        <w:rPr>
          <w:color w:val="auto"/>
        </w:rPr>
        <w:t>(</w:t>
      </w:r>
      <w:r w:rsidRPr="004C3997">
        <w:rPr>
          <w:i/>
          <w:color w:val="auto"/>
        </w:rPr>
        <w:t>P. xanthii</w:t>
      </w:r>
      <w:r w:rsidRPr="004C3997">
        <w:rPr>
          <w:iCs/>
          <w:color w:val="auto"/>
        </w:rPr>
        <w:t>)</w:t>
      </w:r>
      <w:r w:rsidRPr="004C3997">
        <w:rPr>
          <w:i/>
          <w:color w:val="auto"/>
        </w:rPr>
        <w:t xml:space="preserve"> </w:t>
      </w:r>
      <w:r w:rsidRPr="004C3997">
        <w:rPr>
          <w:noProof/>
          <w:color w:val="auto"/>
        </w:rPr>
        <w:t xml:space="preserve">when applied in combination with a wetting agent on a partially resistant cultivar, but efficacy on either susceptible or partially resistant without the wetting agent was similar. Furthermore, there was no difference in efficacy between 7-day and </w:t>
      </w:r>
      <w:r w:rsidRPr="004C3997">
        <w:rPr>
          <w:noProof/>
        </w:rPr>
        <w:t xml:space="preserve">14-day interval applications. </w:t>
      </w:r>
      <w:r w:rsidRPr="004C3997">
        <w:t xml:space="preserve">Regalia demonstrated the most effective control activity against hemp powdery mildew disease caused by </w:t>
      </w:r>
      <w:r w:rsidRPr="004C3997">
        <w:rPr>
          <w:i/>
        </w:rPr>
        <w:t>Golovinomyces cichoracearum</w:t>
      </w:r>
      <w:r w:rsidRPr="004C3997">
        <w:t xml:space="preserve"> (</w:t>
      </w:r>
      <w:r w:rsidRPr="004C3997">
        <w:fldChar w:fldCharType="begin" w:fldLock="1"/>
      </w:r>
      <w:r>
        <w:instrText>ADDIN CSL_CITATION {"citationItems":[{"id":"ITEM-1","itemData":{"DOI":"10.1080/07060661.2020.1836026","ISSN":"17152992","abstract":"Powdery mildew on cannabis (Cannabis sativa L., marijuana), caused by Golovinomyces cichoracearum, reduces plant growth and overall quality. To investigate disease management options, biological, chemical and physical approaches were assessed. A mildew-susceptible strain, ‘Copenhagen Kush’, was grown indoors with continual exposure to mildew inoculum. Treatments were applied weekly over a four-week period to groups of four plants once mildew infection had established itself. Trials were repeated thrice under varying initial disease pressures. Disease assessments were made weekly and the percentage of area infected on 30 leaflets per plant was used to calculate a disease rating score for treated and control plants. Disease progress curves were plotted and AUDPC values were determined for each treatment. To test the effect of UV-C light on mildew development, plants were exposed daily for 3–5 s over 28 days to UV-C light. The response of 12 cannabis strains to powdery mildew infection was assessed after exposing them to inoculum over a period of two weeks. The most effective treatments that significantly (P &lt; 0.05) reduced disease in three trials were Luna Privilege SC (fluopyram), Regalia® Maxx, MilStop®, Rhapsody ASOTM, neem oil, and Stargus®. Treatments that were less effective included ZeroTol®, boric acid, and Actinovate® SP. Daily exposure of plants to UV-C light significantly reduced disease (by 45.2%, P &lt; 0.05). Seven of 12 cannabis strains had significantly lower disease severity compared with the other five strains. The disease management strategies evaluated in this study have potential for reducing powdery mildew development on cannabis.","author":[{"dropping-particle":"","family":"Scott","given":"Cameron","non-dropping-particle":"","parse-names":false,"suffix":""},{"dropping-particle":"","family":"Punja","given":"Zamir K.","non-dropping-particle":"","parse-names":false,"suffix":""}],"container-title":"Canadian Journal of Plant Pathology","id":"ITEM-1","issue":"3","issued":{"date-parts":[["2021"]]},"page":"394-412","publisher":"Taylor &amp; Francis","title":"Evaluation of disease management approaches for powdery mildew on Cannabis sativa L. (marijuana) plants","type":"article-journal","volume":"43"},"uris":["http://www.mendeley.com/documents/?uuid=cf452a25-4a0b-49c1-9f73-28c98895b3e8"]}],"mendeley":{"formattedCitation":"(Scott &amp; Punja, 2021)","manualFormatting":"Scott and Punja 2021)","plainTextFormattedCitation":"(Scott &amp; Punja, 2021)","previouslyFormattedCitation":"(Scott &amp; Punja, 2021)"},"properties":{"noteIndex":0},"schema":"https://github.com/citation-style-language/schema/raw/master/csl-citation.json"}</w:instrText>
      </w:r>
      <w:r w:rsidRPr="004C3997">
        <w:fldChar w:fldCharType="separate"/>
      </w:r>
      <w:r w:rsidRPr="004C3997">
        <w:rPr>
          <w:noProof/>
        </w:rPr>
        <w:t>Scott and Punja</w:t>
      </w:r>
      <w:r>
        <w:rPr>
          <w:noProof/>
        </w:rPr>
        <w:t>,</w:t>
      </w:r>
      <w:r w:rsidRPr="004C3997">
        <w:rPr>
          <w:noProof/>
        </w:rPr>
        <w:t xml:space="preserve"> 2021)</w:t>
      </w:r>
      <w:r w:rsidRPr="004C3997">
        <w:fldChar w:fldCharType="end"/>
      </w:r>
      <w:r w:rsidRPr="004C3997">
        <w:t xml:space="preserve">. These findings support the result of this study and suggest that </w:t>
      </w:r>
      <w:r w:rsidRPr="004C3997">
        <w:rPr>
          <w:i/>
        </w:rPr>
        <w:t>Reynoutria sachalinensis</w:t>
      </w:r>
      <w:r w:rsidRPr="004C3997">
        <w:t xml:space="preserve"> formulations exhibit great potential against powdery mildew and can be used to protect crops in the greenhouse against powdery mildew. In this study, however, we did not investigate efficacy at 14-day intervals. Investigating this may provide important information on the frequency of product application required for satisfactory disease control. Also, our results indicated that the preventive application had better efficacy compared to </w:t>
      </w:r>
      <w:r w:rsidR="00E13094">
        <w:t xml:space="preserve">the </w:t>
      </w:r>
      <w:r w:rsidRPr="004C3997">
        <w:t xml:space="preserve">post-inoculation application. This may suggest that </w:t>
      </w:r>
      <w:r w:rsidRPr="004C3997">
        <w:rPr>
          <w:i/>
        </w:rPr>
        <w:t>Reynoutria sachalinensis</w:t>
      </w:r>
      <w:r w:rsidRPr="004C3997">
        <w:t xml:space="preserve"> should be applied as a preventive treatment for maximum protection. Sil-Matrix (potassium silicate) exhibited very good efficacy in this study. Silicon is known to protect plants using mechanical and physiological mechanisms. The mechanical modes of action may include the formation of a silicon matrix barrier beneath the cuticle of epidermal cell walls to inhibit pathogen penetration and regulate water loss (</w:t>
      </w:r>
      <w:r w:rsidRPr="004C3997">
        <w:fldChar w:fldCharType="begin" w:fldLock="1"/>
      </w:r>
      <w:r>
        <w:instrText>ADDIN CSL_CITATION {"citationItems":[{"id":"ITEM-1","itemData":{"DOI":"10.1007/s10327-006-0311-y","ISSN":"13452630","abstract":"The mode of action of soluble silicon against strawberry powdery mildew (Sphaerotheca aphanis var. aphanis) was investigated in four experiments. First, silicon-treated leaves from plants grown with silicate (Si+) and control leaves were excised, inoculated with conidia, and subsequent germination and formation of appressoria in a petri dish was assessed after 24 h. The germination rate was 49.7% on Si+ leaves, and was 67.2% on control leaves (t-test, P &lt; 0.01). Second, we soaked cellulose membranes in various solvents and then placed the membranes on 4% water agar, dusted the membranes with conidia, and examined after 12 h. No difference was apparent between any treatment and the control (distilled water). Third, strawberries growing hydroponically with additional silicon in the medium were inoculated with conidia, and leaves were observed with a scanning electron microscope 1-2 days after inoculation. Germ tubes and secondary hyphae were shorter and had fewer branches on Si+ leaves than on the control. Moreover, penetration appeared to be inhibited. Fourth, the cuticle was separated from leaves from plants grown as in the third experiment, placed on water agar, and dusted with conidia. Germination of conidia, observed with a light microscope, on Si+ leaves was suppressed markedly to 40%-60% of that of the control. These results suggested that soluble silicon induced physiological changes in the cuticle layer after absorption by the plant. In addition, soluble silicate reduced germination of conidia, formation of appressoria, and possibly the penetration of powdery mildew. © 2007 The Phytopathological Society of Japan and Springer-Verlag.","author":[{"dropping-particle":"","family":"Kanto","given":"Takeshi","non-dropping-particle":"","parse-names":false,"suffix":""},{"dropping-particle":"","family":"Maekawa","given":"Kazumasa","non-dropping-particle":"","parse-names":false,"suffix":""},{"dropping-particle":"","family":"Aino","given":"Masataka","non-dropping-particle":"","parse-names":false,"suffix":""}],"container-title":"Journal of General Plant Pathology","id":"ITEM-1","issue":"1","issued":{"date-parts":[["2007"]]},"page":"1-7","title":"Suppression of conidial germination and appressorial formation by silicate treatment in powdery mildew of strawberry","type":"article-journal","volume":"73"},"uris":["http://www.mendeley.com/documents/?uuid=09bacf58-76a0-4356-9ffd-cbbe6d281d09"]}],"mendeley":{"formattedCitation":"(Kanto et al., 2007)","manualFormatting":"Kanto et al. 2007","plainTextFormattedCitation":"(Kanto et al., 2007)","previouslyFormattedCitation":"(Kanto et al., 2007)"},"properties":{"noteIndex":0},"schema":"https://github.com/citation-style-language/schema/raw/master/csl-citation.json"}</w:instrText>
      </w:r>
      <w:r w:rsidRPr="004C3997">
        <w:fldChar w:fldCharType="separate"/>
      </w:r>
      <w:r w:rsidRPr="004C3997">
        <w:rPr>
          <w:noProof/>
        </w:rPr>
        <w:t xml:space="preserve">Kanto </w:t>
      </w:r>
      <w:r>
        <w:rPr>
          <w:noProof/>
        </w:rPr>
        <w:t>et al.,</w:t>
      </w:r>
      <w:r w:rsidRPr="004C3997">
        <w:rPr>
          <w:noProof/>
        </w:rPr>
        <w:t xml:space="preserve"> 2007</w:t>
      </w:r>
      <w:r w:rsidRPr="004C3997">
        <w:fldChar w:fldCharType="end"/>
      </w:r>
      <w:r w:rsidRPr="004C3997">
        <w:t xml:space="preserve">; </w:t>
      </w:r>
      <w:r w:rsidRPr="004C3997">
        <w:fldChar w:fldCharType="begin" w:fldLock="1"/>
      </w:r>
      <w:r>
        <w:instrText>ADDIN CSL_CITATION {"citationItems":[{"id":"ITEM-1","itemData":{"DOI":"10.1094/PHYTO.2002.92.10.1095","ISBN":"2002080801","ISSN":"0031949X","abstract":"Locations of silicon accumulation in rice leaves and its possible association with resistance to rice blast were investigated by electron microscopy and X-ray microanalysis. A blast-susceptible cultivar, Jinmi, and a partially resistant cultivar, Hwaseong, were grown under a hydroponic culture system with modified Yoshida's nutrient solution containing 0, 50, 100, and 200 ppm of silicon. Electron-dense silicon layers were frequently found beneath the cuticle in epidermal cell walls of silicon-treated plants. Increasing levels of silicon were detected in the outer regions of epidermal cell walls. Silicon was present mainly in epidermal cell walls, middle lamellae, and intercellular spaces within sub-epidermal tissues. Furthermore, silicon was prevalent throughout the leaf surface, with relatively small deposition on stomatal guard cells in silicon-treated plants. Silicon accumulation and epidermal cell wall thickness in leaves were greater in cv. Jinmi than in cv. Hwaseong. However, the thickness ratios of the silicon layers to epidermal cell walls were greater in cv. Hwaseong (53.25 to 93.28%) than in cv. Jinmi (36.58 to 66.54%). Leaf blast severity was lower in cv. Hwaseong than in cv. Jinmi and was significantly reduced in silicon-treated plants of both cultivars. These results suggest that silicon-induced cell wall fortification of rice leaves may be closely associated with enhanced host resistance to blast.","author":[{"dropping-particle":"","family":"Kim","given":"Sang Gyu","non-dropping-particle":"","parse-names":false,"suffix":""},{"dropping-particle":"","family":"Kim","given":"Ki Woo","non-dropping-particle":"","parse-names":false,"suffix":""},{"dropping-particle":"","family":"Park","given":"Eun Woo","non-dropping-particle":"","parse-names":false,"suffix":""},{"dropping-particle":"","family":"Choi","given":"Doil","non-dropping-particle":"","parse-names":false,"suffix":""}],"container-title":"Phytopathology","id":"ITEM-1","issue":"10","issued":{"date-parts":[["2002"]]},"page":"1095-1103","title":"Silicon-induced cell wall fortification of rice leaves: A possible cellular mechanism of enhanced host resistance to blast","type":"article-journal","volume":"92"},"uris":["http://www.mendeley.com/documents/?uuid=eb3793ab-6150-4710-b86a-da2c1860dbb9"]}],"mendeley":{"formattedCitation":"(S. G. Kim et al., 2002)","manualFormatting":"Kim et al. 2002","plainTextFormattedCitation":"(S. G. Kim et al., 2002)","previouslyFormattedCitation":"(Kim et al., 2002)"},"properties":{"noteIndex":0},"schema":"https://github.com/citation-style-language/schema/raw/master/csl-citation.json"}</w:instrText>
      </w:r>
      <w:r w:rsidRPr="004C3997">
        <w:fldChar w:fldCharType="separate"/>
      </w:r>
      <w:r w:rsidRPr="004C3997">
        <w:rPr>
          <w:noProof/>
        </w:rPr>
        <w:t xml:space="preserve">Kim </w:t>
      </w:r>
      <w:r>
        <w:rPr>
          <w:noProof/>
        </w:rPr>
        <w:t>et al.,</w:t>
      </w:r>
      <w:r w:rsidRPr="004C3997">
        <w:rPr>
          <w:noProof/>
        </w:rPr>
        <w:t xml:space="preserve"> 2002</w:t>
      </w:r>
      <w:r w:rsidRPr="004C3997">
        <w:fldChar w:fldCharType="end"/>
      </w:r>
      <w:r w:rsidRPr="004C3997">
        <w:fldChar w:fldCharType="begin" w:fldLock="1"/>
      </w:r>
      <w:r>
        <w:instrText>ADDIN CSL_CITATION {"citationItems":[{"id":"ITEM-1","itemData":{"DOI":"10.1111/j.1365-3059.2011.02493.x","ISSN":"00320862","abstract":"Powdery mildew, caused by Podosphaera pannosa, is a very common disease in greenhouse potted roses, resulting in poor marketing value and hence economic losses. Alternatives to chemical control are necessary, and therefore the ability of silicon (Si) applied to roots to control the disease was investigated, as well as the mechanisms behind the observed disease reductions. Four genotypes of miniature potted roses representing different genetic backgrounds and susceptibility to disease were studied. Plants were watered with a nutrient solution containing either 3·6mm Si (100ppm) supplied as K 2SiO 3 (Si+) or no Si (Si-) before inoculation with P. pannosa. Si application increased leaf Si content two- to four-fold compared to control plants. Confocal microscopy showed that Si deposition was larger in Si+ than in Si- plants and that deposition mainly occurred in the apoplast, particularly in epidermal cell walls. Si application delayed the onset of disease symptoms by 1-2days and disease severity was reduced by up to 48·9%. The largest reduction was found in the two most resistant genotypes, which also had the highest increase in Si uptake. The Si-induced disease protection was accompanied by increased formation of papillae and fluorescent epidermal cells (FEC) as well as deposition of callose and H 2O 2, especially at the sites of penetration and in FEC, which are believed to represent the hypersensitive response. Si treatment reduced powdery mildew development by inducing host defence responses and can therefore be used as an effective eco-friendly disease control measure. © 2011 The Authors. Plant Pathology © 2011 BSPP.","author":[{"dropping-particle":"","family":"Shetty","given":"R.","non-dropping-particle":"","parse-names":false,"suffix":""},{"dropping-particle":"","family":"Jensen","given":"B.","non-dropping-particle":"","parse-names":false,"suffix":""},{"dropping-particle":"","family":"Shetty","given":"N. P.","non-dropping-particle":"","parse-names":false,"suffix":""},{"dropping-particle":"","family":"Hansen","given":"M.","non-dropping-particle":"","parse-names":false,"suffix":""},{"dropping-particle":"","family":"Hansen","given":"C. W.","non-dropping-particle":"","parse-names":false,"suffix":""},{"dropping-particle":"","family":"Starkey","given":"K. R.","non-dropping-particle":"","parse-names":false,"suffix":""},{"dropping-particle":"","family":"Jørgensen","given":"H. J.L.","non-dropping-particle":"","parse-names":false,"suffix":""}],"container-title":"Plant Pathology","id":"ITEM-1","issue":"1","issued":{"date-parts":[["2012"]]},"page":"120-131","title":"Silicon induced resistance against powdery mildew of roses caused by Podosphaera pannosa","type":"article-journal","volume":"61"},"uris":["http://www.mendeley.com/documents/?uuid=3a08a7ef-2451-425d-a4bf-61d91835527e"]}],"mendeley":{"formattedCitation":"(Shetty et al., 2012)","manualFormatting":"; Shetty et al. 2012)","plainTextFormattedCitation":"(Shetty et al., 2012)","previouslyFormattedCitation":"(Shetty et al., 2012)"},"properties":{"noteIndex":0},"schema":"https://github.com/citation-style-language/schema/raw/master/csl-citation.json"}</w:instrText>
      </w:r>
      <w:r w:rsidRPr="004C3997">
        <w:fldChar w:fldCharType="separate"/>
      </w:r>
      <w:r w:rsidRPr="004C3997">
        <w:rPr>
          <w:noProof/>
        </w:rPr>
        <w:t xml:space="preserve">; Shetty </w:t>
      </w:r>
      <w:r>
        <w:rPr>
          <w:noProof/>
        </w:rPr>
        <w:t>et al.,</w:t>
      </w:r>
      <w:r w:rsidRPr="004C3997">
        <w:rPr>
          <w:noProof/>
        </w:rPr>
        <w:t xml:space="preserve"> 2012)</w:t>
      </w:r>
      <w:r w:rsidRPr="004C3997">
        <w:fldChar w:fldCharType="end"/>
      </w:r>
      <w:r w:rsidRPr="004C3997">
        <w:t xml:space="preserve">. The physiological mechanisms may involve the initiation and accumulation of phenolic compounds and other host defense-related proteins around infection cells to induce pathogen resistance </w:t>
      </w:r>
      <w:r w:rsidRPr="004C3997">
        <w:fldChar w:fldCharType="begin" w:fldLock="1"/>
      </w:r>
      <w:r>
        <w:instrText>ADDIN CSL_CITATION {"citationItems":[{"id":"ITEM-1","itemData":{"DOI":"10.1016/0885-5765(91)90007-5","ISSN":"10961178","abstract":"The response of epidermal cells of cucumber leaf tissue infected by Sphaerotheca fuliginea was examined by light microscopy to understand how silicon in infected host cells affects host defence mechanisms. Leaf pieces from plants treated with nutrient solutions containing 0·05, 0·50 or 2·3 mm of silicon (Si) were harvested at intervals of 24, 48, 72, 96 and 120 h after inoculation with the pathogen and examined after staining with toluidine blue or aniline blue. Si treatments significantly reduced the time to initiation of production and/or accumulation of phenolic materials in infected host epidermal cells, and increased the number of infected cells that produced and/or accumulated phenolics. The number of haustoria produced per colony of S. fuliginea was significantly reduced over time, and conidiophore development was delayed on the leaves of cucumber treated with 2·3 mm Si nutrient solution. © 1991.","author":[{"dropping-particle":"","family":"Menzies","given":"J. G.","non-dropping-particle":"","parse-names":false,"suffix":""},{"dropping-particle":"","family":"Ehret","given":"D. L.","non-dropping-particle":"","parse-names":false,"suffix":""},{"dropping-particle":"","family":"Glass","given":"A. D.M.","non-dropping-particle":"","parse-names":false,"suffix":""},{"dropping-particle":"","family":"Samuels","given":"A. L.","non-dropping-particle":"","parse-names":false,"suffix":""}],"container-title":"Physiological and Molecular Plant Pathology","id":"ITEM-1","issue":"6","issued":{"date-parts":[["1991"]]},"page":"403-414","title":"The influence of silicon on cytological interactions between Sphaerotheca fuliginea and Cucumis sativus","type":"article-journal","volume":"39"},"uris":["http://www.mendeley.com/documents/?uuid=7fb541cb-93cb-4b6f-9688-f67b8d809dcb"]}],"mendeley":{"formattedCitation":"(Menzies et al., 1991)","manualFormatting":"(Menzies et al. 1991; Kanto et al. 2007)","plainTextFormattedCitation":"(Menzies et al., 1991)","previouslyFormattedCitation":"(Menzies et al., 1991)"},"properties":{"noteIndex":0},"schema":"https://github.com/citation-style-language/schema/raw/master/csl-citation.json"}</w:instrText>
      </w:r>
      <w:r w:rsidRPr="004C3997">
        <w:fldChar w:fldCharType="separate"/>
      </w:r>
      <w:r w:rsidRPr="004C3997">
        <w:rPr>
          <w:noProof/>
        </w:rPr>
        <w:t xml:space="preserve">(Menzies </w:t>
      </w:r>
      <w:r>
        <w:rPr>
          <w:noProof/>
        </w:rPr>
        <w:t>et al.,</w:t>
      </w:r>
      <w:r w:rsidRPr="004C3997">
        <w:rPr>
          <w:noProof/>
        </w:rPr>
        <w:t xml:space="preserve"> 1991; </w:t>
      </w:r>
      <w:r w:rsidRPr="004C3997">
        <w:rPr>
          <w:noProof/>
        </w:rPr>
        <w:fldChar w:fldCharType="begin" w:fldLock="1"/>
      </w:r>
      <w:r>
        <w:rPr>
          <w:noProof/>
        </w:rPr>
        <w:instrText>ADDIN CSL_CITATION {"citationItems":[{"id":"ITEM-1","itemData":{"DOI":"10.1007/s10327-006-0311-y","ISSN":"13452630","abstract":"The mode of action of soluble silicon against strawberry powdery mildew (Sphaerotheca aphanis var. aphanis) was investigated in four experiments. First, silicon-treated leaves from plants grown with silicate (Si+) and control leaves were excised, inoculated with conidia, and subsequent germination and formation of appressoria in a petri dish was assessed after 24 h. The germination rate was 49.7% on Si+ leaves, and was 67.2% on control leaves (t-test, P &lt; 0.01). Second, we soaked cellulose membranes in various solvents and then placed the membranes on 4% water agar, dusted the membranes with conidia, and examined after 12 h. No difference was apparent between any treatment and the control (distilled water). Third, strawberries growing hydroponically with additional silicon in the medium were inoculated with conidia, and leaves were observed with a scanning electron microscope 1-2 days after inoculation. Germ tubes and secondary hyphae were shorter and had fewer branches on Si+ leaves than on the control. Moreover, penetration appeared to be inhibited. Fourth, the cuticle was separated from leaves from plants grown as in the third experiment, placed on water agar, and dusted with conidia. Germination of conidia, observed with a light microscope, on Si+ leaves was suppressed markedly to 40%-60% of that of the control. These results suggested that soluble silicon induced physiological changes in the cuticle layer after absorption by the plant. In addition, soluble silicate reduced germination of conidia, formation of appressoria, and possibly the penetration of powdery mildew. © 2007 The Phytopathological Society of Japan and Springer-Verlag.","author":[{"dropping-particle":"","family":"Kanto","given":"Takeshi","non-dropping-particle":"","parse-names":false,"suffix":""},{"dropping-particle":"","family":"Maekawa","given":"Kazumasa","non-dropping-particle":"","parse-names":false,"suffix":""},{"dropping-particle":"","family":"Aino","given":"Masataka","non-dropping-particle":"","parse-names":false,"suffix":""}],"container-title":"Journal of General Plant Pathology","id":"ITEM-1","issue":"1","issued":{"date-parts":[["2007"]]},"page":"1-7","title":"Suppression of conidial germination and appressorial formation by silicate treatment in powdery mildew of strawberry","type":"article-journal","volume":"73"},"uris":["http://www.mendeley.com/documents/?uuid=09bacf58-76a0-4356-9ffd-cbbe6d281d09"]}],"mendeley":{"formattedCitation":"(Kanto et al., 2007)","manualFormatting":"Kanto et al. 2007","plainTextFormattedCitation":"(Kanto et al., 2007)","previouslyFormattedCitation":"(Kanto et al., 2007)"},"properties":{"noteIndex":0},"schema":"https://github.com/citation-style-language/schema/raw/master/csl-citation.json"}</w:instrText>
      </w:r>
      <w:r w:rsidRPr="004C3997">
        <w:rPr>
          <w:noProof/>
        </w:rPr>
        <w:fldChar w:fldCharType="separate"/>
      </w:r>
      <w:r w:rsidRPr="004C3997">
        <w:rPr>
          <w:noProof/>
        </w:rPr>
        <w:t xml:space="preserve">Kanto </w:t>
      </w:r>
      <w:r>
        <w:rPr>
          <w:noProof/>
        </w:rPr>
        <w:t>et al.,</w:t>
      </w:r>
      <w:r w:rsidRPr="004C3997">
        <w:rPr>
          <w:noProof/>
        </w:rPr>
        <w:t xml:space="preserve"> 2007</w:t>
      </w:r>
      <w:r w:rsidRPr="004C3997">
        <w:rPr>
          <w:noProof/>
        </w:rPr>
        <w:fldChar w:fldCharType="end"/>
      </w:r>
      <w:r w:rsidRPr="004C3997">
        <w:rPr>
          <w:noProof/>
        </w:rPr>
        <w:t>)</w:t>
      </w:r>
      <w:r w:rsidRPr="004C3997">
        <w:fldChar w:fldCharType="end"/>
      </w:r>
      <w:r w:rsidRPr="004C3997">
        <w:t xml:space="preserve">. The activity of plant defense-related compounds such as chitinase, peroxidase, polyphenol oxidases, and flavonoid phytoalexins was induced in plants following treatment with silicon </w:t>
      </w:r>
      <w:r w:rsidRPr="004C3997">
        <w:fldChar w:fldCharType="begin" w:fldLock="1"/>
      </w:r>
      <w:r w:rsidRPr="004C3997">
        <w:instrText>ADDIN CSL_CITATION {"citationItems":[{"id":"ITEM-1","itemData":{"abstract":"Silicon is a major component of sand, silt and clay minerals. Because of this abundance, it typically has not been considered as a limiting factor in soil fertility. However numerous fi eld studies have shown that supplying crops with adequate plant-available Si can suppress plant disease, reduce insect attack, improve environmental stress tolerance, and increase crop productivity.","author":[{"dropping-particle":"","family":"Heckman","given":"J","non-dropping-particle":"","parse-names":false,"suffix":""}],"container-title":"Better Crops","id":"ITEM-1","issue":"4","issued":{"date-parts":[["2013"]]},"page":"14-16","title":"Silicon: A beneficial substance","type":"article-journal","volume":"97"},"uris":["http://www.mendeley.com/documents/?uuid=29b4c077-a9ec-4ba1-a33e-0992fd644d68"]}],"mendeley":{"formattedCitation":"(Heckman, 2013)","plainTextFormattedCitation":"(Heckman, 2013)","previouslyFormattedCitation":"(Heckman, 2013)"},"properties":{"noteIndex":0},"schema":"https://github.com/citation-style-language/schema/raw/master/csl-citation.json"}</w:instrText>
      </w:r>
      <w:r w:rsidRPr="004C3997">
        <w:fldChar w:fldCharType="separate"/>
      </w:r>
      <w:r w:rsidRPr="004C3997">
        <w:rPr>
          <w:noProof/>
        </w:rPr>
        <w:t>(Heckman, 2013)</w:t>
      </w:r>
      <w:r w:rsidRPr="004C3997">
        <w:fldChar w:fldCharType="end"/>
      </w:r>
      <w:r w:rsidRPr="004C3997">
        <w:t xml:space="preserve">. These mechanisms possibly explain the efficacy of Sil-Matrix against powdery mildew in this study and many studies </w:t>
      </w:r>
      <w:r w:rsidRPr="004C3997">
        <w:rPr>
          <w:color w:val="auto"/>
        </w:rPr>
        <w:t xml:space="preserve">reported by other researchers. Potassium silicate was reported to inhibit the growth of several plant pathogenic fungi and oomycetes including </w:t>
      </w:r>
      <w:r w:rsidRPr="004C3997">
        <w:rPr>
          <w:i/>
          <w:color w:val="auto"/>
        </w:rPr>
        <w:t xml:space="preserve">Sclerotinia sclerotiorum, Pythium </w:t>
      </w:r>
      <w:r w:rsidRPr="004C3997">
        <w:rPr>
          <w:color w:val="auto"/>
        </w:rPr>
        <w:t>F-group</w:t>
      </w:r>
      <w:r w:rsidRPr="004C3997">
        <w:rPr>
          <w:i/>
          <w:color w:val="auto"/>
        </w:rPr>
        <w:t xml:space="preserve">, Mucor pusillus, Drechslera </w:t>
      </w:r>
      <w:r w:rsidRPr="004C3997">
        <w:rPr>
          <w:color w:val="auto"/>
        </w:rPr>
        <w:t>sp.</w:t>
      </w:r>
      <w:r w:rsidRPr="004C3997">
        <w:rPr>
          <w:i/>
          <w:color w:val="auto"/>
        </w:rPr>
        <w:t xml:space="preserve">, Fusarium oxysporum, F. solani, Alternaria solani, Colletotrichum coccodes, Verticillium theobromae, Curvularia lunata, Stemphylium herbarum, </w:t>
      </w:r>
      <w:r w:rsidRPr="004C3997">
        <w:rPr>
          <w:color w:val="auto"/>
        </w:rPr>
        <w:t xml:space="preserve">and </w:t>
      </w:r>
      <w:r w:rsidRPr="004C3997">
        <w:rPr>
          <w:i/>
          <w:color w:val="auto"/>
        </w:rPr>
        <w:t xml:space="preserve">Phytophthora cinnamomi </w:t>
      </w:r>
      <w:r w:rsidRPr="004C3997">
        <w:rPr>
          <w:color w:val="auto"/>
        </w:rPr>
        <w:fldChar w:fldCharType="begin" w:fldLock="1"/>
      </w:r>
      <w:r>
        <w:rPr>
          <w:color w:val="auto"/>
        </w:rPr>
        <w:instrText>ADDIN CSL_CITATION {"citationItems":[{"id":"ITEM-1","itemData":{"DOI":"10.1080/02571862.2006.10634750","ISSN":"02571862","abstract":"Soluble silicon has been reported to suppress some plant diseases, but in vitro inhibition of phytopathogenic fungi has not been demonstrated. In the current study in-vitro dose-responses towards soluble potassium silicate (20.7% SiO2) were determined for Phytophthora cinnamomi, Sclerotinia sclerotiorum, Pythium F-group, Mucor pusillus, Drechslera sp, Fusarium oxysporum, F. solani, Alternaria solani, Colletotrichum coccodes, Verticillium theobromae, Curvularia lunata and Stemphylium herbarum. Inhibition of mycelial growth was dose-related with 100% inhibition at 80 ml (pH 11.7) and 40 ml (pH 11.5) soluble potassium silicate per litre of agar, for all fungi tested with the exception of Drechslera sp. and F. oxysporum at 40 ml in one experiment. Only Sclerotinia sclerotiorum and Phytophthora cinnamomi were completely inhibited at all soluble potassium silicate concentrations between 5 and 80 ml.1−1 agar, while all the other fungi were only partially inhibited at potassium silicate concentrations of 5, 10 and 20 ml.1−1 agar. Percentage inhibition was positively correlated with dosage. Soluble potassium silicate raised the pH of unameliorated agar from 5.6 to 10.3 and 11.7 at potassium silicate concentrations of 5 and 80 ml.l−1 agar respectively. Subsequent investigations into the effect of pH in the absence of potassium silicate showed that fungal growth was only partially inhibited at pH 10.3 and 11.7. Clearly, potassium silicate had an inhibitory effect on fungal growth in vitro and this was mostly fungicidal rather than attributed to a pH effect. © 2006, Taylor &amp; Francis Group, LLC.","author":[{"dropping-particle":"","family":"Bekker","given":"T. F.","non-dropping-particle":"","parse-names":false,"suffix":""},{"dropping-particle":"","family":"Kaiser","given":"C.","non-dropping-particle":"","parse-names":false,"suffix":""},{"dropping-particle":"","family":"Merwe","given":"R.","non-dropping-particle":"v.d.","parse-names":false,"suffix":""},{"dropping-particle":"","family":"Labuschagne","given":"N.","non-dropping-particle":"","parse-names":false,"suffix":""}],"container-title":"South African Journal of Plant and Soil","id":"ITEM-1","issue":"3","issued":{"date-parts":[["2006"]]},"page":"169-172","title":"In-vitro inhibition of mycelial growth of several phytopathogenic fungi by soluble potassium silicate","type":"article-journal","volume":"23"},"uris":["http://www.mendeley.com/documents/?uuid=64494566-6c9a-4191-be62-728094fa5eb2"]}],"mendeley":{"formattedCitation":"(Bekker et al., 2006)","manualFormatting":"(Bekker et al. 2006)","plainTextFormattedCitation":"(Bekker et al., 2006)","previouslyFormattedCitation":"(Bekker et al., 2006)"},"properties":{"noteIndex":0},"schema":"https://github.com/citation-style-language/schema/raw/master/csl-citation.json"}</w:instrText>
      </w:r>
      <w:r w:rsidRPr="004C3997">
        <w:rPr>
          <w:color w:val="auto"/>
        </w:rPr>
        <w:fldChar w:fldCharType="separate"/>
      </w:r>
      <w:r w:rsidRPr="004C3997">
        <w:rPr>
          <w:noProof/>
          <w:color w:val="auto"/>
        </w:rPr>
        <w:t xml:space="preserve">(Bekker </w:t>
      </w:r>
      <w:r>
        <w:rPr>
          <w:noProof/>
          <w:color w:val="auto"/>
        </w:rPr>
        <w:t>et al.,</w:t>
      </w:r>
      <w:r w:rsidRPr="004C3997">
        <w:rPr>
          <w:noProof/>
          <w:color w:val="auto"/>
        </w:rPr>
        <w:t xml:space="preserve"> 2006)</w:t>
      </w:r>
      <w:r w:rsidRPr="004C3997">
        <w:rPr>
          <w:color w:val="auto"/>
        </w:rPr>
        <w:fldChar w:fldCharType="end"/>
      </w:r>
      <w:r w:rsidRPr="004C3997">
        <w:rPr>
          <w:color w:val="auto"/>
        </w:rPr>
        <w:t xml:space="preserve">. </w:t>
      </w:r>
      <w:r w:rsidRPr="004C3997">
        <w:rPr>
          <w:color w:val="auto"/>
        </w:rPr>
        <w:fldChar w:fldCharType="begin" w:fldLock="1"/>
      </w:r>
      <w:r>
        <w:rPr>
          <w:color w:val="auto"/>
        </w:rPr>
        <w:instrText>ADDIN CSL_CITATION {"citationItems":[{"id":"ITEM-1","itemData":{"DOI":"10.1007/s10327-006-0311-y","ISSN":"13452630","abstract":"The mode of action of soluble silicon against strawberry powdery mildew (Sphaerotheca aphanis var. aphanis) was investigated in four experiments. First, silicon-treated leaves from plants grown with silicate (Si+) and control leaves were excised, inoculated with conidia, and subsequent germination and formation of appressoria in a petri dish was assessed after 24 h. The germination rate was 49.7% on Si+ leaves, and was 67.2% on control leaves (t-test, P &lt; 0.01). Second, we soaked cellulose membranes in various solvents and then placed the membranes on 4% water agar, dusted the membranes with conidia, and examined after 12 h. No difference was apparent between any treatment and the control (distilled water). Third, strawberries growing hydroponically with additional silicon in the medium were inoculated with conidia, and leaves were observed with a scanning electron microscope 1-2 days after inoculation. Germ tubes and secondary hyphae were shorter and had fewer branches on Si+ leaves than on the control. Moreover, penetration appeared to be inhibited. Fourth, the cuticle was separated from leaves from plants grown as in the third experiment, placed on water agar, and dusted with conidia. Germination of conidia, observed with a light microscope, on Si+ leaves was suppressed markedly to 40%-60% of that of the control. These results suggested that soluble silicon induced physiological changes in the cuticle layer after absorption by the plant. In addition, soluble silicate reduced germination of conidia, formation of appressoria, and possibly the penetration of powdery mildew. © 2007 The Phytopathological Society of Japan and Springer-Verlag.","author":[{"dropping-particle":"","family":"Kanto","given":"Takeshi","non-dropping-particle":"","parse-names":false,"suffix":""},{"dropping-particle":"","family":"Maekawa","given":"Kazumasa","non-dropping-particle":"","parse-names":false,"suffix":""},{"dropping-particle":"","family":"Aino","given":"Masataka","non-dropping-particle":"","parse-names":false,"suffix":""}],"container-title":"Journal of General Plant Pathology","id":"ITEM-1","issue":"1","issued":{"date-parts":[["2007"]]},"page":"1-7","title":"Suppression of conidial germination and appressorial formation by silicate treatment in powdery mildew of strawberry","type":"article-journal","volume":"73"},"uris":["http://www.mendeley.com/documents/?uuid=09bacf58-76a0-4356-9ffd-cbbe6d281d09"]}],"mendeley":{"formattedCitation":"(Kanto et al., 2007)","manualFormatting":"Kanto et al. (2007","plainTextFormattedCitation":"(Kanto et al., 2007)","previouslyFormattedCitation":"(Kanto et al., 2007)"},"properties":{"noteIndex":0},"schema":"https://github.com/citation-style-language/schema/raw/master/csl-citation.json"}</w:instrText>
      </w:r>
      <w:r w:rsidRPr="004C3997">
        <w:rPr>
          <w:color w:val="auto"/>
        </w:rPr>
        <w:fldChar w:fldCharType="separate"/>
      </w:r>
      <w:r w:rsidRPr="004C3997">
        <w:rPr>
          <w:noProof/>
          <w:color w:val="auto"/>
        </w:rPr>
        <w:t xml:space="preserve">Kanto </w:t>
      </w:r>
      <w:r>
        <w:rPr>
          <w:noProof/>
          <w:color w:val="auto"/>
        </w:rPr>
        <w:t>et al.,</w:t>
      </w:r>
      <w:r w:rsidRPr="004C3997">
        <w:rPr>
          <w:noProof/>
          <w:color w:val="auto"/>
        </w:rPr>
        <w:t xml:space="preserve"> (2007</w:t>
      </w:r>
      <w:r w:rsidRPr="004C3997">
        <w:rPr>
          <w:color w:val="auto"/>
        </w:rPr>
        <w:fldChar w:fldCharType="end"/>
      </w:r>
      <w:r w:rsidRPr="004C3997">
        <w:rPr>
          <w:color w:val="auto"/>
        </w:rPr>
        <w:t xml:space="preserve">) showed that the germination rate of </w:t>
      </w:r>
      <w:r w:rsidRPr="004C3997">
        <w:rPr>
          <w:i/>
          <w:color w:val="auto"/>
        </w:rPr>
        <w:t>Sphaerotheca aphanis</w:t>
      </w:r>
      <w:r w:rsidRPr="004C3997">
        <w:rPr>
          <w:color w:val="auto"/>
        </w:rPr>
        <w:t xml:space="preserve"> var. </w:t>
      </w:r>
      <w:r w:rsidRPr="004C3997">
        <w:rPr>
          <w:i/>
          <w:color w:val="auto"/>
        </w:rPr>
        <w:t>aphanis</w:t>
      </w:r>
      <w:r w:rsidRPr="004C3997">
        <w:rPr>
          <w:color w:val="auto"/>
        </w:rPr>
        <w:t xml:space="preserve">, the strawberry powdery mildew fungus, was significantly reduced on silicon-treated leaves, with the fungus producing shorter </w:t>
      </w:r>
      <w:r w:rsidRPr="004C3997">
        <w:t xml:space="preserve">germ tubes and secondary hyphae than that of untreated leaves. Fungal conidial production was suppressed by up to 60% due to silicon treatment. Similarly, a disease evaluation study on </w:t>
      </w:r>
      <w:r w:rsidRPr="007B552E">
        <w:rPr>
          <w:i/>
        </w:rPr>
        <w:t>Arabidopsis</w:t>
      </w:r>
      <w:r w:rsidRPr="004C3997">
        <w:t xml:space="preserve"> showed that treatment significantly reduced powdery mildew (</w:t>
      </w:r>
      <w:r w:rsidRPr="004C3997">
        <w:rPr>
          <w:i/>
        </w:rPr>
        <w:t>Erysiphe cichoracearum</w:t>
      </w:r>
      <w:r w:rsidRPr="004C3997">
        <w:t xml:space="preserve">) severity as early as </w:t>
      </w:r>
      <w:r>
        <w:t xml:space="preserve">8 days after inoculation. </w:t>
      </w:r>
      <w:r w:rsidRPr="004C3997">
        <w:t xml:space="preserve">Furthermore, a scanning electron microscopy analysis revealed that mycelial development on the silicon-treated leaf was significantly reduced, whereas dense mycelial mats and conidial colonies were found on no-silicon control leaves </w:t>
      </w:r>
      <w:r w:rsidRPr="004C3997">
        <w:fldChar w:fldCharType="begin" w:fldLock="1"/>
      </w:r>
      <w:r>
        <w:instrText>ADDIN CSL_CITATION {"citationItems":[{"id":"ITEM-1","itemData":{"DOI":"10.1016/j.pmpp.2004.07.005","ISSN":"08855765","abstract":"Silicon (Si) has been used in agriculture to protect plants against disease for hundreds of years and its prophylactic effects in monocots and dicots are well documented. The mechanisms by which Si exerts its protective effects in planta, however, are uncertain and presently the subject of debate. In this study, we sought to determine if Arabidopsis thaliana could be used to clarify the role of Si in plant-pathogen interactions. Accordingly, X-ray microanalysis mapping, light microscopy, scanning and transmission electron microscope techniques were used to examine the leaves of Si- fed A. thaliana plants inoculated with the powdery mildew fungus, Erysiphe cichoracearum. The results of this study demonstrate for the first time, that A. thaliana is a species that absorbs Si and that the incidence of powdery mildew disease for Si- fed plants is significantly lower compared to control plants. In particular, treatment with Si appeared to induce the production of an electron-dense, fungitoxic substance that accumulated within and around the collapsed fungal haustoria of infected epidermal cells within the leaves of disease-resistant plants. These results with Arabidopsis corroborate recent observations in other non-related species and support the emerging theory that the mechanisms by which Si imparts resistance to plants are complex and are not entirely explained by the traditionally proposed role of Si as a reinforcer of mechanical resistance. Collectively, the findings of the present study have established the Arabidopsis thaliana-Erysiphe cichoracearum pathosystem as a valid model to investigate the role of Si in plant-microbe interactions. © 2004 Elsevier Ltd. All rights reserved.","author":[{"dropping-particle":"","family":"Ghanmi","given":"Dalila","non-dropping-particle":"","parse-names":false,"suffix":""},{"dropping-particle":"","family":"McNally","given":"David J.","non-dropping-particle":"","parse-names":false,"suffix":""},{"dropping-particle":"","family":"Benhamou","given":"Nicole","non-dropping-particle":"","parse-names":false,"suffix":""},{"dropping-particle":"","family":"Menzies","given":"Jim G.","non-dropping-particle":"","parse-names":false,"suffix":""},{"dropping-particle":"","family":"Bélanger","given":"Richard R.","non-dropping-particle":"","parse-names":false,"suffix":""}],"container-title":"Physiological and Molecular Plant Pathology","id":"ITEM-1","issue":"4","issued":{"date-parts":[["2004"]]},"page":"189-199","title":"Powdery mildew of Arabidopsis thaliana: A pathosystem for exploring the role of silicon in plant-microbe interactions","type":"article-journal","volume":"64"},"uris":["http://www.mendeley.com/documents/?uuid=0b3101c8-775f-4727-9fae-72979e74de80"]}],"mendeley":{"formattedCitation":"(Ghanmi et al., 2004)","manualFormatting":"(Ghanmi et al. 2004)","plainTextFormattedCitation":"(Ghanmi et al., 2004)","previouslyFormattedCitation":"(Ghanmi et al., 2004)"},"properties":{"noteIndex":0},"schema":"https://github.com/citation-style-language/schema/raw/master/csl-citation.json"}</w:instrText>
      </w:r>
      <w:r w:rsidRPr="004C3997">
        <w:fldChar w:fldCharType="separate"/>
      </w:r>
      <w:r w:rsidRPr="004C3997">
        <w:rPr>
          <w:noProof/>
        </w:rPr>
        <w:t xml:space="preserve">(Ghanmi </w:t>
      </w:r>
      <w:r>
        <w:rPr>
          <w:noProof/>
        </w:rPr>
        <w:t>et al.,</w:t>
      </w:r>
      <w:r w:rsidRPr="004C3997">
        <w:rPr>
          <w:noProof/>
        </w:rPr>
        <w:t xml:space="preserve"> 2004)</w:t>
      </w:r>
      <w:r w:rsidRPr="004C3997">
        <w:fldChar w:fldCharType="end"/>
      </w:r>
      <w:r w:rsidRPr="004C3997">
        <w:t xml:space="preserve">. </w:t>
      </w:r>
      <w:r w:rsidRPr="004C3997">
        <w:fldChar w:fldCharType="begin" w:fldLock="1"/>
      </w:r>
      <w:r>
        <w:instrText>ADDIN CSL_CITATION {"citationItems":[{"id":"ITEM-1","itemData":{"DOI":"10.1111/j.1365-3059.2011.02518.x","ISSN":"00320862","abstract":"The effects of silicon (Si) supplied in the form of potassium silicate (PS) were evaluated on epidemic components of powdery mildew of melon under greenhouse conditions. The PS was applied to the roots or to leaves. In the first experiment, epidemic components were evaluated after inoculation with Podosphaera xanthii. In the second experiment, the disease progress rate was evaluated on plants subjected to natural infection. The area under the disease progress curve was reduced by 65% and 73% in the foliar and root treatments, respectively, compared to control plants, as a consequence of reductions in infection efficiency, colony expansion rate, colony area, conidial production and disease progress rate. However, root application of PS was more effective than foliar application in reducing most of the epidemic components, except for infection efficiency. This can be explained by the high Si concentration in leaf tissues with root application, in contrast to the foliar treatment where Si was only deposited on the external leaf surfaces. The effects of PS reported in this study demonstrated that powdery mildew of melon can be controlled, and that the best results can be achieved when PS is supplied to the roots. Published 2011. This article is a US Government work and is in the public domain in the USA.","author":[{"dropping-particle":"","family":"Dallagnol","given":"L. J.","non-dropping-particle":"","parse-names":false,"suffix":""},{"dropping-particle":"","family":"Rodrigues","given":"F. A.","non-dropping-particle":"","parse-names":false,"suffix":""},{"dropping-particle":"","family":"Tanaka","given":"F. A.O.","non-dropping-particle":"","parse-names":false,"suffix":""},{"dropping-particle":"","family":"Amorim","given":"L.","non-dropping-particle":"","parse-names":false,"suffix":""},{"dropping-particle":"","family":"Camargo","given":"L. E.A.","non-dropping-particle":"","parse-names":false,"suffix":""}],"container-title":"Plant Pathology","id":"ITEM-1","issue":"2","issued":{"date-parts":[["2012"]]},"page":"323-330","title":"Effect of potassium silicate on epidemic components of powdery mildew on melon","type":"article-journal","volume":"61"},"uris":["http://www.mendeley.com/documents/?uuid=41b654dd-3032-41d5-9206-023bd340b6cc"]}],"mendeley":{"formattedCitation":"(Dallagnol et al., 2012)","manualFormatting":"Dallagnol et al. (2012)","plainTextFormattedCitation":"(Dallagnol et al., 2012)","previouslyFormattedCitation":"(Dallagnol et al., 2012)"},"properties":{"noteIndex":0},"schema":"https://github.com/citation-style-language/schema/raw/master/csl-citation.json"}</w:instrText>
      </w:r>
      <w:r w:rsidRPr="004C3997">
        <w:fldChar w:fldCharType="separate"/>
      </w:r>
      <w:r w:rsidRPr="004C3997">
        <w:rPr>
          <w:noProof/>
        </w:rPr>
        <w:t xml:space="preserve">Dallagnol </w:t>
      </w:r>
      <w:r>
        <w:rPr>
          <w:noProof/>
        </w:rPr>
        <w:t>et al.,</w:t>
      </w:r>
      <w:r w:rsidRPr="004C3997">
        <w:rPr>
          <w:noProof/>
        </w:rPr>
        <w:t xml:space="preserve"> (2012)</w:t>
      </w:r>
      <w:r w:rsidRPr="004C3997">
        <w:fldChar w:fldCharType="end"/>
      </w:r>
      <w:r w:rsidRPr="004C3997">
        <w:t xml:space="preserve"> found that foliar and root application of potassium silicate on melon reduced powdery mildew (</w:t>
      </w:r>
      <w:r w:rsidRPr="004C3997">
        <w:rPr>
          <w:i/>
        </w:rPr>
        <w:t>Podosphaera</w:t>
      </w:r>
      <w:r w:rsidRPr="004C3997">
        <w:t xml:space="preserve"> </w:t>
      </w:r>
      <w:r w:rsidRPr="004C3997">
        <w:rPr>
          <w:i/>
        </w:rPr>
        <w:t>xanthii</w:t>
      </w:r>
      <w:r w:rsidRPr="004C3997">
        <w:t>) progress by 65% and 73%, respectively. In the study, the application also significantly reduced conidial production, infection efficiency, and colony expansion and area. In another study, silicon treatment delayed rose powdery mildew (</w:t>
      </w:r>
      <w:r w:rsidRPr="004C3997">
        <w:rPr>
          <w:i/>
        </w:rPr>
        <w:t>Podosphaera pannosa</w:t>
      </w:r>
      <w:r w:rsidRPr="004C3997">
        <w:t xml:space="preserve">) development by 1-2 days and subsequently reduced disease severity by up to 49% </w:t>
      </w:r>
      <w:r w:rsidRPr="004C3997">
        <w:fldChar w:fldCharType="begin" w:fldLock="1"/>
      </w:r>
      <w:r>
        <w:instrText>ADDIN CSL_CITATION {"citationItems":[{"id":"ITEM-1","itemData":{"DOI":"10.1111/j.1365-3059.2011.02493.x","ISSN":"00320862","abstract":"Powdery mildew, caused by Podosphaera pannosa, is a very common disease in greenhouse potted roses, resulting in poor marketing value and hence economic losses. Alternatives to chemical control are necessary, and therefore the ability of silicon (Si) applied to roots to control the disease was investigated, as well as the mechanisms behind the observed disease reductions. Four genotypes of miniature potted roses representing different genetic backgrounds and susceptibility to disease were studied. Plants were watered with a nutrient solution containing either 3·6mm Si (100ppm) supplied as K 2SiO 3 (Si+) or no Si (Si-) before inoculation with P. pannosa. Si application increased leaf Si content two- to four-fold compared to control plants. Confocal microscopy showed that Si deposition was larger in Si+ than in Si- plants and that deposition mainly occurred in the apoplast, particularly in epidermal cell walls. Si application delayed the onset of disease symptoms by 1-2days and disease severity was reduced by up to 48·9%. The largest reduction was found in the two most resistant genotypes, which also had the highest increase in Si uptake. The Si-induced disease protection was accompanied by increased formation of papillae and fluorescent epidermal cells (FEC) as well as deposition of callose and H 2O 2, especially at the sites of penetration and in FEC, which are believed to represent the hypersensitive response. Si treatment reduced powdery mildew development by inducing host defence responses and can therefore be used as an effective eco-friendly disease control measure. © 2011 The Authors. Plant Pathology © 2011 BSPP.","author":[{"dropping-particle":"","family":"Shetty","given":"R.","non-dropping-particle":"","parse-names":false,"suffix":""},{"dropping-particle":"","family":"Jensen","given":"B.","non-dropping-particle":"","parse-names":false,"suffix":""},{"dropping-particle":"","family":"Shetty","given":"N. P.","non-dropping-particle":"","parse-names":false,"suffix":""},{"dropping-particle":"","family":"Hansen","given":"M.","non-dropping-particle":"","parse-names":false,"suffix":""},{"dropping-particle":"","family":"Hansen","given":"C. W.","non-dropping-particle":"","parse-names":false,"suffix":""},{"dropping-particle":"","family":"Starkey","given":"K. R.","non-dropping-particle":"","parse-names":false,"suffix":""},{"dropping-particle":"","family":"Jørgensen","given":"H. J.L.","non-dropping-particle":"","parse-names":false,"suffix":""}],"container-title":"Plant Pathology","id":"ITEM-1","issue":"1","issued":{"date-parts":[["2012"]]},"page":"120-131","title":"Silicon induced resistance against powdery mildew of roses caused by Podosphaera pannosa","type":"article-journal","volume":"61"},"uris":["http://www.mendeley.com/documents/?uuid=3a08a7ef-2451-425d-a4bf-61d91835527e"]}],"mendeley":{"formattedCitation":"(Shetty et al., 2012)"},"properties":{"noteIndex":0},"schema":"https://github.com/citation-style-language/schema/raw/master/csl-citation.json"}</w:instrText>
      </w:r>
      <w:r w:rsidRPr="004C3997">
        <w:fldChar w:fldCharType="separate"/>
      </w:r>
      <w:r w:rsidRPr="00FB5B67">
        <w:rPr>
          <w:noProof/>
        </w:rPr>
        <w:t xml:space="preserve">(Shetty </w:t>
      </w:r>
      <w:r>
        <w:rPr>
          <w:noProof/>
        </w:rPr>
        <w:t>et al.,</w:t>
      </w:r>
      <w:r w:rsidRPr="00FB5B67">
        <w:rPr>
          <w:noProof/>
        </w:rPr>
        <w:t xml:space="preserve"> 2012)</w:t>
      </w:r>
      <w:r w:rsidRPr="004C3997">
        <w:fldChar w:fldCharType="end"/>
      </w:r>
      <w:r w:rsidRPr="004C3997">
        <w:t>. These findings implicate the strong potential of silica products, such as Sil-Matrix, against powdery mildew diseases.</w:t>
      </w:r>
    </w:p>
    <w:p w14:paraId="01A794C0" w14:textId="77777777" w:rsidR="00D20476" w:rsidRPr="00233D94" w:rsidRDefault="00D20476" w:rsidP="00D20476">
      <w:pPr>
        <w:pStyle w:val="Default"/>
        <w:spacing w:line="360" w:lineRule="auto"/>
        <w:ind w:left="720" w:firstLine="720"/>
        <w:rPr>
          <w:color w:val="auto"/>
        </w:rPr>
      </w:pPr>
      <w:r w:rsidRPr="004C3997">
        <w:rPr>
          <w:color w:val="auto"/>
        </w:rPr>
        <w:t xml:space="preserve">This study found that Defguard and Stargus exhibited moderate efficacy against hemp powdery mildew, with both treatments reducing disease by an average of 79% and 76% compared to control. Defguard and Stargus are bio fungicides formulated with </w:t>
      </w:r>
      <w:r w:rsidRPr="004C3997">
        <w:rPr>
          <w:i/>
          <w:color w:val="auto"/>
        </w:rPr>
        <w:t>Bacillus amyloliquefaciens</w:t>
      </w:r>
      <w:r w:rsidRPr="004C3997">
        <w:rPr>
          <w:color w:val="auto"/>
        </w:rPr>
        <w:t xml:space="preserve">, strains D747 and F727, respectively. Strains of </w:t>
      </w:r>
      <w:r w:rsidRPr="004C3997">
        <w:rPr>
          <w:i/>
          <w:color w:val="auto"/>
        </w:rPr>
        <w:t xml:space="preserve">B. amyloliquefaciens </w:t>
      </w:r>
      <w:r w:rsidRPr="004C3997">
        <w:rPr>
          <w:color w:val="auto"/>
        </w:rPr>
        <w:t xml:space="preserve">are beneficial rhizobacteria often reported with multiple modes of action including the ability to colonize root hairs, leaves, and other plant surfaces to prevent the establishment of fungal and bacterial </w:t>
      </w:r>
      <w:r w:rsidRPr="004C3997">
        <w:rPr>
          <w:color w:val="0E101A"/>
        </w:rPr>
        <w:t>pathogen</w:t>
      </w:r>
      <w:r w:rsidRPr="004C3997">
        <w:rPr>
          <w:color w:val="auto"/>
        </w:rPr>
        <w:t>s (</w:t>
      </w:r>
      <w:r w:rsidRPr="004C3997">
        <w:fldChar w:fldCharType="begin" w:fldLock="1"/>
      </w:r>
      <w:r>
        <w:instrText>ADDIN CSL_CITATION {"citationItems":[{"id":"ITEM-1","itemData":{"DOI":"10.1016/j.biocontrol.2019.104160","ISSN":"10499644","abstract":"The effectiveness of Bacillus amyloliquefaciens YN201732, a beneficial endophyte isolated from tobacco seeds was explored for control of tobacco powdery mildew and the systemic resistance mechanisms involved. The results of the study showed that endophyte YN201732 has antagonistic effects on 12 pathogenic fungi. The fermentation broth can inhibit the spore germination and has good control effect on tobacco powdery mildew in the greenhouse. The control effect of the protective test and the therapeutic test at 14 days reached up to 71.09% and 86.11%, respectively. Moreover, endophyte YN201732 can also promote seed germination and seedling plant growth, and improve plant photosynthesis. Compare with water treatment, the root length, plant height, maximum leaf length, leaf width, fresh weight, dry weight, chlorophyll and net photosynthetic rate of tobacco seedlings increased by 32.27%, 86.67%, 154.92%, 107.25%, 664.71%, 207.69%, 150.33%, and 240%, respectively. Additionally, the expression of NPR1 in tobacco leaves was stable when inoculated with YN201732 at different time points, while the PDF1.2 gene was up-regulated rapidly, suggesting that jasmonic acid/ethylene signaling pathway of plant might be induced, which enhance plant resistance to powdery mildew. The chit and PPO genes were highly expressed while the PAL and POD defense enzyme genes were down-regulated, the expression of chit was up-regulated 30–70 times after induction treatment. In addition, we revealed that polyphenol oxidase and chitinases are closely related to tobacco induced resistance to powdery mildew. Thus, our study showed that B. amyloliquefaciens YN201732 has high potential to be used as biocontrol agent and plant-growth promoting bacterium in tobacco agriculture.","author":[{"dropping-particle":"","family":"Jiao","given":"Rong","non-dropping-particle":"","parse-names":false,"suffix":""},{"dropping-particle":"","family":"Munir","given":"Shahzad","non-dropping-particle":"","parse-names":false,"suffix":""},{"dropping-particle":"","family":"He","given":"Pengfei","non-dropping-particle":"","parse-names":false,"suffix":""},{"dropping-particle":"","family":"Yang","given":"Huanwen","non-dropping-particle":"","parse-names":false,"suffix":""},{"dropping-particle":"","family":"Wu","given":"Yixin","non-dropping-particle":"","parse-names":false,"suffix":""},{"dropping-particle":"","family":"Wang","given":"Junwei","non-dropping-particle":"","parse-names":false,"suffix":""},{"dropping-particle":"","family":"He","given":"Pengbo","non-dropping-particle":"","parse-names":false,"suffix":""},{"dropping-particle":"","family":"Cai","given":"Yongzhan","non-dropping-particle":"","parse-names":false,"suffix":""},{"dropping-particle":"","family":"Wang","given":"Ge","non-dropping-particle":"","parse-names":false,"suffix":""},{"dropping-particle":"","family":"He","given":"Yueqiu","non-dropping-particle":"","parse-names":false,"suffix":""}],"container-title":"Biological Control","id":"ITEM-1","issue":"August 2019","issued":{"date-parts":[["2020"]]},"page":"104160","publisher":"Elsevier","title":"Biocontrol potential of the endophytic Bacillus amyloliquefaciens YN201732 against tobacco powdery mildew and its growth promotion","type":"article-journal","volume":"143"},"uris":["http://www.mendeley.com/documents/?uuid=e79cb96a-c8d0-4518-a15c-a188d1fba1ed"]}],"mendeley":{"formattedCitation":"(R. Jiao et al., 2020)","manualFormatting":"Jiao et al. 2020)","plainTextFormattedCitation":"(R. Jiao et al., 2020)","previouslyFormattedCitation":"(Jiao et al., 2020)"},"properties":{"noteIndex":0},"schema":"https://github.com/citation-style-language/schema/raw/master/csl-citation.json"}</w:instrText>
      </w:r>
      <w:r w:rsidRPr="004C3997">
        <w:fldChar w:fldCharType="separate"/>
      </w:r>
      <w:r w:rsidRPr="004C3997">
        <w:rPr>
          <w:noProof/>
        </w:rPr>
        <w:t xml:space="preserve">Jiao </w:t>
      </w:r>
      <w:r>
        <w:rPr>
          <w:noProof/>
        </w:rPr>
        <w:t>et al.,</w:t>
      </w:r>
      <w:r w:rsidRPr="004C3997">
        <w:rPr>
          <w:noProof/>
        </w:rPr>
        <w:t xml:space="preserve"> 2020)</w:t>
      </w:r>
      <w:r w:rsidRPr="004C3997">
        <w:fldChar w:fldCharType="end"/>
      </w:r>
      <w:r w:rsidRPr="004C3997">
        <w:rPr>
          <w:color w:val="auto"/>
        </w:rPr>
        <w:t>. Also, they are known to inhibit spore germination and prevent mycel</w:t>
      </w:r>
      <w:r>
        <w:rPr>
          <w:color w:val="auto"/>
        </w:rPr>
        <w:t xml:space="preserve">ial growth and spore formation. </w:t>
      </w:r>
      <w:r w:rsidRPr="004C3997">
        <w:t xml:space="preserve">There are reports that some strains of </w:t>
      </w:r>
      <w:r w:rsidRPr="004C3997">
        <w:rPr>
          <w:i/>
        </w:rPr>
        <w:t xml:space="preserve">B. amyloliquefaciens </w:t>
      </w:r>
      <w:r w:rsidRPr="004C3997">
        <w:t>can induce systemic resistance against pathogens or plant growth promotion</w:t>
      </w:r>
      <w:r w:rsidRPr="004C3997">
        <w:rPr>
          <w:i/>
        </w:rPr>
        <w:t xml:space="preserve"> </w:t>
      </w:r>
      <w:r w:rsidRPr="004C3997">
        <w:fldChar w:fldCharType="begin" w:fldLock="1"/>
      </w:r>
      <w:r>
        <w:instrText>ADDIN CSL_CITATION {"citationItems":[{"id":"ITEM-1","itemData":{"DOI":"10.1016/j.biocontrol.2019.104160","ISSN":"10499644","abstract":"The effectiveness of Bacillus amyloliquefaciens YN201732, a beneficial endophyte isolated from tobacco seeds was explored for control of tobacco powdery mildew and the systemic resistance mechanisms involved. The results of the study showed that endophyte YN201732 has antagonistic effects on 12 pathogenic fungi. The fermentation broth can inhibit the spore germination and has good control effect on tobacco powdery mildew in the greenhouse. The control effect of the protective test and the therapeutic test at 14 days reached up to 71.09% and 86.11%, respectively. Moreover, endophyte YN201732 can also promote seed germination and seedling plant growth, and improve plant photosynthesis. Compare with water treatment, the root length, plant height, maximum leaf length, leaf width, fresh weight, dry weight, chlorophyll and net photosynthetic rate of tobacco seedlings increased by 32.27%, 86.67%, 154.92%, 107.25%, 664.71%, 207.69%, 150.33%, and 240%, respectively. Additionally, the expression of NPR1 in tobacco leaves was stable when inoculated with YN201732 at different time points, while the PDF1.2 gene was up-regulated rapidly, suggesting that jasmonic acid/ethylene signaling pathway of plant might be induced, which enhance plant resistance to powdery mildew. The chit and PPO genes were highly expressed while the PAL and POD defense enzyme genes were down-regulated, the expression of chit was up-regulated 30–70 times after induction treatment. In addition, we revealed that polyphenol oxidase and chitinases are closely related to tobacco induced resistance to powdery mildew. Thus, our study showed that B. amyloliquefaciens YN201732 has high potential to be used as biocontrol agent and plant-growth promoting bacterium in tobacco agriculture.","author":[{"dropping-particle":"","family":"Jiao","given":"Rong","non-dropping-particle":"","parse-names":false,"suffix":""},{"dropping-particle":"","family":"Munir","given":"Shahzad","non-dropping-particle":"","parse-names":false,"suffix":""},{"dropping-particle":"","family":"He","given":"Pengfei","non-dropping-particle":"","parse-names":false,"suffix":""},{"dropping-particle":"","family":"Yang","given":"Huanwen","non-dropping-particle":"","parse-names":false,"suffix":""},{"dropping-particle":"","family":"Wu","given":"Yixin","non-dropping-particle":"","parse-names":false,"suffix":""},{"dropping-particle":"","family":"Wang","given":"Junwei","non-dropping-particle":"","parse-names":false,"suffix":""},{"dropping-particle":"","family":"He","given":"Pengbo","non-dropping-particle":"","parse-names":false,"suffix":""},{"dropping-particle":"","family":"Cai","given":"Yongzhan","non-dropping-particle":"","parse-names":false,"suffix":""},{"dropping-particle":"","family":"Wang","given":"Ge","non-dropping-particle":"","parse-names":false,"suffix":""},{"dropping-particle":"","family":"He","given":"Yueqiu","non-dropping-particle":"","parse-names":false,"suffix":""}],"container-title":"Biological Control","id":"ITEM-1","issue":"August 2019","issued":{"date-parts":[["2020"]]},"page":"104160","publisher":"Elsevier","title":"Biocontrol potential of the endophytic Bacillus amyloliquefaciens YN201732 against tobacco powdery mildew and its growth promotion","type":"article-journal","volume":"143"},"uris":["http://www.mendeley.com/documents/?uuid=e79cb96a-c8d0-4518-a15c-a188d1fba1ed"]}],"mendeley":{"formattedCitation":"(R. Jiao et al., 2020)","manualFormatting":"(Akinrinlola et al. 2018; Jiao et al. 2020","plainTextFormattedCitation":"(R. Jiao et al., 2020)","previouslyFormattedCitation":"(Jiao et al., 2020)"},"properties":{"noteIndex":0},"schema":"https://github.com/citation-style-language/schema/raw/master/csl-citation.json"}</w:instrText>
      </w:r>
      <w:r w:rsidRPr="004C3997">
        <w:fldChar w:fldCharType="separate"/>
      </w:r>
      <w:r w:rsidRPr="004C3997">
        <w:rPr>
          <w:noProof/>
        </w:rPr>
        <w:t>(</w:t>
      </w:r>
      <w:r w:rsidRPr="004C3997">
        <w:rPr>
          <w:noProof/>
        </w:rPr>
        <w:fldChar w:fldCharType="begin" w:fldLock="1"/>
      </w:r>
      <w:r>
        <w:rPr>
          <w:noProof/>
        </w:rPr>
        <w:instrText>ADDIN CSL_CITATION {"citationItems":[{"id":"ITEM-1","itemData":{"DOI":"10.1155/2018/5686874","ISSN":"16879198","abstract":"© 2018 Rufus J. Akinrinlola et al. Bacilli are commonly used as plant growth-promoting agents but can be limited in effectiveness to certain crop and soil environments. The objectives of this study were to (1) identify Bacillus strains that can be consistent in promoting the growth of corn, wheat, and soybean and (2) determine whether physiological traits expressed in vitro can be predictive of growth promotion efficacy/consistency and be used for selecting effective strains. Twelve Bacillus strains isolated from wheat rhizospheres were evaluated in greenhouse pot tests with nonsterile soil for their effects on the growth of corn, soybean, and wheat. The strains also were assessed in vitro for multiple physiological traits. All 12 strains increased corn growth significantly compared to the controls. The four most efficacious strains on corn - Bacillus megaterium R181, B. safensis R173, B. simplex R180, and Paenibacillus graminis R200 - also increased the growth of soybean and wheat. No set of traits was a predictor of growth promotion efficacy. The number of traits expressed by a strain also was not an indicator of efficacy as strain R200 that was positive for only one trait showed high growth promotion efficacy. Effective strains can be identified through pot tests on multiple crop plants, but in vitro physiological assays are unreliable for strain selection.","author":[{"dropping-particle":"","family":"Akinrinlola","given":"R.J.","non-dropping-particle":"","parse-names":false,"suffix":""},{"dropping-particle":"","family":"Yuen","given":"G.Y.","non-dropping-particle":"","parse-names":false,"suffix":""},{"dropping-particle":"","family":"Drijber","given":"R.A.","non-dropping-particle":"","parse-names":false,"suffix":""},{"dropping-particle":"","family":"Adesemoye","given":"A.O.","non-dropping-particle":"","parse-names":false,"suffix":""}],"container-title":"International Journal of Microbiology","id":"ITEM-1","issued":{"date-parts":[["2018"]]},"title":"Evaluation of Bacillus Strains for Plant Growth Promotion and Predictability of Efficacy by In Vitro Physiological Traits","type":"article-journal","volume":"2018"},"uris":["http://www.mendeley.com/documents/?uuid=9b7bec71-d227-379a-9837-eda596a6cfca"]}],"mendeley":{"formattedCitation":"(R. J. Akinrinlola et al., 2018)","manualFormatting":"Akinrinlola et al. 2018","plainTextFormattedCitation":"(R. J. Akinrinlola et al., 2018)","previouslyFormattedCitation":"(Akinrinlola et al., 2018)"},"properties":{"noteIndex":0},"schema":"https://github.com/citation-style-language/schema/raw/master/csl-citation.json"}</w:instrText>
      </w:r>
      <w:r w:rsidRPr="004C3997">
        <w:rPr>
          <w:noProof/>
        </w:rPr>
        <w:fldChar w:fldCharType="separate"/>
      </w:r>
      <w:r w:rsidRPr="004C3997">
        <w:rPr>
          <w:noProof/>
        </w:rPr>
        <w:t xml:space="preserve">Akinrinlola </w:t>
      </w:r>
      <w:r>
        <w:rPr>
          <w:noProof/>
        </w:rPr>
        <w:t>et al.,</w:t>
      </w:r>
      <w:r w:rsidRPr="004C3997">
        <w:rPr>
          <w:noProof/>
        </w:rPr>
        <w:t xml:space="preserve"> 2018</w:t>
      </w:r>
      <w:r w:rsidRPr="004C3997">
        <w:rPr>
          <w:noProof/>
        </w:rPr>
        <w:fldChar w:fldCharType="end"/>
      </w:r>
      <w:r w:rsidRPr="004C3997">
        <w:rPr>
          <w:noProof/>
        </w:rPr>
        <w:t xml:space="preserve">; Jiao </w:t>
      </w:r>
      <w:r>
        <w:rPr>
          <w:noProof/>
        </w:rPr>
        <w:t>et al.,</w:t>
      </w:r>
      <w:r w:rsidRPr="004C3997">
        <w:rPr>
          <w:noProof/>
        </w:rPr>
        <w:t xml:space="preserve"> 2020</w:t>
      </w:r>
      <w:r w:rsidRPr="004C3997">
        <w:fldChar w:fldCharType="end"/>
      </w:r>
      <w:r w:rsidRPr="004C3997">
        <w:t xml:space="preserve">; </w:t>
      </w:r>
      <w:r w:rsidRPr="004C3997">
        <w:rPr>
          <w:noProof/>
        </w:rPr>
        <w:t xml:space="preserve">Matzen </w:t>
      </w:r>
      <w:r>
        <w:rPr>
          <w:noProof/>
        </w:rPr>
        <w:t>et al.,</w:t>
      </w:r>
      <w:r w:rsidRPr="004C3997">
        <w:rPr>
          <w:noProof/>
        </w:rPr>
        <w:t xml:space="preserve"> 2019).</w:t>
      </w:r>
      <w:r w:rsidRPr="004C3997">
        <w:t xml:space="preserve"> An endophytic </w:t>
      </w:r>
      <w:r w:rsidRPr="004C3997">
        <w:rPr>
          <w:i/>
        </w:rPr>
        <w:t xml:space="preserve">Bacillus amyloliquefaciens </w:t>
      </w:r>
      <w:r w:rsidRPr="004C3997">
        <w:t>strain YN201732 inhibited the germination of tobacco powdery mildew (</w:t>
      </w:r>
      <w:r w:rsidRPr="004C3997">
        <w:rPr>
          <w:i/>
        </w:rPr>
        <w:t>Erysiphe cichoracearum</w:t>
      </w:r>
      <w:r w:rsidRPr="004C3997">
        <w:t xml:space="preserve">) conidia by 50 to 87% </w:t>
      </w:r>
      <w:r w:rsidRPr="004C3997">
        <w:rPr>
          <w:i/>
        </w:rPr>
        <w:t xml:space="preserve">in-vitro. </w:t>
      </w:r>
      <w:r w:rsidRPr="004C3997">
        <w:t xml:space="preserve">The strain inhibited the growth of multiple plant pathogens in dual culture assays by up to 77%. The pathogens were </w:t>
      </w:r>
      <w:r w:rsidRPr="004C3997">
        <w:rPr>
          <w:i/>
        </w:rPr>
        <w:t xml:space="preserve">Phytophthora parasitica </w:t>
      </w:r>
      <w:r w:rsidRPr="004C3997">
        <w:t>var</w:t>
      </w:r>
      <w:r w:rsidRPr="004C3997">
        <w:rPr>
          <w:i/>
        </w:rPr>
        <w:t xml:space="preserve">. nicotianae, Fusarium avenaceum </w:t>
      </w:r>
      <w:r w:rsidRPr="004C3997">
        <w:t>f. sp</w:t>
      </w:r>
      <w:r w:rsidRPr="004C3997">
        <w:rPr>
          <w:i/>
        </w:rPr>
        <w:t xml:space="preserve">. fabae; Streptomyces scabies; Monilinia fructigena F. graminearum, Gaeumannomyces graminis, Setosphaeria turcica, Verticillium dahlia, Alternaria alternate, Fusarium oxysporum </w:t>
      </w:r>
      <w:r w:rsidRPr="004C3997">
        <w:t>f.sp</w:t>
      </w:r>
      <w:r w:rsidRPr="004C3997">
        <w:rPr>
          <w:i/>
        </w:rPr>
        <w:t xml:space="preserve">. lycoperisci, Botrytis cinerea, </w:t>
      </w:r>
      <w:r w:rsidRPr="004C3997">
        <w:t>and</w:t>
      </w:r>
      <w:r w:rsidRPr="004C3997">
        <w:rPr>
          <w:i/>
        </w:rPr>
        <w:t xml:space="preserve">  F. solani </w:t>
      </w:r>
      <w:r w:rsidRPr="004C3997">
        <w:t>(</w:t>
      </w:r>
      <w:r w:rsidRPr="004C3997">
        <w:fldChar w:fldCharType="begin" w:fldLock="1"/>
      </w:r>
      <w:r>
        <w:instrText>ADDIN CSL_CITATION {"citationItems":[{"id":"ITEM-1","itemData":{"DOI":"10.1016/j.biocontrol.2019.104160","ISSN":"10499644","abstract":"The effectiveness of Bacillus amyloliquefaciens YN201732, a beneficial endophyte isolated from tobacco seeds was explored for control of tobacco powdery mildew and the systemic resistance mechanisms involved. The results of the study showed that endophyte YN201732 has antagonistic effects on 12 pathogenic fungi. The fermentation broth can inhibit the spore germination and has good control effect on tobacco powdery mildew in the greenhouse. The control effect of the protective test and the therapeutic test at 14 days reached up to 71.09% and 86.11%, respectively. Moreover, endophyte YN201732 can also promote seed germination and seedling plant growth, and improve plant photosynthesis. Compare with water treatment, the root length, plant height, maximum leaf length, leaf width, fresh weight, dry weight, chlorophyll and net photosynthetic rate of tobacco seedlings increased by 32.27%, 86.67%, 154.92%, 107.25%, 664.71%, 207.69%, 150.33%, and 240%, respectively. Additionally, the expression of NPR1 in tobacco leaves was stable when inoculated with YN201732 at different time points, while the PDF1.2 gene was up-regulated rapidly, suggesting that jasmonic acid/ethylene signaling pathway of plant might be induced, which enhance plant resistance to powdery mildew. The chit and PPO genes were highly expressed while the PAL and POD defense enzyme genes were down-regulated, the expression of chit was up-regulated 30–70 times after induction treatment. In addition, we revealed that polyphenol oxidase and chitinases are closely related to tobacco induced resistance to powdery mildew. Thus, our study showed that B. amyloliquefaciens YN201732 has high potential to be used as biocontrol agent and plant-growth promoting bacterium in tobacco agriculture.","author":[{"dropping-particle":"","family":"Jiao","given":"Rong","non-dropping-particle":"","parse-names":false,"suffix":""},{"dropping-particle":"","family":"Munir","given":"Shahzad","non-dropping-particle":"","parse-names":false,"suffix":""},{"dropping-particle":"","family":"He","given":"Pengfei","non-dropping-particle":"","parse-names":false,"suffix":""},{"dropping-particle":"","family":"Yang","given":"Huanwen","non-dropping-particle":"","parse-names":false,"suffix":""},{"dropping-particle":"","family":"Wu","given":"Yixin","non-dropping-particle":"","parse-names":false,"suffix":""},{"dropping-particle":"","family":"Wang","given":"Junwei","non-dropping-particle":"","parse-names":false,"suffix":""},{"dropping-particle":"","family":"He","given":"Pengbo","non-dropping-particle":"","parse-names":false,"suffix":""},{"dropping-particle":"","family":"Cai","given":"Yongzhan","non-dropping-particle":"","parse-names":false,"suffix":""},{"dropping-particle":"","family":"Wang","given":"Ge","non-dropping-particle":"","parse-names":false,"suffix":""},{"dropping-particle":"","family":"He","given":"Yueqiu","non-dropping-particle":"","parse-names":false,"suffix":""}],"container-title":"Biological Control","id":"ITEM-1","issue":"August 2019","issued":{"date-parts":[["2020"]]},"page":"104160","publisher":"Elsevier","title":"Biocontrol potential of the endophytic Bacillus amyloliquefaciens YN201732 against tobacco powdery mildew and its growth promotion","type":"article-journal","volume":"143"},"uris":["http://www.mendeley.com/documents/?uuid=e79cb96a-c8d0-4518-a15c-a188d1fba1ed"]}],"mendeley":{"formattedCitation":"(R. Jiao et al., 2020)","manualFormatting":"Jiao et al. 2020)","plainTextFormattedCitation":"(R. Jiao et al., 2020)","previouslyFormattedCitation":"(Jiao et al., 2020)"},"properties":{"noteIndex":0},"schema":"https://github.com/citation-style-language/schema/raw/master/csl-citation.json"}</w:instrText>
      </w:r>
      <w:r w:rsidRPr="004C3997">
        <w:fldChar w:fldCharType="separate"/>
      </w:r>
      <w:r w:rsidRPr="004C3997">
        <w:rPr>
          <w:noProof/>
        </w:rPr>
        <w:t xml:space="preserve">Jiao </w:t>
      </w:r>
      <w:r>
        <w:rPr>
          <w:noProof/>
        </w:rPr>
        <w:t>et al.,</w:t>
      </w:r>
      <w:r w:rsidRPr="004C3997">
        <w:rPr>
          <w:noProof/>
        </w:rPr>
        <w:t xml:space="preserve"> 2020)</w:t>
      </w:r>
      <w:r w:rsidRPr="004C3997">
        <w:fldChar w:fldCharType="end"/>
      </w:r>
      <w:r w:rsidRPr="004C3997">
        <w:t>.</w:t>
      </w:r>
      <w:r w:rsidRPr="004C3997">
        <w:rPr>
          <w:i/>
        </w:rPr>
        <w:t xml:space="preserve"> </w:t>
      </w:r>
      <w:r w:rsidRPr="004C3997">
        <w:t>Molecular analysis showed that the bacterial strain induced the expression of genes that are indicated for jasmonic acid/ethylene signaling pathways, which may be related to defense against powdery mildew. The strain upregulated chitinase and polyphenol oxidase genes, which are closely related to induced systemic resistance in toba</w:t>
      </w:r>
      <w:r>
        <w:t xml:space="preserve">cco against powdery mildew. </w:t>
      </w:r>
      <w:r w:rsidRPr="004C3997">
        <w:t>Preventive and therapeutic foliar spray of the strain on tobacco significantly suppressed powdery mildew severity in the greenhouse</w:t>
      </w:r>
      <w:r>
        <w:t xml:space="preserve"> </w:t>
      </w:r>
      <w:r w:rsidRPr="004C3997">
        <w:t>(</w:t>
      </w:r>
      <w:r w:rsidRPr="004C3997">
        <w:fldChar w:fldCharType="begin" w:fldLock="1"/>
      </w:r>
      <w:r>
        <w:instrText>ADDIN CSL_CITATION {"citationItems":[{"id":"ITEM-1","itemData":{"DOI":"10.1016/j.biocontrol.2019.104160","ISSN":"10499644","abstract":"The effectiveness of Bacillus amyloliquefaciens YN201732, a beneficial endophyte isolated from tobacco seeds was explored for control of tobacco powdery mildew and the systemic resistance mechanisms involved. The results of the study showed that endophyte YN201732 has antagonistic effects on 12 pathogenic fungi. The fermentation broth can inhibit the spore germination and has good control effect on tobacco powdery mildew in the greenhouse. The control effect of the protective test and the therapeutic test at 14 days reached up to 71.09% and 86.11%, respectively. Moreover, endophyte YN201732 can also promote seed germination and seedling plant growth, and improve plant photosynthesis. Compare with water treatment, the root length, plant height, maximum leaf length, leaf width, fresh weight, dry weight, chlorophyll and net photosynthetic rate of tobacco seedlings increased by 32.27%, 86.67%, 154.92%, 107.25%, 664.71%, 207.69%, 150.33%, and 240%, respectively. Additionally, the expression of NPR1 in tobacco leaves was stable when inoculated with YN201732 at different time points, while the PDF1.2 gene was up-regulated rapidly, suggesting that jasmonic acid/ethylene signaling pathway of plant might be induced, which enhance plant resistance to powdery mildew. The chit and PPO genes were highly expressed while the PAL and POD defense enzyme genes were down-regulated, the expression of chit was up-regulated 30–70 times after induction treatment. In addition, we revealed that polyphenol oxidase and chitinases are closely related to tobacco induced resistance to powdery mildew. Thus, our study showed that B. amyloliquefaciens YN201732 has high potential to be used as biocontrol agent and plant-growth promoting bacterium in tobacco agriculture.","author":[{"dropping-particle":"","family":"Jiao","given":"Rong","non-dropping-particle":"","parse-names":false,"suffix":""},{"dropping-particle":"","family":"Munir","given":"Shahzad","non-dropping-particle":"","parse-names":false,"suffix":""},{"dropping-particle":"","family":"He","given":"Pengfei","non-dropping-particle":"","parse-names":false,"suffix":""},{"dropping-particle":"","family":"Yang","given":"Huanwen","non-dropping-particle":"","parse-names":false,"suffix":""},{"dropping-particle":"","family":"Wu","given":"Yixin","non-dropping-particle":"","parse-names":false,"suffix":""},{"dropping-particle":"","family":"Wang","given":"Junwei","non-dropping-particle":"","parse-names":false,"suffix":""},{"dropping-particle":"","family":"He","given":"Pengbo","non-dropping-particle":"","parse-names":false,"suffix":""},{"dropping-particle":"","family":"Cai","given":"Yongzhan","non-dropping-particle":"","parse-names":false,"suffix":""},{"dropping-particle":"","family":"Wang","given":"Ge","non-dropping-particle":"","parse-names":false,"suffix":""},{"dropping-particle":"","family":"He","given":"Yueqiu","non-dropping-particle":"","parse-names":false,"suffix":""}],"container-title":"Biological Control","id":"ITEM-1","issue":"August 2019","issued":{"date-parts":[["2020"]]},"page":"104160","publisher":"Elsevier","title":"Biocontrol potential of the endophytic Bacillus amyloliquefaciens YN201732 against tobacco powdery mildew and its growth promotion","type":"article-journal","volume":"143"},"uris":["http://www.mendeley.com/documents/?uuid=e79cb96a-c8d0-4518-a15c-a188d1fba1ed"]}],"mendeley":{"formattedCitation":"(R. Jiao et al., 2020)","manualFormatting":"Jiao et al. 2020)","plainTextFormattedCitation":"(R. Jiao et al., 2020)","previouslyFormattedCitation":"(Jiao et al., 2020)"},"properties":{"noteIndex":0},"schema":"https://github.com/citation-style-language/schema/raw/master/csl-citation.json"}</w:instrText>
      </w:r>
      <w:r w:rsidRPr="004C3997">
        <w:fldChar w:fldCharType="separate"/>
      </w:r>
      <w:r w:rsidRPr="004C3997">
        <w:rPr>
          <w:noProof/>
        </w:rPr>
        <w:t xml:space="preserve">Jiao </w:t>
      </w:r>
      <w:r>
        <w:rPr>
          <w:noProof/>
        </w:rPr>
        <w:t>et al.,</w:t>
      </w:r>
      <w:r w:rsidRPr="004C3997">
        <w:rPr>
          <w:noProof/>
        </w:rPr>
        <w:t xml:space="preserve"> 2020)</w:t>
      </w:r>
      <w:r w:rsidRPr="004C3997">
        <w:fldChar w:fldCharType="end"/>
      </w:r>
      <w:r w:rsidRPr="004C3997">
        <w:t xml:space="preserve">. </w:t>
      </w:r>
      <w:r w:rsidRPr="004C3997">
        <w:fldChar w:fldCharType="begin" w:fldLock="1"/>
      </w:r>
      <w:r>
        <w:instrText>ADDIN CSL_CITATION {"citationItems":[{"id":"ITEM-1","itemData":{"DOI":"10.1016/j.biocontrol.2019.104067","ISSN":"10499644","abstract":"Powdery mildew (Blumeria graminis f.sp. tritici, f.sp. hordei, f.sp. avenae) is an important disease in cereal crops causing significant yield reductions, if not effectively controlled. The biofungicide Bacillus amyloliquefaciens (former subtilis) strain QST 713 suspension concentrate (Serenade®ASO) was investigated for its potential as a control agent against powdery mildew in winter wheat, spring barley, oats and triticale. Serenade®ASO reduced the severity of powdery mildew, providing moderate control in the range of 20–65%. The efficacy was highest at the earlier assessments and less pronounced at later assessments. With a few exceptions, no clear dose-response was seen between using 1, 2, 4, 6 or 8 L/ha Serenade®ASO applied four times at 8–10-day intervals. The efficacy was more variable compared with chemical references. Yield responses were positive following treatments. However, the yield increase by Serenade®ASO was insignificant and significantly inferior to that of prothioconazole. In a few cases, the use of Serenade®ASO in combination with the adjuvant Silwet®Gold improved the efficacy, but the results were inconsistent. The preventive and curative application of Serenade®ASO was tested at three dose rates in an artificially inoculated wheat and barley greenhouse pot trial. These trials confirmed the lack of a clear dose-response but confirmed that timing has a major impact on control, with the best control obtained when application took place on the day of inoculation in wheat and 0–2 days after inoculation in barley. This study revealed that powdery mildew challenges Serenade®ASO as a stand-alone control measure. The results show that further research is needed for the promotion of biofungicides as part of an integrated disease management approach in cereal diseases.","author":[{"dropping-particle":"","family":"Matzen","given":"N.","non-dropping-particle":"","parse-names":false,"suffix":""},{"dropping-particle":"","family":"Heick","given":"Thies Marten","non-dropping-particle":"","parse-names":false,"suffix":""},{"dropping-particle":"","family":"Jørgensen","given":"Lise Nistrup","non-dropping-particle":"","parse-names":false,"suffix":""}],"container-title":"Biological Control","id":"ITEM-1","issue":"August","issued":{"date-parts":[["2019"]]},"page":"104067","publisher":"Elsevier","title":"Control of powdery mildew (Blumeria graminis spp.) in cereals by Serenade®ASO (Bacillus amyloliquefaciens (former subtilis) strain QST 713)","type":"article-journal","volume":"139"},"uris":["http://www.mendeley.com/documents/?uuid=1923f9a7-2045-4b61-962e-dcb9352d9874"]}],"mendeley":{"formattedCitation":"(Matzen et al., 2019)","manualFormatting":"Matzen et al. (2019)","plainTextFormattedCitation":"(Matzen et al., 2019)","previouslyFormattedCitation":"(Matzen et al., 2019)"},"properties":{"noteIndex":0},"schema":"https://github.com/citation-style-language/schema/raw/master/csl-citation.json"}</w:instrText>
      </w:r>
      <w:r w:rsidRPr="004C3997">
        <w:fldChar w:fldCharType="separate"/>
      </w:r>
      <w:r w:rsidRPr="004C3997">
        <w:rPr>
          <w:noProof/>
        </w:rPr>
        <w:t xml:space="preserve">Matzen </w:t>
      </w:r>
      <w:r>
        <w:rPr>
          <w:noProof/>
        </w:rPr>
        <w:t>et al.,</w:t>
      </w:r>
      <w:r w:rsidRPr="004C3997">
        <w:rPr>
          <w:noProof/>
        </w:rPr>
        <w:t xml:space="preserve"> (2019)</w:t>
      </w:r>
      <w:r w:rsidRPr="004C3997">
        <w:fldChar w:fldCharType="end"/>
      </w:r>
      <w:r w:rsidRPr="004C3997">
        <w:t xml:space="preserve"> reported that Serenade®ASO (</w:t>
      </w:r>
      <w:r w:rsidRPr="004C3997">
        <w:rPr>
          <w:i/>
        </w:rPr>
        <w:t>Bacillus amyloliquefaciens</w:t>
      </w:r>
      <w:r w:rsidRPr="004C3997">
        <w:t xml:space="preserve"> [former </w:t>
      </w:r>
      <w:r w:rsidRPr="004C3997">
        <w:rPr>
          <w:i/>
        </w:rPr>
        <w:t>subtilis</w:t>
      </w:r>
      <w:r w:rsidRPr="004C3997">
        <w:t>] strain QST 713) moderately suppressed cereal powdery mildew (</w:t>
      </w:r>
      <w:r w:rsidRPr="004C3997">
        <w:rPr>
          <w:i/>
        </w:rPr>
        <w:t xml:space="preserve">Blumeria graminis </w:t>
      </w:r>
      <w:r w:rsidRPr="004C3997">
        <w:t xml:space="preserve">f.sp. </w:t>
      </w:r>
      <w:r w:rsidRPr="004C3997">
        <w:rPr>
          <w:i/>
        </w:rPr>
        <w:t>tritici</w:t>
      </w:r>
      <w:r w:rsidRPr="004C3997">
        <w:t xml:space="preserve">, f.sp. </w:t>
      </w:r>
      <w:r w:rsidRPr="004C3997">
        <w:rPr>
          <w:i/>
        </w:rPr>
        <w:t>hordei</w:t>
      </w:r>
      <w:r w:rsidRPr="004C3997">
        <w:t xml:space="preserve">, f.sp. </w:t>
      </w:r>
      <w:r w:rsidRPr="004C3997">
        <w:rPr>
          <w:i/>
        </w:rPr>
        <w:t>avenae</w:t>
      </w:r>
      <w:r w:rsidRPr="004C3997">
        <w:t xml:space="preserve">) by 20% to 65% following four weekly foliar applications. Disease reduction potential was reduced in later assessments and there was an insignificant yield increase following application. Best control was achieved when the application was done 0 to 2 days after inoculation. Except when applied at a high dose rate of 2 L/ha, treatment application at 4-day after inoculation had no disease </w:t>
      </w:r>
      <w:r w:rsidRPr="004C3997">
        <w:rPr>
          <w:color w:val="auto"/>
        </w:rPr>
        <w:t xml:space="preserve">reduction. Generally, the efficacy of most bacillus-based products can be improved by applying them regularly as a preventive treatment, or use in a rotation with or tank-mix compatible fungicides. </w:t>
      </w:r>
    </w:p>
    <w:p w14:paraId="15022BFF" w14:textId="60E188AB" w:rsidR="00D20476" w:rsidRPr="004C3997" w:rsidRDefault="00D20476" w:rsidP="00D20476">
      <w:pPr>
        <w:pStyle w:val="CommentText"/>
        <w:spacing w:line="360" w:lineRule="auto"/>
        <w:ind w:left="720" w:firstLine="720"/>
        <w:rPr>
          <w:rFonts w:ascii="Times New Roman" w:hAnsi="Times New Roman" w:cs="Times New Roman"/>
          <w:sz w:val="24"/>
          <w:szCs w:val="24"/>
        </w:rPr>
      </w:pPr>
      <w:r w:rsidRPr="004C3997">
        <w:rPr>
          <w:rFonts w:ascii="Times New Roman" w:hAnsi="Times New Roman" w:cs="Times New Roman"/>
          <w:sz w:val="24"/>
          <w:szCs w:val="24"/>
        </w:rPr>
        <w:t xml:space="preserve">Overall, our study found that eight fungicides (Bonide sulfur, Cinnerate, Defguard, MilStop, Regalia, Sil-Matrix, and Stargus) exhibited varying levels of efficacy against hemp powdery mildew caused by </w:t>
      </w:r>
      <w:r w:rsidRPr="004C3997">
        <w:rPr>
          <w:rFonts w:ascii="Times New Roman" w:hAnsi="Times New Roman" w:cs="Times New Roman"/>
          <w:i/>
          <w:sz w:val="24"/>
          <w:szCs w:val="24"/>
        </w:rPr>
        <w:t xml:space="preserve">G. ambrosiae. </w:t>
      </w:r>
      <w:r w:rsidRPr="004C3997">
        <w:rPr>
          <w:rFonts w:ascii="Times New Roman" w:hAnsi="Times New Roman" w:cs="Times New Roman"/>
          <w:iCs/>
          <w:sz w:val="24"/>
          <w:szCs w:val="24"/>
        </w:rPr>
        <w:t>Five of these products</w:t>
      </w:r>
      <w:r w:rsidRPr="004C3997">
        <w:rPr>
          <w:rFonts w:ascii="Times New Roman" w:hAnsi="Times New Roman" w:cs="Times New Roman"/>
          <w:i/>
          <w:sz w:val="24"/>
          <w:szCs w:val="24"/>
        </w:rPr>
        <w:t xml:space="preserve"> </w:t>
      </w:r>
      <w:r w:rsidRPr="004C3997">
        <w:rPr>
          <w:rFonts w:ascii="Times New Roman" w:hAnsi="Times New Roman" w:cs="Times New Roman"/>
          <w:sz w:val="24"/>
          <w:szCs w:val="24"/>
        </w:rPr>
        <w:t>(Defguard, Exile, Regalia, Sil</w:t>
      </w:r>
      <w:r>
        <w:rPr>
          <w:rFonts w:ascii="Times New Roman" w:hAnsi="Times New Roman" w:cs="Times New Roman"/>
          <w:sz w:val="24"/>
          <w:szCs w:val="24"/>
        </w:rPr>
        <w:t>-M</w:t>
      </w:r>
      <w:r w:rsidRPr="004C3997">
        <w:rPr>
          <w:rFonts w:ascii="Times New Roman" w:hAnsi="Times New Roman" w:cs="Times New Roman"/>
          <w:sz w:val="24"/>
          <w:szCs w:val="24"/>
        </w:rPr>
        <w:t xml:space="preserve">atrix, and Stargus) are registered for use on hemp in Tennessee, and they will be helpful for Tennessee greenhouse hemp growers </w:t>
      </w:r>
      <w:r w:rsidR="00694B7C">
        <w:rPr>
          <w:rFonts w:ascii="Times New Roman" w:hAnsi="Times New Roman" w:cs="Times New Roman"/>
          <w:sz w:val="24"/>
          <w:szCs w:val="24"/>
        </w:rPr>
        <w:t>in</w:t>
      </w:r>
      <w:r w:rsidRPr="004C3997">
        <w:rPr>
          <w:rFonts w:ascii="Times New Roman" w:hAnsi="Times New Roman" w:cs="Times New Roman"/>
          <w:sz w:val="24"/>
          <w:szCs w:val="24"/>
        </w:rPr>
        <w:t xml:space="preserve"> managing powdery mildew. </w:t>
      </w:r>
    </w:p>
    <w:p w14:paraId="0F5E897E" w14:textId="77777777" w:rsidR="00D20476" w:rsidRPr="004C3997" w:rsidRDefault="00D20476" w:rsidP="00D20476">
      <w:pPr>
        <w:rPr>
          <w:rFonts w:cs="Times New Roman"/>
          <w:szCs w:val="24"/>
        </w:rPr>
      </w:pPr>
      <w:r w:rsidRPr="004C3997">
        <w:rPr>
          <w:rFonts w:cs="Times New Roman"/>
        </w:rPr>
        <w:br w:type="page"/>
      </w:r>
    </w:p>
    <w:p w14:paraId="38CD5A10" w14:textId="77777777" w:rsidR="00D20476" w:rsidRPr="00102AAA" w:rsidRDefault="00D20476" w:rsidP="00D20476">
      <w:pPr>
        <w:pStyle w:val="Heading1"/>
        <w:ind w:left="720"/>
        <w:jc w:val="center"/>
      </w:pPr>
      <w:bookmarkStart w:id="452" w:name="_Toc98812809"/>
      <w:bookmarkStart w:id="453" w:name="_Toc98813017"/>
      <w:bookmarkStart w:id="454" w:name="_Toc98813683"/>
      <w:bookmarkStart w:id="455" w:name="_Toc101048197"/>
      <w:r w:rsidRPr="00102AAA">
        <w:t>Refer</w:t>
      </w:r>
      <w:bookmarkStart w:id="456" w:name="_GoBack"/>
      <w:bookmarkEnd w:id="456"/>
      <w:r w:rsidRPr="00102AAA">
        <w:t>ences</w:t>
      </w:r>
      <w:bookmarkEnd w:id="452"/>
      <w:bookmarkEnd w:id="453"/>
      <w:bookmarkEnd w:id="454"/>
      <w:bookmarkEnd w:id="455"/>
    </w:p>
    <w:p w14:paraId="3904EB3F" w14:textId="77777777" w:rsidR="00D20476" w:rsidRPr="00102AAA" w:rsidRDefault="00D20476" w:rsidP="00D20476">
      <w:pPr>
        <w:pStyle w:val="Heading1"/>
        <w:ind w:left="720"/>
      </w:pPr>
    </w:p>
    <w:p w14:paraId="0CC1A05D" w14:textId="77777777" w:rsidR="00D20476" w:rsidRPr="007A39B7" w:rsidRDefault="00D20476" w:rsidP="007A39B7">
      <w:pPr>
        <w:pStyle w:val="NormalWeb"/>
        <w:spacing w:before="0" w:beforeAutospacing="0" w:after="0" w:afterAutospacing="0" w:line="360" w:lineRule="auto"/>
        <w:ind w:left="1260" w:hanging="540"/>
      </w:pPr>
      <w:r w:rsidRPr="007A39B7">
        <w:t xml:space="preserve">Akinrinlola, R. J., Yuen, G. Y., Drijber, R. A., and Adesemoye, A. O. 2018. Evaluation of </w:t>
      </w:r>
      <w:r w:rsidRPr="007A39B7">
        <w:rPr>
          <w:i/>
          <w:iCs/>
        </w:rPr>
        <w:t>Bacillus</w:t>
      </w:r>
      <w:r w:rsidRPr="007A39B7">
        <w:t xml:space="preserve"> strains for plant growth promotion and predictability of efficacy by in vitro physiological traits. </w:t>
      </w:r>
      <w:r w:rsidRPr="007A39B7">
        <w:rPr>
          <w:i/>
        </w:rPr>
        <w:t>International Journal of Microbiology</w:t>
      </w:r>
      <w:r w:rsidRPr="007A39B7">
        <w:t xml:space="preserve">, 2018. </w:t>
      </w:r>
      <w:hyperlink r:id="rId103" w:history="1">
        <w:r w:rsidRPr="007A39B7">
          <w:rPr>
            <w:rStyle w:val="Hyperlink"/>
            <w:rFonts w:eastAsia="Arial"/>
            <w:color w:val="auto"/>
            <w:u w:val="none"/>
          </w:rPr>
          <w:t>https://doi.org/10.1155/2018/5686874</w:t>
        </w:r>
      </w:hyperlink>
    </w:p>
    <w:p w14:paraId="7B31C668" w14:textId="77777777" w:rsidR="00D20476" w:rsidRPr="007A39B7" w:rsidRDefault="00D20476" w:rsidP="007A39B7">
      <w:pPr>
        <w:pStyle w:val="NormalWeb"/>
        <w:spacing w:before="0" w:beforeAutospacing="0" w:after="0" w:afterAutospacing="0" w:line="360" w:lineRule="auto"/>
        <w:ind w:left="1260" w:hanging="540"/>
      </w:pPr>
      <w:r w:rsidRPr="007A39B7">
        <w:t xml:space="preserve">Akinrinlola, R.J. and Hansen, Z.R. 2021. Assessment of fungicide products for control of hemp leaf spot and powdery mildew in Tennessee, 2020. </w:t>
      </w:r>
      <w:r w:rsidRPr="007A39B7">
        <w:rPr>
          <w:i/>
        </w:rPr>
        <w:t>Plant Disease Management Report</w:t>
      </w:r>
      <w:r w:rsidRPr="007A39B7">
        <w:t>, 1–2.</w:t>
      </w:r>
    </w:p>
    <w:p w14:paraId="3F956D95" w14:textId="77777777" w:rsidR="00D20476" w:rsidRPr="007A39B7" w:rsidRDefault="00D20476" w:rsidP="007A39B7">
      <w:pPr>
        <w:pStyle w:val="NormalWeb"/>
        <w:spacing w:before="0" w:beforeAutospacing="0" w:after="0" w:afterAutospacing="0" w:line="360" w:lineRule="auto"/>
        <w:ind w:left="1260" w:hanging="540"/>
      </w:pPr>
      <w:r w:rsidRPr="007A39B7">
        <w:t xml:space="preserve">Beckerman, J. 2008. Disease Management Strategies for Horticultural Crops: Using Organic Fungicides </w:t>
      </w:r>
      <w:hyperlink r:id="rId104" w:history="1">
        <w:r w:rsidRPr="007A39B7">
          <w:rPr>
            <w:rStyle w:val="Hyperlink"/>
            <w:rFonts w:eastAsia="Arial"/>
            <w:color w:val="auto"/>
            <w:u w:val="none"/>
          </w:rPr>
          <w:t>https://www.extension.purdue.edu/extmedia/BP/BP-69-W.pdf</w:t>
        </w:r>
      </w:hyperlink>
    </w:p>
    <w:p w14:paraId="6299B2E3" w14:textId="77777777" w:rsidR="00D20476" w:rsidRPr="007A39B7" w:rsidRDefault="00D20476" w:rsidP="007A39B7">
      <w:pPr>
        <w:pStyle w:val="NormalWeb"/>
        <w:spacing w:before="0" w:beforeAutospacing="0" w:after="0" w:afterAutospacing="0" w:line="360" w:lineRule="auto"/>
        <w:ind w:left="1260" w:hanging="540"/>
      </w:pPr>
      <w:r w:rsidRPr="007A39B7">
        <w:t xml:space="preserve">Bekker, T. F., Kaiser, C., v.d. Merwe, R., and Labuschagne, N. 2006. </w:t>
      </w:r>
      <w:r w:rsidRPr="007A39B7">
        <w:rPr>
          <w:i/>
        </w:rPr>
        <w:t>In-vitro</w:t>
      </w:r>
      <w:r w:rsidRPr="007A39B7">
        <w:t xml:space="preserve"> inhibition of mycelial growth of several phytopathogenic fungi by soluble potassium silicate. </w:t>
      </w:r>
      <w:r w:rsidRPr="007A39B7">
        <w:rPr>
          <w:i/>
        </w:rPr>
        <w:t>South African Journal of Plant and Soil</w:t>
      </w:r>
      <w:r w:rsidRPr="007A39B7">
        <w:t xml:space="preserve">, 23(3), 169–172. </w:t>
      </w:r>
      <w:hyperlink r:id="rId105" w:history="1">
        <w:r w:rsidRPr="007A39B7">
          <w:rPr>
            <w:rStyle w:val="Hyperlink"/>
            <w:rFonts w:eastAsia="Arial"/>
            <w:color w:val="auto"/>
            <w:u w:val="none"/>
          </w:rPr>
          <w:t>https://doi.org/10.1080/02571862.2006.10634750</w:t>
        </w:r>
      </w:hyperlink>
    </w:p>
    <w:p w14:paraId="3D708C6D" w14:textId="77777777" w:rsidR="00D20476" w:rsidRPr="007A39B7" w:rsidRDefault="00D20476" w:rsidP="007A39B7">
      <w:pPr>
        <w:pStyle w:val="NormalWeb"/>
        <w:spacing w:before="0" w:beforeAutospacing="0" w:after="0" w:afterAutospacing="0" w:line="360" w:lineRule="auto"/>
        <w:ind w:left="1260" w:hanging="540"/>
      </w:pPr>
      <w:r w:rsidRPr="007A39B7">
        <w:t>Blundell, R., Dao, I., Masury Lynch, S. W., and Eskalen, A. 2019. Control of grape powdery mildew with synthetic, biological and organic fungicides: 2019 field trials.</w:t>
      </w:r>
    </w:p>
    <w:p w14:paraId="21C802E6" w14:textId="77777777" w:rsidR="00D20476" w:rsidRPr="007A39B7" w:rsidRDefault="00D20476" w:rsidP="007A39B7">
      <w:pPr>
        <w:pStyle w:val="NormalWeb"/>
        <w:spacing w:before="0" w:beforeAutospacing="0" w:after="0" w:afterAutospacing="0" w:line="360" w:lineRule="auto"/>
        <w:ind w:left="1260" w:hanging="540"/>
      </w:pPr>
      <w:r w:rsidRPr="007A39B7">
        <w:t xml:space="preserve">Britt, K., Fike, J., Flessner, M., Johnson, C., Kuhar, T., McCoy, T., and Reed., D. (2020). Integrated pest management of hemp in Virginia. Virginia Cooperative Extension Publication. </w:t>
      </w:r>
      <w:hyperlink r:id="rId106" w:history="1">
        <w:r w:rsidRPr="007A39B7">
          <w:rPr>
            <w:rStyle w:val="Hyperlink"/>
            <w:rFonts w:eastAsia="Arial"/>
            <w:color w:val="auto"/>
            <w:u w:val="none"/>
          </w:rPr>
          <w:t>https://www.pubs.ext.vt.edu/content/dam/pubs_ext_vt_edu/ENTO/ento-349/ENTO-349.pdf</w:t>
        </w:r>
      </w:hyperlink>
    </w:p>
    <w:p w14:paraId="1123E81B" w14:textId="77777777" w:rsidR="00D20476" w:rsidRPr="007A39B7" w:rsidRDefault="00D20476" w:rsidP="007A39B7">
      <w:pPr>
        <w:pStyle w:val="NormalWeb"/>
        <w:spacing w:before="0" w:beforeAutospacing="0" w:after="0" w:afterAutospacing="0" w:line="360" w:lineRule="auto"/>
        <w:ind w:left="1260" w:hanging="540"/>
      </w:pPr>
      <w:r w:rsidRPr="007A39B7">
        <w:t xml:space="preserve">Dallagnol, L. J., Rodrigues, F. A., Tanaka, F. A. O., Amorim, L., and Camargo, L. E. A. (2012). Effect of potassium silicate on epidemic components of powdery mildew on melon. </w:t>
      </w:r>
      <w:r w:rsidRPr="007A39B7">
        <w:rPr>
          <w:i/>
        </w:rPr>
        <w:t>Plant Pathology</w:t>
      </w:r>
      <w:r w:rsidRPr="007A39B7">
        <w:t xml:space="preserve">, 61(2), 323–330. </w:t>
      </w:r>
      <w:hyperlink r:id="rId107" w:history="1">
        <w:r w:rsidRPr="007A39B7">
          <w:rPr>
            <w:rStyle w:val="Hyperlink"/>
            <w:rFonts w:eastAsia="Arial"/>
            <w:color w:val="auto"/>
            <w:u w:val="none"/>
          </w:rPr>
          <w:t>https://doi.org/10.1111/j.1365-3059.2011.02518.x</w:t>
        </w:r>
      </w:hyperlink>
    </w:p>
    <w:p w14:paraId="298C1047" w14:textId="61C7C4A6" w:rsidR="00D20476" w:rsidRPr="007A39B7" w:rsidRDefault="00D20476" w:rsidP="007A39B7">
      <w:pPr>
        <w:pStyle w:val="NormalWeb"/>
        <w:spacing w:before="0" w:beforeAutospacing="0" w:after="0" w:afterAutospacing="0" w:line="360" w:lineRule="auto"/>
        <w:ind w:left="1260" w:hanging="540"/>
      </w:pPr>
      <w:r w:rsidRPr="007A39B7">
        <w:t xml:space="preserve">Davis, R. M., Gubler, W. D., </w:t>
      </w:r>
      <w:r w:rsidR="00E326B2" w:rsidRPr="007A39B7">
        <w:t>Koike, S.</w:t>
      </w:r>
      <w:r w:rsidRPr="007A39B7">
        <w:t xml:space="preserve"> T., Flint, M. L., Galin, P. N., Dewees, C. M. (2008) Powdery mildew on vegetables. </w:t>
      </w:r>
      <w:r w:rsidRPr="007A39B7">
        <w:rPr>
          <w:i/>
          <w:iCs/>
        </w:rPr>
        <w:t>In Integrated Pest Management for Home Gardeners</w:t>
      </w:r>
      <w:r w:rsidRPr="007A39B7">
        <w:t xml:space="preserve">. The University of California Agricultural and Natural Resources Publication 3343. </w:t>
      </w:r>
      <w:hyperlink r:id="rId108" w:history="1">
        <w:r w:rsidRPr="007A39B7">
          <w:rPr>
            <w:rStyle w:val="Hyperlink"/>
            <w:rFonts w:eastAsia="Arial"/>
            <w:color w:val="auto"/>
            <w:u w:val="none"/>
          </w:rPr>
          <w:t>http://ipm.ucanr.edu/PMG/PESTNOTES/pn7406.html</w:t>
        </w:r>
      </w:hyperlink>
    </w:p>
    <w:p w14:paraId="7D593DAB" w14:textId="77777777" w:rsidR="00D20476" w:rsidRPr="007A39B7" w:rsidRDefault="00D20476" w:rsidP="007A39B7">
      <w:pPr>
        <w:pStyle w:val="NormalWeb"/>
        <w:spacing w:before="0" w:beforeAutospacing="0" w:after="0" w:afterAutospacing="0" w:line="360" w:lineRule="auto"/>
        <w:ind w:left="1260" w:hanging="540"/>
      </w:pPr>
      <w:r w:rsidRPr="007A39B7">
        <w:t>Emilia-romagna, L., and Elia, D. (2000). Activity of synthetic and natural fungicides against grapevine powdery mildew (</w:t>
      </w:r>
      <w:r w:rsidRPr="007A39B7">
        <w:rPr>
          <w:i/>
          <w:iCs/>
        </w:rPr>
        <w:t xml:space="preserve">Uncinula necator </w:t>
      </w:r>
      <w:r w:rsidRPr="007A39B7">
        <w:t>) [ Vitis. 9.</w:t>
      </w:r>
    </w:p>
    <w:p w14:paraId="639FCD11" w14:textId="77777777" w:rsidR="00D20476" w:rsidRPr="007A39B7" w:rsidRDefault="00D20476" w:rsidP="007A39B7">
      <w:pPr>
        <w:pStyle w:val="NormalWeb"/>
        <w:spacing w:before="0" w:beforeAutospacing="0" w:after="0" w:afterAutospacing="0" w:line="360" w:lineRule="auto"/>
        <w:ind w:left="1260" w:hanging="540"/>
      </w:pPr>
      <w:r w:rsidRPr="007A39B7">
        <w:t xml:space="preserve">Environmental Protection Agency, 2021. </w:t>
      </w:r>
      <w:r w:rsidRPr="007A39B7">
        <w:rPr>
          <w:i/>
          <w:iCs/>
        </w:rPr>
        <w:t>Pesticide Products Registered for Use on Hemp</w:t>
      </w:r>
      <w:r w:rsidRPr="007A39B7">
        <w:t xml:space="preserve"> [accessed 2021 Nov. 29]. </w:t>
      </w:r>
      <w:hyperlink r:id="rId109" w:history="1">
        <w:r w:rsidRPr="007A39B7">
          <w:rPr>
            <w:rStyle w:val="Hyperlink"/>
            <w:rFonts w:eastAsia="Arial"/>
            <w:color w:val="auto"/>
            <w:u w:val="none"/>
          </w:rPr>
          <w:t>https://www.epa.gov/pesticide-registration/pesticide-products-registered-use-hemp</w:t>
        </w:r>
      </w:hyperlink>
    </w:p>
    <w:p w14:paraId="048B0070" w14:textId="68C4DC5C" w:rsidR="00D20476" w:rsidRPr="007A39B7" w:rsidRDefault="00D20476" w:rsidP="007A39B7">
      <w:pPr>
        <w:pStyle w:val="NormalWeb"/>
        <w:spacing w:before="0" w:beforeAutospacing="0" w:after="0" w:afterAutospacing="0" w:line="360" w:lineRule="auto"/>
        <w:ind w:left="1260" w:hanging="540"/>
      </w:pPr>
      <w:r w:rsidRPr="007A39B7">
        <w:t xml:space="preserve">Farinas, C., and Peduto Hand, F. 2020. First report of </w:t>
      </w:r>
      <w:r w:rsidRPr="007A39B7">
        <w:rPr>
          <w:i/>
          <w:iCs/>
        </w:rPr>
        <w:t>Golovinomyces spadiceus</w:t>
      </w:r>
      <w:r w:rsidRPr="007A39B7">
        <w:t xml:space="preserve"> causing powdery mildew on industrial hemp (</w:t>
      </w:r>
      <w:r w:rsidRPr="007A39B7">
        <w:rPr>
          <w:i/>
          <w:iCs/>
        </w:rPr>
        <w:t>Cannabis sativa</w:t>
      </w:r>
      <w:r w:rsidR="004E11C2">
        <w:rPr>
          <w:i/>
          <w:iCs/>
        </w:rPr>
        <w:t xml:space="preserve"> </w:t>
      </w:r>
      <w:r w:rsidR="004E11C2" w:rsidRPr="004E11C2">
        <w:rPr>
          <w:iCs/>
        </w:rPr>
        <w:t>L</w:t>
      </w:r>
      <w:r w:rsidRPr="007A39B7">
        <w:t>) in Ohio. Plant Disease, 104(10), 2727-2727.</w:t>
      </w:r>
    </w:p>
    <w:p w14:paraId="639C7472" w14:textId="77777777" w:rsidR="00D20476" w:rsidRPr="007A39B7" w:rsidRDefault="00D20476" w:rsidP="007A39B7">
      <w:pPr>
        <w:pStyle w:val="NormalWeb"/>
        <w:spacing w:before="0" w:beforeAutospacing="0" w:after="0" w:afterAutospacing="0" w:line="360" w:lineRule="auto"/>
        <w:ind w:left="1260" w:hanging="540"/>
      </w:pPr>
      <w:r w:rsidRPr="007A39B7">
        <w:t xml:space="preserve">Gauthier N., 2020. Management of Powdery Mildew Begins with Understanding the Causal Fungus. Retrieved from </w:t>
      </w:r>
      <w:hyperlink r:id="rId110" w:history="1">
        <w:r w:rsidRPr="007A39B7">
          <w:rPr>
            <w:rStyle w:val="Hyperlink"/>
            <w:rFonts w:eastAsia="Arial"/>
            <w:color w:val="auto"/>
            <w:u w:val="none"/>
          </w:rPr>
          <w:t>http://www.kyhempdisease.com/powdery-mildew-of-hemp.html</w:t>
        </w:r>
      </w:hyperlink>
    </w:p>
    <w:p w14:paraId="042C1641" w14:textId="77777777" w:rsidR="00D20476" w:rsidRPr="007A39B7" w:rsidRDefault="00D20476" w:rsidP="007A39B7">
      <w:pPr>
        <w:pStyle w:val="NormalWeb"/>
        <w:spacing w:before="0" w:beforeAutospacing="0" w:after="0" w:afterAutospacing="0" w:line="360" w:lineRule="auto"/>
        <w:ind w:left="1260" w:hanging="540"/>
      </w:pPr>
      <w:r w:rsidRPr="007A39B7">
        <w:t xml:space="preserve">Ghanmi, D., McNally, D. J., Benhamou, N., Menzies, J. G., and Bélanger, R. R. 2004. Powdery mildew of </w:t>
      </w:r>
      <w:r w:rsidRPr="007A39B7">
        <w:rPr>
          <w:i/>
          <w:iCs/>
        </w:rPr>
        <w:t>Arabidopsis thaliana</w:t>
      </w:r>
      <w:r w:rsidRPr="007A39B7">
        <w:t xml:space="preserve">: A pathosystem for exploring the role of silicon in plant-microbe interactions. Physiological and Molecular Plant Pathology, 64(4), 189–199. </w:t>
      </w:r>
      <w:hyperlink r:id="rId111" w:history="1">
        <w:r w:rsidRPr="007A39B7">
          <w:rPr>
            <w:rStyle w:val="Hyperlink"/>
            <w:rFonts w:eastAsia="Arial"/>
            <w:color w:val="auto"/>
            <w:u w:val="none"/>
          </w:rPr>
          <w:t>https://doi.org/10.1016/j.pmpp.2004.07.005</w:t>
        </w:r>
      </w:hyperlink>
    </w:p>
    <w:p w14:paraId="2A5E711D" w14:textId="77777777" w:rsidR="00D20476" w:rsidRPr="007A39B7" w:rsidRDefault="00D20476" w:rsidP="007A39B7">
      <w:pPr>
        <w:pStyle w:val="NormalWeb"/>
        <w:spacing w:before="0" w:beforeAutospacing="0" w:after="0" w:afterAutospacing="0" w:line="360" w:lineRule="auto"/>
        <w:ind w:left="1260" w:hanging="540"/>
      </w:pPr>
      <w:r w:rsidRPr="007A39B7">
        <w:t xml:space="preserve">Gradish, A. E., Scott-Dupree, C. D., Shipp, L., Harris, C. R., and Ferguson, G. 2010. Effect of reduced risk pesticides for use in greenhouse vegetable production on </w:t>
      </w:r>
      <w:r w:rsidRPr="007A39B7">
        <w:rPr>
          <w:i/>
          <w:iCs/>
        </w:rPr>
        <w:t>Bombus impatiens</w:t>
      </w:r>
      <w:r w:rsidRPr="007A39B7">
        <w:t xml:space="preserve"> (</w:t>
      </w:r>
      <w:r w:rsidRPr="007A39B7">
        <w:rPr>
          <w:i/>
          <w:iCs/>
        </w:rPr>
        <w:t>Hymenoptera</w:t>
      </w:r>
      <w:r w:rsidRPr="007A39B7">
        <w:t xml:space="preserve">: Apidae). Pest Management Science, 66(2), 142–146. </w:t>
      </w:r>
      <w:hyperlink r:id="rId112" w:history="1">
        <w:r w:rsidRPr="007A39B7">
          <w:rPr>
            <w:rStyle w:val="Hyperlink"/>
            <w:rFonts w:eastAsia="Arial"/>
            <w:color w:val="auto"/>
            <w:u w:val="none"/>
          </w:rPr>
          <w:t>https://doi.org/10.1002/ps.1846</w:t>
        </w:r>
      </w:hyperlink>
    </w:p>
    <w:p w14:paraId="0426338A" w14:textId="77777777" w:rsidR="00D20476" w:rsidRPr="007A39B7" w:rsidRDefault="00D20476" w:rsidP="007A39B7">
      <w:pPr>
        <w:pStyle w:val="NormalWeb"/>
        <w:spacing w:before="0" w:beforeAutospacing="0" w:after="0" w:afterAutospacing="0" w:line="360" w:lineRule="auto"/>
        <w:ind w:left="1260" w:hanging="540"/>
      </w:pPr>
      <w:r w:rsidRPr="007A39B7">
        <w:t>Hansen, Z., Akinrinlola, R., Kelly, H., Virginia, S., Rachel, G., Cartwright, M., Grant, J., and Cosner, J. 2020b. Hemp variety trials in Tennessee 2020 (W 1016). UT Extension Publication, 1–10.</w:t>
      </w:r>
    </w:p>
    <w:p w14:paraId="4893EBFB" w14:textId="77777777" w:rsidR="00D20476" w:rsidRPr="007A39B7" w:rsidRDefault="00D20476" w:rsidP="007A39B7">
      <w:pPr>
        <w:pStyle w:val="NormalWeb"/>
        <w:spacing w:before="0" w:beforeAutospacing="0" w:after="0" w:afterAutospacing="0" w:line="360" w:lineRule="auto"/>
        <w:ind w:left="1260" w:hanging="540"/>
      </w:pPr>
      <w:r w:rsidRPr="007A39B7">
        <w:t xml:space="preserve">Hansen, Z., Bernard E., Grant J., Gwinn K., Hale F., Kelly H., and Stewart, S. 2020a. Hemp Disease and Pest Management, W916. The University of Tennessee Extension. </w:t>
      </w:r>
      <w:hyperlink r:id="rId113" w:history="1">
        <w:r w:rsidRPr="007A39B7">
          <w:rPr>
            <w:rStyle w:val="Hyperlink"/>
            <w:rFonts w:eastAsia="Arial"/>
            <w:color w:val="auto"/>
            <w:u w:val="none"/>
          </w:rPr>
          <w:t>https://extension.tennessee</w:t>
        </w:r>
      </w:hyperlink>
      <w:r w:rsidRPr="007A39B7">
        <w:t>. edu/publications/Documents/W916.pdf</w:t>
      </w:r>
    </w:p>
    <w:p w14:paraId="6DD0D486" w14:textId="77777777" w:rsidR="00D20476" w:rsidRPr="007A39B7" w:rsidRDefault="00D20476" w:rsidP="007A39B7">
      <w:pPr>
        <w:pStyle w:val="NormalWeb"/>
        <w:spacing w:before="0" w:beforeAutospacing="0" w:after="0" w:afterAutospacing="0" w:line="360" w:lineRule="auto"/>
        <w:ind w:left="1260" w:hanging="540"/>
      </w:pPr>
      <w:r w:rsidRPr="007A39B7">
        <w:t>Heckman, J. 2013. Silicon: A beneficial substance. Better Crops, 97(4), 14–16.</w:t>
      </w:r>
    </w:p>
    <w:p w14:paraId="7F75F86F" w14:textId="77777777" w:rsidR="00D20476" w:rsidRPr="007A39B7" w:rsidRDefault="00D20476" w:rsidP="007A39B7">
      <w:pPr>
        <w:pStyle w:val="NormalWeb"/>
        <w:spacing w:before="0" w:beforeAutospacing="0" w:after="0" w:afterAutospacing="0" w:line="360" w:lineRule="auto"/>
        <w:ind w:left="1260" w:hanging="540"/>
      </w:pPr>
      <w:r w:rsidRPr="007A39B7">
        <w:t>Hegazi, M. A., and El-Kot, G. A. N. 2010. Efficacy of some essential oils on controlling powdery mildew on zinnia (</w:t>
      </w:r>
      <w:r w:rsidRPr="007A39B7">
        <w:rPr>
          <w:i/>
          <w:iCs/>
        </w:rPr>
        <w:t>Zinnia elegans</w:t>
      </w:r>
      <w:r w:rsidRPr="007A39B7">
        <w:t xml:space="preserve"> L.). </w:t>
      </w:r>
      <w:r w:rsidRPr="007A39B7">
        <w:rPr>
          <w:i/>
        </w:rPr>
        <w:t>Journal of Applied Horticulture</w:t>
      </w:r>
      <w:r w:rsidRPr="007A39B7">
        <w:t xml:space="preserve">, 12(1), 75–80. </w:t>
      </w:r>
      <w:hyperlink r:id="rId114" w:history="1">
        <w:r w:rsidRPr="007A39B7">
          <w:rPr>
            <w:rStyle w:val="Hyperlink"/>
            <w:rFonts w:eastAsia="Arial"/>
            <w:color w:val="auto"/>
            <w:u w:val="none"/>
          </w:rPr>
          <w:t>https://doi.org/10.37855/jah.2010.v12i01.17</w:t>
        </w:r>
      </w:hyperlink>
    </w:p>
    <w:p w14:paraId="6BC8BFEB" w14:textId="77777777" w:rsidR="00D20476" w:rsidRPr="007A39B7" w:rsidRDefault="00D20476" w:rsidP="007A39B7">
      <w:pPr>
        <w:pStyle w:val="NormalWeb"/>
        <w:spacing w:before="0" w:beforeAutospacing="0" w:after="0" w:afterAutospacing="0" w:line="360" w:lineRule="auto"/>
        <w:ind w:left="1260" w:hanging="540"/>
      </w:pPr>
      <w:r w:rsidRPr="007A39B7">
        <w:t xml:space="preserve">Highland, H. B. 2010. Organically approved and reduced risk pest control options for fruiting vegetable production. </w:t>
      </w:r>
      <w:r w:rsidRPr="007A39B7">
        <w:rPr>
          <w:i/>
        </w:rPr>
        <w:t>In Proc. Fla. State Hort. Soc</w:t>
      </w:r>
      <w:r w:rsidRPr="007A39B7">
        <w:t> (Vol. 123, pp. 151-155).</w:t>
      </w:r>
    </w:p>
    <w:p w14:paraId="0F77957B" w14:textId="77777777" w:rsidR="00D20476" w:rsidRPr="007A39B7" w:rsidRDefault="00D20476" w:rsidP="007A39B7">
      <w:pPr>
        <w:pStyle w:val="NormalWeb"/>
        <w:spacing w:before="0" w:beforeAutospacing="0" w:after="0" w:afterAutospacing="0" w:line="360" w:lineRule="auto"/>
        <w:ind w:left="1260" w:hanging="540"/>
      </w:pPr>
      <w:r w:rsidRPr="007A39B7">
        <w:t>Hirata, T., and Takamatsu, S. 1996. Nucleotide sequence diversity of rDNA internal transcribed spacers extracted from conidia and cleistothecia of several powdery mildew fungi. </w:t>
      </w:r>
      <w:r w:rsidRPr="007A39B7">
        <w:rPr>
          <w:i/>
        </w:rPr>
        <w:t>Mycoscience</w:t>
      </w:r>
      <w:r w:rsidRPr="007A39B7">
        <w:t>, 37(3), 283-288.</w:t>
      </w:r>
    </w:p>
    <w:p w14:paraId="79AE53F1"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Jamar, L., Lefrancq, B., Fassotte, C., &amp; Lateur, M. (2008). A during-infection spray strategy using sulphur compounds, copper, silicon and a new formulation of potassium bicarbonate for primary scab control in organic apple production. </w:t>
      </w:r>
      <w:r w:rsidRPr="007A39B7">
        <w:rPr>
          <w:i/>
          <w:iCs/>
          <w:shd w:val="clear" w:color="auto" w:fill="FFFFFF"/>
        </w:rPr>
        <w:t>European journal of plant pathology</w:t>
      </w:r>
      <w:r w:rsidRPr="007A39B7">
        <w:rPr>
          <w:shd w:val="clear" w:color="auto" w:fill="FFFFFF"/>
        </w:rPr>
        <w:t>, </w:t>
      </w:r>
      <w:r w:rsidRPr="007A39B7">
        <w:rPr>
          <w:i/>
          <w:iCs/>
          <w:shd w:val="clear" w:color="auto" w:fill="FFFFFF"/>
        </w:rPr>
        <w:t>122</w:t>
      </w:r>
      <w:r w:rsidRPr="007A39B7">
        <w:rPr>
          <w:shd w:val="clear" w:color="auto" w:fill="FFFFFF"/>
        </w:rPr>
        <w:t>(4), 481-493.</w:t>
      </w:r>
    </w:p>
    <w:p w14:paraId="2FD73099" w14:textId="77777777" w:rsidR="00D20476" w:rsidRPr="007A39B7" w:rsidRDefault="00D20476" w:rsidP="007A39B7">
      <w:pPr>
        <w:pStyle w:val="NormalWeb"/>
        <w:spacing w:before="0" w:beforeAutospacing="0" w:after="0" w:afterAutospacing="0" w:line="360" w:lineRule="auto"/>
        <w:ind w:left="1260" w:hanging="540"/>
      </w:pPr>
      <w:r w:rsidRPr="007A39B7">
        <w:t>Jiao, R., Munir, S., He, P., Yang, H., Wu, Y., Wang, J., He, P., Cai, Y., Wang, G., and He, Y. 2020. Biocontrol potential of the endophytic</w:t>
      </w:r>
      <w:r w:rsidRPr="007A39B7">
        <w:rPr>
          <w:i/>
          <w:iCs/>
        </w:rPr>
        <w:t xml:space="preserve"> Bacillus amyloliquefaciens </w:t>
      </w:r>
      <w:r w:rsidRPr="007A39B7">
        <w:t xml:space="preserve">YN201732 against tobacco powdery mildew and its growth promotion. </w:t>
      </w:r>
      <w:r w:rsidRPr="007A39B7">
        <w:rPr>
          <w:i/>
        </w:rPr>
        <w:t>Biological Control,</w:t>
      </w:r>
      <w:r w:rsidRPr="007A39B7">
        <w:t xml:space="preserve"> 143(August 2019), 104160. </w:t>
      </w:r>
      <w:hyperlink r:id="rId115" w:history="1">
        <w:r w:rsidRPr="007A39B7">
          <w:rPr>
            <w:rStyle w:val="Hyperlink"/>
            <w:rFonts w:eastAsia="Arial"/>
            <w:color w:val="auto"/>
            <w:u w:val="none"/>
          </w:rPr>
          <w:t>https://doi.org/10.1016/j.biocontrol.2019.104160</w:t>
        </w:r>
      </w:hyperlink>
    </w:p>
    <w:p w14:paraId="6D7034B9" w14:textId="77777777" w:rsidR="00D20476" w:rsidRPr="007A39B7" w:rsidRDefault="00D20476" w:rsidP="007A39B7">
      <w:pPr>
        <w:pStyle w:val="NormalWeb"/>
        <w:spacing w:before="0" w:beforeAutospacing="0" w:after="0" w:afterAutospacing="0" w:line="360" w:lineRule="auto"/>
        <w:ind w:left="1260" w:hanging="540"/>
      </w:pPr>
      <w:r w:rsidRPr="007A39B7">
        <w:t xml:space="preserve">Kanto, T., Maekawa, K., and Aino, M. 2007. Suppression of conidial germination and appressorial formation by silicate treatment in powdery mildew of strawberry. </w:t>
      </w:r>
      <w:r w:rsidRPr="007A39B7">
        <w:rPr>
          <w:i/>
        </w:rPr>
        <w:t>Journal of General Plant Pathology</w:t>
      </w:r>
      <w:r w:rsidRPr="007A39B7">
        <w:t xml:space="preserve">, 73(1), 1–7. </w:t>
      </w:r>
      <w:hyperlink r:id="rId116" w:history="1">
        <w:r w:rsidRPr="007A39B7">
          <w:rPr>
            <w:rStyle w:val="Hyperlink"/>
            <w:rFonts w:eastAsia="Arial"/>
            <w:color w:val="auto"/>
            <w:u w:val="none"/>
          </w:rPr>
          <w:t>https://doi.org/10.1007/s10327-006-0311-y</w:t>
        </w:r>
      </w:hyperlink>
    </w:p>
    <w:p w14:paraId="04A38091" w14:textId="77777777" w:rsidR="00D20476" w:rsidRPr="007A39B7" w:rsidRDefault="00D20476" w:rsidP="007A39B7">
      <w:pPr>
        <w:pStyle w:val="NormalWeb"/>
        <w:spacing w:before="0" w:beforeAutospacing="0" w:after="0" w:afterAutospacing="0" w:line="360" w:lineRule="auto"/>
        <w:ind w:left="1260" w:hanging="540"/>
      </w:pPr>
      <w:r w:rsidRPr="007A39B7">
        <w:t xml:space="preserve">Kim, S. G., Kim, K. W., Park, E. W., and Choi, D. 2002. Silicon-induced cell wall fortification of rice leaves: A possible cellular mechanism of enhanced host resistance to blast. </w:t>
      </w:r>
      <w:r w:rsidRPr="007A39B7">
        <w:rPr>
          <w:i/>
        </w:rPr>
        <w:t>Phytopathology</w:t>
      </w:r>
      <w:r w:rsidRPr="007A39B7">
        <w:t xml:space="preserve">, 92(10), 1095–1103. </w:t>
      </w:r>
      <w:hyperlink r:id="rId117" w:history="1">
        <w:r w:rsidRPr="007A39B7">
          <w:rPr>
            <w:rStyle w:val="Hyperlink"/>
            <w:rFonts w:eastAsia="Arial"/>
            <w:color w:val="auto"/>
            <w:u w:val="none"/>
          </w:rPr>
          <w:t>https://doi.org/10.1094/PHYTO.2002.92.10.1095</w:t>
        </w:r>
      </w:hyperlink>
    </w:p>
    <w:p w14:paraId="0F87E8C3"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 xml:space="preserve">Kumar, S., Stecher, G., Li, M., Knyaz, C., </w:t>
      </w:r>
      <w:r w:rsidRPr="007A39B7">
        <w:t>and</w:t>
      </w:r>
      <w:r w:rsidRPr="007A39B7">
        <w:rPr>
          <w:shd w:val="clear" w:color="auto" w:fill="FFFFFF"/>
        </w:rPr>
        <w:t xml:space="preserve"> Tamura, K. 2018. MEGA X: molecular evolutionary genetics analysis across computing platforms</w:t>
      </w:r>
      <w:r w:rsidRPr="007A39B7">
        <w:rPr>
          <w:i/>
          <w:shd w:val="clear" w:color="auto" w:fill="FFFFFF"/>
        </w:rPr>
        <w:t>. Molecular biology and evolution</w:t>
      </w:r>
      <w:r w:rsidRPr="007A39B7">
        <w:rPr>
          <w:shd w:val="clear" w:color="auto" w:fill="FFFFFF"/>
        </w:rPr>
        <w:t>, 35(6), 1547.</w:t>
      </w:r>
    </w:p>
    <w:p w14:paraId="6BF92926" w14:textId="77777777" w:rsidR="00D20476" w:rsidRPr="007A39B7" w:rsidRDefault="00D20476" w:rsidP="007A39B7">
      <w:pPr>
        <w:pStyle w:val="NormalWeb"/>
        <w:spacing w:before="0" w:beforeAutospacing="0" w:after="0" w:afterAutospacing="0" w:line="360" w:lineRule="auto"/>
        <w:ind w:left="1260" w:hanging="540"/>
      </w:pPr>
      <w:r w:rsidRPr="007A39B7">
        <w:t xml:space="preserve">Kwok, I. M., and Loeffler, R. T. 1993. </w:t>
      </w:r>
      <w:r w:rsidRPr="007A39B7">
        <w:rPr>
          <w:shd w:val="clear" w:color="auto" w:fill="FFFFFF"/>
        </w:rPr>
        <w:t>The biochemical mode of action of some newer azole fungicides. </w:t>
      </w:r>
      <w:r w:rsidRPr="007A39B7">
        <w:rPr>
          <w:i/>
          <w:shd w:val="clear" w:color="auto" w:fill="FFFFFF"/>
        </w:rPr>
        <w:t>Pesticide science</w:t>
      </w:r>
      <w:r w:rsidRPr="007A39B7">
        <w:rPr>
          <w:shd w:val="clear" w:color="auto" w:fill="FFFFFF"/>
        </w:rPr>
        <w:t>, 39(1), 1-11.</w:t>
      </w:r>
    </w:p>
    <w:p w14:paraId="50AC8C5E" w14:textId="77777777" w:rsidR="00D20476" w:rsidRPr="007A39B7" w:rsidRDefault="00D20476" w:rsidP="007A39B7">
      <w:pPr>
        <w:pStyle w:val="NormalWeb"/>
        <w:spacing w:before="0" w:beforeAutospacing="0" w:after="0" w:afterAutospacing="0" w:line="360" w:lineRule="auto"/>
        <w:ind w:left="1260" w:hanging="540"/>
        <w:rPr>
          <w:sz w:val="22"/>
          <w:szCs w:val="22"/>
        </w:rPr>
      </w:pPr>
      <w:r w:rsidRPr="007A39B7">
        <w:t>Margaritopoulou, T., Toufexi, E., Kizi</w:t>
      </w:r>
      <w:r w:rsidRPr="007A39B7">
        <w:rPr>
          <w:sz w:val="22"/>
          <w:szCs w:val="22"/>
        </w:rPr>
        <w:t>s, D., Balayiannis, G., Anagnostopoulos, C., Theocharis, A., Rempelos, L., Troyanos, Y., Leife</w:t>
      </w:r>
      <w:r w:rsidRPr="007A39B7">
        <w:t xml:space="preserve">rt, C., and Markellou, E. 2020. Reynoutria sachalinensis extract elicits SA-dependent defense responses in courgette genotypes against powdery mildew caused by Podosphaera xanthii. Scientific Reports, 10(1), 3354. </w:t>
      </w:r>
      <w:hyperlink r:id="rId118" w:history="1">
        <w:r w:rsidRPr="007A39B7">
          <w:rPr>
            <w:rStyle w:val="Hyperlink"/>
            <w:rFonts w:eastAsia="Arial"/>
            <w:color w:val="auto"/>
            <w:u w:val="none"/>
          </w:rPr>
          <w:t>https://doi.org/10.1038/s41598-020-60148-6</w:t>
        </w:r>
      </w:hyperlink>
    </w:p>
    <w:p w14:paraId="0691CBD7" w14:textId="77777777" w:rsidR="00D20476" w:rsidRPr="007A39B7" w:rsidRDefault="00D20476" w:rsidP="007A39B7">
      <w:pPr>
        <w:pStyle w:val="NormalWeb"/>
        <w:spacing w:before="0" w:beforeAutospacing="0" w:after="0" w:afterAutospacing="0" w:line="360" w:lineRule="auto"/>
        <w:ind w:left="1260" w:hanging="540"/>
      </w:pPr>
      <w:r w:rsidRPr="007A39B7">
        <w:t>Marine, S.C., K.S. Yoder, and A. Baudoin. 2010. Powdery mildew of apple. </w:t>
      </w:r>
      <w:r w:rsidRPr="007A39B7">
        <w:rPr>
          <w:i/>
        </w:rPr>
        <w:t>The Plant Health Instructor</w:t>
      </w:r>
      <w:r w:rsidRPr="007A39B7">
        <w:t>. DOI:10.1094/PHI-I-2010-1021-01</w:t>
      </w:r>
    </w:p>
    <w:p w14:paraId="2245BAD8" w14:textId="77777777" w:rsidR="00D20476" w:rsidRPr="007A39B7" w:rsidRDefault="00D20476" w:rsidP="007A39B7">
      <w:pPr>
        <w:pStyle w:val="NormalWeb"/>
        <w:spacing w:before="0" w:beforeAutospacing="0" w:after="0" w:afterAutospacing="0" w:line="360" w:lineRule="auto"/>
        <w:ind w:left="1260" w:hanging="540"/>
      </w:pPr>
      <w:r w:rsidRPr="007A39B7">
        <w:t>Matheron, M. E., and Porchas, M. 2013. Efficacy of fungicides and rotational programs for management of powdery mildew on cantaloupe. </w:t>
      </w:r>
      <w:r w:rsidRPr="007A39B7">
        <w:rPr>
          <w:i/>
        </w:rPr>
        <w:t>Plant disease</w:t>
      </w:r>
      <w:r w:rsidRPr="007A39B7">
        <w:t>, 97(2), 196-200.</w:t>
      </w:r>
    </w:p>
    <w:p w14:paraId="681DABBC" w14:textId="77777777" w:rsidR="00D20476" w:rsidRPr="007A39B7" w:rsidRDefault="00D20476" w:rsidP="007A39B7">
      <w:pPr>
        <w:pStyle w:val="NormalWeb"/>
        <w:spacing w:before="0" w:beforeAutospacing="0" w:after="0" w:afterAutospacing="0" w:line="360" w:lineRule="auto"/>
        <w:ind w:left="1260" w:hanging="540"/>
      </w:pPr>
      <w:r w:rsidRPr="007A39B7">
        <w:t>Matzen, N., Heick, T. M., and Jørgensen, L. N. 2019. Control of powdery mildew (</w:t>
      </w:r>
      <w:r w:rsidRPr="007A39B7">
        <w:rPr>
          <w:i/>
          <w:iCs/>
        </w:rPr>
        <w:t>Blumeria graminis</w:t>
      </w:r>
      <w:r w:rsidRPr="007A39B7">
        <w:t xml:space="preserve"> spp.) in cereals by Serenade®ASO (</w:t>
      </w:r>
      <w:r w:rsidRPr="007A39B7">
        <w:rPr>
          <w:i/>
          <w:iCs/>
        </w:rPr>
        <w:t>Bacillus amyloliquefaciens</w:t>
      </w:r>
      <w:r w:rsidRPr="007A39B7">
        <w:t xml:space="preserve"> (former subtilis) strain QST 713). Biological Control, 139(August), 104067. </w:t>
      </w:r>
      <w:hyperlink r:id="rId119" w:history="1">
        <w:r w:rsidRPr="007A39B7">
          <w:rPr>
            <w:rStyle w:val="Hyperlink"/>
            <w:rFonts w:eastAsia="Arial"/>
            <w:color w:val="auto"/>
            <w:u w:val="none"/>
          </w:rPr>
          <w:t>https://doi.org/10.1016/j.biocontrol.2019.104067</w:t>
        </w:r>
      </w:hyperlink>
    </w:p>
    <w:p w14:paraId="55523F23" w14:textId="77777777" w:rsidR="00D20476" w:rsidRPr="007A39B7" w:rsidRDefault="00D20476" w:rsidP="007A39B7">
      <w:pPr>
        <w:pStyle w:val="NormalWeb"/>
        <w:spacing w:before="0" w:beforeAutospacing="0" w:after="0" w:afterAutospacing="0" w:line="360" w:lineRule="auto"/>
        <w:ind w:left="1260" w:hanging="540"/>
      </w:pPr>
      <w:r w:rsidRPr="007A39B7">
        <w:t xml:space="preserve">McGrath, M. T., and Shishkoff, N. 1999. Evaluation of biocompatible products for managing cucurbit powdery mildew. </w:t>
      </w:r>
      <w:r w:rsidRPr="007A39B7">
        <w:rPr>
          <w:i/>
        </w:rPr>
        <w:t>Crop Protection</w:t>
      </w:r>
      <w:r w:rsidRPr="007A39B7">
        <w:t xml:space="preserve">, 18(7), 471–478. </w:t>
      </w:r>
      <w:hyperlink r:id="rId120" w:history="1">
        <w:r w:rsidRPr="007A39B7">
          <w:rPr>
            <w:rStyle w:val="Hyperlink"/>
            <w:rFonts w:eastAsia="Arial"/>
            <w:color w:val="auto"/>
            <w:u w:val="none"/>
          </w:rPr>
          <w:t>https://doi.org/10.1016/S0261-2194(99)00048-4</w:t>
        </w:r>
      </w:hyperlink>
    </w:p>
    <w:p w14:paraId="4F4CF483"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 xml:space="preserve">Menzies, J. G., Ehret, D. L., Glass, A. D. M., and Samuels, A. L. 1991. The influence of silicon on cytological interactions between </w:t>
      </w:r>
      <w:r w:rsidRPr="007A39B7">
        <w:rPr>
          <w:i/>
          <w:iCs/>
          <w:shd w:val="clear" w:color="auto" w:fill="FFFFFF"/>
        </w:rPr>
        <w:t xml:space="preserve">Sphaerotheca fuliginea </w:t>
      </w:r>
      <w:r w:rsidRPr="007A39B7">
        <w:rPr>
          <w:shd w:val="clear" w:color="auto" w:fill="FFFFFF"/>
        </w:rPr>
        <w:t xml:space="preserve">and </w:t>
      </w:r>
      <w:r w:rsidRPr="007A39B7">
        <w:rPr>
          <w:i/>
          <w:iCs/>
          <w:shd w:val="clear" w:color="auto" w:fill="FFFFFF"/>
        </w:rPr>
        <w:t>Cucumis sativus</w:t>
      </w:r>
      <w:r w:rsidRPr="007A39B7">
        <w:rPr>
          <w:shd w:val="clear" w:color="auto" w:fill="FFFFFF"/>
        </w:rPr>
        <w:t>. </w:t>
      </w:r>
      <w:r w:rsidRPr="007A39B7">
        <w:rPr>
          <w:i/>
          <w:shd w:val="clear" w:color="auto" w:fill="FFFFFF"/>
        </w:rPr>
        <w:t>Physiological and Molecular Plant Pathology</w:t>
      </w:r>
      <w:r w:rsidRPr="007A39B7">
        <w:rPr>
          <w:shd w:val="clear" w:color="auto" w:fill="FFFFFF"/>
        </w:rPr>
        <w:t xml:space="preserve">, 39(6), 403-414. </w:t>
      </w:r>
    </w:p>
    <w:p w14:paraId="564D146A" w14:textId="77777777" w:rsidR="00D20476" w:rsidRPr="007A39B7" w:rsidRDefault="00D20476" w:rsidP="007A39B7">
      <w:pPr>
        <w:pStyle w:val="NormalWeb"/>
        <w:spacing w:before="0" w:beforeAutospacing="0" w:after="0" w:afterAutospacing="0" w:line="360" w:lineRule="auto"/>
        <w:ind w:left="1260" w:hanging="540"/>
      </w:pPr>
      <w:r w:rsidRPr="007A39B7">
        <w:t xml:space="preserve">Moparthi, S., Bradshaw, M. J., and Grove, G. G. 2018b. First report of powdery mildew caused by </w:t>
      </w:r>
      <w:r w:rsidRPr="007A39B7">
        <w:rPr>
          <w:i/>
          <w:iCs/>
        </w:rPr>
        <w:t>Golovinomyces spadiceus</w:t>
      </w:r>
      <w:r w:rsidRPr="007A39B7">
        <w:t xml:space="preserve"> on </w:t>
      </w:r>
      <w:r w:rsidRPr="007A39B7">
        <w:rPr>
          <w:i/>
          <w:iCs/>
        </w:rPr>
        <w:t>Helianthus annuus</w:t>
      </w:r>
      <w:r w:rsidRPr="007A39B7">
        <w:t>. Plant Disease, 102(6), 1176.</w:t>
      </w:r>
    </w:p>
    <w:p w14:paraId="661503A4" w14:textId="77777777" w:rsidR="00D20476" w:rsidRPr="007A39B7" w:rsidRDefault="00D20476" w:rsidP="007A39B7">
      <w:pPr>
        <w:pStyle w:val="NormalWeb"/>
        <w:spacing w:before="0" w:beforeAutospacing="0" w:after="0" w:afterAutospacing="0" w:line="360" w:lineRule="auto"/>
        <w:ind w:left="1260" w:hanging="540"/>
      </w:pPr>
      <w:r w:rsidRPr="007A39B7">
        <w:t xml:space="preserve">Moparthi, S., Bradshaw, M., Frost, K., Hamm, P. B., and Buck, J. W. 2018a. First report of powdery mildew caused by </w:t>
      </w:r>
      <w:r w:rsidRPr="007A39B7">
        <w:rPr>
          <w:i/>
          <w:iCs/>
        </w:rPr>
        <w:t>Golovinomyces spadiceus</w:t>
      </w:r>
      <w:r w:rsidRPr="007A39B7">
        <w:t xml:space="preserve"> on okra in the United States. Plant Disease, 102(8), 1664-1664.</w:t>
      </w:r>
    </w:p>
    <w:p w14:paraId="4F39A250"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 xml:space="preserve">Moyer, C., Peres, N. A., Datnoff, L. E., Simonne, E. H., </w:t>
      </w:r>
      <w:r w:rsidRPr="007A39B7">
        <w:t>and</w:t>
      </w:r>
      <w:r w:rsidRPr="007A39B7">
        <w:rPr>
          <w:shd w:val="clear" w:color="auto" w:fill="FFFFFF"/>
        </w:rPr>
        <w:t xml:space="preserve"> Deng, Z. 2008. Evaluation of silicon for managing powdery mildew on gerbera daisy. Journal of Plant Nutrition, 31(12), 2131-2144.</w:t>
      </w:r>
    </w:p>
    <w:p w14:paraId="7114BAF0" w14:textId="77777777" w:rsidR="00D20476" w:rsidRPr="007A39B7" w:rsidRDefault="00D20476" w:rsidP="007A39B7">
      <w:pPr>
        <w:pStyle w:val="NormalWeb"/>
        <w:spacing w:before="0" w:beforeAutospacing="0" w:after="0" w:afterAutospacing="0" w:line="360" w:lineRule="auto"/>
        <w:ind w:left="1260" w:hanging="540"/>
      </w:pPr>
      <w:r w:rsidRPr="007A39B7">
        <w:t xml:space="preserve">Olivier, C., Halseth, D. E., Mizubuti, E. S. G., and Loria, R. 1998. Postharvest application of organic and inorganic salts for suppression of silver scurf on potato tubers. Plant Disease, 82(2), 213–217. </w:t>
      </w:r>
      <w:hyperlink r:id="rId121" w:history="1">
        <w:r w:rsidRPr="007A39B7">
          <w:rPr>
            <w:rStyle w:val="Hyperlink"/>
            <w:rFonts w:eastAsia="Arial"/>
            <w:color w:val="auto"/>
            <w:u w:val="none"/>
          </w:rPr>
          <w:t>https://doi.org/10.1094/PDIS.1998.82.2.213</w:t>
        </w:r>
      </w:hyperlink>
    </w:p>
    <w:p w14:paraId="43548E43" w14:textId="77777777" w:rsidR="00D20476" w:rsidRPr="007A39B7" w:rsidRDefault="00D20476" w:rsidP="007A39B7">
      <w:pPr>
        <w:pStyle w:val="NormalWeb"/>
        <w:spacing w:before="0" w:beforeAutospacing="0" w:after="0" w:afterAutospacing="0" w:line="360" w:lineRule="auto"/>
        <w:ind w:left="1260" w:hanging="540"/>
      </w:pPr>
      <w:r w:rsidRPr="007A39B7">
        <w:t xml:space="preserve">Ordóñez-Valencia, C., Alarcón, A., Ferrera-Cerrato, R., and Hernández-Cuevas, L. V. 2009. </w:t>
      </w:r>
      <w:r w:rsidRPr="007A39B7">
        <w:rPr>
          <w:i/>
          <w:iCs/>
        </w:rPr>
        <w:t>In vitro</w:t>
      </w:r>
      <w:r w:rsidRPr="007A39B7">
        <w:t xml:space="preserve"> antifungal effects of potassium bicarbonate on </w:t>
      </w:r>
      <w:r w:rsidRPr="007A39B7">
        <w:rPr>
          <w:i/>
          <w:iCs/>
        </w:rPr>
        <w:t>Trichoderma</w:t>
      </w:r>
      <w:r w:rsidRPr="007A39B7">
        <w:t xml:space="preserve"> sp. and </w:t>
      </w:r>
      <w:r w:rsidRPr="007A39B7">
        <w:rPr>
          <w:i/>
          <w:iCs/>
        </w:rPr>
        <w:t>Sclerotinia sclerotiorum</w:t>
      </w:r>
      <w:r w:rsidRPr="007A39B7">
        <w:t>. Mycoscience, 50(5), 380-387.</w:t>
      </w:r>
    </w:p>
    <w:p w14:paraId="1DE26A99" w14:textId="77777777" w:rsidR="00D20476" w:rsidRPr="007A39B7" w:rsidRDefault="00D20476" w:rsidP="007A39B7">
      <w:pPr>
        <w:pStyle w:val="NormalWeb"/>
        <w:spacing w:before="0" w:beforeAutospacing="0" w:after="0" w:afterAutospacing="0" w:line="360" w:lineRule="auto"/>
        <w:ind w:left="1260" w:hanging="540"/>
      </w:pPr>
      <w:r w:rsidRPr="007A39B7">
        <w:t>Pasini, C., D’Aquila, F., Curir, P., and Lodovica, M. 1997. Effectiveness of antifungal compounds against rose powdery mildew in glasshouses. Crop Protection, 16(3), 251–256.</w:t>
      </w:r>
    </w:p>
    <w:p w14:paraId="12202349" w14:textId="77777777" w:rsidR="00D20476" w:rsidRPr="007A39B7" w:rsidRDefault="00D20476" w:rsidP="007A39B7">
      <w:pPr>
        <w:pStyle w:val="NormalWeb"/>
        <w:spacing w:before="0" w:beforeAutospacing="0" w:after="0" w:afterAutospacing="0" w:line="360" w:lineRule="auto"/>
        <w:ind w:left="1260" w:hanging="540"/>
      </w:pPr>
      <w:r w:rsidRPr="007A39B7">
        <w:t xml:space="preserve">Pépin, N., Punja, Z. K., and Joly, D. L. 2018. Occurrence of powdery mildew caused by </w:t>
      </w:r>
      <w:r w:rsidRPr="007A39B7">
        <w:rPr>
          <w:i/>
          <w:iCs/>
        </w:rPr>
        <w:t>Golovinomyces cichoracearum</w:t>
      </w:r>
      <w:r w:rsidRPr="007A39B7">
        <w:t xml:space="preserve"> sensu lato on</w:t>
      </w:r>
      <w:r w:rsidRPr="007A39B7">
        <w:rPr>
          <w:i/>
          <w:iCs/>
        </w:rPr>
        <w:t xml:space="preserve"> Cannabis sativa </w:t>
      </w:r>
      <w:r w:rsidRPr="007A39B7">
        <w:t>in Canada. Plant Disease, 102(12), 2644-2644.</w:t>
      </w:r>
    </w:p>
    <w:p w14:paraId="75F667BB" w14:textId="77777777" w:rsidR="00D20476" w:rsidRPr="007A39B7" w:rsidRDefault="00D20476" w:rsidP="007A39B7">
      <w:pPr>
        <w:pStyle w:val="NormalWeb"/>
        <w:spacing w:before="0" w:beforeAutospacing="0" w:after="0" w:afterAutospacing="0" w:line="360" w:lineRule="auto"/>
        <w:ind w:left="1260" w:hanging="540"/>
      </w:pPr>
      <w:r w:rsidRPr="007A39B7">
        <w:t xml:space="preserve">Perumal, A. B., Sellamuthu, P. S., Nambiar, R. B., and Sadiku, E. R. 2016. Antifungal activity of five different essential oils in vapour phase for the control of </w:t>
      </w:r>
      <w:r w:rsidRPr="007A39B7">
        <w:rPr>
          <w:i/>
          <w:iCs/>
        </w:rPr>
        <w:t>Colletotrichum gloeosporioides</w:t>
      </w:r>
      <w:r w:rsidRPr="007A39B7">
        <w:t xml:space="preserve"> and </w:t>
      </w:r>
      <w:r w:rsidRPr="007A39B7">
        <w:rPr>
          <w:i/>
          <w:iCs/>
        </w:rPr>
        <w:t>Lasiodiplodia theobromae in vitro</w:t>
      </w:r>
      <w:r w:rsidRPr="007A39B7">
        <w:t xml:space="preserve"> and on mango. International Journal of Food Science and Technology, 51(2), 411–418. </w:t>
      </w:r>
      <w:hyperlink r:id="rId122" w:history="1">
        <w:r w:rsidRPr="007A39B7">
          <w:rPr>
            <w:rStyle w:val="Hyperlink"/>
            <w:rFonts w:eastAsia="Arial"/>
            <w:color w:val="auto"/>
            <w:u w:val="none"/>
          </w:rPr>
          <w:t>https://doi.org/10.1111/ijfs.12991</w:t>
        </w:r>
      </w:hyperlink>
    </w:p>
    <w:p w14:paraId="08F66454"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 xml:space="preserve">Proffer, T. J., Lizotte, E., Rothwell, N. L., &amp; Sundin, G. W. (2013). Evaluation of dodine, fluopyram and penthiopyrad for the management of leaf spot and powdery mildew of tart cherry, and fungicide sensitivity screening of Michigan populations of </w:t>
      </w:r>
      <w:r w:rsidRPr="007A39B7">
        <w:rPr>
          <w:i/>
          <w:shd w:val="clear" w:color="auto" w:fill="FFFFFF"/>
        </w:rPr>
        <w:t>Blumeriella jaapii</w:t>
      </w:r>
      <w:r w:rsidRPr="007A39B7">
        <w:rPr>
          <w:shd w:val="clear" w:color="auto" w:fill="FFFFFF"/>
        </w:rPr>
        <w:t>. </w:t>
      </w:r>
      <w:r w:rsidRPr="007A39B7">
        <w:rPr>
          <w:i/>
          <w:iCs/>
          <w:shd w:val="clear" w:color="auto" w:fill="FFFFFF"/>
        </w:rPr>
        <w:t>Pest management science</w:t>
      </w:r>
      <w:r w:rsidRPr="007A39B7">
        <w:rPr>
          <w:shd w:val="clear" w:color="auto" w:fill="FFFFFF"/>
        </w:rPr>
        <w:t>, </w:t>
      </w:r>
      <w:r w:rsidRPr="007A39B7">
        <w:rPr>
          <w:i/>
          <w:iCs/>
          <w:shd w:val="clear" w:color="auto" w:fill="FFFFFF"/>
        </w:rPr>
        <w:t>69</w:t>
      </w:r>
      <w:r w:rsidRPr="007A39B7">
        <w:rPr>
          <w:shd w:val="clear" w:color="auto" w:fill="FFFFFF"/>
        </w:rPr>
        <w:t>(6), 747-754.</w:t>
      </w:r>
    </w:p>
    <w:p w14:paraId="6F739380" w14:textId="77777777" w:rsidR="00D20476" w:rsidRPr="007A39B7" w:rsidRDefault="00D20476" w:rsidP="007A39B7">
      <w:pPr>
        <w:pStyle w:val="NormalWeb"/>
        <w:spacing w:before="0" w:beforeAutospacing="0" w:after="0" w:afterAutospacing="0" w:line="360" w:lineRule="auto"/>
        <w:ind w:left="1260" w:hanging="540"/>
      </w:pPr>
      <w:r w:rsidRPr="007A39B7">
        <w:t xml:space="preserve">Qiu, P. L., Liu, S. Y., Bradshaw, M., Rooney-Latham, S., Takamatsu, S., Bulgakov, T. S., and Braun, U. 2020. Multi-locus phylogeny and taxonomy of an unresolved, heterogeneous species complex within the genus </w:t>
      </w:r>
      <w:r w:rsidRPr="007A39B7">
        <w:rPr>
          <w:i/>
          <w:iCs/>
        </w:rPr>
        <w:t>Golovinomyces</w:t>
      </w:r>
      <w:r w:rsidRPr="007A39B7">
        <w:t xml:space="preserve"> (Ascomycota, Erysiphales), including </w:t>
      </w:r>
      <w:r w:rsidRPr="007A39B7">
        <w:rPr>
          <w:i/>
          <w:iCs/>
        </w:rPr>
        <w:t xml:space="preserve">G. ambrosiae, G. circumfusus </w:t>
      </w:r>
      <w:r w:rsidRPr="007A39B7">
        <w:t>and</w:t>
      </w:r>
      <w:r w:rsidRPr="007A39B7">
        <w:rPr>
          <w:i/>
          <w:iCs/>
        </w:rPr>
        <w:t xml:space="preserve"> G. spadiceus</w:t>
      </w:r>
      <w:r w:rsidRPr="007A39B7">
        <w:t>. BMC microbiology, 20(1), 1-16.</w:t>
      </w:r>
    </w:p>
    <w:p w14:paraId="3FEE7D0D" w14:textId="77777777" w:rsidR="00D20476" w:rsidRPr="007A39B7" w:rsidRDefault="00D20476" w:rsidP="007A39B7">
      <w:pPr>
        <w:pStyle w:val="NormalWeb"/>
        <w:spacing w:before="0" w:beforeAutospacing="0" w:after="0" w:afterAutospacing="0" w:line="360" w:lineRule="auto"/>
        <w:ind w:left="1260" w:hanging="540"/>
      </w:pPr>
      <w:r w:rsidRPr="007A39B7">
        <w:t xml:space="preserve">Schoener, J. L. 2021. Molecular Identification of Plant Pathogens Affecting </w:t>
      </w:r>
      <w:r w:rsidRPr="007A39B7">
        <w:rPr>
          <w:i/>
          <w:iCs/>
        </w:rPr>
        <w:t>Cannabis sativa</w:t>
      </w:r>
      <w:r w:rsidRPr="007A39B7">
        <w:t xml:space="preserve"> Crops in Nevada (Doctoral dissertation, University of Nevada, Reno).</w:t>
      </w:r>
    </w:p>
    <w:p w14:paraId="3B4036C3" w14:textId="77777777" w:rsidR="00D20476" w:rsidRPr="007A39B7" w:rsidRDefault="00D20476" w:rsidP="007A39B7">
      <w:pPr>
        <w:pStyle w:val="NormalWeb"/>
        <w:spacing w:before="0" w:beforeAutospacing="0" w:after="0" w:afterAutospacing="0" w:line="360" w:lineRule="auto"/>
        <w:ind w:left="1260" w:hanging="540"/>
      </w:pPr>
      <w:r w:rsidRPr="007A39B7">
        <w:t xml:space="preserve">Scott, C., and Punja, Z. K. 2021. Evaluation of disease management approaches for powdery mildew on </w:t>
      </w:r>
      <w:r w:rsidRPr="007A39B7">
        <w:rPr>
          <w:i/>
          <w:iCs/>
        </w:rPr>
        <w:t>Cannabis sativa</w:t>
      </w:r>
      <w:r w:rsidRPr="007A39B7">
        <w:t xml:space="preserve"> L. (marijuana) plants. Canadian Journal of Plant Pathology, 43(3), 394–412. </w:t>
      </w:r>
      <w:hyperlink r:id="rId123" w:history="1">
        <w:r w:rsidRPr="007A39B7">
          <w:rPr>
            <w:rStyle w:val="Hyperlink"/>
            <w:rFonts w:eastAsia="Arial"/>
            <w:color w:val="auto"/>
            <w:u w:val="none"/>
          </w:rPr>
          <w:t>https://doi.org/10.1080/07060661.2020.1836026</w:t>
        </w:r>
      </w:hyperlink>
    </w:p>
    <w:p w14:paraId="2981A4EB" w14:textId="77777777" w:rsidR="00D20476" w:rsidRPr="007A39B7" w:rsidRDefault="00D20476" w:rsidP="007A39B7">
      <w:pPr>
        <w:pStyle w:val="NormalWeb"/>
        <w:spacing w:before="0" w:beforeAutospacing="0" w:after="0" w:afterAutospacing="0" w:line="360" w:lineRule="auto"/>
        <w:ind w:left="1260" w:hanging="540"/>
      </w:pPr>
      <w:r w:rsidRPr="007A39B7">
        <w:t xml:space="preserve"> Self, A., Woods, D., Studer, M., Powell, S., and Lilbourne, K. 2021. </w:t>
      </w:r>
      <w:r w:rsidRPr="007A39B7">
        <w:rPr>
          <w:i/>
          <w:iCs/>
        </w:rPr>
        <w:t>Five years of hemp in Tennessee. State of the State.</w:t>
      </w:r>
      <w:r w:rsidRPr="007A39B7">
        <w:t xml:space="preserve"> [PowerPoint slides]. University of Tennessee. </w:t>
      </w:r>
      <w:hyperlink r:id="rId124" w:history="1">
        <w:r w:rsidRPr="007A39B7">
          <w:rPr>
            <w:rStyle w:val="Hyperlink"/>
            <w:rFonts w:eastAsia="Arial"/>
            <w:color w:val="auto"/>
            <w:u w:val="none"/>
          </w:rPr>
          <w:t>https://arec.tennessee.edu/wp-content/uploads/sites/17/2021/05/2021-Hemp-Outlook_Policy-TDA.pdf</w:t>
        </w:r>
      </w:hyperlink>
    </w:p>
    <w:p w14:paraId="6DA0892F" w14:textId="77777777" w:rsidR="00D20476" w:rsidRPr="007A39B7" w:rsidRDefault="00D20476" w:rsidP="007A39B7">
      <w:pPr>
        <w:pStyle w:val="NormalWeb"/>
        <w:spacing w:before="0" w:beforeAutospacing="0" w:after="0" w:afterAutospacing="0" w:line="360" w:lineRule="auto"/>
        <w:ind w:left="1260" w:hanging="540"/>
      </w:pPr>
      <w:r w:rsidRPr="007A39B7">
        <w:t xml:space="preserve">Shetty, R., Jensen, B., Shetty, N. P., Hansen, M., Hansen, C. W., Starkey, K. R., and Jørgensen, H. J. L. 2012. Silicon induced resistance against powdery mildew of roses caused by </w:t>
      </w:r>
      <w:r w:rsidRPr="007A39B7">
        <w:rPr>
          <w:i/>
          <w:iCs/>
        </w:rPr>
        <w:t>Podosphaera pannosa</w:t>
      </w:r>
      <w:r w:rsidRPr="007A39B7">
        <w:t xml:space="preserve">. Plant Pathology, 61(1), 120–131. </w:t>
      </w:r>
      <w:hyperlink r:id="rId125" w:history="1">
        <w:r w:rsidRPr="007A39B7">
          <w:rPr>
            <w:rStyle w:val="Hyperlink"/>
            <w:rFonts w:eastAsia="Arial"/>
            <w:color w:val="auto"/>
            <w:u w:val="none"/>
          </w:rPr>
          <w:t>https://doi.org/10.1111/j.1365-3059.2011.02493.x</w:t>
        </w:r>
      </w:hyperlink>
    </w:p>
    <w:p w14:paraId="42BBCAA8" w14:textId="77777777" w:rsidR="00D20476" w:rsidRPr="007A39B7" w:rsidRDefault="00D20476" w:rsidP="007A39B7">
      <w:pPr>
        <w:pStyle w:val="NormalWeb"/>
        <w:spacing w:before="0" w:beforeAutospacing="0" w:after="0" w:afterAutospacing="0" w:line="360" w:lineRule="auto"/>
        <w:ind w:left="1260" w:hanging="540"/>
      </w:pPr>
      <w:r w:rsidRPr="007A39B7">
        <w:t>Stack, G. M., Toth, J. A., Carlson, C. H., Cala, A. R., Marrero-González, M. I., Wilk, R. L., Gentner, D. R., Crawford, J. L., Philippe, G., Rose, J. K. C., Viands, D. R., Smart, C. D., and Smart, L. B. 2021. Season-long characterization of high-cannabinoid hemp (</w:t>
      </w:r>
      <w:r w:rsidRPr="007A39B7">
        <w:rPr>
          <w:i/>
          <w:iCs/>
        </w:rPr>
        <w:t xml:space="preserve">Cannabis sativa </w:t>
      </w:r>
      <w:r w:rsidRPr="007A39B7">
        <w:t xml:space="preserve">L.) reveals variation in cannabinoid accumulation, flowering time, and disease resistance. GCB Bioenergy, 13(4), 546–561. </w:t>
      </w:r>
      <w:hyperlink r:id="rId126" w:history="1">
        <w:r w:rsidRPr="007A39B7">
          <w:rPr>
            <w:rStyle w:val="Hyperlink"/>
            <w:rFonts w:eastAsia="Arial"/>
            <w:color w:val="auto"/>
            <w:u w:val="none"/>
          </w:rPr>
          <w:t>https://doi.org/10.1111/gcbb.12793</w:t>
        </w:r>
      </w:hyperlink>
    </w:p>
    <w:p w14:paraId="395A6F2A" w14:textId="77777777" w:rsidR="00D20476" w:rsidRPr="007A39B7" w:rsidRDefault="00D20476" w:rsidP="007A39B7">
      <w:pPr>
        <w:pStyle w:val="NormalWeb"/>
        <w:spacing w:before="0" w:beforeAutospacing="0" w:after="0" w:afterAutospacing="0" w:line="360" w:lineRule="auto"/>
        <w:ind w:left="1260" w:hanging="540"/>
      </w:pPr>
      <w:r w:rsidRPr="007A39B7">
        <w:t>Sun, H. Y., Zhu, Y. F., Liu, Y. Y., Deng, Y. Y., Li, W., Zhang, A. X., and Chen, H. G. 2014. Evaluation of tebuconazole for the management of Fusarium head blight in China. Australasian Plant Pathology, 43(6), 631-638.</w:t>
      </w:r>
    </w:p>
    <w:p w14:paraId="5D6779D2" w14:textId="77777777" w:rsidR="00D20476" w:rsidRPr="007A39B7" w:rsidRDefault="00D20476" w:rsidP="007A39B7">
      <w:pPr>
        <w:pStyle w:val="NormalWeb"/>
        <w:spacing w:before="0" w:beforeAutospacing="0" w:after="0" w:afterAutospacing="0" w:line="360" w:lineRule="auto"/>
        <w:ind w:left="1260" w:hanging="540"/>
      </w:pPr>
      <w:r w:rsidRPr="007A39B7">
        <w:t xml:space="preserve">Szarka, D., Tymon, L., Amsden, B., Dixon, E., Judy, J., and Gauthier, N. 2019. First report of powdery mildew caused by </w:t>
      </w:r>
      <w:r w:rsidRPr="007A39B7">
        <w:rPr>
          <w:i/>
          <w:iCs/>
        </w:rPr>
        <w:t>Golovinomyces spadiceus</w:t>
      </w:r>
      <w:r w:rsidRPr="007A39B7">
        <w:t xml:space="preserve"> on industrial hemp (</w:t>
      </w:r>
      <w:r w:rsidRPr="007A39B7">
        <w:rPr>
          <w:i/>
          <w:iCs/>
        </w:rPr>
        <w:t>Cannabis sativa</w:t>
      </w:r>
      <w:r w:rsidRPr="007A39B7">
        <w:t>) in Kentucky. Plant Disease, 103(7), 1773-1773.</w:t>
      </w:r>
    </w:p>
    <w:p w14:paraId="65B945C7" w14:textId="77777777" w:rsidR="00D20476" w:rsidRPr="007A39B7" w:rsidRDefault="00D20476" w:rsidP="007A39B7">
      <w:pPr>
        <w:pStyle w:val="NormalWeb"/>
        <w:spacing w:before="0" w:beforeAutospacing="0" w:after="0" w:afterAutospacing="0" w:line="360" w:lineRule="auto"/>
        <w:ind w:left="1260" w:hanging="540"/>
      </w:pPr>
      <w:r w:rsidRPr="007A39B7">
        <w:t>Tennessee Department of Agriculture, 2021, November, 29. Resources for Growers</w:t>
      </w:r>
      <w:r w:rsidRPr="007A39B7">
        <w:rPr>
          <w:i/>
          <w:iCs/>
        </w:rPr>
        <w:t xml:space="preserve">. </w:t>
      </w:r>
      <w:hyperlink r:id="rId127" w:history="1">
        <w:r w:rsidRPr="007A39B7">
          <w:rPr>
            <w:rStyle w:val="Hyperlink"/>
            <w:rFonts w:eastAsia="Arial"/>
            <w:color w:val="auto"/>
            <w:u w:val="none"/>
          </w:rPr>
          <w:t>https://www.tn.gov/agriculture/farms/hemp-industry/hemp/getting-started.html</w:t>
        </w:r>
      </w:hyperlink>
    </w:p>
    <w:p w14:paraId="0FB6D0FE" w14:textId="77777777" w:rsidR="00D20476" w:rsidRPr="007A39B7" w:rsidRDefault="00D20476" w:rsidP="007A39B7">
      <w:pPr>
        <w:pStyle w:val="NormalWeb"/>
        <w:spacing w:before="0" w:beforeAutospacing="0" w:after="0" w:afterAutospacing="0" w:line="360" w:lineRule="auto"/>
        <w:ind w:left="1260" w:hanging="540"/>
      </w:pPr>
      <w:r w:rsidRPr="007A39B7">
        <w:t xml:space="preserve">Tjosvold, S. A., and Koike, S. T. 2001. Evaluation of reduced risk and other biorational fungicides on the control of powdery mildew on greenhouse roses. Acta Horticulturae, 547, 59–70. </w:t>
      </w:r>
      <w:hyperlink r:id="rId128" w:history="1">
        <w:r w:rsidRPr="007A39B7">
          <w:rPr>
            <w:rStyle w:val="Hyperlink"/>
            <w:rFonts w:eastAsia="Arial"/>
            <w:color w:val="auto"/>
            <w:u w:val="none"/>
          </w:rPr>
          <w:t>https://doi.org/10.17660/actahortic.2001.547.7</w:t>
        </w:r>
      </w:hyperlink>
    </w:p>
    <w:p w14:paraId="737C50C0" w14:textId="77777777" w:rsidR="00D20476" w:rsidRPr="007A39B7" w:rsidRDefault="00D20476" w:rsidP="007A39B7">
      <w:pPr>
        <w:pStyle w:val="NormalWeb"/>
        <w:spacing w:before="0" w:beforeAutospacing="0" w:after="0" w:afterAutospacing="0" w:line="360" w:lineRule="auto"/>
        <w:ind w:left="1260" w:hanging="540"/>
      </w:pPr>
      <w:r w:rsidRPr="007A39B7">
        <w:t>Trigiano, R. N., Bernard, E. C., Hadziabdic, D., Dattilo, A. J., and Wadl, P. A. 2016. First report of powdery mildew on whorled sunflower (</w:t>
      </w:r>
      <w:r w:rsidRPr="007A39B7">
        <w:rPr>
          <w:i/>
          <w:iCs/>
        </w:rPr>
        <w:t>Helianthus verticillatus</w:t>
      </w:r>
      <w:r w:rsidRPr="007A39B7">
        <w:t xml:space="preserve">) caused by </w:t>
      </w:r>
      <w:r w:rsidRPr="007A39B7">
        <w:rPr>
          <w:i/>
          <w:iCs/>
        </w:rPr>
        <w:t>Golovinomyces ambrosiae</w:t>
      </w:r>
      <w:r w:rsidRPr="007A39B7">
        <w:t>. Plant Disease, 100(5), 1017.</w:t>
      </w:r>
    </w:p>
    <w:p w14:paraId="0332C399" w14:textId="77777777" w:rsidR="00D20476" w:rsidRPr="007A39B7" w:rsidRDefault="00D20476" w:rsidP="007A39B7">
      <w:pPr>
        <w:pStyle w:val="NormalWeb"/>
        <w:spacing w:before="0" w:beforeAutospacing="0" w:after="0" w:afterAutospacing="0" w:line="360" w:lineRule="auto"/>
        <w:ind w:left="1260" w:hanging="540"/>
      </w:pPr>
      <w:r w:rsidRPr="007A39B7">
        <w:t xml:space="preserve">Trigiano, R. N., Boggess, S. L., and Bernard, E. C. 2018. First report of powdery mildew caused by </w:t>
      </w:r>
      <w:r w:rsidRPr="007A39B7">
        <w:rPr>
          <w:i/>
          <w:iCs/>
        </w:rPr>
        <w:t>Golovinomyces spadiceus</w:t>
      </w:r>
      <w:r w:rsidRPr="007A39B7">
        <w:t xml:space="preserve"> on green and gold (</w:t>
      </w:r>
      <w:r w:rsidRPr="007A39B7">
        <w:rPr>
          <w:i/>
          <w:iCs/>
        </w:rPr>
        <w:t>Chrysogonum virginianum</w:t>
      </w:r>
      <w:r w:rsidRPr="007A39B7">
        <w:t>) in the United States. Plant Disease, 102(1), 252-252.</w:t>
      </w:r>
    </w:p>
    <w:p w14:paraId="4D868326" w14:textId="77777777" w:rsidR="00D20476" w:rsidRPr="007A39B7" w:rsidRDefault="00D20476" w:rsidP="007A39B7">
      <w:pPr>
        <w:pStyle w:val="NormalWeb"/>
        <w:spacing w:before="0" w:beforeAutospacing="0" w:after="0" w:afterAutospacing="0" w:line="360" w:lineRule="auto"/>
        <w:ind w:left="1260" w:hanging="540"/>
      </w:pPr>
      <w:r w:rsidRPr="007A39B7">
        <w:t xml:space="preserve">Vargas-Pérez, M., Egea González, F. J., and Garrido Frenich, A. 2020. Dissipation and residue determination of fluopyram and its metabolites in greenhouse crops. Journal of the Science of Food and Agriculture, 100(13), 4826–4833. </w:t>
      </w:r>
      <w:hyperlink r:id="rId129" w:history="1">
        <w:r w:rsidRPr="007A39B7">
          <w:rPr>
            <w:rStyle w:val="Hyperlink"/>
            <w:rFonts w:eastAsia="Arial"/>
            <w:color w:val="auto"/>
            <w:u w:val="none"/>
          </w:rPr>
          <w:t>https://doi.org/10.1002/jsfa.10542</w:t>
        </w:r>
      </w:hyperlink>
    </w:p>
    <w:p w14:paraId="3C6215FC"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 xml:space="preserve">Veloukas, T., &amp; Karaoglanidis, G. S. (2012). Biological activity of the succinate dehydrogenase inhibitor fluopyram against </w:t>
      </w:r>
      <w:r w:rsidRPr="007A39B7">
        <w:rPr>
          <w:i/>
          <w:shd w:val="clear" w:color="auto" w:fill="FFFFFF"/>
        </w:rPr>
        <w:t>Botrytis cinerea</w:t>
      </w:r>
      <w:r w:rsidRPr="007A39B7">
        <w:rPr>
          <w:shd w:val="clear" w:color="auto" w:fill="FFFFFF"/>
        </w:rPr>
        <w:t xml:space="preserve"> and fungal baseline sensitivity. </w:t>
      </w:r>
      <w:r w:rsidRPr="007A39B7">
        <w:rPr>
          <w:i/>
          <w:iCs/>
          <w:shd w:val="clear" w:color="auto" w:fill="FFFFFF"/>
        </w:rPr>
        <w:t>Pest Management Science</w:t>
      </w:r>
      <w:r w:rsidRPr="007A39B7">
        <w:rPr>
          <w:shd w:val="clear" w:color="auto" w:fill="FFFFFF"/>
        </w:rPr>
        <w:t>, </w:t>
      </w:r>
      <w:r w:rsidRPr="007A39B7">
        <w:rPr>
          <w:i/>
          <w:iCs/>
          <w:shd w:val="clear" w:color="auto" w:fill="FFFFFF"/>
        </w:rPr>
        <w:t>68</w:t>
      </w:r>
      <w:r w:rsidRPr="007A39B7">
        <w:rPr>
          <w:shd w:val="clear" w:color="auto" w:fill="FFFFFF"/>
        </w:rPr>
        <w:t>(6), 858-864.</w:t>
      </w:r>
    </w:p>
    <w:p w14:paraId="19F2327A"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 xml:space="preserve">Vitale, A., Panebianco, A., &amp; Polizzi, G. (2016). Baseline sensitivity and efficacy of fluopyram against </w:t>
      </w:r>
      <w:r w:rsidRPr="007A39B7">
        <w:rPr>
          <w:i/>
          <w:shd w:val="clear" w:color="auto" w:fill="FFFFFF"/>
        </w:rPr>
        <w:t>Botrytis cinerea</w:t>
      </w:r>
      <w:r w:rsidRPr="007A39B7">
        <w:rPr>
          <w:shd w:val="clear" w:color="auto" w:fill="FFFFFF"/>
        </w:rPr>
        <w:t xml:space="preserve"> from table grape in Italy. </w:t>
      </w:r>
      <w:r w:rsidRPr="007A39B7">
        <w:rPr>
          <w:i/>
          <w:iCs/>
          <w:shd w:val="clear" w:color="auto" w:fill="FFFFFF"/>
        </w:rPr>
        <w:t>Annals of Applied Biology</w:t>
      </w:r>
      <w:r w:rsidRPr="007A39B7">
        <w:rPr>
          <w:shd w:val="clear" w:color="auto" w:fill="FFFFFF"/>
        </w:rPr>
        <w:t>, </w:t>
      </w:r>
      <w:r w:rsidRPr="007A39B7">
        <w:rPr>
          <w:i/>
          <w:iCs/>
          <w:shd w:val="clear" w:color="auto" w:fill="FFFFFF"/>
        </w:rPr>
        <w:t>169</w:t>
      </w:r>
      <w:r w:rsidRPr="007A39B7">
        <w:rPr>
          <w:shd w:val="clear" w:color="auto" w:fill="FFFFFF"/>
        </w:rPr>
        <w:t>(1), 36-45.</w:t>
      </w:r>
    </w:p>
    <w:p w14:paraId="7B872232" w14:textId="77777777" w:rsidR="00D20476" w:rsidRPr="007A39B7" w:rsidRDefault="00D20476" w:rsidP="007A39B7">
      <w:pPr>
        <w:pStyle w:val="NormalWeb"/>
        <w:spacing w:before="0" w:beforeAutospacing="0" w:after="0" w:afterAutospacing="0" w:line="360" w:lineRule="auto"/>
        <w:ind w:left="1260" w:hanging="540"/>
      </w:pPr>
      <w:r w:rsidRPr="007A39B7">
        <w:t xml:space="preserve">Walters, D. R., Walker, R. L., and Walker, K. C. 2003. Lauric acid exhibits antifungal activity against plant pathogenic fungi. Journal of Phytopathology, 151(4), 228–230. </w:t>
      </w:r>
      <w:hyperlink r:id="rId130" w:history="1">
        <w:r w:rsidRPr="007A39B7">
          <w:rPr>
            <w:rStyle w:val="Hyperlink"/>
            <w:rFonts w:eastAsia="Arial"/>
            <w:color w:val="auto"/>
            <w:u w:val="none"/>
          </w:rPr>
          <w:t>https://doi.org/10.1046/j.1439-0434.2003.00713.x</w:t>
        </w:r>
      </w:hyperlink>
    </w:p>
    <w:p w14:paraId="0A37DAFE" w14:textId="77777777" w:rsidR="00D20476" w:rsidRPr="007A39B7" w:rsidRDefault="00D20476" w:rsidP="007A39B7">
      <w:pPr>
        <w:pStyle w:val="NormalWeb"/>
        <w:spacing w:before="0" w:beforeAutospacing="0" w:after="0" w:afterAutospacing="0" w:line="360" w:lineRule="auto"/>
        <w:ind w:left="1260" w:hanging="540"/>
      </w:pPr>
      <w:r w:rsidRPr="007A39B7">
        <w:t>Weldon, W. A., Ullrich, M. R., Smart, L. B., Smart, C. D., and Gadoury, D. M. 2020. Cross-infectivity of powdery mildew isolates originating from hemp (</w:t>
      </w:r>
      <w:r w:rsidRPr="007A39B7">
        <w:rPr>
          <w:i/>
          <w:iCs/>
        </w:rPr>
        <w:t>Cannabis sativa</w:t>
      </w:r>
      <w:r w:rsidRPr="007A39B7">
        <w:t>) and Japanese hop (</w:t>
      </w:r>
      <w:r w:rsidRPr="007A39B7">
        <w:rPr>
          <w:i/>
          <w:iCs/>
        </w:rPr>
        <w:t>Humulus japonicus</w:t>
      </w:r>
      <w:r w:rsidRPr="007A39B7">
        <w:t>) in New York. Plant Health Progress, 21(1), 47-53.</w:t>
      </w:r>
    </w:p>
    <w:p w14:paraId="1BD8FB72" w14:textId="77777777" w:rsidR="00D20476" w:rsidRPr="007A39B7" w:rsidRDefault="00D20476" w:rsidP="007A39B7">
      <w:pPr>
        <w:pStyle w:val="NormalWeb"/>
        <w:spacing w:before="0" w:beforeAutospacing="0" w:after="0" w:afterAutospacing="0" w:line="360" w:lineRule="auto"/>
        <w:ind w:left="1260" w:hanging="540"/>
      </w:pPr>
      <w:r w:rsidRPr="007A39B7">
        <w:rPr>
          <w:shd w:val="clear" w:color="auto" w:fill="FFFFFF"/>
        </w:rPr>
        <w:t>Wenneker, M. (2015, June). Controlling powdery mildew (</w:t>
      </w:r>
      <w:r w:rsidRPr="007A39B7">
        <w:rPr>
          <w:i/>
          <w:shd w:val="clear" w:color="auto" w:fill="FFFFFF"/>
        </w:rPr>
        <w:t>Sphaerotheca mors-uvae</w:t>
      </w:r>
      <w:r w:rsidRPr="007A39B7">
        <w:rPr>
          <w:shd w:val="clear" w:color="auto" w:fill="FFFFFF"/>
        </w:rPr>
        <w:t>) of gooseberry (</w:t>
      </w:r>
      <w:r w:rsidRPr="007A39B7">
        <w:rPr>
          <w:i/>
          <w:shd w:val="clear" w:color="auto" w:fill="FFFFFF"/>
        </w:rPr>
        <w:t>Ribes uva-crispa</w:t>
      </w:r>
      <w:r w:rsidRPr="007A39B7">
        <w:rPr>
          <w:shd w:val="clear" w:color="auto" w:fill="FFFFFF"/>
        </w:rPr>
        <w:t>) with potassium bicarbonate and risk of phytotoxicity. In </w:t>
      </w:r>
      <w:r w:rsidRPr="007A39B7">
        <w:rPr>
          <w:i/>
          <w:iCs/>
          <w:shd w:val="clear" w:color="auto" w:fill="FFFFFF"/>
        </w:rPr>
        <w:t>XI International Rubus and R</w:t>
      </w:r>
      <w:r w:rsidRPr="007A39B7">
        <w:rPr>
          <w:i/>
          <w:iCs/>
          <w:color w:val="222222"/>
          <w:shd w:val="clear" w:color="auto" w:fill="FFFFFF"/>
        </w:rPr>
        <w:t>ibes Symposium 1133</w:t>
      </w:r>
      <w:r w:rsidRPr="007A39B7">
        <w:rPr>
          <w:color w:val="222222"/>
          <w:shd w:val="clear" w:color="auto" w:fill="FFFFFF"/>
        </w:rPr>
        <w:t> (pp. 515-520).</w:t>
      </w:r>
    </w:p>
    <w:p w14:paraId="6E330E97" w14:textId="77777777" w:rsidR="00D20476" w:rsidRPr="007A39B7" w:rsidRDefault="00D20476" w:rsidP="007A39B7">
      <w:pPr>
        <w:widowControl/>
        <w:autoSpaceDE/>
        <w:autoSpaceDN/>
        <w:spacing w:after="160" w:line="360" w:lineRule="auto"/>
        <w:rPr>
          <w:rFonts w:eastAsia="Times New Roman" w:cs="Times New Roman"/>
          <w:szCs w:val="24"/>
        </w:rPr>
      </w:pPr>
      <w:r w:rsidRPr="007A39B7">
        <w:rPr>
          <w:rFonts w:cs="Times New Roman"/>
          <w:szCs w:val="24"/>
        </w:rPr>
        <w:br w:type="page"/>
      </w:r>
    </w:p>
    <w:p w14:paraId="37C3B051" w14:textId="77777777" w:rsidR="00D20476" w:rsidRDefault="00D20476" w:rsidP="00D20476">
      <w:pPr>
        <w:pStyle w:val="Heading1"/>
        <w:ind w:left="720"/>
        <w:jc w:val="center"/>
      </w:pPr>
      <w:bookmarkStart w:id="457" w:name="_Toc98812810"/>
      <w:bookmarkStart w:id="458" w:name="_Toc98813018"/>
      <w:bookmarkStart w:id="459" w:name="_Toc98813684"/>
      <w:bookmarkStart w:id="460" w:name="_Toc101048198"/>
      <w:r w:rsidRPr="008E2CD0">
        <w:t>Appendix</w:t>
      </w:r>
      <w:bookmarkEnd w:id="457"/>
      <w:bookmarkEnd w:id="458"/>
      <w:bookmarkEnd w:id="459"/>
      <w:bookmarkEnd w:id="460"/>
    </w:p>
    <w:p w14:paraId="3718005D" w14:textId="77777777" w:rsidR="00D20476" w:rsidRPr="004C3997" w:rsidRDefault="00D20476" w:rsidP="00D20476">
      <w:pPr>
        <w:rPr>
          <w:rFonts w:cs="Times New Roman"/>
          <w:b/>
          <w:szCs w:val="24"/>
        </w:rPr>
      </w:pPr>
    </w:p>
    <w:p w14:paraId="2ED2BE89" w14:textId="1669CEB5" w:rsidR="00D20476" w:rsidRPr="001001BD" w:rsidRDefault="00D20476" w:rsidP="005F275F">
      <w:pPr>
        <w:pStyle w:val="Caption"/>
        <w:framePr w:w="8691" w:wrap="around" w:hAnchor="page" w:x="1771" w:y="258"/>
      </w:pPr>
      <w:bookmarkStart w:id="461" w:name="_Toc101048750"/>
      <w:r w:rsidRPr="001001BD">
        <w:t>Table 5.</w:t>
      </w:r>
      <w:r w:rsidR="00035AE8">
        <w:fldChar w:fldCharType="begin"/>
      </w:r>
      <w:r w:rsidR="00035AE8">
        <w:instrText xml:space="preserve"> SEQ Table_5. \* ARABIC </w:instrText>
      </w:r>
      <w:r w:rsidR="00035AE8">
        <w:fldChar w:fldCharType="separate"/>
      </w:r>
      <w:r w:rsidR="009C2EDC">
        <w:rPr>
          <w:noProof/>
        </w:rPr>
        <w:t>1</w:t>
      </w:r>
      <w:r w:rsidR="00035AE8">
        <w:rPr>
          <w:noProof/>
        </w:rPr>
        <w:fldChar w:fldCharType="end"/>
      </w:r>
      <w:r w:rsidRPr="001001BD">
        <w:t xml:space="preserve">. Reference isolates used to construct the phylogenetic tree based on ITS, IGS, and beta-tubulin gene sequences. Source: Qiu </w:t>
      </w:r>
      <w:r>
        <w:t>et al.,</w:t>
      </w:r>
      <w:r w:rsidRPr="001001BD">
        <w:t xml:space="preserve"> 2020.</w:t>
      </w:r>
      <w:bookmarkEnd w:id="461"/>
    </w:p>
    <w:tbl>
      <w:tblPr>
        <w:tblStyle w:val="ListTable1Light-Accent5"/>
        <w:tblpPr w:leftFromText="180" w:rightFromText="180" w:vertAnchor="text" w:horzAnchor="margin" w:tblpX="220" w:tblpY="1077"/>
        <w:tblW w:w="4525" w:type="pct"/>
        <w:tblLook w:val="04A0" w:firstRow="1" w:lastRow="0" w:firstColumn="1" w:lastColumn="0" w:noHBand="0" w:noVBand="1"/>
      </w:tblPr>
      <w:tblGrid>
        <w:gridCol w:w="2878"/>
        <w:gridCol w:w="1910"/>
        <w:gridCol w:w="1302"/>
        <w:gridCol w:w="1242"/>
        <w:gridCol w:w="1139"/>
      </w:tblGrid>
      <w:tr w:rsidR="00D20476" w:rsidRPr="00CF403D" w14:paraId="588DC7B6" w14:textId="77777777" w:rsidTr="005F275F">
        <w:trPr>
          <w:cnfStyle w:val="100000000000" w:firstRow="1" w:lastRow="0"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1773" w:type="pct"/>
            <w:vMerge w:val="restart"/>
            <w:tcBorders>
              <w:top w:val="single" w:sz="4" w:space="0" w:color="auto"/>
            </w:tcBorders>
            <w:shd w:val="clear" w:color="auto" w:fill="auto"/>
            <w:vAlign w:val="center"/>
          </w:tcPr>
          <w:p w14:paraId="65E463EF" w14:textId="77777777" w:rsidR="00D20476" w:rsidRPr="00CF403D" w:rsidRDefault="00D20476" w:rsidP="005F275F">
            <w:pPr>
              <w:jc w:val="center"/>
              <w:rPr>
                <w:rFonts w:cs="Times New Roman"/>
                <w:sz w:val="20"/>
                <w:szCs w:val="20"/>
              </w:rPr>
            </w:pPr>
            <w:r w:rsidRPr="00CF403D">
              <w:rPr>
                <w:rFonts w:cs="Times New Roman"/>
                <w:sz w:val="20"/>
                <w:szCs w:val="20"/>
              </w:rPr>
              <w:t>Species</w:t>
            </w:r>
          </w:p>
        </w:tc>
        <w:tc>
          <w:tcPr>
            <w:tcW w:w="1202" w:type="pct"/>
            <w:vMerge w:val="restart"/>
            <w:tcBorders>
              <w:top w:val="single" w:sz="4" w:space="0" w:color="auto"/>
            </w:tcBorders>
            <w:shd w:val="clear" w:color="auto" w:fill="auto"/>
            <w:vAlign w:val="center"/>
          </w:tcPr>
          <w:p w14:paraId="05DAC3AF" w14:textId="77777777" w:rsidR="00D20476" w:rsidRPr="00CF403D" w:rsidRDefault="00D20476" w:rsidP="005F275F">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F403D">
              <w:rPr>
                <w:rFonts w:cs="Times New Roman"/>
                <w:sz w:val="20"/>
                <w:szCs w:val="20"/>
              </w:rPr>
              <w:t>Isolate</w:t>
            </w:r>
          </w:p>
        </w:tc>
        <w:tc>
          <w:tcPr>
            <w:tcW w:w="2025" w:type="pct"/>
            <w:gridSpan w:val="3"/>
            <w:tcBorders>
              <w:top w:val="single" w:sz="4" w:space="0" w:color="auto"/>
              <w:bottom w:val="single" w:sz="4" w:space="0" w:color="auto"/>
            </w:tcBorders>
            <w:shd w:val="clear" w:color="auto" w:fill="auto"/>
          </w:tcPr>
          <w:p w14:paraId="3491CDB7" w14:textId="77777777" w:rsidR="00D20476" w:rsidRPr="00CF403D" w:rsidRDefault="00D20476" w:rsidP="005F275F">
            <w:pPr>
              <w:jc w:val="cente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F403D">
              <w:rPr>
                <w:rFonts w:cs="Times New Roman"/>
                <w:sz w:val="20"/>
                <w:szCs w:val="20"/>
              </w:rPr>
              <w:t>GenBank Accession Numbers</w:t>
            </w:r>
          </w:p>
        </w:tc>
      </w:tr>
      <w:tr w:rsidR="00D20476" w:rsidRPr="00CF403D" w14:paraId="13CB688E" w14:textId="77777777" w:rsidTr="005F275F">
        <w:trPr>
          <w:cnfStyle w:val="000000100000" w:firstRow="0" w:lastRow="0" w:firstColumn="0" w:lastColumn="0" w:oddVBand="0" w:evenVBand="0" w:oddHBand="1" w:evenHBand="0" w:firstRowFirstColumn="0" w:firstRowLastColumn="0" w:lastRowFirstColumn="0" w:lastRowLastColumn="0"/>
          <w:trHeight w:val="222"/>
        </w:trPr>
        <w:tc>
          <w:tcPr>
            <w:cnfStyle w:val="001000000000" w:firstRow="0" w:lastRow="0" w:firstColumn="1" w:lastColumn="0" w:oddVBand="0" w:evenVBand="0" w:oddHBand="0" w:evenHBand="0" w:firstRowFirstColumn="0" w:firstRowLastColumn="0" w:lastRowFirstColumn="0" w:lastRowLastColumn="0"/>
            <w:tcW w:w="1773" w:type="pct"/>
            <w:vMerge/>
            <w:tcBorders>
              <w:bottom w:val="single" w:sz="4" w:space="0" w:color="auto"/>
            </w:tcBorders>
            <w:shd w:val="clear" w:color="auto" w:fill="auto"/>
          </w:tcPr>
          <w:p w14:paraId="52336FFA" w14:textId="77777777" w:rsidR="00D20476" w:rsidRPr="00CF403D" w:rsidRDefault="00D20476" w:rsidP="005F275F">
            <w:pPr>
              <w:rPr>
                <w:rFonts w:cs="Times New Roman"/>
                <w:i/>
                <w:sz w:val="20"/>
                <w:szCs w:val="20"/>
              </w:rPr>
            </w:pPr>
          </w:p>
        </w:tc>
        <w:tc>
          <w:tcPr>
            <w:tcW w:w="1202" w:type="pct"/>
            <w:vMerge/>
            <w:tcBorders>
              <w:bottom w:val="single" w:sz="4" w:space="0" w:color="auto"/>
            </w:tcBorders>
            <w:shd w:val="clear" w:color="auto" w:fill="auto"/>
          </w:tcPr>
          <w:p w14:paraId="1A5BA203" w14:textId="77777777" w:rsidR="00D20476" w:rsidRPr="00CF403D"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842" w:type="pct"/>
            <w:tcBorders>
              <w:top w:val="single" w:sz="4" w:space="0" w:color="auto"/>
              <w:bottom w:val="single" w:sz="4" w:space="0" w:color="auto"/>
            </w:tcBorders>
            <w:shd w:val="clear" w:color="auto" w:fill="auto"/>
          </w:tcPr>
          <w:p w14:paraId="48631EE9" w14:textId="77777777" w:rsidR="00D20476" w:rsidRPr="00CF403D" w:rsidRDefault="00D20476" w:rsidP="005F275F">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F403D">
              <w:rPr>
                <w:rFonts w:cs="Times New Roman"/>
                <w:sz w:val="20"/>
                <w:szCs w:val="20"/>
              </w:rPr>
              <w:t>ITS</w:t>
            </w:r>
          </w:p>
        </w:tc>
        <w:tc>
          <w:tcPr>
            <w:tcW w:w="807" w:type="pct"/>
            <w:tcBorders>
              <w:top w:val="single" w:sz="4" w:space="0" w:color="auto"/>
              <w:bottom w:val="single" w:sz="4" w:space="0" w:color="auto"/>
            </w:tcBorders>
            <w:shd w:val="clear" w:color="auto" w:fill="auto"/>
          </w:tcPr>
          <w:p w14:paraId="1DA5B7F9" w14:textId="77777777" w:rsidR="00D20476" w:rsidRPr="00CF403D" w:rsidRDefault="00D20476" w:rsidP="005F275F">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F403D">
              <w:rPr>
                <w:rFonts w:cs="Times New Roman"/>
                <w:sz w:val="20"/>
                <w:szCs w:val="20"/>
              </w:rPr>
              <w:t>IGS</w:t>
            </w:r>
          </w:p>
        </w:tc>
        <w:tc>
          <w:tcPr>
            <w:tcW w:w="377" w:type="pct"/>
            <w:tcBorders>
              <w:top w:val="single" w:sz="4" w:space="0" w:color="auto"/>
              <w:bottom w:val="single" w:sz="4" w:space="0" w:color="auto"/>
            </w:tcBorders>
            <w:shd w:val="clear" w:color="auto" w:fill="auto"/>
          </w:tcPr>
          <w:p w14:paraId="798F9170" w14:textId="2150430C" w:rsidR="00D20476" w:rsidRPr="00CF403D" w:rsidRDefault="00D20476" w:rsidP="005F275F">
            <w:pPr>
              <w:jc w:val="cente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F403D">
              <w:rPr>
                <w:rFonts w:cs="Times New Roman"/>
                <w:sz w:val="20"/>
                <w:szCs w:val="20"/>
              </w:rPr>
              <w:t>Beta-tubulin</w:t>
            </w:r>
          </w:p>
        </w:tc>
      </w:tr>
      <w:tr w:rsidR="00D20476" w:rsidRPr="00CF403D" w14:paraId="0DE772ED" w14:textId="77777777" w:rsidTr="005F275F">
        <w:trPr>
          <w:trHeight w:val="222"/>
        </w:trPr>
        <w:tc>
          <w:tcPr>
            <w:cnfStyle w:val="001000000000" w:firstRow="0" w:lastRow="0" w:firstColumn="1" w:lastColumn="0" w:oddVBand="0" w:evenVBand="0" w:oddHBand="0" w:evenHBand="0" w:firstRowFirstColumn="0" w:firstRowLastColumn="0" w:lastRowFirstColumn="0" w:lastRowLastColumn="0"/>
            <w:tcW w:w="1773" w:type="pct"/>
            <w:tcBorders>
              <w:top w:val="single" w:sz="4" w:space="0" w:color="auto"/>
            </w:tcBorders>
          </w:tcPr>
          <w:p w14:paraId="7D76D497"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ambrosiae </w:t>
            </w:r>
          </w:p>
        </w:tc>
        <w:tc>
          <w:tcPr>
            <w:tcW w:w="1202" w:type="pct"/>
            <w:tcBorders>
              <w:top w:val="single" w:sz="4" w:space="0" w:color="auto"/>
            </w:tcBorders>
          </w:tcPr>
          <w:p w14:paraId="52C6B039"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HMJAU-PM91819</w:t>
            </w:r>
          </w:p>
        </w:tc>
        <w:tc>
          <w:tcPr>
            <w:tcW w:w="842" w:type="pct"/>
            <w:tcBorders>
              <w:top w:val="single" w:sz="4" w:space="0" w:color="auto"/>
            </w:tcBorders>
          </w:tcPr>
          <w:p w14:paraId="2B634EDA"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MK452590 </w:t>
            </w:r>
          </w:p>
        </w:tc>
        <w:tc>
          <w:tcPr>
            <w:tcW w:w="807" w:type="pct"/>
            <w:tcBorders>
              <w:top w:val="single" w:sz="4" w:space="0" w:color="auto"/>
            </w:tcBorders>
          </w:tcPr>
          <w:p w14:paraId="1BD4DA5D"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MK452516 </w:t>
            </w:r>
          </w:p>
        </w:tc>
        <w:tc>
          <w:tcPr>
            <w:tcW w:w="377" w:type="pct"/>
            <w:tcBorders>
              <w:top w:val="single" w:sz="4" w:space="0" w:color="auto"/>
            </w:tcBorders>
          </w:tcPr>
          <w:p w14:paraId="4FC9DB1B"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MK452472</w:t>
            </w:r>
          </w:p>
        </w:tc>
      </w:tr>
      <w:tr w:rsidR="00D20476" w:rsidRPr="00CF403D" w14:paraId="2806057D" w14:textId="77777777" w:rsidTr="005F275F">
        <w:trPr>
          <w:cnfStyle w:val="000000100000" w:firstRow="0" w:lastRow="0" w:firstColumn="0" w:lastColumn="0" w:oddVBand="0" w:evenVBand="0" w:oddHBand="1" w:evenHBand="0" w:firstRowFirstColumn="0" w:firstRowLastColumn="0" w:lastRowFirstColumn="0" w:lastRowLastColumn="0"/>
          <w:trHeight w:val="83"/>
        </w:trPr>
        <w:tc>
          <w:tcPr>
            <w:cnfStyle w:val="001000000000" w:firstRow="0" w:lastRow="0" w:firstColumn="1" w:lastColumn="0" w:oddVBand="0" w:evenVBand="0" w:oddHBand="0" w:evenHBand="0" w:firstRowFirstColumn="0" w:firstRowLastColumn="0" w:lastRowFirstColumn="0" w:lastRowLastColumn="0"/>
            <w:tcW w:w="1773" w:type="pct"/>
          </w:tcPr>
          <w:p w14:paraId="0330B8F4"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ambrosiae </w:t>
            </w:r>
          </w:p>
        </w:tc>
        <w:tc>
          <w:tcPr>
            <w:tcW w:w="1202" w:type="pct"/>
          </w:tcPr>
          <w:p w14:paraId="7F342DB9"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HMJAU-PM91820</w:t>
            </w:r>
          </w:p>
        </w:tc>
        <w:tc>
          <w:tcPr>
            <w:tcW w:w="842" w:type="pct"/>
          </w:tcPr>
          <w:p w14:paraId="0FCAFE2F"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MK452591</w:t>
            </w:r>
          </w:p>
        </w:tc>
        <w:tc>
          <w:tcPr>
            <w:tcW w:w="807" w:type="pct"/>
          </w:tcPr>
          <w:p w14:paraId="798611BC"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 xml:space="preserve">MK452517 </w:t>
            </w:r>
          </w:p>
        </w:tc>
        <w:tc>
          <w:tcPr>
            <w:tcW w:w="377" w:type="pct"/>
          </w:tcPr>
          <w:p w14:paraId="27635023"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MK452473</w:t>
            </w:r>
          </w:p>
        </w:tc>
      </w:tr>
      <w:tr w:rsidR="00D20476" w:rsidRPr="00CF403D" w14:paraId="4D39F5B2" w14:textId="77777777" w:rsidTr="005F275F">
        <w:trPr>
          <w:trHeight w:val="79"/>
        </w:trPr>
        <w:tc>
          <w:tcPr>
            <w:cnfStyle w:val="001000000000" w:firstRow="0" w:lastRow="0" w:firstColumn="1" w:lastColumn="0" w:oddVBand="0" w:evenVBand="0" w:oddHBand="0" w:evenHBand="0" w:firstRowFirstColumn="0" w:firstRowLastColumn="0" w:lastRowFirstColumn="0" w:lastRowLastColumn="0"/>
            <w:tcW w:w="1773" w:type="pct"/>
          </w:tcPr>
          <w:p w14:paraId="0A0D5DC9"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ambrosiae </w:t>
            </w:r>
          </w:p>
        </w:tc>
        <w:tc>
          <w:tcPr>
            <w:tcW w:w="1202" w:type="pct"/>
          </w:tcPr>
          <w:p w14:paraId="3DD3A589"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HMJAU-PM91836</w:t>
            </w:r>
          </w:p>
        </w:tc>
        <w:tc>
          <w:tcPr>
            <w:tcW w:w="842" w:type="pct"/>
          </w:tcPr>
          <w:p w14:paraId="7B82577A"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KX987303 </w:t>
            </w:r>
          </w:p>
        </w:tc>
        <w:tc>
          <w:tcPr>
            <w:tcW w:w="807" w:type="pct"/>
          </w:tcPr>
          <w:p w14:paraId="5262D3F0"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MK452533 </w:t>
            </w:r>
          </w:p>
        </w:tc>
        <w:tc>
          <w:tcPr>
            <w:tcW w:w="377" w:type="pct"/>
          </w:tcPr>
          <w:p w14:paraId="34697854"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MK389490</w:t>
            </w:r>
          </w:p>
        </w:tc>
      </w:tr>
      <w:tr w:rsidR="00D20476" w:rsidRPr="00CF403D" w14:paraId="015FE2AD" w14:textId="77777777" w:rsidTr="005F275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73" w:type="pct"/>
          </w:tcPr>
          <w:p w14:paraId="43939CEF"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ambrosiae </w:t>
            </w:r>
          </w:p>
        </w:tc>
        <w:tc>
          <w:tcPr>
            <w:tcW w:w="1202" w:type="pct"/>
          </w:tcPr>
          <w:p w14:paraId="10F84C8D"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HMJAU-PM91842</w:t>
            </w:r>
          </w:p>
        </w:tc>
        <w:tc>
          <w:tcPr>
            <w:tcW w:w="842" w:type="pct"/>
          </w:tcPr>
          <w:p w14:paraId="209D7AE4"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MK452612</w:t>
            </w:r>
          </w:p>
        </w:tc>
        <w:tc>
          <w:tcPr>
            <w:tcW w:w="807" w:type="pct"/>
          </w:tcPr>
          <w:p w14:paraId="5480431C"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 xml:space="preserve">MK452537 </w:t>
            </w:r>
          </w:p>
        </w:tc>
        <w:tc>
          <w:tcPr>
            <w:tcW w:w="377" w:type="pct"/>
          </w:tcPr>
          <w:p w14:paraId="579B718C"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MK452487</w:t>
            </w:r>
          </w:p>
        </w:tc>
      </w:tr>
      <w:tr w:rsidR="00D20476" w:rsidRPr="00CF403D" w14:paraId="543A33C2" w14:textId="77777777" w:rsidTr="005F275F">
        <w:trPr>
          <w:trHeight w:val="54"/>
        </w:trPr>
        <w:tc>
          <w:tcPr>
            <w:cnfStyle w:val="001000000000" w:firstRow="0" w:lastRow="0" w:firstColumn="1" w:lastColumn="0" w:oddVBand="0" w:evenVBand="0" w:oddHBand="0" w:evenHBand="0" w:firstRowFirstColumn="0" w:firstRowLastColumn="0" w:lastRowFirstColumn="0" w:lastRowLastColumn="0"/>
            <w:tcW w:w="1773" w:type="pct"/>
          </w:tcPr>
          <w:p w14:paraId="5687C004"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ambrosiae </w:t>
            </w:r>
          </w:p>
        </w:tc>
        <w:tc>
          <w:tcPr>
            <w:tcW w:w="1202" w:type="pct"/>
          </w:tcPr>
          <w:p w14:paraId="30DE49FF"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HMJAU-PM91855</w:t>
            </w:r>
          </w:p>
        </w:tc>
        <w:tc>
          <w:tcPr>
            <w:tcW w:w="842" w:type="pct"/>
          </w:tcPr>
          <w:p w14:paraId="5AC99A32"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MK452626</w:t>
            </w:r>
          </w:p>
        </w:tc>
        <w:tc>
          <w:tcPr>
            <w:tcW w:w="807" w:type="pct"/>
          </w:tcPr>
          <w:p w14:paraId="032D52D9"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MK452551 </w:t>
            </w:r>
          </w:p>
        </w:tc>
        <w:tc>
          <w:tcPr>
            <w:tcW w:w="377" w:type="pct"/>
          </w:tcPr>
          <w:p w14:paraId="7CD00AC5"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MK452496</w:t>
            </w:r>
          </w:p>
        </w:tc>
      </w:tr>
      <w:tr w:rsidR="00D20476" w:rsidRPr="00CF403D" w14:paraId="0AC44F7A" w14:textId="77777777" w:rsidTr="005F275F">
        <w:trPr>
          <w:cnfStyle w:val="000000100000" w:firstRow="0" w:lastRow="0" w:firstColumn="0" w:lastColumn="0" w:oddVBand="0" w:evenVBand="0" w:oddHBand="1"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773" w:type="pct"/>
          </w:tcPr>
          <w:p w14:paraId="57E0848C"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circumfusus </w:t>
            </w:r>
          </w:p>
        </w:tc>
        <w:tc>
          <w:tcPr>
            <w:tcW w:w="1202" w:type="pct"/>
          </w:tcPr>
          <w:p w14:paraId="5B49DE5A"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HAL 3300</w:t>
            </w:r>
          </w:p>
        </w:tc>
        <w:tc>
          <w:tcPr>
            <w:tcW w:w="842" w:type="pct"/>
          </w:tcPr>
          <w:p w14:paraId="3BE40753"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 xml:space="preserve">MK452628 </w:t>
            </w:r>
          </w:p>
        </w:tc>
        <w:tc>
          <w:tcPr>
            <w:tcW w:w="807" w:type="pct"/>
          </w:tcPr>
          <w:p w14:paraId="35F9D2D2"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 xml:space="preserve">MK452555 </w:t>
            </w:r>
          </w:p>
        </w:tc>
        <w:tc>
          <w:tcPr>
            <w:tcW w:w="377" w:type="pct"/>
          </w:tcPr>
          <w:p w14:paraId="4C1989B2"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MK452459</w:t>
            </w:r>
          </w:p>
        </w:tc>
      </w:tr>
      <w:tr w:rsidR="00D20476" w:rsidRPr="00CF403D" w14:paraId="37A80008" w14:textId="77777777" w:rsidTr="005F275F">
        <w:trPr>
          <w:trHeight w:val="300"/>
        </w:trPr>
        <w:tc>
          <w:tcPr>
            <w:cnfStyle w:val="001000000000" w:firstRow="0" w:lastRow="0" w:firstColumn="1" w:lastColumn="0" w:oddVBand="0" w:evenVBand="0" w:oddHBand="0" w:evenHBand="0" w:firstRowFirstColumn="0" w:firstRowLastColumn="0" w:lastRowFirstColumn="0" w:lastRowLastColumn="0"/>
            <w:tcW w:w="1773" w:type="pct"/>
          </w:tcPr>
          <w:p w14:paraId="2829BEAF"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latisporus </w:t>
            </w:r>
          </w:p>
        </w:tc>
        <w:tc>
          <w:tcPr>
            <w:tcW w:w="1202" w:type="pct"/>
          </w:tcPr>
          <w:p w14:paraId="6484FE5D"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HMJAU-PM91829</w:t>
            </w:r>
          </w:p>
        </w:tc>
        <w:tc>
          <w:tcPr>
            <w:tcW w:w="842" w:type="pct"/>
          </w:tcPr>
          <w:p w14:paraId="5D1F17DD"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MK452600 </w:t>
            </w:r>
          </w:p>
        </w:tc>
        <w:tc>
          <w:tcPr>
            <w:tcW w:w="807" w:type="pct"/>
          </w:tcPr>
          <w:p w14:paraId="0CE37093"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MK452526 </w:t>
            </w:r>
          </w:p>
        </w:tc>
        <w:tc>
          <w:tcPr>
            <w:tcW w:w="377" w:type="pct"/>
          </w:tcPr>
          <w:p w14:paraId="0C62717A"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MK452482</w:t>
            </w:r>
          </w:p>
        </w:tc>
      </w:tr>
      <w:tr w:rsidR="00D20476" w:rsidRPr="00CF403D" w14:paraId="03E1DD90" w14:textId="77777777" w:rsidTr="005F27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3" w:type="pct"/>
          </w:tcPr>
          <w:p w14:paraId="4315FAEA"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latisporus </w:t>
            </w:r>
          </w:p>
        </w:tc>
        <w:tc>
          <w:tcPr>
            <w:tcW w:w="1202" w:type="pct"/>
          </w:tcPr>
          <w:p w14:paraId="3D47ABD7"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HMJAU-PM91830</w:t>
            </w:r>
          </w:p>
        </w:tc>
        <w:tc>
          <w:tcPr>
            <w:tcW w:w="842" w:type="pct"/>
          </w:tcPr>
          <w:p w14:paraId="01981FDD"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MK452601</w:t>
            </w:r>
          </w:p>
        </w:tc>
        <w:tc>
          <w:tcPr>
            <w:tcW w:w="807" w:type="pct"/>
          </w:tcPr>
          <w:p w14:paraId="440B2313"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MK452527</w:t>
            </w:r>
          </w:p>
        </w:tc>
        <w:tc>
          <w:tcPr>
            <w:tcW w:w="377" w:type="pct"/>
          </w:tcPr>
          <w:p w14:paraId="7A4D55CF"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MK452483</w:t>
            </w:r>
          </w:p>
        </w:tc>
      </w:tr>
      <w:tr w:rsidR="00D20476" w:rsidRPr="00CF403D" w14:paraId="6C6EE8FB" w14:textId="77777777" w:rsidTr="005F275F">
        <w:trPr>
          <w:trHeight w:val="294"/>
        </w:trPr>
        <w:tc>
          <w:tcPr>
            <w:cnfStyle w:val="001000000000" w:firstRow="0" w:lastRow="0" w:firstColumn="1" w:lastColumn="0" w:oddVBand="0" w:evenVBand="0" w:oddHBand="0" w:evenHBand="0" w:firstRowFirstColumn="0" w:firstRowLastColumn="0" w:lastRowFirstColumn="0" w:lastRowLastColumn="0"/>
            <w:tcW w:w="1773" w:type="pct"/>
          </w:tcPr>
          <w:p w14:paraId="0AFD9E6E"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latisporus </w:t>
            </w:r>
          </w:p>
        </w:tc>
        <w:tc>
          <w:tcPr>
            <w:tcW w:w="1202" w:type="pct"/>
          </w:tcPr>
          <w:p w14:paraId="3EB38F85"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HMJAU-PM91831</w:t>
            </w:r>
          </w:p>
        </w:tc>
        <w:tc>
          <w:tcPr>
            <w:tcW w:w="842" w:type="pct"/>
          </w:tcPr>
          <w:p w14:paraId="0995A594"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MK452602 </w:t>
            </w:r>
          </w:p>
        </w:tc>
        <w:tc>
          <w:tcPr>
            <w:tcW w:w="807" w:type="pct"/>
          </w:tcPr>
          <w:p w14:paraId="4CFDE473"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 xml:space="preserve">MK452528 </w:t>
            </w:r>
          </w:p>
        </w:tc>
        <w:tc>
          <w:tcPr>
            <w:tcW w:w="377" w:type="pct"/>
          </w:tcPr>
          <w:p w14:paraId="4331E6C5"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MK452484</w:t>
            </w:r>
          </w:p>
        </w:tc>
      </w:tr>
      <w:tr w:rsidR="00D20476" w:rsidRPr="00CF403D" w14:paraId="46B995DC" w14:textId="77777777" w:rsidTr="005F27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3" w:type="pct"/>
          </w:tcPr>
          <w:p w14:paraId="75ECE815"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latisporus </w:t>
            </w:r>
          </w:p>
        </w:tc>
        <w:tc>
          <w:tcPr>
            <w:tcW w:w="1202" w:type="pct"/>
          </w:tcPr>
          <w:p w14:paraId="1C90540F"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HMJAU-PM91828</w:t>
            </w:r>
          </w:p>
        </w:tc>
        <w:tc>
          <w:tcPr>
            <w:tcW w:w="842" w:type="pct"/>
          </w:tcPr>
          <w:p w14:paraId="67F5829D"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MK452599</w:t>
            </w:r>
          </w:p>
        </w:tc>
        <w:tc>
          <w:tcPr>
            <w:tcW w:w="807" w:type="pct"/>
          </w:tcPr>
          <w:p w14:paraId="50A09F98"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MK452525</w:t>
            </w:r>
          </w:p>
        </w:tc>
        <w:tc>
          <w:tcPr>
            <w:tcW w:w="377" w:type="pct"/>
          </w:tcPr>
          <w:p w14:paraId="3D176CE6"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MK452481</w:t>
            </w:r>
          </w:p>
        </w:tc>
      </w:tr>
      <w:tr w:rsidR="00D20476" w:rsidRPr="00CF403D" w14:paraId="0ABC2275" w14:textId="77777777" w:rsidTr="005F275F">
        <w:trPr>
          <w:trHeight w:val="294"/>
        </w:trPr>
        <w:tc>
          <w:tcPr>
            <w:cnfStyle w:val="001000000000" w:firstRow="0" w:lastRow="0" w:firstColumn="1" w:lastColumn="0" w:oddVBand="0" w:evenVBand="0" w:oddHBand="0" w:evenHBand="0" w:firstRowFirstColumn="0" w:firstRowLastColumn="0" w:lastRowFirstColumn="0" w:lastRowLastColumn="0"/>
            <w:tcW w:w="1773" w:type="pct"/>
          </w:tcPr>
          <w:p w14:paraId="58B6FEC0"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latisporus </w:t>
            </w:r>
          </w:p>
        </w:tc>
        <w:tc>
          <w:tcPr>
            <w:tcW w:w="1202" w:type="pct"/>
          </w:tcPr>
          <w:p w14:paraId="7F57DFD1"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HMJAU-PM91832</w:t>
            </w:r>
          </w:p>
        </w:tc>
        <w:tc>
          <w:tcPr>
            <w:tcW w:w="842" w:type="pct"/>
          </w:tcPr>
          <w:p w14:paraId="69324D7C"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MK452603</w:t>
            </w:r>
          </w:p>
        </w:tc>
        <w:tc>
          <w:tcPr>
            <w:tcW w:w="807" w:type="pct"/>
          </w:tcPr>
          <w:p w14:paraId="49D371ED"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MK452529</w:t>
            </w:r>
          </w:p>
        </w:tc>
        <w:tc>
          <w:tcPr>
            <w:tcW w:w="377" w:type="pct"/>
          </w:tcPr>
          <w:p w14:paraId="4FC66FCE" w14:textId="77777777" w:rsidR="00D20476" w:rsidRPr="00D9430E"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D9430E">
              <w:rPr>
                <w:rFonts w:cs="Times New Roman"/>
                <w:sz w:val="20"/>
                <w:szCs w:val="20"/>
              </w:rPr>
              <w:t>MK452485</w:t>
            </w:r>
          </w:p>
        </w:tc>
      </w:tr>
      <w:tr w:rsidR="00D20476" w:rsidRPr="00CF403D" w14:paraId="1A7E3B60" w14:textId="77777777" w:rsidTr="005F27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773" w:type="pct"/>
            <w:tcBorders>
              <w:bottom w:val="single" w:sz="4" w:space="0" w:color="auto"/>
            </w:tcBorders>
          </w:tcPr>
          <w:p w14:paraId="6E829634" w14:textId="77777777" w:rsidR="00D20476" w:rsidRPr="00D9430E" w:rsidRDefault="00D20476" w:rsidP="005F275F">
            <w:pPr>
              <w:rPr>
                <w:rFonts w:cs="Times New Roman"/>
                <w:b w:val="0"/>
                <w:i/>
                <w:sz w:val="20"/>
                <w:szCs w:val="20"/>
              </w:rPr>
            </w:pPr>
            <w:r w:rsidRPr="00D9430E">
              <w:rPr>
                <w:rFonts w:cs="Times New Roman"/>
                <w:b w:val="0"/>
                <w:i/>
                <w:sz w:val="20"/>
                <w:szCs w:val="20"/>
              </w:rPr>
              <w:t xml:space="preserve">Golovinomyces magnicellulatus  </w:t>
            </w:r>
          </w:p>
        </w:tc>
        <w:tc>
          <w:tcPr>
            <w:tcW w:w="1202" w:type="pct"/>
            <w:tcBorders>
              <w:bottom w:val="single" w:sz="4" w:space="0" w:color="auto"/>
            </w:tcBorders>
          </w:tcPr>
          <w:p w14:paraId="22C92F78"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HMJAU-PM91840</w:t>
            </w:r>
          </w:p>
        </w:tc>
        <w:tc>
          <w:tcPr>
            <w:tcW w:w="842" w:type="pct"/>
            <w:tcBorders>
              <w:bottom w:val="single" w:sz="4" w:space="0" w:color="auto"/>
            </w:tcBorders>
          </w:tcPr>
          <w:p w14:paraId="1B2EDBB3"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 xml:space="preserve">MK452610 </w:t>
            </w:r>
          </w:p>
        </w:tc>
        <w:tc>
          <w:tcPr>
            <w:tcW w:w="807" w:type="pct"/>
            <w:tcBorders>
              <w:bottom w:val="single" w:sz="4" w:space="0" w:color="auto"/>
            </w:tcBorders>
          </w:tcPr>
          <w:p w14:paraId="6FAF11FB"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MK452534</w:t>
            </w:r>
          </w:p>
        </w:tc>
        <w:tc>
          <w:tcPr>
            <w:tcW w:w="377" w:type="pct"/>
            <w:tcBorders>
              <w:bottom w:val="single" w:sz="4" w:space="0" w:color="auto"/>
            </w:tcBorders>
          </w:tcPr>
          <w:p w14:paraId="2A51AD9D" w14:textId="77777777" w:rsidR="00D20476" w:rsidRPr="00D9430E"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D9430E">
              <w:rPr>
                <w:rFonts w:cs="Times New Roman"/>
                <w:sz w:val="20"/>
                <w:szCs w:val="20"/>
              </w:rPr>
              <w:t>MK452486</w:t>
            </w:r>
          </w:p>
        </w:tc>
      </w:tr>
    </w:tbl>
    <w:p w14:paraId="77B89575" w14:textId="77777777" w:rsidR="00D20476" w:rsidRPr="004C3997" w:rsidRDefault="00D20476" w:rsidP="00D20476">
      <w:pPr>
        <w:rPr>
          <w:rFonts w:cs="Times New Roman"/>
          <w:szCs w:val="24"/>
        </w:rPr>
      </w:pPr>
      <w:r w:rsidRPr="004C3997">
        <w:rPr>
          <w:rFonts w:cs="Times New Roman"/>
          <w:szCs w:val="24"/>
        </w:rPr>
        <w:br w:type="page"/>
      </w:r>
    </w:p>
    <w:p w14:paraId="7F4AA38F" w14:textId="1C949C56" w:rsidR="00D20476" w:rsidRPr="001001BD" w:rsidRDefault="00D20476" w:rsidP="005F275F">
      <w:pPr>
        <w:pStyle w:val="Caption"/>
        <w:framePr w:wrap="around" w:hAnchor="page" w:x="1881" w:y="361"/>
      </w:pPr>
      <w:bookmarkStart w:id="462" w:name="_Toc101048751"/>
      <w:r w:rsidRPr="001001BD">
        <w:t>Table 5.</w:t>
      </w:r>
      <w:r w:rsidR="00035AE8">
        <w:fldChar w:fldCharType="begin"/>
      </w:r>
      <w:r w:rsidR="00035AE8">
        <w:instrText xml:space="preserve"> SEQ Table_5. \* ARABIC </w:instrText>
      </w:r>
      <w:r w:rsidR="00035AE8">
        <w:fldChar w:fldCharType="separate"/>
      </w:r>
      <w:r w:rsidR="009C2EDC">
        <w:rPr>
          <w:noProof/>
        </w:rPr>
        <w:t>2</w:t>
      </w:r>
      <w:r w:rsidR="00035AE8">
        <w:rPr>
          <w:noProof/>
        </w:rPr>
        <w:fldChar w:fldCharType="end"/>
      </w:r>
      <w:r w:rsidRPr="001001BD">
        <w:t>. Products evaluated against hemp powdery mildew in greenhouse trials</w:t>
      </w:r>
      <w:bookmarkEnd w:id="462"/>
    </w:p>
    <w:tbl>
      <w:tblPr>
        <w:tblStyle w:val="ListTable1Light-Accent5"/>
        <w:tblpPr w:leftFromText="180" w:rightFromText="180" w:vertAnchor="page" w:horzAnchor="margin" w:tblpXSpec="center" w:tblpY="2341"/>
        <w:tblW w:w="8640" w:type="dxa"/>
        <w:tblLook w:val="04A0" w:firstRow="1" w:lastRow="0" w:firstColumn="1" w:lastColumn="0" w:noHBand="0" w:noVBand="1"/>
      </w:tblPr>
      <w:tblGrid>
        <w:gridCol w:w="2880"/>
        <w:gridCol w:w="2610"/>
        <w:gridCol w:w="3150"/>
      </w:tblGrid>
      <w:tr w:rsidR="00D20476" w:rsidRPr="00CF403D" w14:paraId="71C14C2C" w14:textId="77777777" w:rsidTr="005F275F">
        <w:trPr>
          <w:cnfStyle w:val="100000000000" w:firstRow="1" w:lastRow="0" w:firstColumn="0" w:lastColumn="0" w:oddVBand="0" w:evenVBand="0" w:oddHBand="0"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bottom w:val="single" w:sz="4" w:space="0" w:color="auto"/>
            </w:tcBorders>
            <w:noWrap/>
            <w:hideMark/>
          </w:tcPr>
          <w:p w14:paraId="6D71A11A"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Product (Rate/A)</w:t>
            </w:r>
          </w:p>
        </w:tc>
        <w:tc>
          <w:tcPr>
            <w:tcW w:w="2610" w:type="dxa"/>
            <w:tcBorders>
              <w:top w:val="single" w:sz="4" w:space="0" w:color="auto"/>
              <w:bottom w:val="single" w:sz="4" w:space="0" w:color="auto"/>
            </w:tcBorders>
            <w:noWrap/>
            <w:hideMark/>
          </w:tcPr>
          <w:p w14:paraId="3B3E61E6" w14:textId="77777777" w:rsidR="00D20476" w:rsidRPr="001B2447" w:rsidRDefault="00D20476" w:rsidP="005F275F">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1B2447">
              <w:rPr>
                <w:rFonts w:ascii="Times New Roman" w:hAnsi="Times New Roman" w:cs="Times New Roman"/>
                <w:b w:val="0"/>
                <w:sz w:val="20"/>
                <w:szCs w:val="20"/>
              </w:rPr>
              <w:t xml:space="preserve">Active ingredient </w:t>
            </w:r>
          </w:p>
        </w:tc>
        <w:tc>
          <w:tcPr>
            <w:tcW w:w="3150" w:type="dxa"/>
            <w:tcBorders>
              <w:top w:val="single" w:sz="4" w:space="0" w:color="auto"/>
              <w:bottom w:val="single" w:sz="4" w:space="0" w:color="auto"/>
            </w:tcBorders>
            <w:noWrap/>
            <w:hideMark/>
          </w:tcPr>
          <w:p w14:paraId="633E8D58" w14:textId="77777777" w:rsidR="00D20476" w:rsidRPr="001B2447" w:rsidRDefault="00D20476" w:rsidP="005F275F">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1B2447">
              <w:rPr>
                <w:rFonts w:ascii="Times New Roman" w:hAnsi="Times New Roman" w:cs="Times New Roman"/>
                <w:b w:val="0"/>
                <w:sz w:val="20"/>
                <w:szCs w:val="20"/>
              </w:rPr>
              <w:t xml:space="preserve">Source </w:t>
            </w:r>
          </w:p>
        </w:tc>
      </w:tr>
      <w:tr w:rsidR="00D20476" w:rsidRPr="00CF403D" w14:paraId="152CB5B6" w14:textId="77777777" w:rsidTr="005F275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0" w:type="dxa"/>
            <w:tcBorders>
              <w:top w:val="single" w:sz="4" w:space="0" w:color="auto"/>
            </w:tcBorders>
            <w:noWrap/>
            <w:hideMark/>
          </w:tcPr>
          <w:p w14:paraId="1F9420B5"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Bonide sulfur (1.2%  w/v)</w:t>
            </w:r>
          </w:p>
        </w:tc>
        <w:tc>
          <w:tcPr>
            <w:tcW w:w="2610" w:type="dxa"/>
            <w:tcBorders>
              <w:top w:val="single" w:sz="4" w:space="0" w:color="auto"/>
            </w:tcBorders>
            <w:noWrap/>
            <w:hideMark/>
          </w:tcPr>
          <w:p w14:paraId="10B788D0"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Sulfur</w:t>
            </w:r>
          </w:p>
        </w:tc>
        <w:tc>
          <w:tcPr>
            <w:tcW w:w="3150" w:type="dxa"/>
            <w:tcBorders>
              <w:top w:val="single" w:sz="4" w:space="0" w:color="auto"/>
            </w:tcBorders>
            <w:noWrap/>
            <w:hideMark/>
          </w:tcPr>
          <w:p w14:paraId="6C084ADB"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Bonide Products, Inc., New York, USA</w:t>
            </w:r>
          </w:p>
        </w:tc>
      </w:tr>
      <w:tr w:rsidR="00D20476" w:rsidRPr="00CF403D" w14:paraId="37A8B5B2" w14:textId="77777777" w:rsidTr="005F275F">
        <w:trPr>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F43CE39"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Cinerrate (1 qt)</w:t>
            </w:r>
          </w:p>
        </w:tc>
        <w:tc>
          <w:tcPr>
            <w:tcW w:w="2610" w:type="dxa"/>
            <w:noWrap/>
            <w:hideMark/>
          </w:tcPr>
          <w:p w14:paraId="174B4903"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Cinnamon oil</w:t>
            </w:r>
          </w:p>
        </w:tc>
        <w:tc>
          <w:tcPr>
            <w:tcW w:w="3150" w:type="dxa"/>
            <w:noWrap/>
            <w:hideMark/>
          </w:tcPr>
          <w:p w14:paraId="3E3CA592"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SEIPASA, S.A, Spain</w:t>
            </w:r>
          </w:p>
        </w:tc>
      </w:tr>
      <w:tr w:rsidR="00D20476" w:rsidRPr="00CF403D" w14:paraId="571E5DBA" w14:textId="77777777" w:rsidTr="005F275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E4F3778"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Defguard (6 qt)</w:t>
            </w:r>
          </w:p>
        </w:tc>
        <w:tc>
          <w:tcPr>
            <w:tcW w:w="2610" w:type="dxa"/>
            <w:noWrap/>
            <w:hideMark/>
          </w:tcPr>
          <w:p w14:paraId="200FCD37"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i/>
                <w:iCs/>
                <w:sz w:val="20"/>
                <w:szCs w:val="20"/>
              </w:rPr>
              <w:t>Bacillus amyloliquefaciens</w:t>
            </w:r>
            <w:r w:rsidRPr="001B2447">
              <w:rPr>
                <w:rFonts w:ascii="Times New Roman" w:hAnsi="Times New Roman" w:cs="Times New Roman"/>
                <w:sz w:val="20"/>
                <w:szCs w:val="20"/>
              </w:rPr>
              <w:t xml:space="preserve"> strain D747</w:t>
            </w:r>
          </w:p>
        </w:tc>
        <w:tc>
          <w:tcPr>
            <w:tcW w:w="3150" w:type="dxa"/>
            <w:noWrap/>
            <w:hideMark/>
          </w:tcPr>
          <w:p w14:paraId="1940698F"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General Hydroponics, California, USA</w:t>
            </w:r>
          </w:p>
        </w:tc>
      </w:tr>
      <w:tr w:rsidR="00D20476" w:rsidRPr="00CF403D" w14:paraId="37E74C72" w14:textId="77777777" w:rsidTr="005F275F">
        <w:trPr>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2FE8D0D"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Exile (4 qt)</w:t>
            </w:r>
          </w:p>
        </w:tc>
        <w:tc>
          <w:tcPr>
            <w:tcW w:w="2610" w:type="dxa"/>
            <w:noWrap/>
            <w:hideMark/>
          </w:tcPr>
          <w:p w14:paraId="3A75F574"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Potassium salts of fatty acids</w:t>
            </w:r>
          </w:p>
        </w:tc>
        <w:tc>
          <w:tcPr>
            <w:tcW w:w="3150" w:type="dxa"/>
            <w:noWrap/>
            <w:hideMark/>
          </w:tcPr>
          <w:p w14:paraId="5A5632CA"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General Hydroponics, California, USA</w:t>
            </w:r>
          </w:p>
        </w:tc>
      </w:tr>
      <w:tr w:rsidR="00D20476" w:rsidRPr="00CF403D" w14:paraId="0B41321A" w14:textId="77777777" w:rsidTr="005F275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3F6C7BD1"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IP-1</w:t>
            </w:r>
          </w:p>
        </w:tc>
        <w:tc>
          <w:tcPr>
            <w:tcW w:w="2610" w:type="dxa"/>
            <w:noWrap/>
            <w:hideMark/>
          </w:tcPr>
          <w:p w14:paraId="3FD6E8ED"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Proprietary</w:t>
            </w:r>
          </w:p>
        </w:tc>
        <w:tc>
          <w:tcPr>
            <w:tcW w:w="3150" w:type="dxa"/>
            <w:noWrap/>
            <w:hideMark/>
          </w:tcPr>
          <w:p w14:paraId="32B2AA6F"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Industry partner</w:t>
            </w:r>
          </w:p>
        </w:tc>
      </w:tr>
      <w:tr w:rsidR="00D20476" w:rsidRPr="00CF403D" w14:paraId="2FB38294" w14:textId="77777777" w:rsidTr="005F275F">
        <w:trPr>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5F2BD7C0"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 xml:space="preserve">IP-2 (1% v/v)  </w:t>
            </w:r>
          </w:p>
        </w:tc>
        <w:tc>
          <w:tcPr>
            <w:tcW w:w="2610" w:type="dxa"/>
            <w:noWrap/>
            <w:hideMark/>
          </w:tcPr>
          <w:p w14:paraId="3000C574"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Proprietary</w:t>
            </w:r>
          </w:p>
        </w:tc>
        <w:tc>
          <w:tcPr>
            <w:tcW w:w="3150" w:type="dxa"/>
            <w:noWrap/>
            <w:hideMark/>
          </w:tcPr>
          <w:p w14:paraId="28A3D1C7"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Industry partner</w:t>
            </w:r>
          </w:p>
        </w:tc>
      </w:tr>
      <w:tr w:rsidR="00D20476" w:rsidRPr="00CF403D" w14:paraId="6EB3C763" w14:textId="77777777" w:rsidTr="005F275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14A545F4"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IP-V1</w:t>
            </w:r>
          </w:p>
        </w:tc>
        <w:tc>
          <w:tcPr>
            <w:tcW w:w="2610" w:type="dxa"/>
            <w:noWrap/>
            <w:hideMark/>
          </w:tcPr>
          <w:p w14:paraId="2379617B"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Proprietary</w:t>
            </w:r>
          </w:p>
        </w:tc>
        <w:tc>
          <w:tcPr>
            <w:tcW w:w="3150" w:type="dxa"/>
            <w:noWrap/>
            <w:hideMark/>
          </w:tcPr>
          <w:p w14:paraId="029D7C3C"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Industry partner</w:t>
            </w:r>
          </w:p>
        </w:tc>
      </w:tr>
      <w:tr w:rsidR="00D20476" w:rsidRPr="00CF403D" w14:paraId="6B3BA518" w14:textId="77777777" w:rsidTr="005F275F">
        <w:trPr>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1F506A6"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IP-V4</w:t>
            </w:r>
          </w:p>
        </w:tc>
        <w:tc>
          <w:tcPr>
            <w:tcW w:w="2610" w:type="dxa"/>
            <w:noWrap/>
            <w:hideMark/>
          </w:tcPr>
          <w:p w14:paraId="300CC514"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Proprietary</w:t>
            </w:r>
          </w:p>
        </w:tc>
        <w:tc>
          <w:tcPr>
            <w:tcW w:w="3150" w:type="dxa"/>
            <w:noWrap/>
            <w:hideMark/>
          </w:tcPr>
          <w:p w14:paraId="74F161A3"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Industry partner</w:t>
            </w:r>
          </w:p>
        </w:tc>
      </w:tr>
      <w:tr w:rsidR="00D20476" w:rsidRPr="00CF403D" w14:paraId="50262BBF" w14:textId="77777777" w:rsidTr="005F275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A3985B9"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Luna Experience (12 fl oz)</w:t>
            </w:r>
          </w:p>
        </w:tc>
        <w:tc>
          <w:tcPr>
            <w:tcW w:w="2610" w:type="dxa"/>
            <w:noWrap/>
            <w:hideMark/>
          </w:tcPr>
          <w:p w14:paraId="3BCBFBB9"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Fluopyram and Tebuconazole</w:t>
            </w:r>
          </w:p>
        </w:tc>
        <w:tc>
          <w:tcPr>
            <w:tcW w:w="3150" w:type="dxa"/>
            <w:noWrap/>
            <w:hideMark/>
          </w:tcPr>
          <w:p w14:paraId="1B84C92B"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Bayer CropScience Inc. New Jersey</w:t>
            </w:r>
          </w:p>
        </w:tc>
      </w:tr>
      <w:tr w:rsidR="00D20476" w:rsidRPr="00CF403D" w14:paraId="23DF3E3A" w14:textId="77777777" w:rsidTr="005F275F">
        <w:trPr>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63690FE8"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Milstop (5 lb)</w:t>
            </w:r>
          </w:p>
        </w:tc>
        <w:tc>
          <w:tcPr>
            <w:tcW w:w="2610" w:type="dxa"/>
            <w:noWrap/>
            <w:hideMark/>
          </w:tcPr>
          <w:p w14:paraId="50942919"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85% potassium bicarbonate</w:t>
            </w:r>
          </w:p>
        </w:tc>
        <w:tc>
          <w:tcPr>
            <w:tcW w:w="3150" w:type="dxa"/>
            <w:noWrap/>
            <w:hideMark/>
          </w:tcPr>
          <w:p w14:paraId="5EF97A8C"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BioWorks Inc. New York</w:t>
            </w:r>
          </w:p>
        </w:tc>
      </w:tr>
      <w:tr w:rsidR="00D20476" w:rsidRPr="00CF403D" w14:paraId="4B3D15B3" w14:textId="77777777" w:rsidTr="005F275F">
        <w:trPr>
          <w:cnfStyle w:val="000000100000" w:firstRow="0" w:lastRow="0" w:firstColumn="0" w:lastColumn="0" w:oddVBand="0" w:evenVBand="0" w:oddHBand="1" w:evenHBand="0" w:firstRowFirstColumn="0" w:firstRowLastColumn="0" w:lastRowFirstColumn="0" w:lastRowLastColumn="0"/>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46630A17"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Regalia (2 qt)</w:t>
            </w:r>
          </w:p>
        </w:tc>
        <w:tc>
          <w:tcPr>
            <w:tcW w:w="2610" w:type="dxa"/>
            <w:noWrap/>
            <w:hideMark/>
          </w:tcPr>
          <w:p w14:paraId="6086F815"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 xml:space="preserve">20% extract of </w:t>
            </w:r>
            <w:r w:rsidRPr="001B2447">
              <w:rPr>
                <w:rFonts w:ascii="Times New Roman" w:hAnsi="Times New Roman" w:cs="Times New Roman"/>
                <w:i/>
                <w:sz w:val="20"/>
                <w:szCs w:val="20"/>
              </w:rPr>
              <w:t>Reynoutria sachalinensis</w:t>
            </w:r>
          </w:p>
        </w:tc>
        <w:tc>
          <w:tcPr>
            <w:tcW w:w="3150" w:type="dxa"/>
            <w:noWrap/>
            <w:hideMark/>
          </w:tcPr>
          <w:p w14:paraId="34E834C4"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Marrone Bio Innovations. California, USA</w:t>
            </w:r>
          </w:p>
        </w:tc>
      </w:tr>
      <w:tr w:rsidR="00D20476" w:rsidRPr="00CF403D" w14:paraId="49360B05" w14:textId="77777777" w:rsidTr="005F275F">
        <w:trPr>
          <w:trHeight w:val="246"/>
        </w:trPr>
        <w:tc>
          <w:tcPr>
            <w:cnfStyle w:val="001000000000" w:firstRow="0" w:lastRow="0" w:firstColumn="1" w:lastColumn="0" w:oddVBand="0" w:evenVBand="0" w:oddHBand="0" w:evenHBand="0" w:firstRowFirstColumn="0" w:firstRowLastColumn="0" w:lastRowFirstColumn="0" w:lastRowLastColumn="0"/>
            <w:tcW w:w="2880" w:type="dxa"/>
            <w:noWrap/>
            <w:hideMark/>
          </w:tcPr>
          <w:p w14:paraId="01764D59"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Sil-Matrix (1% v/v)</w:t>
            </w:r>
          </w:p>
        </w:tc>
        <w:tc>
          <w:tcPr>
            <w:tcW w:w="2610" w:type="dxa"/>
            <w:noWrap/>
            <w:hideMark/>
          </w:tcPr>
          <w:p w14:paraId="3281F03A"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Potassium silicate</w:t>
            </w:r>
          </w:p>
        </w:tc>
        <w:tc>
          <w:tcPr>
            <w:tcW w:w="3150" w:type="dxa"/>
            <w:noWrap/>
            <w:hideMark/>
          </w:tcPr>
          <w:p w14:paraId="3DE9B0F2" w14:textId="77777777" w:rsidR="00D20476" w:rsidRPr="001B2447"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PQ Corporation, PA, USA</w:t>
            </w:r>
          </w:p>
        </w:tc>
      </w:tr>
      <w:tr w:rsidR="00D20476" w:rsidRPr="00CF403D" w14:paraId="2555A366" w14:textId="77777777" w:rsidTr="005F275F">
        <w:trPr>
          <w:cnfStyle w:val="000000100000" w:firstRow="0" w:lastRow="0" w:firstColumn="0" w:lastColumn="0" w:oddVBand="0" w:evenVBand="0" w:oddHBand="1" w:evenHBand="0" w:firstRowFirstColumn="0" w:firstRowLastColumn="0" w:lastRowFirstColumn="0" w:lastRowLastColumn="0"/>
          <w:trHeight w:val="256"/>
        </w:trPr>
        <w:tc>
          <w:tcPr>
            <w:cnfStyle w:val="001000000000" w:firstRow="0" w:lastRow="0" w:firstColumn="1" w:lastColumn="0" w:oddVBand="0" w:evenVBand="0" w:oddHBand="0" w:evenHBand="0" w:firstRowFirstColumn="0" w:firstRowLastColumn="0" w:lastRowFirstColumn="0" w:lastRowLastColumn="0"/>
            <w:tcW w:w="2880" w:type="dxa"/>
            <w:tcBorders>
              <w:bottom w:val="single" w:sz="4" w:space="0" w:color="auto"/>
            </w:tcBorders>
            <w:noWrap/>
            <w:hideMark/>
          </w:tcPr>
          <w:p w14:paraId="39518B8B" w14:textId="77777777" w:rsidR="00D20476" w:rsidRPr="001B2447" w:rsidRDefault="00D20476" w:rsidP="005F275F">
            <w:pPr>
              <w:pStyle w:val="NoSpacing"/>
              <w:rPr>
                <w:rFonts w:ascii="Times New Roman" w:hAnsi="Times New Roman" w:cs="Times New Roman"/>
                <w:b w:val="0"/>
                <w:sz w:val="20"/>
                <w:szCs w:val="20"/>
              </w:rPr>
            </w:pPr>
            <w:r w:rsidRPr="001B2447">
              <w:rPr>
                <w:rFonts w:ascii="Times New Roman" w:hAnsi="Times New Roman" w:cs="Times New Roman"/>
                <w:b w:val="0"/>
                <w:sz w:val="20"/>
                <w:szCs w:val="20"/>
              </w:rPr>
              <w:t>Stargus (4 qt)</w:t>
            </w:r>
          </w:p>
        </w:tc>
        <w:tc>
          <w:tcPr>
            <w:tcW w:w="2610" w:type="dxa"/>
            <w:tcBorders>
              <w:bottom w:val="single" w:sz="4" w:space="0" w:color="auto"/>
            </w:tcBorders>
            <w:noWrap/>
            <w:hideMark/>
          </w:tcPr>
          <w:p w14:paraId="08632D57"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 xml:space="preserve">96.4% </w:t>
            </w:r>
            <w:r w:rsidRPr="001B2447">
              <w:rPr>
                <w:rFonts w:ascii="Times New Roman" w:hAnsi="Times New Roman" w:cs="Times New Roman"/>
                <w:i/>
                <w:sz w:val="20"/>
                <w:szCs w:val="20"/>
              </w:rPr>
              <w:t>Bacillus amyloliquefaciens</w:t>
            </w:r>
            <w:r w:rsidRPr="001B2447">
              <w:rPr>
                <w:rFonts w:ascii="Times New Roman" w:hAnsi="Times New Roman" w:cs="Times New Roman"/>
                <w:sz w:val="20"/>
                <w:szCs w:val="20"/>
              </w:rPr>
              <w:t xml:space="preserve"> strain</w:t>
            </w:r>
          </w:p>
        </w:tc>
        <w:tc>
          <w:tcPr>
            <w:tcW w:w="3150" w:type="dxa"/>
            <w:tcBorders>
              <w:bottom w:val="single" w:sz="4" w:space="0" w:color="auto"/>
            </w:tcBorders>
            <w:noWrap/>
            <w:hideMark/>
          </w:tcPr>
          <w:p w14:paraId="5FCF0DEA" w14:textId="77777777" w:rsidR="00D20476" w:rsidRPr="001B2447"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B2447">
              <w:rPr>
                <w:rFonts w:ascii="Times New Roman" w:hAnsi="Times New Roman" w:cs="Times New Roman"/>
                <w:sz w:val="20"/>
                <w:szCs w:val="20"/>
              </w:rPr>
              <w:t>Marrone Bio Innovations.</w:t>
            </w:r>
          </w:p>
        </w:tc>
      </w:tr>
    </w:tbl>
    <w:p w14:paraId="616A4E47" w14:textId="77777777" w:rsidR="00D20476" w:rsidRPr="004C3997" w:rsidRDefault="00D20476" w:rsidP="00D20476">
      <w:pPr>
        <w:rPr>
          <w:rFonts w:cs="Times New Roman"/>
          <w:szCs w:val="24"/>
        </w:rPr>
      </w:pPr>
      <w:r w:rsidRPr="004C3997">
        <w:rPr>
          <w:rFonts w:cs="Times New Roman"/>
          <w:szCs w:val="24"/>
        </w:rPr>
        <w:br w:type="page"/>
      </w:r>
    </w:p>
    <w:p w14:paraId="4649EBE9" w14:textId="77777777" w:rsidR="00D20476" w:rsidRPr="004C3997" w:rsidRDefault="00D20476" w:rsidP="00D20476">
      <w:pPr>
        <w:rPr>
          <w:rFonts w:cs="Times New Roman"/>
          <w:szCs w:val="24"/>
        </w:rPr>
        <w:sectPr w:rsidR="00D20476" w:rsidRPr="004C3997" w:rsidSect="006F7E26">
          <w:type w:val="continuous"/>
          <w:pgSz w:w="12240" w:h="15840" w:code="1"/>
          <w:pgMar w:top="1440" w:right="1440" w:bottom="1440" w:left="1440" w:header="720" w:footer="1440" w:gutter="0"/>
          <w:cols w:space="720"/>
          <w:docGrid w:linePitch="360"/>
        </w:sectPr>
      </w:pPr>
    </w:p>
    <w:p w14:paraId="1CEC15A0" w14:textId="77777777" w:rsidR="00D20476" w:rsidRPr="004C3997" w:rsidRDefault="00D20476" w:rsidP="00D20476">
      <w:pPr>
        <w:rPr>
          <w:rFonts w:cs="Times New Roman"/>
          <w:szCs w:val="24"/>
        </w:rPr>
      </w:pPr>
    </w:p>
    <w:p w14:paraId="280655A5" w14:textId="6A369A39" w:rsidR="00D20476" w:rsidRPr="001001BD" w:rsidRDefault="00D20476" w:rsidP="005F275F">
      <w:pPr>
        <w:pStyle w:val="Caption"/>
        <w:framePr w:wrap="around" w:hAnchor="page" w:x="2211" w:y="265"/>
      </w:pPr>
      <w:bookmarkStart w:id="463" w:name="_Toc101048752"/>
      <w:r w:rsidRPr="001001BD">
        <w:t xml:space="preserve">Table 5. </w:t>
      </w:r>
      <w:r w:rsidR="00035AE8">
        <w:fldChar w:fldCharType="begin"/>
      </w:r>
      <w:r w:rsidR="00035AE8">
        <w:instrText xml:space="preserve"> SEQ Table_5. \* ARABIC </w:instrText>
      </w:r>
      <w:r w:rsidR="00035AE8">
        <w:fldChar w:fldCharType="separate"/>
      </w:r>
      <w:r w:rsidR="009C2EDC">
        <w:rPr>
          <w:noProof/>
        </w:rPr>
        <w:t>3</w:t>
      </w:r>
      <w:r w:rsidR="00035AE8">
        <w:rPr>
          <w:noProof/>
        </w:rPr>
        <w:fldChar w:fldCharType="end"/>
      </w:r>
      <w:r w:rsidRPr="001001BD">
        <w:t>. Efficacy of fungicide treatments against powdery mildew in Experiment 1, 2020.</w:t>
      </w:r>
      <w:bookmarkEnd w:id="463"/>
    </w:p>
    <w:tbl>
      <w:tblPr>
        <w:tblStyle w:val="ListTable1Light-Accent5"/>
        <w:tblpPr w:leftFromText="180" w:rightFromText="180" w:vertAnchor="page" w:horzAnchor="margin" w:tblpXSpec="center" w:tblpY="2701"/>
        <w:tblW w:w="11850" w:type="dxa"/>
        <w:tblLook w:val="04A0" w:firstRow="1" w:lastRow="0" w:firstColumn="1" w:lastColumn="0" w:noHBand="0" w:noVBand="1"/>
      </w:tblPr>
      <w:tblGrid>
        <w:gridCol w:w="1577"/>
        <w:gridCol w:w="733"/>
        <w:gridCol w:w="833"/>
        <w:gridCol w:w="933"/>
        <w:gridCol w:w="994"/>
        <w:gridCol w:w="755"/>
        <w:gridCol w:w="833"/>
        <w:gridCol w:w="894"/>
        <w:gridCol w:w="894"/>
        <w:gridCol w:w="844"/>
        <w:gridCol w:w="833"/>
        <w:gridCol w:w="833"/>
        <w:gridCol w:w="894"/>
      </w:tblGrid>
      <w:tr w:rsidR="00D20476" w:rsidRPr="009E4134" w14:paraId="292462C8" w14:textId="77777777" w:rsidTr="005F275F">
        <w:trPr>
          <w:cnfStyle w:val="100000000000" w:firstRow="1" w:lastRow="0" w:firstColumn="0" w:lastColumn="0" w:oddVBand="0" w:evenVBand="0" w:oddHBand="0"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tcBorders>
            <w:noWrap/>
            <w:hideMark/>
          </w:tcPr>
          <w:p w14:paraId="16106F77" w14:textId="77777777" w:rsidR="00D20476" w:rsidRPr="009E4134" w:rsidRDefault="00D20476" w:rsidP="005F275F">
            <w:pPr>
              <w:pStyle w:val="NoSpacing"/>
              <w:rPr>
                <w:rFonts w:ascii="Times New Roman" w:hAnsi="Times New Roman" w:cs="Times New Roman"/>
                <w:b w:val="0"/>
                <w:sz w:val="20"/>
                <w:szCs w:val="20"/>
              </w:rPr>
            </w:pPr>
            <w:r w:rsidRPr="009E4134">
              <w:rPr>
                <w:rFonts w:ascii="Times New Roman" w:hAnsi="Times New Roman" w:cs="Times New Roman"/>
                <w:b w:val="0"/>
                <w:sz w:val="20"/>
                <w:szCs w:val="20"/>
              </w:rPr>
              <w:t>Treatment</w:t>
            </w:r>
          </w:p>
        </w:tc>
        <w:tc>
          <w:tcPr>
            <w:tcW w:w="0" w:type="auto"/>
            <w:gridSpan w:val="4"/>
            <w:tcBorders>
              <w:top w:val="single" w:sz="4" w:space="0" w:color="auto"/>
              <w:bottom w:val="single" w:sz="4" w:space="0" w:color="auto"/>
            </w:tcBorders>
            <w:shd w:val="clear" w:color="auto" w:fill="auto"/>
            <w:noWrap/>
            <w:hideMark/>
          </w:tcPr>
          <w:p w14:paraId="0F90D783" w14:textId="77777777" w:rsidR="00D20476" w:rsidRPr="009E4134" w:rsidRDefault="00D20476" w:rsidP="005F275F">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E4134">
              <w:rPr>
                <w:rFonts w:ascii="Times New Roman" w:hAnsi="Times New Roman" w:cs="Times New Roman"/>
                <w:b w:val="0"/>
                <w:sz w:val="20"/>
                <w:szCs w:val="20"/>
              </w:rPr>
              <w:t>Incidence (%)</w:t>
            </w:r>
          </w:p>
        </w:tc>
        <w:tc>
          <w:tcPr>
            <w:tcW w:w="0" w:type="auto"/>
            <w:gridSpan w:val="4"/>
            <w:tcBorders>
              <w:top w:val="single" w:sz="4" w:space="0" w:color="auto"/>
              <w:bottom w:val="single" w:sz="4" w:space="0" w:color="auto"/>
            </w:tcBorders>
            <w:shd w:val="clear" w:color="auto" w:fill="auto"/>
            <w:noWrap/>
            <w:hideMark/>
          </w:tcPr>
          <w:p w14:paraId="42A887AB" w14:textId="77777777" w:rsidR="00D20476" w:rsidRPr="009E4134" w:rsidRDefault="00D20476" w:rsidP="005F275F">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E4134">
              <w:rPr>
                <w:rFonts w:ascii="Times New Roman" w:hAnsi="Times New Roman" w:cs="Times New Roman"/>
                <w:b w:val="0"/>
                <w:sz w:val="20"/>
                <w:szCs w:val="20"/>
              </w:rPr>
              <w:t>Severity (%)</w:t>
            </w:r>
          </w:p>
        </w:tc>
        <w:tc>
          <w:tcPr>
            <w:tcW w:w="3404" w:type="dxa"/>
            <w:gridSpan w:val="4"/>
            <w:tcBorders>
              <w:top w:val="single" w:sz="4" w:space="0" w:color="auto"/>
              <w:bottom w:val="single" w:sz="4" w:space="0" w:color="auto"/>
            </w:tcBorders>
            <w:shd w:val="clear" w:color="auto" w:fill="auto"/>
            <w:noWrap/>
            <w:hideMark/>
          </w:tcPr>
          <w:p w14:paraId="5669851C" w14:textId="77777777" w:rsidR="00D20476" w:rsidRPr="009E4134" w:rsidRDefault="00D20476" w:rsidP="005F275F">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9E4134">
              <w:rPr>
                <w:rFonts w:ascii="Times New Roman" w:hAnsi="Times New Roman" w:cs="Times New Roman"/>
                <w:b w:val="0"/>
                <w:sz w:val="20"/>
                <w:szCs w:val="20"/>
              </w:rPr>
              <w:t>Disease index w</w:t>
            </w:r>
          </w:p>
        </w:tc>
      </w:tr>
      <w:tr w:rsidR="009E4134" w:rsidRPr="009E4134" w14:paraId="42DB038F" w14:textId="77777777" w:rsidTr="005F275F">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0" w:type="auto"/>
            <w:vMerge/>
            <w:noWrap/>
            <w:hideMark/>
          </w:tcPr>
          <w:p w14:paraId="73EE63CD" w14:textId="77777777" w:rsidR="00D20476" w:rsidRPr="009E4134" w:rsidRDefault="00D20476" w:rsidP="005F275F">
            <w:pPr>
              <w:pStyle w:val="NoSpacing"/>
              <w:rPr>
                <w:rFonts w:ascii="Times New Roman" w:hAnsi="Times New Roman" w:cs="Times New Roman"/>
                <w:b w:val="0"/>
                <w:sz w:val="20"/>
                <w:szCs w:val="20"/>
              </w:rPr>
            </w:pPr>
          </w:p>
        </w:tc>
        <w:tc>
          <w:tcPr>
            <w:tcW w:w="0" w:type="auto"/>
            <w:tcBorders>
              <w:top w:val="single" w:sz="4" w:space="0" w:color="auto"/>
            </w:tcBorders>
            <w:shd w:val="clear" w:color="auto" w:fill="auto"/>
            <w:noWrap/>
            <w:hideMark/>
          </w:tcPr>
          <w:p w14:paraId="1B77A4D0"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11/24</w:t>
            </w:r>
          </w:p>
        </w:tc>
        <w:tc>
          <w:tcPr>
            <w:tcW w:w="0" w:type="auto"/>
            <w:tcBorders>
              <w:top w:val="single" w:sz="4" w:space="0" w:color="auto"/>
            </w:tcBorders>
            <w:shd w:val="clear" w:color="auto" w:fill="auto"/>
            <w:noWrap/>
            <w:hideMark/>
          </w:tcPr>
          <w:p w14:paraId="57FA846C"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12/01</w:t>
            </w:r>
          </w:p>
        </w:tc>
        <w:tc>
          <w:tcPr>
            <w:tcW w:w="0" w:type="auto"/>
            <w:tcBorders>
              <w:top w:val="single" w:sz="4" w:space="0" w:color="auto"/>
            </w:tcBorders>
            <w:shd w:val="clear" w:color="auto" w:fill="auto"/>
            <w:noWrap/>
            <w:hideMark/>
          </w:tcPr>
          <w:p w14:paraId="40B6FA4D"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12/08</w:t>
            </w:r>
          </w:p>
        </w:tc>
        <w:tc>
          <w:tcPr>
            <w:tcW w:w="0" w:type="auto"/>
            <w:vMerge w:val="restart"/>
            <w:tcBorders>
              <w:top w:val="single" w:sz="4" w:space="0" w:color="auto"/>
            </w:tcBorders>
            <w:shd w:val="clear" w:color="auto" w:fill="auto"/>
            <w:hideMark/>
          </w:tcPr>
          <w:p w14:paraId="46AD385C"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AUDPCx</w:t>
            </w:r>
          </w:p>
        </w:tc>
        <w:tc>
          <w:tcPr>
            <w:tcW w:w="0" w:type="auto"/>
            <w:tcBorders>
              <w:top w:val="single" w:sz="4" w:space="0" w:color="auto"/>
            </w:tcBorders>
            <w:shd w:val="clear" w:color="auto" w:fill="auto"/>
            <w:noWrap/>
            <w:hideMark/>
          </w:tcPr>
          <w:p w14:paraId="7E57F9D5"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11/24</w:t>
            </w:r>
          </w:p>
        </w:tc>
        <w:tc>
          <w:tcPr>
            <w:tcW w:w="0" w:type="auto"/>
            <w:tcBorders>
              <w:top w:val="single" w:sz="4" w:space="0" w:color="auto"/>
            </w:tcBorders>
            <w:shd w:val="clear" w:color="auto" w:fill="auto"/>
            <w:noWrap/>
            <w:hideMark/>
          </w:tcPr>
          <w:p w14:paraId="10186D79"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12/01</w:t>
            </w:r>
          </w:p>
        </w:tc>
        <w:tc>
          <w:tcPr>
            <w:tcW w:w="0" w:type="auto"/>
            <w:tcBorders>
              <w:top w:val="single" w:sz="4" w:space="0" w:color="auto"/>
            </w:tcBorders>
            <w:shd w:val="clear" w:color="auto" w:fill="auto"/>
            <w:noWrap/>
            <w:hideMark/>
          </w:tcPr>
          <w:p w14:paraId="142C6FA2"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12/08</w:t>
            </w:r>
          </w:p>
        </w:tc>
        <w:tc>
          <w:tcPr>
            <w:tcW w:w="0" w:type="auto"/>
            <w:vMerge w:val="restart"/>
            <w:tcBorders>
              <w:top w:val="single" w:sz="4" w:space="0" w:color="auto"/>
            </w:tcBorders>
            <w:shd w:val="clear" w:color="auto" w:fill="auto"/>
            <w:hideMark/>
          </w:tcPr>
          <w:p w14:paraId="07C367EE"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AUDPC</w:t>
            </w:r>
          </w:p>
        </w:tc>
        <w:tc>
          <w:tcPr>
            <w:tcW w:w="0" w:type="auto"/>
            <w:tcBorders>
              <w:top w:val="single" w:sz="4" w:space="0" w:color="auto"/>
            </w:tcBorders>
            <w:shd w:val="clear" w:color="auto" w:fill="auto"/>
            <w:noWrap/>
            <w:hideMark/>
          </w:tcPr>
          <w:p w14:paraId="6E76D346"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11/24</w:t>
            </w:r>
          </w:p>
        </w:tc>
        <w:tc>
          <w:tcPr>
            <w:tcW w:w="0" w:type="auto"/>
            <w:tcBorders>
              <w:top w:val="single" w:sz="4" w:space="0" w:color="auto"/>
            </w:tcBorders>
            <w:shd w:val="clear" w:color="auto" w:fill="auto"/>
            <w:noWrap/>
            <w:hideMark/>
          </w:tcPr>
          <w:p w14:paraId="5F941F03"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12/01</w:t>
            </w:r>
          </w:p>
        </w:tc>
        <w:tc>
          <w:tcPr>
            <w:tcW w:w="0" w:type="auto"/>
            <w:tcBorders>
              <w:top w:val="single" w:sz="4" w:space="0" w:color="auto"/>
            </w:tcBorders>
            <w:shd w:val="clear" w:color="auto" w:fill="auto"/>
            <w:noWrap/>
            <w:hideMark/>
          </w:tcPr>
          <w:p w14:paraId="50769639" w14:textId="77777777" w:rsidR="00D20476" w:rsidRPr="009E4134"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12/08</w:t>
            </w:r>
          </w:p>
        </w:tc>
        <w:tc>
          <w:tcPr>
            <w:tcW w:w="894" w:type="dxa"/>
            <w:vMerge w:val="restart"/>
            <w:tcBorders>
              <w:top w:val="single" w:sz="4" w:space="0" w:color="auto"/>
            </w:tcBorders>
            <w:shd w:val="clear" w:color="auto" w:fill="auto"/>
            <w:hideMark/>
          </w:tcPr>
          <w:p w14:paraId="706DE444" w14:textId="77777777" w:rsidR="00D20476" w:rsidRPr="009E4134"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AUDPC</w:t>
            </w:r>
          </w:p>
        </w:tc>
      </w:tr>
      <w:tr w:rsidR="00D20476" w:rsidRPr="009E4134" w14:paraId="0B539E8F" w14:textId="77777777" w:rsidTr="005F275F">
        <w:trPr>
          <w:trHeight w:val="131"/>
        </w:trPr>
        <w:tc>
          <w:tcPr>
            <w:cnfStyle w:val="001000000000" w:firstRow="0" w:lastRow="0" w:firstColumn="1" w:lastColumn="0" w:oddVBand="0" w:evenVBand="0" w:oddHBand="0" w:evenHBand="0" w:firstRowFirstColumn="0" w:firstRowLastColumn="0" w:lastRowFirstColumn="0" w:lastRowLastColumn="0"/>
            <w:tcW w:w="0" w:type="auto"/>
            <w:vMerge/>
            <w:tcBorders>
              <w:bottom w:val="single" w:sz="4" w:space="0" w:color="auto"/>
            </w:tcBorders>
            <w:noWrap/>
          </w:tcPr>
          <w:p w14:paraId="67244C5B" w14:textId="77777777" w:rsidR="00D20476" w:rsidRPr="009E4134" w:rsidRDefault="00D20476" w:rsidP="005F275F">
            <w:pPr>
              <w:pStyle w:val="NoSpacing"/>
              <w:rPr>
                <w:rFonts w:ascii="Times New Roman" w:hAnsi="Times New Roman" w:cs="Times New Roman"/>
                <w:b w:val="0"/>
                <w:sz w:val="20"/>
                <w:szCs w:val="20"/>
              </w:rPr>
            </w:pPr>
          </w:p>
        </w:tc>
        <w:tc>
          <w:tcPr>
            <w:tcW w:w="0" w:type="auto"/>
            <w:tcBorders>
              <w:bottom w:val="single" w:sz="4" w:space="0" w:color="auto"/>
            </w:tcBorders>
            <w:noWrap/>
          </w:tcPr>
          <w:p w14:paraId="76921CDE"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7 days</w:t>
            </w:r>
          </w:p>
        </w:tc>
        <w:tc>
          <w:tcPr>
            <w:tcW w:w="0" w:type="auto"/>
            <w:tcBorders>
              <w:bottom w:val="single" w:sz="4" w:space="0" w:color="auto"/>
            </w:tcBorders>
            <w:noWrap/>
          </w:tcPr>
          <w:p w14:paraId="5E6A5A5F"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14 days</w:t>
            </w:r>
          </w:p>
        </w:tc>
        <w:tc>
          <w:tcPr>
            <w:tcW w:w="0" w:type="auto"/>
            <w:tcBorders>
              <w:bottom w:val="single" w:sz="4" w:space="0" w:color="auto"/>
            </w:tcBorders>
            <w:noWrap/>
          </w:tcPr>
          <w:p w14:paraId="3119D3BE"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21 daysy</w:t>
            </w:r>
          </w:p>
        </w:tc>
        <w:tc>
          <w:tcPr>
            <w:tcW w:w="0" w:type="auto"/>
            <w:vMerge/>
            <w:tcBorders>
              <w:bottom w:val="single" w:sz="4" w:space="0" w:color="auto"/>
            </w:tcBorders>
          </w:tcPr>
          <w:p w14:paraId="46DCE2B6"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bottom w:val="single" w:sz="4" w:space="0" w:color="auto"/>
            </w:tcBorders>
            <w:noWrap/>
          </w:tcPr>
          <w:p w14:paraId="22F22CEC"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7 days</w:t>
            </w:r>
          </w:p>
        </w:tc>
        <w:tc>
          <w:tcPr>
            <w:tcW w:w="0" w:type="auto"/>
            <w:tcBorders>
              <w:bottom w:val="single" w:sz="4" w:space="0" w:color="auto"/>
            </w:tcBorders>
            <w:noWrap/>
          </w:tcPr>
          <w:p w14:paraId="3FB2142E"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14 days</w:t>
            </w:r>
          </w:p>
        </w:tc>
        <w:tc>
          <w:tcPr>
            <w:tcW w:w="0" w:type="auto"/>
            <w:tcBorders>
              <w:bottom w:val="single" w:sz="4" w:space="0" w:color="auto"/>
            </w:tcBorders>
            <w:noWrap/>
          </w:tcPr>
          <w:p w14:paraId="2DBCF643"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21 days</w:t>
            </w:r>
          </w:p>
        </w:tc>
        <w:tc>
          <w:tcPr>
            <w:tcW w:w="0" w:type="auto"/>
            <w:vMerge/>
            <w:tcBorders>
              <w:bottom w:val="single" w:sz="4" w:space="0" w:color="auto"/>
            </w:tcBorders>
          </w:tcPr>
          <w:p w14:paraId="4540421B"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0" w:type="auto"/>
            <w:tcBorders>
              <w:bottom w:val="single" w:sz="4" w:space="0" w:color="auto"/>
            </w:tcBorders>
            <w:noWrap/>
          </w:tcPr>
          <w:p w14:paraId="4D34D083"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7 days</w:t>
            </w:r>
          </w:p>
        </w:tc>
        <w:tc>
          <w:tcPr>
            <w:tcW w:w="0" w:type="auto"/>
            <w:tcBorders>
              <w:bottom w:val="single" w:sz="4" w:space="0" w:color="auto"/>
            </w:tcBorders>
            <w:noWrap/>
          </w:tcPr>
          <w:p w14:paraId="7E300F19"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14 days</w:t>
            </w:r>
          </w:p>
        </w:tc>
        <w:tc>
          <w:tcPr>
            <w:tcW w:w="0" w:type="auto"/>
            <w:tcBorders>
              <w:bottom w:val="single" w:sz="4" w:space="0" w:color="auto"/>
            </w:tcBorders>
            <w:noWrap/>
          </w:tcPr>
          <w:p w14:paraId="14C0264C" w14:textId="77777777" w:rsidR="00D20476" w:rsidRPr="009E4134" w:rsidRDefault="00D20476" w:rsidP="005F275F">
            <w:pPr>
              <w:pStyle w:val="No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E4134">
              <w:rPr>
                <w:rFonts w:ascii="Times New Roman" w:hAnsi="Times New Roman" w:cs="Times New Roman"/>
                <w:sz w:val="20"/>
                <w:szCs w:val="20"/>
              </w:rPr>
              <w:t>21 days</w:t>
            </w:r>
          </w:p>
        </w:tc>
        <w:tc>
          <w:tcPr>
            <w:tcW w:w="894" w:type="dxa"/>
            <w:vMerge/>
            <w:tcBorders>
              <w:bottom w:val="single" w:sz="4" w:space="0" w:color="auto"/>
            </w:tcBorders>
          </w:tcPr>
          <w:p w14:paraId="2A8A00F6" w14:textId="77777777" w:rsidR="00D20476" w:rsidRPr="009E4134"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9E4134" w:rsidRPr="009E4134" w14:paraId="32D58A53" w14:textId="77777777" w:rsidTr="005F275F">
        <w:trPr>
          <w:cnfStyle w:val="000000100000" w:firstRow="0" w:lastRow="0" w:firstColumn="0" w:lastColumn="0" w:oddVBand="0" w:evenVBand="0" w:oddHBand="1"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noWrap/>
            <w:hideMark/>
          </w:tcPr>
          <w:p w14:paraId="21F6887A" w14:textId="77777777" w:rsidR="00D20476" w:rsidRPr="009E4134" w:rsidRDefault="00D20476" w:rsidP="005F275F">
            <w:pPr>
              <w:rPr>
                <w:rFonts w:cs="Times New Roman"/>
                <w:b w:val="0"/>
                <w:sz w:val="20"/>
                <w:szCs w:val="20"/>
              </w:rPr>
            </w:pPr>
            <w:r w:rsidRPr="009E4134">
              <w:rPr>
                <w:rFonts w:cs="Times New Roman"/>
                <w:b w:val="0"/>
                <w:sz w:val="20"/>
                <w:szCs w:val="20"/>
              </w:rPr>
              <w:t xml:space="preserve">Bonide sulfur </w:t>
            </w:r>
          </w:p>
        </w:tc>
        <w:tc>
          <w:tcPr>
            <w:tcW w:w="0" w:type="auto"/>
            <w:tcBorders>
              <w:top w:val="single" w:sz="4" w:space="0" w:color="auto"/>
            </w:tcBorders>
            <w:noWrap/>
            <w:hideMark/>
          </w:tcPr>
          <w:p w14:paraId="09DE7076"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b</w:t>
            </w:r>
          </w:p>
        </w:tc>
        <w:tc>
          <w:tcPr>
            <w:tcW w:w="0" w:type="auto"/>
            <w:tcBorders>
              <w:top w:val="single" w:sz="4" w:space="0" w:color="auto"/>
            </w:tcBorders>
            <w:noWrap/>
            <w:hideMark/>
          </w:tcPr>
          <w:p w14:paraId="358D24ED"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c</w:t>
            </w:r>
          </w:p>
        </w:tc>
        <w:tc>
          <w:tcPr>
            <w:tcW w:w="0" w:type="auto"/>
            <w:tcBorders>
              <w:top w:val="single" w:sz="4" w:space="0" w:color="auto"/>
            </w:tcBorders>
            <w:noWrap/>
            <w:hideMark/>
          </w:tcPr>
          <w:p w14:paraId="02CE6B9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4.0 c</w:t>
            </w:r>
          </w:p>
        </w:tc>
        <w:tc>
          <w:tcPr>
            <w:tcW w:w="0" w:type="auto"/>
            <w:tcBorders>
              <w:top w:val="single" w:sz="4" w:space="0" w:color="auto"/>
            </w:tcBorders>
            <w:noWrap/>
            <w:hideMark/>
          </w:tcPr>
          <w:p w14:paraId="440180DA"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13.0 dz</w:t>
            </w:r>
          </w:p>
        </w:tc>
        <w:tc>
          <w:tcPr>
            <w:tcW w:w="0" w:type="auto"/>
            <w:tcBorders>
              <w:top w:val="single" w:sz="4" w:space="0" w:color="auto"/>
            </w:tcBorders>
            <w:noWrap/>
            <w:hideMark/>
          </w:tcPr>
          <w:p w14:paraId="08B9099C"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b</w:t>
            </w:r>
          </w:p>
        </w:tc>
        <w:tc>
          <w:tcPr>
            <w:tcW w:w="0" w:type="auto"/>
            <w:tcBorders>
              <w:top w:val="single" w:sz="4" w:space="0" w:color="auto"/>
            </w:tcBorders>
            <w:noWrap/>
            <w:hideMark/>
          </w:tcPr>
          <w:p w14:paraId="3DB26B0E"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c</w:t>
            </w:r>
          </w:p>
        </w:tc>
        <w:tc>
          <w:tcPr>
            <w:tcW w:w="0" w:type="auto"/>
            <w:tcBorders>
              <w:top w:val="single" w:sz="4" w:space="0" w:color="auto"/>
            </w:tcBorders>
            <w:noWrap/>
            <w:hideMark/>
          </w:tcPr>
          <w:p w14:paraId="00C1D99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2.0 d</w:t>
            </w:r>
          </w:p>
        </w:tc>
        <w:tc>
          <w:tcPr>
            <w:tcW w:w="0" w:type="auto"/>
            <w:tcBorders>
              <w:top w:val="single" w:sz="4" w:space="0" w:color="auto"/>
            </w:tcBorders>
            <w:noWrap/>
            <w:hideMark/>
          </w:tcPr>
          <w:p w14:paraId="27C47594"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5.0  c</w:t>
            </w:r>
          </w:p>
        </w:tc>
        <w:tc>
          <w:tcPr>
            <w:tcW w:w="0" w:type="auto"/>
            <w:tcBorders>
              <w:top w:val="single" w:sz="4" w:space="0" w:color="auto"/>
            </w:tcBorders>
            <w:noWrap/>
            <w:hideMark/>
          </w:tcPr>
          <w:p w14:paraId="36DF89CE"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0.0 c</w:t>
            </w:r>
          </w:p>
        </w:tc>
        <w:tc>
          <w:tcPr>
            <w:tcW w:w="0" w:type="auto"/>
            <w:tcBorders>
              <w:top w:val="single" w:sz="4" w:space="0" w:color="auto"/>
            </w:tcBorders>
            <w:noWrap/>
            <w:hideMark/>
          </w:tcPr>
          <w:p w14:paraId="38B67D6A"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c</w:t>
            </w:r>
          </w:p>
        </w:tc>
        <w:tc>
          <w:tcPr>
            <w:tcW w:w="0" w:type="auto"/>
            <w:tcBorders>
              <w:top w:val="single" w:sz="4" w:space="0" w:color="auto"/>
            </w:tcBorders>
            <w:noWrap/>
            <w:hideMark/>
          </w:tcPr>
          <w:p w14:paraId="4BF617EF"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b</w:t>
            </w:r>
          </w:p>
        </w:tc>
        <w:tc>
          <w:tcPr>
            <w:tcW w:w="894" w:type="dxa"/>
            <w:tcBorders>
              <w:top w:val="single" w:sz="4" w:space="0" w:color="auto"/>
            </w:tcBorders>
            <w:noWrap/>
            <w:hideMark/>
          </w:tcPr>
          <w:p w14:paraId="3B011027"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  b</w:t>
            </w:r>
          </w:p>
        </w:tc>
      </w:tr>
      <w:tr w:rsidR="00D20476" w:rsidRPr="009E4134" w14:paraId="295B8FA8" w14:textId="77777777" w:rsidTr="005F275F">
        <w:trPr>
          <w:trHeight w:val="170"/>
        </w:trPr>
        <w:tc>
          <w:tcPr>
            <w:cnfStyle w:val="001000000000" w:firstRow="0" w:lastRow="0" w:firstColumn="1" w:lastColumn="0" w:oddVBand="0" w:evenVBand="0" w:oddHBand="0" w:evenHBand="0" w:firstRowFirstColumn="0" w:firstRowLastColumn="0" w:lastRowFirstColumn="0" w:lastRowLastColumn="0"/>
            <w:tcW w:w="0" w:type="auto"/>
            <w:noWrap/>
            <w:hideMark/>
          </w:tcPr>
          <w:p w14:paraId="45286A0B" w14:textId="77777777" w:rsidR="00D20476" w:rsidRPr="009E4134" w:rsidRDefault="00D20476" w:rsidP="005F275F">
            <w:pPr>
              <w:rPr>
                <w:rFonts w:cs="Times New Roman"/>
                <w:b w:val="0"/>
                <w:sz w:val="20"/>
                <w:szCs w:val="20"/>
              </w:rPr>
            </w:pPr>
            <w:r w:rsidRPr="009E4134">
              <w:rPr>
                <w:rFonts w:cs="Times New Roman"/>
                <w:b w:val="0"/>
                <w:sz w:val="20"/>
                <w:szCs w:val="20"/>
              </w:rPr>
              <w:t xml:space="preserve">Cinerrate </w:t>
            </w:r>
          </w:p>
        </w:tc>
        <w:tc>
          <w:tcPr>
            <w:tcW w:w="0" w:type="auto"/>
            <w:noWrap/>
            <w:hideMark/>
          </w:tcPr>
          <w:p w14:paraId="3A79044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18  ab</w:t>
            </w:r>
          </w:p>
        </w:tc>
        <w:tc>
          <w:tcPr>
            <w:tcW w:w="0" w:type="auto"/>
            <w:noWrap/>
            <w:hideMark/>
          </w:tcPr>
          <w:p w14:paraId="4FA71C25"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33  bc</w:t>
            </w:r>
          </w:p>
        </w:tc>
        <w:tc>
          <w:tcPr>
            <w:tcW w:w="0" w:type="auto"/>
            <w:noWrap/>
            <w:hideMark/>
          </w:tcPr>
          <w:p w14:paraId="58EFA24A"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18  bc</w:t>
            </w:r>
          </w:p>
        </w:tc>
        <w:tc>
          <w:tcPr>
            <w:tcW w:w="0" w:type="auto"/>
            <w:noWrap/>
            <w:hideMark/>
          </w:tcPr>
          <w:p w14:paraId="7C31CB78"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424  bcd</w:t>
            </w:r>
          </w:p>
        </w:tc>
        <w:tc>
          <w:tcPr>
            <w:tcW w:w="0" w:type="auto"/>
            <w:noWrap/>
            <w:hideMark/>
          </w:tcPr>
          <w:p w14:paraId="1D57AB97"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25  a</w:t>
            </w:r>
          </w:p>
        </w:tc>
        <w:tc>
          <w:tcPr>
            <w:tcW w:w="0" w:type="auto"/>
            <w:noWrap/>
            <w:hideMark/>
          </w:tcPr>
          <w:p w14:paraId="475E7009"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12  bc</w:t>
            </w:r>
          </w:p>
        </w:tc>
        <w:tc>
          <w:tcPr>
            <w:tcW w:w="0" w:type="auto"/>
            <w:noWrap/>
            <w:hideMark/>
          </w:tcPr>
          <w:p w14:paraId="0CFCDB3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7.0 bcd</w:t>
            </w:r>
          </w:p>
        </w:tc>
        <w:tc>
          <w:tcPr>
            <w:tcW w:w="0" w:type="auto"/>
            <w:noWrap/>
            <w:hideMark/>
          </w:tcPr>
          <w:p w14:paraId="5B73A86C"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297 b</w:t>
            </w:r>
          </w:p>
        </w:tc>
        <w:tc>
          <w:tcPr>
            <w:tcW w:w="0" w:type="auto"/>
            <w:noWrap/>
            <w:hideMark/>
          </w:tcPr>
          <w:p w14:paraId="7F111B56"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4.0 abc</w:t>
            </w:r>
          </w:p>
        </w:tc>
        <w:tc>
          <w:tcPr>
            <w:tcW w:w="0" w:type="auto"/>
            <w:noWrap/>
            <w:hideMark/>
          </w:tcPr>
          <w:p w14:paraId="4E52A5DB"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4.0 bc</w:t>
            </w:r>
          </w:p>
        </w:tc>
        <w:tc>
          <w:tcPr>
            <w:tcW w:w="0" w:type="auto"/>
            <w:noWrap/>
            <w:hideMark/>
          </w:tcPr>
          <w:p w14:paraId="53B1A6E3"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2.0 b</w:t>
            </w:r>
          </w:p>
        </w:tc>
        <w:tc>
          <w:tcPr>
            <w:tcW w:w="894" w:type="dxa"/>
            <w:noWrap/>
            <w:hideMark/>
          </w:tcPr>
          <w:p w14:paraId="615C349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64   b</w:t>
            </w:r>
          </w:p>
        </w:tc>
      </w:tr>
      <w:tr w:rsidR="009E4134" w:rsidRPr="009E4134" w14:paraId="426D668F" w14:textId="77777777" w:rsidTr="005F275F">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38A2D5FB" w14:textId="77777777" w:rsidR="00D20476" w:rsidRPr="009E4134" w:rsidRDefault="00D20476" w:rsidP="005F275F">
            <w:pPr>
              <w:rPr>
                <w:rFonts w:cs="Times New Roman"/>
                <w:b w:val="0"/>
                <w:sz w:val="20"/>
                <w:szCs w:val="20"/>
              </w:rPr>
            </w:pPr>
            <w:r w:rsidRPr="009E4134">
              <w:rPr>
                <w:rFonts w:cs="Times New Roman"/>
                <w:b w:val="0"/>
                <w:sz w:val="20"/>
                <w:szCs w:val="20"/>
              </w:rPr>
              <w:t xml:space="preserve">Defguard </w:t>
            </w:r>
          </w:p>
        </w:tc>
        <w:tc>
          <w:tcPr>
            <w:tcW w:w="0" w:type="auto"/>
            <w:noWrap/>
            <w:hideMark/>
          </w:tcPr>
          <w:p w14:paraId="59F7CFA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7.0 b</w:t>
            </w:r>
          </w:p>
        </w:tc>
        <w:tc>
          <w:tcPr>
            <w:tcW w:w="0" w:type="auto"/>
            <w:noWrap/>
            <w:hideMark/>
          </w:tcPr>
          <w:p w14:paraId="12E53E57"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  c</w:t>
            </w:r>
          </w:p>
        </w:tc>
        <w:tc>
          <w:tcPr>
            <w:tcW w:w="0" w:type="auto"/>
            <w:noWrap/>
            <w:hideMark/>
          </w:tcPr>
          <w:p w14:paraId="7F9543D4"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31  ab</w:t>
            </w:r>
          </w:p>
        </w:tc>
        <w:tc>
          <w:tcPr>
            <w:tcW w:w="0" w:type="auto"/>
            <w:noWrap/>
            <w:hideMark/>
          </w:tcPr>
          <w:p w14:paraId="1C580D03"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227  cd</w:t>
            </w:r>
          </w:p>
        </w:tc>
        <w:tc>
          <w:tcPr>
            <w:tcW w:w="0" w:type="auto"/>
            <w:noWrap/>
            <w:hideMark/>
          </w:tcPr>
          <w:p w14:paraId="78F7DC44"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8.0 ab</w:t>
            </w:r>
          </w:p>
        </w:tc>
        <w:tc>
          <w:tcPr>
            <w:tcW w:w="0" w:type="auto"/>
            <w:noWrap/>
            <w:hideMark/>
          </w:tcPr>
          <w:p w14:paraId="57CA1509"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8.0 c</w:t>
            </w:r>
          </w:p>
        </w:tc>
        <w:tc>
          <w:tcPr>
            <w:tcW w:w="0" w:type="auto"/>
            <w:noWrap/>
            <w:hideMark/>
          </w:tcPr>
          <w:p w14:paraId="7E95EFAE"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  bcd</w:t>
            </w:r>
          </w:p>
        </w:tc>
        <w:tc>
          <w:tcPr>
            <w:tcW w:w="0" w:type="auto"/>
            <w:noWrap/>
            <w:hideMark/>
          </w:tcPr>
          <w:p w14:paraId="5918D840"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151 bc</w:t>
            </w:r>
          </w:p>
        </w:tc>
        <w:tc>
          <w:tcPr>
            <w:tcW w:w="0" w:type="auto"/>
            <w:noWrap/>
            <w:hideMark/>
          </w:tcPr>
          <w:p w14:paraId="292CFAC6"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1.0 bc</w:t>
            </w:r>
          </w:p>
        </w:tc>
        <w:tc>
          <w:tcPr>
            <w:tcW w:w="0" w:type="auto"/>
            <w:noWrap/>
            <w:hideMark/>
          </w:tcPr>
          <w:p w14:paraId="3D9D4A8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 c</w:t>
            </w:r>
          </w:p>
        </w:tc>
        <w:tc>
          <w:tcPr>
            <w:tcW w:w="0" w:type="auto"/>
            <w:noWrap/>
            <w:hideMark/>
          </w:tcPr>
          <w:p w14:paraId="5640292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4.0 b</w:t>
            </w:r>
          </w:p>
        </w:tc>
        <w:tc>
          <w:tcPr>
            <w:tcW w:w="894" w:type="dxa"/>
            <w:noWrap/>
            <w:hideMark/>
          </w:tcPr>
          <w:p w14:paraId="7676B0E6"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23   b</w:t>
            </w:r>
          </w:p>
        </w:tc>
      </w:tr>
      <w:tr w:rsidR="00D20476" w:rsidRPr="009E4134" w14:paraId="02FFAD64" w14:textId="77777777" w:rsidTr="005F275F">
        <w:trPr>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7A04514A" w14:textId="77777777" w:rsidR="00D20476" w:rsidRPr="009E4134" w:rsidRDefault="00D20476" w:rsidP="005F275F">
            <w:pPr>
              <w:rPr>
                <w:rFonts w:cs="Times New Roman"/>
                <w:b w:val="0"/>
                <w:sz w:val="20"/>
                <w:szCs w:val="20"/>
              </w:rPr>
            </w:pPr>
            <w:r w:rsidRPr="009E4134">
              <w:rPr>
                <w:rFonts w:cs="Times New Roman"/>
                <w:b w:val="0"/>
                <w:sz w:val="20"/>
                <w:szCs w:val="20"/>
              </w:rPr>
              <w:t xml:space="preserve">Exile </w:t>
            </w:r>
          </w:p>
        </w:tc>
        <w:tc>
          <w:tcPr>
            <w:tcW w:w="0" w:type="auto"/>
            <w:noWrap/>
            <w:hideMark/>
          </w:tcPr>
          <w:p w14:paraId="12AF7FD1"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13  ab</w:t>
            </w:r>
          </w:p>
        </w:tc>
        <w:tc>
          <w:tcPr>
            <w:tcW w:w="0" w:type="auto"/>
            <w:noWrap/>
            <w:hideMark/>
          </w:tcPr>
          <w:p w14:paraId="71C7392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34  bc</w:t>
            </w:r>
          </w:p>
        </w:tc>
        <w:tc>
          <w:tcPr>
            <w:tcW w:w="0" w:type="auto"/>
            <w:noWrap/>
            <w:hideMark/>
          </w:tcPr>
          <w:p w14:paraId="02E9AC20"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45  ab</w:t>
            </w:r>
          </w:p>
        </w:tc>
        <w:tc>
          <w:tcPr>
            <w:tcW w:w="0" w:type="auto"/>
            <w:noWrap/>
            <w:hideMark/>
          </w:tcPr>
          <w:p w14:paraId="597CF867"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493  bcd</w:t>
            </w:r>
          </w:p>
        </w:tc>
        <w:tc>
          <w:tcPr>
            <w:tcW w:w="0" w:type="auto"/>
            <w:noWrap/>
            <w:hideMark/>
          </w:tcPr>
          <w:p w14:paraId="2A526AC7"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6.0 b</w:t>
            </w:r>
          </w:p>
        </w:tc>
        <w:tc>
          <w:tcPr>
            <w:tcW w:w="0" w:type="auto"/>
            <w:noWrap/>
            <w:hideMark/>
          </w:tcPr>
          <w:p w14:paraId="36D7193A"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8.0 c</w:t>
            </w:r>
          </w:p>
        </w:tc>
        <w:tc>
          <w:tcPr>
            <w:tcW w:w="0" w:type="auto"/>
            <w:noWrap/>
            <w:hideMark/>
          </w:tcPr>
          <w:p w14:paraId="74EFA41A"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12  bcd</w:t>
            </w:r>
          </w:p>
        </w:tc>
        <w:tc>
          <w:tcPr>
            <w:tcW w:w="0" w:type="auto"/>
            <w:noWrap/>
            <w:hideMark/>
          </w:tcPr>
          <w:p w14:paraId="28777813"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142 bc</w:t>
            </w:r>
          </w:p>
        </w:tc>
        <w:tc>
          <w:tcPr>
            <w:tcW w:w="0" w:type="auto"/>
            <w:noWrap/>
            <w:hideMark/>
          </w:tcPr>
          <w:p w14:paraId="0A4649D9"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1.0 abc</w:t>
            </w:r>
          </w:p>
        </w:tc>
        <w:tc>
          <w:tcPr>
            <w:tcW w:w="0" w:type="auto"/>
            <w:noWrap/>
            <w:hideMark/>
          </w:tcPr>
          <w:p w14:paraId="458BAE3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3.0 c</w:t>
            </w:r>
          </w:p>
        </w:tc>
        <w:tc>
          <w:tcPr>
            <w:tcW w:w="0" w:type="auto"/>
            <w:noWrap/>
            <w:hideMark/>
          </w:tcPr>
          <w:p w14:paraId="1AA88B5E"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7.0 ab</w:t>
            </w:r>
          </w:p>
        </w:tc>
        <w:tc>
          <w:tcPr>
            <w:tcW w:w="894" w:type="dxa"/>
            <w:noWrap/>
            <w:hideMark/>
          </w:tcPr>
          <w:p w14:paraId="4EF75EE1"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49   b</w:t>
            </w:r>
          </w:p>
        </w:tc>
      </w:tr>
      <w:tr w:rsidR="009E4134" w:rsidRPr="009E4134" w14:paraId="0998425B" w14:textId="77777777" w:rsidTr="005F275F">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0" w:type="auto"/>
            <w:noWrap/>
            <w:hideMark/>
          </w:tcPr>
          <w:p w14:paraId="25AB8C07" w14:textId="77777777" w:rsidR="00D20476" w:rsidRPr="009E4134" w:rsidRDefault="00D20476" w:rsidP="005F275F">
            <w:pPr>
              <w:rPr>
                <w:rFonts w:cs="Times New Roman"/>
                <w:b w:val="0"/>
                <w:sz w:val="20"/>
                <w:szCs w:val="20"/>
              </w:rPr>
            </w:pPr>
            <w:r w:rsidRPr="009E4134">
              <w:rPr>
                <w:rFonts w:cs="Times New Roman"/>
                <w:b w:val="0"/>
                <w:sz w:val="20"/>
                <w:szCs w:val="20"/>
              </w:rPr>
              <w:t xml:space="preserve">IP-1 </w:t>
            </w:r>
          </w:p>
        </w:tc>
        <w:tc>
          <w:tcPr>
            <w:tcW w:w="0" w:type="auto"/>
            <w:noWrap/>
            <w:hideMark/>
          </w:tcPr>
          <w:p w14:paraId="4127B2F3"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28  ab</w:t>
            </w:r>
          </w:p>
        </w:tc>
        <w:tc>
          <w:tcPr>
            <w:tcW w:w="0" w:type="auto"/>
            <w:noWrap/>
            <w:hideMark/>
          </w:tcPr>
          <w:p w14:paraId="2B08ECEB"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50  abc</w:t>
            </w:r>
          </w:p>
        </w:tc>
        <w:tc>
          <w:tcPr>
            <w:tcW w:w="0" w:type="auto"/>
            <w:noWrap/>
            <w:hideMark/>
          </w:tcPr>
          <w:p w14:paraId="1075C8A5"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76  a</w:t>
            </w:r>
          </w:p>
        </w:tc>
        <w:tc>
          <w:tcPr>
            <w:tcW w:w="0" w:type="auto"/>
            <w:noWrap/>
            <w:hideMark/>
          </w:tcPr>
          <w:p w14:paraId="119F0A2E"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823  abc</w:t>
            </w:r>
          </w:p>
        </w:tc>
        <w:tc>
          <w:tcPr>
            <w:tcW w:w="0" w:type="auto"/>
            <w:noWrap/>
            <w:hideMark/>
          </w:tcPr>
          <w:p w14:paraId="1D564EF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10  ab</w:t>
            </w:r>
          </w:p>
        </w:tc>
        <w:tc>
          <w:tcPr>
            <w:tcW w:w="0" w:type="auto"/>
            <w:noWrap/>
            <w:hideMark/>
          </w:tcPr>
          <w:p w14:paraId="131F514A"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11  bc</w:t>
            </w:r>
          </w:p>
        </w:tc>
        <w:tc>
          <w:tcPr>
            <w:tcW w:w="0" w:type="auto"/>
            <w:noWrap/>
            <w:hideMark/>
          </w:tcPr>
          <w:p w14:paraId="337E4047"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15  abcd</w:t>
            </w:r>
          </w:p>
        </w:tc>
        <w:tc>
          <w:tcPr>
            <w:tcW w:w="0" w:type="auto"/>
            <w:noWrap/>
            <w:hideMark/>
          </w:tcPr>
          <w:p w14:paraId="0D74A6B5"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204 bc</w:t>
            </w:r>
          </w:p>
        </w:tc>
        <w:tc>
          <w:tcPr>
            <w:tcW w:w="0" w:type="auto"/>
            <w:noWrap/>
            <w:hideMark/>
          </w:tcPr>
          <w:p w14:paraId="4F2C2919"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3.0 abc</w:t>
            </w:r>
          </w:p>
        </w:tc>
        <w:tc>
          <w:tcPr>
            <w:tcW w:w="0" w:type="auto"/>
            <w:noWrap/>
            <w:hideMark/>
          </w:tcPr>
          <w:p w14:paraId="6C317886"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6.0 bc</w:t>
            </w:r>
          </w:p>
        </w:tc>
        <w:tc>
          <w:tcPr>
            <w:tcW w:w="0" w:type="auto"/>
            <w:noWrap/>
            <w:hideMark/>
          </w:tcPr>
          <w:p w14:paraId="40E9A1B8"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11  ab</w:t>
            </w:r>
          </w:p>
        </w:tc>
        <w:tc>
          <w:tcPr>
            <w:tcW w:w="894" w:type="dxa"/>
            <w:noWrap/>
            <w:hideMark/>
          </w:tcPr>
          <w:p w14:paraId="5DEDDF3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101 b</w:t>
            </w:r>
          </w:p>
        </w:tc>
      </w:tr>
      <w:tr w:rsidR="00D20476" w:rsidRPr="009E4134" w14:paraId="7E0E3269" w14:textId="77777777" w:rsidTr="005F275F">
        <w:trPr>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31365196" w14:textId="77777777" w:rsidR="00D20476" w:rsidRPr="009E4134" w:rsidRDefault="00D20476" w:rsidP="005F275F">
            <w:pPr>
              <w:rPr>
                <w:rFonts w:cs="Times New Roman"/>
                <w:b w:val="0"/>
                <w:sz w:val="20"/>
                <w:szCs w:val="20"/>
              </w:rPr>
            </w:pPr>
            <w:r w:rsidRPr="009E4134">
              <w:rPr>
                <w:rFonts w:cs="Times New Roman"/>
                <w:b w:val="0"/>
                <w:sz w:val="20"/>
                <w:szCs w:val="20"/>
              </w:rPr>
              <w:t xml:space="preserve">IP-2  </w:t>
            </w:r>
          </w:p>
        </w:tc>
        <w:tc>
          <w:tcPr>
            <w:tcW w:w="0" w:type="auto"/>
            <w:noWrap/>
            <w:hideMark/>
          </w:tcPr>
          <w:p w14:paraId="0BE4A7A2"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28  ab</w:t>
            </w:r>
          </w:p>
        </w:tc>
        <w:tc>
          <w:tcPr>
            <w:tcW w:w="0" w:type="auto"/>
            <w:noWrap/>
            <w:hideMark/>
          </w:tcPr>
          <w:p w14:paraId="5DFFB7E8"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76  ab</w:t>
            </w:r>
          </w:p>
        </w:tc>
        <w:tc>
          <w:tcPr>
            <w:tcW w:w="0" w:type="auto"/>
            <w:noWrap/>
            <w:hideMark/>
          </w:tcPr>
          <w:p w14:paraId="363F391E"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74  a</w:t>
            </w:r>
          </w:p>
        </w:tc>
        <w:tc>
          <w:tcPr>
            <w:tcW w:w="0" w:type="auto"/>
            <w:noWrap/>
            <w:hideMark/>
          </w:tcPr>
          <w:p w14:paraId="327EF4B6"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998  ab</w:t>
            </w:r>
          </w:p>
        </w:tc>
        <w:tc>
          <w:tcPr>
            <w:tcW w:w="0" w:type="auto"/>
            <w:noWrap/>
            <w:hideMark/>
          </w:tcPr>
          <w:p w14:paraId="4B7EC887"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9.0 ab</w:t>
            </w:r>
          </w:p>
        </w:tc>
        <w:tc>
          <w:tcPr>
            <w:tcW w:w="0" w:type="auto"/>
            <w:noWrap/>
            <w:hideMark/>
          </w:tcPr>
          <w:p w14:paraId="59DFB7C9"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17  bc</w:t>
            </w:r>
          </w:p>
        </w:tc>
        <w:tc>
          <w:tcPr>
            <w:tcW w:w="0" w:type="auto"/>
            <w:noWrap/>
            <w:hideMark/>
          </w:tcPr>
          <w:p w14:paraId="769A8491"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23  abcd</w:t>
            </w:r>
          </w:p>
        </w:tc>
        <w:tc>
          <w:tcPr>
            <w:tcW w:w="0" w:type="auto"/>
            <w:noWrap/>
            <w:hideMark/>
          </w:tcPr>
          <w:p w14:paraId="20DC93C2"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264 bc</w:t>
            </w:r>
          </w:p>
        </w:tc>
        <w:tc>
          <w:tcPr>
            <w:tcW w:w="0" w:type="auto"/>
            <w:noWrap/>
            <w:hideMark/>
          </w:tcPr>
          <w:p w14:paraId="491D2E4D"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3.0 abc</w:t>
            </w:r>
          </w:p>
        </w:tc>
        <w:tc>
          <w:tcPr>
            <w:tcW w:w="0" w:type="auto"/>
            <w:noWrap/>
            <w:hideMark/>
          </w:tcPr>
          <w:p w14:paraId="7F861BFB"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14  bc</w:t>
            </w:r>
          </w:p>
        </w:tc>
        <w:tc>
          <w:tcPr>
            <w:tcW w:w="0" w:type="auto"/>
            <w:noWrap/>
            <w:hideMark/>
          </w:tcPr>
          <w:p w14:paraId="56EC6E7C"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18  ab</w:t>
            </w:r>
          </w:p>
        </w:tc>
        <w:tc>
          <w:tcPr>
            <w:tcW w:w="894" w:type="dxa"/>
            <w:noWrap/>
            <w:hideMark/>
          </w:tcPr>
          <w:p w14:paraId="47576017"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177 b</w:t>
            </w:r>
          </w:p>
        </w:tc>
      </w:tr>
      <w:tr w:rsidR="009E4134" w:rsidRPr="009E4134" w14:paraId="6D34F99D" w14:textId="77777777" w:rsidTr="005F275F">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01B0E11B" w14:textId="77777777" w:rsidR="00D20476" w:rsidRPr="009E4134" w:rsidRDefault="00D20476" w:rsidP="005F275F">
            <w:pPr>
              <w:rPr>
                <w:rFonts w:cs="Times New Roman"/>
                <w:b w:val="0"/>
                <w:sz w:val="20"/>
                <w:szCs w:val="20"/>
              </w:rPr>
            </w:pPr>
            <w:r w:rsidRPr="009E4134">
              <w:rPr>
                <w:rFonts w:cs="Times New Roman"/>
                <w:b w:val="0"/>
                <w:sz w:val="20"/>
                <w:szCs w:val="20"/>
              </w:rPr>
              <w:t xml:space="preserve">Luna Experience </w:t>
            </w:r>
          </w:p>
        </w:tc>
        <w:tc>
          <w:tcPr>
            <w:tcW w:w="0" w:type="auto"/>
            <w:noWrap/>
            <w:hideMark/>
          </w:tcPr>
          <w:p w14:paraId="79B87F2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 b</w:t>
            </w:r>
          </w:p>
        </w:tc>
        <w:tc>
          <w:tcPr>
            <w:tcW w:w="0" w:type="auto"/>
            <w:noWrap/>
            <w:hideMark/>
          </w:tcPr>
          <w:p w14:paraId="35F20948"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c</w:t>
            </w:r>
          </w:p>
        </w:tc>
        <w:tc>
          <w:tcPr>
            <w:tcW w:w="0" w:type="auto"/>
            <w:noWrap/>
            <w:hideMark/>
          </w:tcPr>
          <w:p w14:paraId="215AD61E"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20  abc</w:t>
            </w:r>
          </w:p>
        </w:tc>
        <w:tc>
          <w:tcPr>
            <w:tcW w:w="0" w:type="auto"/>
            <w:noWrap/>
            <w:hideMark/>
          </w:tcPr>
          <w:p w14:paraId="34D4F0E6"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80.0 d</w:t>
            </w:r>
          </w:p>
        </w:tc>
        <w:tc>
          <w:tcPr>
            <w:tcW w:w="0" w:type="auto"/>
            <w:noWrap/>
            <w:hideMark/>
          </w:tcPr>
          <w:p w14:paraId="682A83A4"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2.0 b</w:t>
            </w:r>
          </w:p>
        </w:tc>
        <w:tc>
          <w:tcPr>
            <w:tcW w:w="0" w:type="auto"/>
            <w:noWrap/>
            <w:hideMark/>
          </w:tcPr>
          <w:p w14:paraId="42090D7C"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c</w:t>
            </w:r>
          </w:p>
        </w:tc>
        <w:tc>
          <w:tcPr>
            <w:tcW w:w="0" w:type="auto"/>
            <w:noWrap/>
            <w:hideMark/>
          </w:tcPr>
          <w:p w14:paraId="70571EE4"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  bcd</w:t>
            </w:r>
          </w:p>
        </w:tc>
        <w:tc>
          <w:tcPr>
            <w:tcW w:w="0" w:type="auto"/>
            <w:noWrap/>
            <w:hideMark/>
          </w:tcPr>
          <w:p w14:paraId="594910A8"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46   bcd</w:t>
            </w:r>
          </w:p>
        </w:tc>
        <w:tc>
          <w:tcPr>
            <w:tcW w:w="0" w:type="auto"/>
            <w:noWrap/>
            <w:hideMark/>
          </w:tcPr>
          <w:p w14:paraId="6310D25F"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0.0 c</w:t>
            </w:r>
          </w:p>
        </w:tc>
        <w:tc>
          <w:tcPr>
            <w:tcW w:w="0" w:type="auto"/>
            <w:noWrap/>
            <w:hideMark/>
          </w:tcPr>
          <w:p w14:paraId="1763827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0.0 c</w:t>
            </w:r>
          </w:p>
        </w:tc>
        <w:tc>
          <w:tcPr>
            <w:tcW w:w="0" w:type="auto"/>
            <w:noWrap/>
            <w:hideMark/>
          </w:tcPr>
          <w:p w14:paraId="5F901386"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8.0 ab</w:t>
            </w:r>
          </w:p>
        </w:tc>
        <w:tc>
          <w:tcPr>
            <w:tcW w:w="894" w:type="dxa"/>
            <w:noWrap/>
            <w:hideMark/>
          </w:tcPr>
          <w:p w14:paraId="3549D9CA"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28   b</w:t>
            </w:r>
          </w:p>
        </w:tc>
      </w:tr>
      <w:tr w:rsidR="00D20476" w:rsidRPr="009E4134" w14:paraId="53D935A5" w14:textId="77777777" w:rsidTr="005F275F">
        <w:trPr>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2458F712" w14:textId="77777777" w:rsidR="00D20476" w:rsidRPr="009E4134" w:rsidRDefault="00D20476" w:rsidP="005F275F">
            <w:pPr>
              <w:rPr>
                <w:rFonts w:cs="Times New Roman"/>
                <w:b w:val="0"/>
                <w:sz w:val="20"/>
                <w:szCs w:val="20"/>
              </w:rPr>
            </w:pPr>
            <w:r w:rsidRPr="009E4134">
              <w:rPr>
                <w:rFonts w:cs="Times New Roman"/>
                <w:b w:val="0"/>
                <w:sz w:val="20"/>
                <w:szCs w:val="20"/>
              </w:rPr>
              <w:t xml:space="preserve">Milstop </w:t>
            </w:r>
          </w:p>
        </w:tc>
        <w:tc>
          <w:tcPr>
            <w:tcW w:w="0" w:type="auto"/>
            <w:noWrap/>
            <w:hideMark/>
          </w:tcPr>
          <w:p w14:paraId="040B2AE9"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3.0 b</w:t>
            </w:r>
          </w:p>
        </w:tc>
        <w:tc>
          <w:tcPr>
            <w:tcW w:w="0" w:type="auto"/>
            <w:noWrap/>
            <w:hideMark/>
          </w:tcPr>
          <w:p w14:paraId="3B79D70E"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31  bc</w:t>
            </w:r>
          </w:p>
        </w:tc>
        <w:tc>
          <w:tcPr>
            <w:tcW w:w="0" w:type="auto"/>
            <w:noWrap/>
            <w:hideMark/>
          </w:tcPr>
          <w:p w14:paraId="4C3C0695"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2.0 c</w:t>
            </w:r>
          </w:p>
        </w:tc>
        <w:tc>
          <w:tcPr>
            <w:tcW w:w="0" w:type="auto"/>
            <w:noWrap/>
            <w:hideMark/>
          </w:tcPr>
          <w:p w14:paraId="35D55B72"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256  cd</w:t>
            </w:r>
          </w:p>
        </w:tc>
        <w:tc>
          <w:tcPr>
            <w:tcW w:w="0" w:type="auto"/>
            <w:noWrap/>
            <w:hideMark/>
          </w:tcPr>
          <w:p w14:paraId="5521EBAB"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4.0 b</w:t>
            </w:r>
          </w:p>
        </w:tc>
        <w:tc>
          <w:tcPr>
            <w:tcW w:w="0" w:type="auto"/>
            <w:noWrap/>
            <w:hideMark/>
          </w:tcPr>
          <w:p w14:paraId="115AF55C"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5.0 c</w:t>
            </w:r>
          </w:p>
        </w:tc>
        <w:tc>
          <w:tcPr>
            <w:tcW w:w="0" w:type="auto"/>
            <w:noWrap/>
            <w:hideMark/>
          </w:tcPr>
          <w:p w14:paraId="69839606"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1.0 cd</w:t>
            </w:r>
          </w:p>
        </w:tc>
        <w:tc>
          <w:tcPr>
            <w:tcW w:w="0" w:type="auto"/>
            <w:noWrap/>
            <w:hideMark/>
          </w:tcPr>
          <w:p w14:paraId="781F4895"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61   bcd</w:t>
            </w:r>
          </w:p>
        </w:tc>
        <w:tc>
          <w:tcPr>
            <w:tcW w:w="0" w:type="auto"/>
            <w:noWrap/>
            <w:hideMark/>
          </w:tcPr>
          <w:p w14:paraId="63306540"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0.0 bc</w:t>
            </w:r>
          </w:p>
        </w:tc>
        <w:tc>
          <w:tcPr>
            <w:tcW w:w="0" w:type="auto"/>
            <w:noWrap/>
            <w:hideMark/>
          </w:tcPr>
          <w:p w14:paraId="52A94275"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2.0 c</w:t>
            </w:r>
          </w:p>
        </w:tc>
        <w:tc>
          <w:tcPr>
            <w:tcW w:w="0" w:type="auto"/>
            <w:noWrap/>
            <w:hideMark/>
          </w:tcPr>
          <w:p w14:paraId="42676629"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0.0 b</w:t>
            </w:r>
          </w:p>
        </w:tc>
        <w:tc>
          <w:tcPr>
            <w:tcW w:w="894" w:type="dxa"/>
            <w:noWrap/>
            <w:hideMark/>
          </w:tcPr>
          <w:p w14:paraId="13C6FCB4"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12   b</w:t>
            </w:r>
          </w:p>
        </w:tc>
      </w:tr>
      <w:tr w:rsidR="009E4134" w:rsidRPr="009E4134" w14:paraId="01AB5FF1" w14:textId="77777777" w:rsidTr="005F275F">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4EEBD3E1" w14:textId="77777777" w:rsidR="00D20476" w:rsidRPr="009E4134" w:rsidRDefault="00D20476" w:rsidP="005F275F">
            <w:pPr>
              <w:rPr>
                <w:rFonts w:cs="Times New Roman"/>
                <w:b w:val="0"/>
                <w:sz w:val="20"/>
                <w:szCs w:val="20"/>
              </w:rPr>
            </w:pPr>
            <w:r w:rsidRPr="009E4134">
              <w:rPr>
                <w:rFonts w:cs="Times New Roman"/>
                <w:b w:val="0"/>
                <w:sz w:val="20"/>
                <w:szCs w:val="20"/>
              </w:rPr>
              <w:t xml:space="preserve">Regalia </w:t>
            </w:r>
          </w:p>
        </w:tc>
        <w:tc>
          <w:tcPr>
            <w:tcW w:w="0" w:type="auto"/>
            <w:noWrap/>
            <w:hideMark/>
          </w:tcPr>
          <w:p w14:paraId="482C4FE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18  ab</w:t>
            </w:r>
          </w:p>
        </w:tc>
        <w:tc>
          <w:tcPr>
            <w:tcW w:w="0" w:type="auto"/>
            <w:noWrap/>
            <w:hideMark/>
          </w:tcPr>
          <w:p w14:paraId="67014F37"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21  c</w:t>
            </w:r>
          </w:p>
        </w:tc>
        <w:tc>
          <w:tcPr>
            <w:tcW w:w="0" w:type="auto"/>
            <w:noWrap/>
            <w:hideMark/>
          </w:tcPr>
          <w:p w14:paraId="3848E113"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48  ab</w:t>
            </w:r>
          </w:p>
        </w:tc>
        <w:tc>
          <w:tcPr>
            <w:tcW w:w="0" w:type="auto"/>
            <w:noWrap/>
            <w:hideMark/>
          </w:tcPr>
          <w:p w14:paraId="5EEF658D"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447  bcd</w:t>
            </w:r>
          </w:p>
        </w:tc>
        <w:tc>
          <w:tcPr>
            <w:tcW w:w="0" w:type="auto"/>
            <w:noWrap/>
            <w:hideMark/>
          </w:tcPr>
          <w:p w14:paraId="2117AF49"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10  ab</w:t>
            </w:r>
          </w:p>
        </w:tc>
        <w:tc>
          <w:tcPr>
            <w:tcW w:w="0" w:type="auto"/>
            <w:noWrap/>
            <w:hideMark/>
          </w:tcPr>
          <w:p w14:paraId="24AC4DED"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12  bc</w:t>
            </w:r>
          </w:p>
        </w:tc>
        <w:tc>
          <w:tcPr>
            <w:tcW w:w="0" w:type="auto"/>
            <w:noWrap/>
            <w:hideMark/>
          </w:tcPr>
          <w:p w14:paraId="01363EBD"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18  abcd</w:t>
            </w:r>
          </w:p>
        </w:tc>
        <w:tc>
          <w:tcPr>
            <w:tcW w:w="0" w:type="auto"/>
            <w:noWrap/>
            <w:hideMark/>
          </w:tcPr>
          <w:p w14:paraId="191190A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215 bc</w:t>
            </w:r>
          </w:p>
        </w:tc>
        <w:tc>
          <w:tcPr>
            <w:tcW w:w="0" w:type="auto"/>
            <w:noWrap/>
            <w:hideMark/>
          </w:tcPr>
          <w:p w14:paraId="51E664A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2.0 abc</w:t>
            </w:r>
          </w:p>
        </w:tc>
        <w:tc>
          <w:tcPr>
            <w:tcW w:w="0" w:type="auto"/>
            <w:noWrap/>
            <w:hideMark/>
          </w:tcPr>
          <w:p w14:paraId="0EAF484D"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2.0 c</w:t>
            </w:r>
          </w:p>
        </w:tc>
        <w:tc>
          <w:tcPr>
            <w:tcW w:w="0" w:type="auto"/>
            <w:noWrap/>
            <w:hideMark/>
          </w:tcPr>
          <w:p w14:paraId="757558A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14  ab</w:t>
            </w:r>
          </w:p>
        </w:tc>
        <w:tc>
          <w:tcPr>
            <w:tcW w:w="894" w:type="dxa"/>
            <w:noWrap/>
            <w:hideMark/>
          </w:tcPr>
          <w:p w14:paraId="31D6349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78   b</w:t>
            </w:r>
          </w:p>
        </w:tc>
      </w:tr>
      <w:tr w:rsidR="00D20476" w:rsidRPr="009E4134" w14:paraId="2216AD7A" w14:textId="77777777" w:rsidTr="005F275F">
        <w:trPr>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268C5C0C" w14:textId="77777777" w:rsidR="00D20476" w:rsidRPr="009E4134" w:rsidRDefault="00D20476" w:rsidP="005F275F">
            <w:pPr>
              <w:rPr>
                <w:rFonts w:cs="Times New Roman"/>
                <w:b w:val="0"/>
                <w:sz w:val="20"/>
                <w:szCs w:val="20"/>
              </w:rPr>
            </w:pPr>
            <w:r w:rsidRPr="009E4134">
              <w:rPr>
                <w:rFonts w:cs="Times New Roman"/>
                <w:b w:val="0"/>
                <w:sz w:val="20"/>
                <w:szCs w:val="20"/>
              </w:rPr>
              <w:t>Regalia*</w:t>
            </w:r>
          </w:p>
        </w:tc>
        <w:tc>
          <w:tcPr>
            <w:tcW w:w="0" w:type="auto"/>
            <w:noWrap/>
            <w:hideMark/>
          </w:tcPr>
          <w:p w14:paraId="71B3F460"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55  a</w:t>
            </w:r>
          </w:p>
        </w:tc>
        <w:tc>
          <w:tcPr>
            <w:tcW w:w="0" w:type="auto"/>
            <w:noWrap/>
            <w:hideMark/>
          </w:tcPr>
          <w:p w14:paraId="1FB30AAD"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70  a</w:t>
            </w:r>
          </w:p>
        </w:tc>
        <w:tc>
          <w:tcPr>
            <w:tcW w:w="0" w:type="auto"/>
            <w:noWrap/>
            <w:hideMark/>
          </w:tcPr>
          <w:p w14:paraId="32AD55CE"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59  ab</w:t>
            </w:r>
          </w:p>
        </w:tc>
        <w:tc>
          <w:tcPr>
            <w:tcW w:w="0" w:type="auto"/>
            <w:noWrap/>
            <w:hideMark/>
          </w:tcPr>
          <w:p w14:paraId="3EC19A33"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1,105 ab</w:t>
            </w:r>
          </w:p>
        </w:tc>
        <w:tc>
          <w:tcPr>
            <w:tcW w:w="0" w:type="auto"/>
            <w:noWrap/>
            <w:hideMark/>
          </w:tcPr>
          <w:p w14:paraId="2445729E"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13  ab</w:t>
            </w:r>
          </w:p>
        </w:tc>
        <w:tc>
          <w:tcPr>
            <w:tcW w:w="0" w:type="auto"/>
            <w:noWrap/>
            <w:hideMark/>
          </w:tcPr>
          <w:p w14:paraId="174AD3F1"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19  bc</w:t>
            </w:r>
          </w:p>
        </w:tc>
        <w:tc>
          <w:tcPr>
            <w:tcW w:w="0" w:type="auto"/>
            <w:noWrap/>
            <w:hideMark/>
          </w:tcPr>
          <w:p w14:paraId="2CB19566"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14  abcd</w:t>
            </w:r>
          </w:p>
        </w:tc>
        <w:tc>
          <w:tcPr>
            <w:tcW w:w="0" w:type="auto"/>
            <w:noWrap/>
            <w:hideMark/>
          </w:tcPr>
          <w:p w14:paraId="33BD4385"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273 bc</w:t>
            </w:r>
          </w:p>
        </w:tc>
        <w:tc>
          <w:tcPr>
            <w:tcW w:w="0" w:type="auto"/>
            <w:noWrap/>
            <w:hideMark/>
          </w:tcPr>
          <w:p w14:paraId="7ED41A82"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8.0 abc</w:t>
            </w:r>
          </w:p>
        </w:tc>
        <w:tc>
          <w:tcPr>
            <w:tcW w:w="0" w:type="auto"/>
            <w:noWrap/>
            <w:hideMark/>
          </w:tcPr>
          <w:p w14:paraId="2A09DB39"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14  bc</w:t>
            </w:r>
          </w:p>
        </w:tc>
        <w:tc>
          <w:tcPr>
            <w:tcW w:w="0" w:type="auto"/>
            <w:noWrap/>
            <w:hideMark/>
          </w:tcPr>
          <w:p w14:paraId="572BE60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8.0 ab</w:t>
            </w:r>
          </w:p>
        </w:tc>
        <w:tc>
          <w:tcPr>
            <w:tcW w:w="894" w:type="dxa"/>
            <w:noWrap/>
            <w:hideMark/>
          </w:tcPr>
          <w:p w14:paraId="4A25AAC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184 b</w:t>
            </w:r>
          </w:p>
        </w:tc>
      </w:tr>
      <w:tr w:rsidR="009E4134" w:rsidRPr="009E4134" w14:paraId="0567A523" w14:textId="77777777" w:rsidTr="005F275F">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5B09F8D6" w14:textId="77777777" w:rsidR="00D20476" w:rsidRPr="009E4134" w:rsidRDefault="00D20476" w:rsidP="005F275F">
            <w:pPr>
              <w:rPr>
                <w:rFonts w:cs="Times New Roman"/>
                <w:b w:val="0"/>
                <w:sz w:val="20"/>
                <w:szCs w:val="20"/>
              </w:rPr>
            </w:pPr>
            <w:r w:rsidRPr="009E4134">
              <w:rPr>
                <w:rFonts w:cs="Times New Roman"/>
                <w:b w:val="0"/>
                <w:sz w:val="20"/>
                <w:szCs w:val="20"/>
              </w:rPr>
              <w:t xml:space="preserve">Sil-Matrix </w:t>
            </w:r>
          </w:p>
        </w:tc>
        <w:tc>
          <w:tcPr>
            <w:tcW w:w="0" w:type="auto"/>
            <w:noWrap/>
            <w:hideMark/>
          </w:tcPr>
          <w:p w14:paraId="289C0994"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9.0 ab</w:t>
            </w:r>
          </w:p>
        </w:tc>
        <w:tc>
          <w:tcPr>
            <w:tcW w:w="0" w:type="auto"/>
            <w:noWrap/>
            <w:hideMark/>
          </w:tcPr>
          <w:p w14:paraId="05283275"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20  c</w:t>
            </w:r>
          </w:p>
        </w:tc>
        <w:tc>
          <w:tcPr>
            <w:tcW w:w="0" w:type="auto"/>
            <w:noWrap/>
            <w:hideMark/>
          </w:tcPr>
          <w:p w14:paraId="7224751D"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76  a</w:t>
            </w:r>
          </w:p>
        </w:tc>
        <w:tc>
          <w:tcPr>
            <w:tcW w:w="0" w:type="auto"/>
            <w:noWrap/>
            <w:hideMark/>
          </w:tcPr>
          <w:p w14:paraId="7BADC5BA"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471 bc</w:t>
            </w:r>
          </w:p>
        </w:tc>
        <w:tc>
          <w:tcPr>
            <w:tcW w:w="0" w:type="auto"/>
            <w:noWrap/>
            <w:hideMark/>
          </w:tcPr>
          <w:p w14:paraId="54877BDC"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8.0 ab</w:t>
            </w:r>
          </w:p>
        </w:tc>
        <w:tc>
          <w:tcPr>
            <w:tcW w:w="0" w:type="auto"/>
            <w:noWrap/>
            <w:hideMark/>
          </w:tcPr>
          <w:p w14:paraId="6CA79A89"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5.0 c</w:t>
            </w:r>
          </w:p>
        </w:tc>
        <w:tc>
          <w:tcPr>
            <w:tcW w:w="0" w:type="auto"/>
            <w:noWrap/>
            <w:hideMark/>
          </w:tcPr>
          <w:p w14:paraId="74E05E05"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12  bcd</w:t>
            </w:r>
          </w:p>
        </w:tc>
        <w:tc>
          <w:tcPr>
            <w:tcW w:w="0" w:type="auto"/>
            <w:noWrap/>
            <w:hideMark/>
          </w:tcPr>
          <w:p w14:paraId="5E83E784"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133 bc</w:t>
            </w:r>
          </w:p>
        </w:tc>
        <w:tc>
          <w:tcPr>
            <w:tcW w:w="0" w:type="auto"/>
            <w:noWrap/>
            <w:hideMark/>
          </w:tcPr>
          <w:p w14:paraId="05559CFB"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1.0 abc</w:t>
            </w:r>
          </w:p>
        </w:tc>
        <w:tc>
          <w:tcPr>
            <w:tcW w:w="0" w:type="auto"/>
            <w:noWrap/>
            <w:hideMark/>
          </w:tcPr>
          <w:p w14:paraId="4073FD7C"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2.0 c</w:t>
            </w:r>
          </w:p>
        </w:tc>
        <w:tc>
          <w:tcPr>
            <w:tcW w:w="0" w:type="auto"/>
            <w:noWrap/>
            <w:hideMark/>
          </w:tcPr>
          <w:p w14:paraId="3CD04FA5"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10  ab</w:t>
            </w:r>
          </w:p>
        </w:tc>
        <w:tc>
          <w:tcPr>
            <w:tcW w:w="894" w:type="dxa"/>
            <w:noWrap/>
            <w:hideMark/>
          </w:tcPr>
          <w:p w14:paraId="1E8C3F5D"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52   b</w:t>
            </w:r>
          </w:p>
        </w:tc>
      </w:tr>
      <w:tr w:rsidR="00D20476" w:rsidRPr="009E4134" w14:paraId="49F205BE" w14:textId="77777777" w:rsidTr="005F275F">
        <w:trPr>
          <w:trHeight w:val="156"/>
        </w:trPr>
        <w:tc>
          <w:tcPr>
            <w:cnfStyle w:val="001000000000" w:firstRow="0" w:lastRow="0" w:firstColumn="1" w:lastColumn="0" w:oddVBand="0" w:evenVBand="0" w:oddHBand="0" w:evenHBand="0" w:firstRowFirstColumn="0" w:firstRowLastColumn="0" w:lastRowFirstColumn="0" w:lastRowLastColumn="0"/>
            <w:tcW w:w="0" w:type="auto"/>
            <w:noWrap/>
            <w:hideMark/>
          </w:tcPr>
          <w:p w14:paraId="7436D4BA" w14:textId="77777777" w:rsidR="00D20476" w:rsidRPr="009E4134" w:rsidRDefault="00D20476" w:rsidP="005F275F">
            <w:pPr>
              <w:rPr>
                <w:rFonts w:cs="Times New Roman"/>
                <w:b w:val="0"/>
                <w:sz w:val="20"/>
                <w:szCs w:val="20"/>
              </w:rPr>
            </w:pPr>
            <w:r w:rsidRPr="009E4134">
              <w:rPr>
                <w:rFonts w:cs="Times New Roman"/>
                <w:b w:val="0"/>
                <w:sz w:val="20"/>
                <w:szCs w:val="20"/>
              </w:rPr>
              <w:t xml:space="preserve">Stargus </w:t>
            </w:r>
          </w:p>
        </w:tc>
        <w:tc>
          <w:tcPr>
            <w:tcW w:w="0" w:type="auto"/>
            <w:noWrap/>
            <w:hideMark/>
          </w:tcPr>
          <w:p w14:paraId="768BD96E"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31  ab</w:t>
            </w:r>
          </w:p>
        </w:tc>
        <w:tc>
          <w:tcPr>
            <w:tcW w:w="0" w:type="auto"/>
            <w:noWrap/>
            <w:hideMark/>
          </w:tcPr>
          <w:p w14:paraId="6E214685"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71  a</w:t>
            </w:r>
          </w:p>
        </w:tc>
        <w:tc>
          <w:tcPr>
            <w:tcW w:w="0" w:type="auto"/>
            <w:noWrap/>
            <w:hideMark/>
          </w:tcPr>
          <w:p w14:paraId="0D9B5C5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41  ab</w:t>
            </w:r>
          </w:p>
        </w:tc>
        <w:tc>
          <w:tcPr>
            <w:tcW w:w="0" w:type="auto"/>
            <w:noWrap/>
            <w:hideMark/>
          </w:tcPr>
          <w:p w14:paraId="1C336C53"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878 abc</w:t>
            </w:r>
          </w:p>
        </w:tc>
        <w:tc>
          <w:tcPr>
            <w:tcW w:w="0" w:type="auto"/>
            <w:noWrap/>
            <w:hideMark/>
          </w:tcPr>
          <w:p w14:paraId="7BCF6E63"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11  ab</w:t>
            </w:r>
          </w:p>
        </w:tc>
        <w:tc>
          <w:tcPr>
            <w:tcW w:w="0" w:type="auto"/>
            <w:noWrap/>
            <w:hideMark/>
          </w:tcPr>
          <w:p w14:paraId="5FCABBAE"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14 bc</w:t>
            </w:r>
          </w:p>
        </w:tc>
        <w:tc>
          <w:tcPr>
            <w:tcW w:w="0" w:type="auto"/>
            <w:noWrap/>
            <w:hideMark/>
          </w:tcPr>
          <w:p w14:paraId="7F8EFBD1"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13  abcd</w:t>
            </w:r>
          </w:p>
        </w:tc>
        <w:tc>
          <w:tcPr>
            <w:tcW w:w="0" w:type="auto"/>
            <w:noWrap/>
            <w:hideMark/>
          </w:tcPr>
          <w:p w14:paraId="2B5F7990"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225 bc</w:t>
            </w:r>
          </w:p>
        </w:tc>
        <w:tc>
          <w:tcPr>
            <w:tcW w:w="0" w:type="auto"/>
            <w:noWrap/>
            <w:hideMark/>
          </w:tcPr>
          <w:p w14:paraId="08C74DE0"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 4.0 abc</w:t>
            </w:r>
          </w:p>
        </w:tc>
        <w:tc>
          <w:tcPr>
            <w:tcW w:w="0" w:type="auto"/>
            <w:noWrap/>
            <w:hideMark/>
          </w:tcPr>
          <w:p w14:paraId="61034591"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10  bc</w:t>
            </w:r>
          </w:p>
        </w:tc>
        <w:tc>
          <w:tcPr>
            <w:tcW w:w="0" w:type="auto"/>
            <w:noWrap/>
            <w:hideMark/>
          </w:tcPr>
          <w:p w14:paraId="5590B88C"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7.0 ab</w:t>
            </w:r>
          </w:p>
        </w:tc>
        <w:tc>
          <w:tcPr>
            <w:tcW w:w="894" w:type="dxa"/>
            <w:noWrap/>
            <w:hideMark/>
          </w:tcPr>
          <w:p w14:paraId="2C04A9C7"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127 b</w:t>
            </w:r>
          </w:p>
        </w:tc>
      </w:tr>
      <w:tr w:rsidR="009E4134" w:rsidRPr="009E4134" w14:paraId="7DB03431" w14:textId="77777777" w:rsidTr="005F275F">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0" w:type="auto"/>
            <w:noWrap/>
            <w:hideMark/>
          </w:tcPr>
          <w:p w14:paraId="64D32AAE" w14:textId="77777777" w:rsidR="00D20476" w:rsidRPr="009E4134" w:rsidRDefault="00D20476" w:rsidP="005F275F">
            <w:pPr>
              <w:rPr>
                <w:rFonts w:cs="Times New Roman"/>
                <w:b w:val="0"/>
                <w:sz w:val="20"/>
                <w:szCs w:val="20"/>
              </w:rPr>
            </w:pPr>
          </w:p>
        </w:tc>
        <w:tc>
          <w:tcPr>
            <w:tcW w:w="0" w:type="auto"/>
            <w:noWrap/>
            <w:hideMark/>
          </w:tcPr>
          <w:p w14:paraId="14193B31"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27008272"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5999195E"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616F0FB3"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7CBA3D16"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0FC666E3"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4965C989"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60F17A03"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2AE2BEDA"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57C06B0A"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p>
        </w:tc>
        <w:tc>
          <w:tcPr>
            <w:tcW w:w="0" w:type="auto"/>
            <w:noWrap/>
            <w:hideMark/>
          </w:tcPr>
          <w:p w14:paraId="0BD7412B"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w:t>
            </w:r>
          </w:p>
        </w:tc>
        <w:tc>
          <w:tcPr>
            <w:tcW w:w="894" w:type="dxa"/>
            <w:noWrap/>
            <w:hideMark/>
          </w:tcPr>
          <w:p w14:paraId="5BEBBCA0" w14:textId="77777777" w:rsidR="00D20476" w:rsidRPr="009E4134" w:rsidRDefault="00D20476" w:rsidP="005F275F">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E4134">
              <w:rPr>
                <w:rFonts w:cs="Times New Roman"/>
                <w:sz w:val="20"/>
                <w:szCs w:val="20"/>
              </w:rPr>
              <w:t> </w:t>
            </w:r>
          </w:p>
        </w:tc>
      </w:tr>
      <w:tr w:rsidR="00D20476" w:rsidRPr="009E4134" w14:paraId="39BE0838" w14:textId="77777777" w:rsidTr="005F275F">
        <w:trPr>
          <w:trHeight w:val="45"/>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noWrap/>
            <w:hideMark/>
          </w:tcPr>
          <w:p w14:paraId="6BCF357B" w14:textId="77777777" w:rsidR="00D20476" w:rsidRPr="009E4134" w:rsidRDefault="00D20476" w:rsidP="005F275F">
            <w:pPr>
              <w:rPr>
                <w:rFonts w:cs="Times New Roman"/>
                <w:b w:val="0"/>
                <w:sz w:val="20"/>
                <w:szCs w:val="20"/>
              </w:rPr>
            </w:pPr>
            <w:r w:rsidRPr="009E4134">
              <w:rPr>
                <w:rFonts w:cs="Times New Roman"/>
                <w:b w:val="0"/>
                <w:sz w:val="20"/>
                <w:szCs w:val="20"/>
              </w:rPr>
              <w:t>Water  (check)</w:t>
            </w:r>
          </w:p>
        </w:tc>
        <w:tc>
          <w:tcPr>
            <w:tcW w:w="0" w:type="auto"/>
            <w:tcBorders>
              <w:bottom w:val="single" w:sz="4" w:space="0" w:color="auto"/>
            </w:tcBorders>
            <w:noWrap/>
            <w:hideMark/>
          </w:tcPr>
          <w:p w14:paraId="0743AF4A"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57  a</w:t>
            </w:r>
          </w:p>
        </w:tc>
        <w:tc>
          <w:tcPr>
            <w:tcW w:w="0" w:type="auto"/>
            <w:tcBorders>
              <w:bottom w:val="single" w:sz="4" w:space="0" w:color="auto"/>
            </w:tcBorders>
            <w:noWrap/>
            <w:hideMark/>
          </w:tcPr>
          <w:p w14:paraId="4AA86A3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89  a</w:t>
            </w:r>
          </w:p>
        </w:tc>
        <w:tc>
          <w:tcPr>
            <w:tcW w:w="0" w:type="auto"/>
            <w:tcBorders>
              <w:bottom w:val="single" w:sz="4" w:space="0" w:color="auto"/>
            </w:tcBorders>
            <w:noWrap/>
            <w:hideMark/>
          </w:tcPr>
          <w:p w14:paraId="3A00CDDA"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85  a</w:t>
            </w:r>
          </w:p>
        </w:tc>
        <w:tc>
          <w:tcPr>
            <w:tcW w:w="0" w:type="auto"/>
            <w:tcBorders>
              <w:bottom w:val="single" w:sz="4" w:space="0" w:color="auto"/>
            </w:tcBorders>
            <w:noWrap/>
            <w:hideMark/>
          </w:tcPr>
          <w:p w14:paraId="4BE5EB4D"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1343 a</w:t>
            </w:r>
          </w:p>
        </w:tc>
        <w:tc>
          <w:tcPr>
            <w:tcW w:w="0" w:type="auto"/>
            <w:tcBorders>
              <w:bottom w:val="single" w:sz="4" w:space="0" w:color="auto"/>
            </w:tcBorders>
            <w:noWrap/>
            <w:hideMark/>
          </w:tcPr>
          <w:p w14:paraId="4E80D146"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11  ab</w:t>
            </w:r>
          </w:p>
        </w:tc>
        <w:tc>
          <w:tcPr>
            <w:tcW w:w="0" w:type="auto"/>
            <w:tcBorders>
              <w:bottom w:val="single" w:sz="4" w:space="0" w:color="auto"/>
            </w:tcBorders>
            <w:noWrap/>
            <w:hideMark/>
          </w:tcPr>
          <w:p w14:paraId="3EE93E46"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48 a</w:t>
            </w:r>
          </w:p>
        </w:tc>
        <w:tc>
          <w:tcPr>
            <w:tcW w:w="0" w:type="auto"/>
            <w:tcBorders>
              <w:bottom w:val="single" w:sz="4" w:space="0" w:color="auto"/>
            </w:tcBorders>
            <w:noWrap/>
            <w:hideMark/>
          </w:tcPr>
          <w:p w14:paraId="1506E716"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53  a</w:t>
            </w:r>
          </w:p>
        </w:tc>
        <w:tc>
          <w:tcPr>
            <w:tcW w:w="0" w:type="auto"/>
            <w:tcBorders>
              <w:bottom w:val="single" w:sz="4" w:space="0" w:color="auto"/>
            </w:tcBorders>
            <w:noWrap/>
            <w:hideMark/>
          </w:tcPr>
          <w:p w14:paraId="44DC00CC"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601 a</w:t>
            </w:r>
          </w:p>
        </w:tc>
        <w:tc>
          <w:tcPr>
            <w:tcW w:w="0" w:type="auto"/>
            <w:tcBorders>
              <w:bottom w:val="single" w:sz="4" w:space="0" w:color="auto"/>
            </w:tcBorders>
            <w:noWrap/>
            <w:hideMark/>
          </w:tcPr>
          <w:p w14:paraId="471768BA"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7abc</w:t>
            </w:r>
          </w:p>
        </w:tc>
        <w:tc>
          <w:tcPr>
            <w:tcW w:w="0" w:type="auto"/>
            <w:tcBorders>
              <w:bottom w:val="single" w:sz="4" w:space="0" w:color="auto"/>
            </w:tcBorders>
            <w:noWrap/>
            <w:hideMark/>
          </w:tcPr>
          <w:p w14:paraId="68198082"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45  a</w:t>
            </w:r>
          </w:p>
        </w:tc>
        <w:tc>
          <w:tcPr>
            <w:tcW w:w="0" w:type="auto"/>
            <w:tcBorders>
              <w:bottom w:val="single" w:sz="4" w:space="0" w:color="auto"/>
            </w:tcBorders>
            <w:noWrap/>
            <w:hideMark/>
          </w:tcPr>
          <w:p w14:paraId="3563EC5F"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47  a</w:t>
            </w:r>
          </w:p>
        </w:tc>
        <w:tc>
          <w:tcPr>
            <w:tcW w:w="894" w:type="dxa"/>
            <w:tcBorders>
              <w:bottom w:val="single" w:sz="4" w:space="0" w:color="auto"/>
            </w:tcBorders>
            <w:noWrap/>
            <w:hideMark/>
          </w:tcPr>
          <w:p w14:paraId="556FB6A0" w14:textId="77777777" w:rsidR="00D20476" w:rsidRPr="009E4134" w:rsidRDefault="00D20476" w:rsidP="005F275F">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E4134">
              <w:rPr>
                <w:rFonts w:cs="Times New Roman"/>
                <w:sz w:val="20"/>
                <w:szCs w:val="20"/>
              </w:rPr>
              <w:t>529 a</w:t>
            </w:r>
          </w:p>
        </w:tc>
      </w:tr>
      <w:tr w:rsidR="00D20476" w:rsidRPr="009E4134" w14:paraId="785E473D" w14:textId="77777777" w:rsidTr="005F275F">
        <w:trPr>
          <w:cnfStyle w:val="000000100000" w:firstRow="0" w:lastRow="0" w:firstColumn="0" w:lastColumn="0" w:oddVBand="0" w:evenVBand="0" w:oddHBand="1" w:evenHBand="0" w:firstRowFirstColumn="0" w:firstRowLastColumn="0" w:lastRowFirstColumn="0" w:lastRowLastColumn="0"/>
          <w:trHeight w:val="125"/>
        </w:trPr>
        <w:tc>
          <w:tcPr>
            <w:cnfStyle w:val="001000000000" w:firstRow="0" w:lastRow="0" w:firstColumn="1" w:lastColumn="0" w:oddVBand="0" w:evenVBand="0" w:oddHBand="0" w:evenHBand="0" w:firstRowFirstColumn="0" w:firstRowLastColumn="0" w:lastRowFirstColumn="0" w:lastRowLastColumn="0"/>
            <w:tcW w:w="11850" w:type="dxa"/>
            <w:gridSpan w:val="13"/>
            <w:tcBorders>
              <w:top w:val="single" w:sz="4" w:space="0" w:color="auto"/>
            </w:tcBorders>
            <w:shd w:val="clear" w:color="auto" w:fill="auto"/>
            <w:noWrap/>
          </w:tcPr>
          <w:p w14:paraId="4A4E1BFE" w14:textId="77777777" w:rsidR="00D20476" w:rsidRPr="009E4134" w:rsidRDefault="00D20476" w:rsidP="005F275F">
            <w:pPr>
              <w:pStyle w:val="NoSpacing"/>
              <w:rPr>
                <w:rFonts w:ascii="Times New Roman" w:hAnsi="Times New Roman" w:cs="Times New Roman"/>
                <w:b w:val="0"/>
                <w:sz w:val="20"/>
                <w:szCs w:val="20"/>
              </w:rPr>
            </w:pPr>
            <w:r w:rsidRPr="009E4134">
              <w:rPr>
                <w:rFonts w:ascii="Times New Roman" w:hAnsi="Times New Roman" w:cs="Times New Roman"/>
                <w:b w:val="0"/>
                <w:sz w:val="20"/>
                <w:szCs w:val="20"/>
                <w:vertAlign w:val="superscript"/>
              </w:rPr>
              <w:t>w</w:t>
            </w:r>
            <w:r w:rsidRPr="009E4134">
              <w:rPr>
                <w:rFonts w:ascii="Times New Roman" w:hAnsi="Times New Roman" w:cs="Times New Roman"/>
                <w:b w:val="0"/>
                <w:sz w:val="20"/>
                <w:szCs w:val="20"/>
              </w:rPr>
              <w:t xml:space="preserve"> Disease index (DI)= (I*S)/100, where DI=disease index, I=disease incidence, S=disease severity, and 100 represents the maximum possible incidence and severity scores. </w:t>
            </w:r>
          </w:p>
          <w:p w14:paraId="3194BC56" w14:textId="77777777" w:rsidR="00D20476" w:rsidRPr="009E4134" w:rsidRDefault="00D20476" w:rsidP="005F275F">
            <w:pPr>
              <w:pStyle w:val="NoSpacing"/>
              <w:rPr>
                <w:rFonts w:ascii="Times New Roman" w:hAnsi="Times New Roman" w:cs="Times New Roman"/>
                <w:b w:val="0"/>
                <w:sz w:val="20"/>
                <w:szCs w:val="20"/>
              </w:rPr>
            </w:pPr>
            <w:r w:rsidRPr="009E4134">
              <w:rPr>
                <w:rFonts w:ascii="Times New Roman" w:hAnsi="Times New Roman" w:cs="Times New Roman"/>
                <w:b w:val="0"/>
                <w:sz w:val="20"/>
                <w:szCs w:val="20"/>
                <w:vertAlign w:val="superscript"/>
              </w:rPr>
              <w:t xml:space="preserve">x </w:t>
            </w:r>
            <w:r w:rsidRPr="009E4134">
              <w:rPr>
                <w:rFonts w:ascii="Times New Roman" w:hAnsi="Times New Roman" w:cs="Times New Roman"/>
                <w:b w:val="0"/>
                <w:sz w:val="20"/>
                <w:szCs w:val="20"/>
              </w:rPr>
              <w:t>Area under the disease progress curve (AUDPC) was calculated according to the formula: ∑n i=1[(DIi+1 + DIi)/2] [ti+1 – ti], where DI = disease index at the ith observation, ti = time (days) since the previous rating at the ith observation, and n = total number of observations.</w:t>
            </w:r>
          </w:p>
          <w:p w14:paraId="3209F9A6" w14:textId="77777777" w:rsidR="00D20476" w:rsidRPr="009E4134" w:rsidRDefault="00D20476" w:rsidP="005F275F">
            <w:pPr>
              <w:pStyle w:val="NoSpacing"/>
              <w:rPr>
                <w:rFonts w:ascii="Times New Roman" w:hAnsi="Times New Roman" w:cs="Times New Roman"/>
                <w:b w:val="0"/>
                <w:sz w:val="20"/>
                <w:szCs w:val="20"/>
              </w:rPr>
            </w:pPr>
            <w:r w:rsidRPr="009E4134">
              <w:rPr>
                <w:rFonts w:ascii="Times New Roman" w:hAnsi="Times New Roman" w:cs="Times New Roman"/>
                <w:b w:val="0"/>
                <w:sz w:val="20"/>
                <w:szCs w:val="20"/>
                <w:vertAlign w:val="superscript"/>
              </w:rPr>
              <w:t>y</w:t>
            </w:r>
            <w:r w:rsidRPr="009E4134">
              <w:rPr>
                <w:rFonts w:ascii="Times New Roman" w:hAnsi="Times New Roman" w:cs="Times New Roman"/>
                <w:b w:val="0"/>
                <w:sz w:val="20"/>
                <w:szCs w:val="20"/>
              </w:rPr>
              <w:t xml:space="preserve"> Days after the first treatment application </w:t>
            </w:r>
          </w:p>
          <w:p w14:paraId="43BB16F1" w14:textId="77777777" w:rsidR="00D20476" w:rsidRPr="009E4134" w:rsidRDefault="00D20476" w:rsidP="005F275F">
            <w:pPr>
              <w:pStyle w:val="NoSpacing"/>
              <w:rPr>
                <w:rFonts w:ascii="Times New Roman" w:hAnsi="Times New Roman" w:cs="Times New Roman"/>
                <w:b w:val="0"/>
                <w:sz w:val="20"/>
                <w:szCs w:val="20"/>
              </w:rPr>
            </w:pPr>
            <w:r w:rsidRPr="009E4134">
              <w:rPr>
                <w:rFonts w:ascii="Times New Roman" w:hAnsi="Times New Roman" w:cs="Times New Roman"/>
                <w:b w:val="0"/>
                <w:sz w:val="20"/>
                <w:szCs w:val="20"/>
                <w:vertAlign w:val="superscript"/>
              </w:rPr>
              <w:t>z</w:t>
            </w:r>
            <w:r w:rsidRPr="009E4134">
              <w:rPr>
                <w:rFonts w:ascii="Times New Roman" w:hAnsi="Times New Roman" w:cs="Times New Roman"/>
                <w:b w:val="0"/>
                <w:sz w:val="20"/>
                <w:szCs w:val="20"/>
              </w:rPr>
              <w:t xml:space="preserve"> Means followed by the same letter(s) within columns are not significantly different (Tukey test, P&lt;0.05).</w:t>
            </w:r>
          </w:p>
          <w:p w14:paraId="7B6BF9E2" w14:textId="77777777" w:rsidR="00D20476" w:rsidRPr="009E4134" w:rsidRDefault="00D20476" w:rsidP="005F275F">
            <w:pPr>
              <w:pStyle w:val="NoSpacing"/>
              <w:rPr>
                <w:rFonts w:ascii="Times New Roman" w:hAnsi="Times New Roman" w:cs="Times New Roman"/>
                <w:b w:val="0"/>
                <w:sz w:val="20"/>
                <w:szCs w:val="20"/>
              </w:rPr>
            </w:pPr>
            <w:r w:rsidRPr="009E4134">
              <w:rPr>
                <w:rFonts w:ascii="Times New Roman" w:hAnsi="Times New Roman" w:cs="Times New Roman"/>
                <w:b w:val="0"/>
                <w:sz w:val="20"/>
                <w:szCs w:val="20"/>
              </w:rPr>
              <w:t xml:space="preserve">* Applied as a post-inoculation treatment </w:t>
            </w:r>
          </w:p>
        </w:tc>
      </w:tr>
    </w:tbl>
    <w:p w14:paraId="53DFDDFA" w14:textId="77777777" w:rsidR="00D20476" w:rsidRPr="004C3997" w:rsidRDefault="00D20476" w:rsidP="00D20476">
      <w:pPr>
        <w:rPr>
          <w:rFonts w:cs="Times New Roman"/>
          <w:szCs w:val="24"/>
        </w:rPr>
      </w:pPr>
    </w:p>
    <w:p w14:paraId="4E53B289" w14:textId="77777777" w:rsidR="00D20476" w:rsidRPr="004C3997" w:rsidRDefault="00D20476" w:rsidP="00D20476">
      <w:pPr>
        <w:rPr>
          <w:rFonts w:cs="Times New Roman"/>
          <w:szCs w:val="24"/>
        </w:rPr>
        <w:sectPr w:rsidR="00D20476" w:rsidRPr="004C3997" w:rsidSect="005F275F">
          <w:pgSz w:w="15840" w:h="12240" w:orient="landscape" w:code="1"/>
          <w:pgMar w:top="1440" w:right="1440" w:bottom="1440" w:left="1440" w:header="720" w:footer="1440" w:gutter="0"/>
          <w:cols w:space="720"/>
          <w:docGrid w:linePitch="360"/>
        </w:sectPr>
      </w:pPr>
    </w:p>
    <w:p w14:paraId="7BF50F20" w14:textId="1A8B0581" w:rsidR="00B01DE2" w:rsidRDefault="00B01DE2">
      <w:pPr>
        <w:rPr>
          <w:rFonts w:cs="Times New Roman"/>
          <w:szCs w:val="24"/>
        </w:rPr>
      </w:pPr>
    </w:p>
    <w:p w14:paraId="6AB7A4CA" w14:textId="77777777" w:rsidR="00D20476" w:rsidRDefault="00D20476" w:rsidP="00D20476">
      <w:pPr>
        <w:rPr>
          <w:rFonts w:cs="Times New Roman"/>
          <w:szCs w:val="24"/>
        </w:rPr>
      </w:pPr>
    </w:p>
    <w:p w14:paraId="03524B45" w14:textId="77777777" w:rsidR="00D20476" w:rsidRDefault="00D20476" w:rsidP="00D20476">
      <w:pPr>
        <w:widowControl/>
        <w:autoSpaceDE/>
        <w:autoSpaceDN/>
        <w:spacing w:after="160" w:line="259" w:lineRule="auto"/>
        <w:rPr>
          <w:rFonts w:cs="Times New Roman"/>
          <w:szCs w:val="24"/>
        </w:rPr>
      </w:pPr>
    </w:p>
    <w:tbl>
      <w:tblPr>
        <w:tblpPr w:leftFromText="180" w:rightFromText="180" w:vertAnchor="text" w:horzAnchor="page" w:tblpX="1991" w:tblpY="68"/>
        <w:tblW w:w="4589" w:type="pct"/>
        <w:tblLook w:val="04A0" w:firstRow="1" w:lastRow="0" w:firstColumn="1" w:lastColumn="0" w:noHBand="0" w:noVBand="1"/>
      </w:tblPr>
      <w:tblGrid>
        <w:gridCol w:w="11895"/>
      </w:tblGrid>
      <w:tr w:rsidR="00AB65D6" w:rsidRPr="001001BD" w14:paraId="2416A254" w14:textId="77777777" w:rsidTr="005F275F">
        <w:trPr>
          <w:trHeight w:val="165"/>
        </w:trPr>
        <w:tc>
          <w:tcPr>
            <w:tcW w:w="5000" w:type="pct"/>
            <w:tcBorders>
              <w:left w:val="nil"/>
              <w:bottom w:val="single" w:sz="4" w:space="0" w:color="auto"/>
              <w:right w:val="nil"/>
            </w:tcBorders>
            <w:shd w:val="clear" w:color="auto" w:fill="auto"/>
            <w:noWrap/>
            <w:vAlign w:val="bottom"/>
            <w:hideMark/>
          </w:tcPr>
          <w:p w14:paraId="29BBC8E4" w14:textId="06C72C0B" w:rsidR="00AB65D6" w:rsidRPr="001001BD" w:rsidRDefault="00AB65D6" w:rsidP="005F275F">
            <w:pPr>
              <w:pStyle w:val="Caption"/>
              <w:framePr w:hSpace="0" w:wrap="auto" w:vAnchor="margin" w:hAnchor="text" w:yAlign="inline"/>
            </w:pPr>
            <w:bookmarkStart w:id="464" w:name="_Toc101048753"/>
            <w:r w:rsidRPr="001001BD">
              <w:t>Table 5.</w:t>
            </w:r>
            <w:r w:rsidR="00035AE8">
              <w:fldChar w:fldCharType="begin"/>
            </w:r>
            <w:r w:rsidR="00035AE8">
              <w:instrText xml:space="preserve"> SEQ Table_5. \* ARABIC </w:instrText>
            </w:r>
            <w:r w:rsidR="00035AE8">
              <w:fldChar w:fldCharType="separate"/>
            </w:r>
            <w:r w:rsidR="009C2EDC">
              <w:rPr>
                <w:noProof/>
              </w:rPr>
              <w:t>4</w:t>
            </w:r>
            <w:r w:rsidR="00035AE8">
              <w:rPr>
                <w:noProof/>
              </w:rPr>
              <w:fldChar w:fldCharType="end"/>
            </w:r>
            <w:r w:rsidRPr="001001BD">
              <w:t>. Efficacy of fungicide treatments against powdery mildew in Experiment 2, 2021</w:t>
            </w:r>
            <w:bookmarkEnd w:id="464"/>
          </w:p>
        </w:tc>
      </w:tr>
    </w:tbl>
    <w:p w14:paraId="071E474C" w14:textId="77777777" w:rsidR="00D20476" w:rsidRPr="001001BD" w:rsidRDefault="00D20476" w:rsidP="00D20476">
      <w:pPr>
        <w:rPr>
          <w:rFonts w:cs="Times New Roman"/>
          <w:szCs w:val="24"/>
        </w:rPr>
      </w:pPr>
    </w:p>
    <w:tbl>
      <w:tblPr>
        <w:tblStyle w:val="ListTable1Light-Accent5"/>
        <w:tblpPr w:leftFromText="180" w:rightFromText="180" w:vertAnchor="page" w:horzAnchor="margin" w:tblpXSpec="center" w:tblpY="3061"/>
        <w:tblW w:w="4632" w:type="pct"/>
        <w:tblLayout w:type="fixed"/>
        <w:tblLook w:val="04A0" w:firstRow="1" w:lastRow="0" w:firstColumn="1" w:lastColumn="0" w:noHBand="0" w:noVBand="1"/>
      </w:tblPr>
      <w:tblGrid>
        <w:gridCol w:w="1695"/>
        <w:gridCol w:w="1191"/>
        <w:gridCol w:w="1160"/>
        <w:gridCol w:w="1270"/>
        <w:gridCol w:w="1040"/>
        <w:gridCol w:w="1131"/>
        <w:gridCol w:w="1270"/>
        <w:gridCol w:w="1129"/>
        <w:gridCol w:w="1131"/>
        <w:gridCol w:w="989"/>
      </w:tblGrid>
      <w:tr w:rsidR="005F275F" w:rsidRPr="008E036E" w14:paraId="179B4830" w14:textId="77777777" w:rsidTr="005F275F">
        <w:trPr>
          <w:cnfStyle w:val="100000000000" w:firstRow="1" w:lastRow="0" w:firstColumn="0" w:lastColumn="0" w:oddVBand="0" w:evenVBand="0" w:oddHBand="0"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706" w:type="pct"/>
            <w:vMerge w:val="restart"/>
            <w:tcBorders>
              <w:top w:val="single" w:sz="4" w:space="0" w:color="auto"/>
            </w:tcBorders>
            <w:shd w:val="clear" w:color="auto" w:fill="auto"/>
            <w:noWrap/>
            <w:hideMark/>
          </w:tcPr>
          <w:p w14:paraId="726D0DF5"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Treatment</w:t>
            </w:r>
          </w:p>
        </w:tc>
        <w:tc>
          <w:tcPr>
            <w:tcW w:w="1508" w:type="pct"/>
            <w:gridSpan w:val="3"/>
            <w:tcBorders>
              <w:top w:val="single" w:sz="4" w:space="0" w:color="auto"/>
            </w:tcBorders>
          </w:tcPr>
          <w:p w14:paraId="5CBD5C20" w14:textId="77777777" w:rsidR="005F275F" w:rsidRPr="008E036E" w:rsidRDefault="005F275F" w:rsidP="005F275F">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36E">
              <w:rPr>
                <w:rFonts w:ascii="Times New Roman" w:hAnsi="Times New Roman" w:cs="Times New Roman"/>
                <w:b w:val="0"/>
                <w:sz w:val="20"/>
                <w:szCs w:val="20"/>
              </w:rPr>
              <w:t>Incidence (%)</w:t>
            </w:r>
          </w:p>
        </w:tc>
        <w:tc>
          <w:tcPr>
            <w:tcW w:w="1433" w:type="pct"/>
            <w:gridSpan w:val="3"/>
            <w:tcBorders>
              <w:top w:val="single" w:sz="4" w:space="0" w:color="auto"/>
              <w:bottom w:val="single" w:sz="4" w:space="0" w:color="auto"/>
            </w:tcBorders>
            <w:shd w:val="clear" w:color="auto" w:fill="auto"/>
            <w:noWrap/>
          </w:tcPr>
          <w:p w14:paraId="678415A8" w14:textId="77777777" w:rsidR="005F275F" w:rsidRPr="008E036E" w:rsidRDefault="005F275F" w:rsidP="005F275F">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36E">
              <w:rPr>
                <w:rFonts w:ascii="Times New Roman" w:hAnsi="Times New Roman" w:cs="Times New Roman"/>
                <w:b w:val="0"/>
                <w:sz w:val="20"/>
                <w:szCs w:val="20"/>
              </w:rPr>
              <w:t>Severity (%)</w:t>
            </w:r>
          </w:p>
        </w:tc>
        <w:tc>
          <w:tcPr>
            <w:tcW w:w="1353" w:type="pct"/>
            <w:gridSpan w:val="3"/>
            <w:tcBorders>
              <w:top w:val="single" w:sz="4" w:space="0" w:color="auto"/>
              <w:bottom w:val="single" w:sz="4" w:space="0" w:color="auto"/>
            </w:tcBorders>
            <w:shd w:val="clear" w:color="auto" w:fill="auto"/>
            <w:noWrap/>
          </w:tcPr>
          <w:p w14:paraId="513FCCA9" w14:textId="77777777" w:rsidR="005F275F" w:rsidRPr="008E036E" w:rsidRDefault="005F275F" w:rsidP="005F275F">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8E036E">
              <w:rPr>
                <w:rFonts w:ascii="Times New Roman" w:hAnsi="Times New Roman" w:cs="Times New Roman"/>
                <w:b w:val="0"/>
                <w:sz w:val="20"/>
                <w:szCs w:val="20"/>
              </w:rPr>
              <w:t xml:space="preserve">Disease index </w:t>
            </w:r>
            <w:r w:rsidRPr="008E036E">
              <w:rPr>
                <w:rFonts w:ascii="Times New Roman" w:hAnsi="Times New Roman" w:cs="Times New Roman"/>
                <w:b w:val="0"/>
                <w:sz w:val="20"/>
                <w:szCs w:val="20"/>
                <w:vertAlign w:val="superscript"/>
              </w:rPr>
              <w:t>w</w:t>
            </w:r>
          </w:p>
        </w:tc>
      </w:tr>
      <w:tr w:rsidR="005F275F" w:rsidRPr="008E036E" w14:paraId="7A622A94" w14:textId="77777777" w:rsidTr="005F275F">
        <w:trPr>
          <w:cnfStyle w:val="000000100000" w:firstRow="0" w:lastRow="0" w:firstColumn="0" w:lastColumn="0" w:oddVBand="0" w:evenVBand="0" w:oddHBand="1" w:evenHBand="0" w:firstRowFirstColumn="0" w:firstRowLastColumn="0" w:lastRowFirstColumn="0" w:lastRowLastColumn="0"/>
          <w:trHeight w:val="124"/>
        </w:trPr>
        <w:tc>
          <w:tcPr>
            <w:cnfStyle w:val="001000000000" w:firstRow="0" w:lastRow="0" w:firstColumn="1" w:lastColumn="0" w:oddVBand="0" w:evenVBand="0" w:oddHBand="0" w:evenHBand="0" w:firstRowFirstColumn="0" w:firstRowLastColumn="0" w:lastRowFirstColumn="0" w:lastRowLastColumn="0"/>
            <w:tcW w:w="706" w:type="pct"/>
            <w:vMerge/>
            <w:shd w:val="clear" w:color="auto" w:fill="auto"/>
            <w:hideMark/>
          </w:tcPr>
          <w:p w14:paraId="3B2D1648" w14:textId="77777777" w:rsidR="005F275F" w:rsidRPr="008E036E" w:rsidRDefault="005F275F" w:rsidP="005F275F">
            <w:pPr>
              <w:pStyle w:val="NoSpacing"/>
              <w:rPr>
                <w:rFonts w:ascii="Times New Roman" w:hAnsi="Times New Roman" w:cs="Times New Roman"/>
                <w:b w:val="0"/>
                <w:sz w:val="20"/>
                <w:szCs w:val="20"/>
              </w:rPr>
            </w:pPr>
          </w:p>
        </w:tc>
        <w:tc>
          <w:tcPr>
            <w:tcW w:w="496" w:type="pct"/>
            <w:tcBorders>
              <w:top w:val="single" w:sz="4" w:space="0" w:color="auto"/>
            </w:tcBorders>
            <w:shd w:val="clear" w:color="auto" w:fill="auto"/>
            <w:noWrap/>
            <w:hideMark/>
          </w:tcPr>
          <w:p w14:paraId="4BBC8E83"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03/23</w:t>
            </w:r>
          </w:p>
        </w:tc>
        <w:tc>
          <w:tcPr>
            <w:tcW w:w="483" w:type="pct"/>
            <w:tcBorders>
              <w:top w:val="single" w:sz="4" w:space="0" w:color="auto"/>
            </w:tcBorders>
            <w:shd w:val="clear" w:color="auto" w:fill="auto"/>
            <w:noWrap/>
            <w:hideMark/>
          </w:tcPr>
          <w:p w14:paraId="1BB426F0"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03/30</w:t>
            </w:r>
          </w:p>
        </w:tc>
        <w:tc>
          <w:tcPr>
            <w:tcW w:w="529" w:type="pct"/>
            <w:vMerge w:val="restart"/>
            <w:tcBorders>
              <w:top w:val="single" w:sz="4" w:space="0" w:color="auto"/>
            </w:tcBorders>
            <w:shd w:val="clear" w:color="auto" w:fill="auto"/>
            <w:vAlign w:val="bottom"/>
            <w:hideMark/>
          </w:tcPr>
          <w:p w14:paraId="69467584" w14:textId="77777777" w:rsidR="005F275F" w:rsidRPr="008E036E" w:rsidRDefault="005F275F"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AUDPC</w:t>
            </w:r>
            <w:r w:rsidRPr="008E036E">
              <w:rPr>
                <w:rFonts w:ascii="Times New Roman" w:hAnsi="Times New Roman" w:cs="Times New Roman"/>
                <w:sz w:val="20"/>
                <w:szCs w:val="20"/>
                <w:vertAlign w:val="superscript"/>
              </w:rPr>
              <w:t>x</w:t>
            </w:r>
          </w:p>
        </w:tc>
        <w:tc>
          <w:tcPr>
            <w:tcW w:w="433" w:type="pct"/>
            <w:tcBorders>
              <w:top w:val="single" w:sz="4" w:space="0" w:color="auto"/>
            </w:tcBorders>
            <w:shd w:val="clear" w:color="auto" w:fill="auto"/>
            <w:noWrap/>
            <w:hideMark/>
          </w:tcPr>
          <w:p w14:paraId="4F1728DC"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03/23</w:t>
            </w:r>
          </w:p>
        </w:tc>
        <w:tc>
          <w:tcPr>
            <w:tcW w:w="471" w:type="pct"/>
            <w:tcBorders>
              <w:top w:val="single" w:sz="4" w:space="0" w:color="auto"/>
            </w:tcBorders>
            <w:shd w:val="clear" w:color="auto" w:fill="auto"/>
            <w:noWrap/>
            <w:hideMark/>
          </w:tcPr>
          <w:p w14:paraId="46876CF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03/30</w:t>
            </w:r>
          </w:p>
        </w:tc>
        <w:tc>
          <w:tcPr>
            <w:tcW w:w="529" w:type="pct"/>
            <w:vMerge w:val="restart"/>
            <w:tcBorders>
              <w:top w:val="single" w:sz="4" w:space="0" w:color="auto"/>
            </w:tcBorders>
            <w:shd w:val="clear" w:color="auto" w:fill="auto"/>
            <w:vAlign w:val="bottom"/>
            <w:hideMark/>
          </w:tcPr>
          <w:p w14:paraId="546B3E67" w14:textId="77777777" w:rsidR="005F275F" w:rsidRPr="008E036E" w:rsidRDefault="005F275F"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AUDPC</w:t>
            </w:r>
          </w:p>
        </w:tc>
        <w:tc>
          <w:tcPr>
            <w:tcW w:w="470" w:type="pct"/>
            <w:tcBorders>
              <w:top w:val="single" w:sz="4" w:space="0" w:color="auto"/>
            </w:tcBorders>
            <w:shd w:val="clear" w:color="auto" w:fill="auto"/>
            <w:noWrap/>
            <w:hideMark/>
          </w:tcPr>
          <w:p w14:paraId="3145E1FE"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03/23</w:t>
            </w:r>
          </w:p>
        </w:tc>
        <w:tc>
          <w:tcPr>
            <w:tcW w:w="471" w:type="pct"/>
            <w:tcBorders>
              <w:top w:val="single" w:sz="4" w:space="0" w:color="auto"/>
            </w:tcBorders>
            <w:shd w:val="clear" w:color="auto" w:fill="auto"/>
            <w:noWrap/>
            <w:hideMark/>
          </w:tcPr>
          <w:p w14:paraId="60FB885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03/30</w:t>
            </w:r>
          </w:p>
        </w:tc>
        <w:tc>
          <w:tcPr>
            <w:tcW w:w="412" w:type="pct"/>
            <w:vMerge w:val="restart"/>
            <w:tcBorders>
              <w:top w:val="single" w:sz="4" w:space="0" w:color="auto"/>
            </w:tcBorders>
            <w:shd w:val="clear" w:color="auto" w:fill="auto"/>
            <w:noWrap/>
            <w:vAlign w:val="bottom"/>
            <w:hideMark/>
          </w:tcPr>
          <w:p w14:paraId="2CA96A5D" w14:textId="77777777" w:rsidR="005F275F" w:rsidRPr="008E036E" w:rsidRDefault="005F275F"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AUDPC</w:t>
            </w:r>
          </w:p>
        </w:tc>
      </w:tr>
      <w:tr w:rsidR="005F275F" w:rsidRPr="008E036E" w14:paraId="55FF1909" w14:textId="77777777" w:rsidTr="005F275F">
        <w:trPr>
          <w:trHeight w:val="124"/>
        </w:trPr>
        <w:tc>
          <w:tcPr>
            <w:cnfStyle w:val="001000000000" w:firstRow="0" w:lastRow="0" w:firstColumn="1" w:lastColumn="0" w:oddVBand="0" w:evenVBand="0" w:oddHBand="0" w:evenHBand="0" w:firstRowFirstColumn="0" w:firstRowLastColumn="0" w:lastRowFirstColumn="0" w:lastRowLastColumn="0"/>
            <w:tcW w:w="706" w:type="pct"/>
            <w:vMerge/>
            <w:tcBorders>
              <w:bottom w:val="single" w:sz="4" w:space="0" w:color="auto"/>
            </w:tcBorders>
          </w:tcPr>
          <w:p w14:paraId="230863D5" w14:textId="77777777" w:rsidR="005F275F" w:rsidRPr="008E036E" w:rsidRDefault="005F275F" w:rsidP="005F275F">
            <w:pPr>
              <w:pStyle w:val="NoSpacing"/>
              <w:rPr>
                <w:rFonts w:ascii="Times New Roman" w:hAnsi="Times New Roman" w:cs="Times New Roman"/>
                <w:b w:val="0"/>
                <w:sz w:val="20"/>
                <w:szCs w:val="20"/>
              </w:rPr>
            </w:pPr>
          </w:p>
        </w:tc>
        <w:tc>
          <w:tcPr>
            <w:tcW w:w="496" w:type="pct"/>
            <w:tcBorders>
              <w:bottom w:val="single" w:sz="4" w:space="0" w:color="auto"/>
            </w:tcBorders>
            <w:noWrap/>
          </w:tcPr>
          <w:p w14:paraId="13EAA3C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14 days</w:t>
            </w:r>
          </w:p>
        </w:tc>
        <w:tc>
          <w:tcPr>
            <w:tcW w:w="483" w:type="pct"/>
            <w:tcBorders>
              <w:bottom w:val="single" w:sz="4" w:space="0" w:color="auto"/>
            </w:tcBorders>
            <w:noWrap/>
          </w:tcPr>
          <w:p w14:paraId="2B9A6C2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21 days</w:t>
            </w:r>
            <w:r w:rsidRPr="008E036E">
              <w:rPr>
                <w:rFonts w:ascii="Times New Roman" w:hAnsi="Times New Roman" w:cs="Times New Roman"/>
                <w:sz w:val="20"/>
                <w:szCs w:val="20"/>
                <w:vertAlign w:val="superscript"/>
              </w:rPr>
              <w:t>y</w:t>
            </w:r>
          </w:p>
        </w:tc>
        <w:tc>
          <w:tcPr>
            <w:tcW w:w="529" w:type="pct"/>
            <w:vMerge/>
            <w:tcBorders>
              <w:bottom w:val="single" w:sz="4" w:space="0" w:color="auto"/>
            </w:tcBorders>
          </w:tcPr>
          <w:p w14:paraId="5E34D47C"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33" w:type="pct"/>
            <w:tcBorders>
              <w:bottom w:val="single" w:sz="4" w:space="0" w:color="auto"/>
            </w:tcBorders>
            <w:noWrap/>
          </w:tcPr>
          <w:p w14:paraId="2BC88698"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14 days</w:t>
            </w:r>
          </w:p>
        </w:tc>
        <w:tc>
          <w:tcPr>
            <w:tcW w:w="471" w:type="pct"/>
            <w:tcBorders>
              <w:bottom w:val="single" w:sz="4" w:space="0" w:color="auto"/>
            </w:tcBorders>
            <w:noWrap/>
          </w:tcPr>
          <w:p w14:paraId="46E03E20"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21 days</w:t>
            </w:r>
          </w:p>
        </w:tc>
        <w:tc>
          <w:tcPr>
            <w:tcW w:w="529" w:type="pct"/>
            <w:vMerge/>
            <w:tcBorders>
              <w:bottom w:val="single" w:sz="4" w:space="0" w:color="auto"/>
            </w:tcBorders>
          </w:tcPr>
          <w:p w14:paraId="23BC215A"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470" w:type="pct"/>
            <w:tcBorders>
              <w:bottom w:val="single" w:sz="4" w:space="0" w:color="auto"/>
            </w:tcBorders>
            <w:noWrap/>
          </w:tcPr>
          <w:p w14:paraId="0358375E"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14 days</w:t>
            </w:r>
          </w:p>
        </w:tc>
        <w:tc>
          <w:tcPr>
            <w:tcW w:w="471" w:type="pct"/>
            <w:tcBorders>
              <w:bottom w:val="single" w:sz="4" w:space="0" w:color="auto"/>
            </w:tcBorders>
            <w:noWrap/>
          </w:tcPr>
          <w:p w14:paraId="6A50B111"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21 days</w:t>
            </w:r>
            <w:r w:rsidRPr="008E036E">
              <w:rPr>
                <w:rFonts w:ascii="Times New Roman" w:hAnsi="Times New Roman" w:cs="Times New Roman"/>
                <w:sz w:val="20"/>
                <w:szCs w:val="20"/>
                <w:vertAlign w:val="superscript"/>
              </w:rPr>
              <w:t>c</w:t>
            </w:r>
          </w:p>
        </w:tc>
        <w:tc>
          <w:tcPr>
            <w:tcW w:w="412" w:type="pct"/>
            <w:vMerge/>
            <w:tcBorders>
              <w:bottom w:val="single" w:sz="4" w:space="0" w:color="auto"/>
            </w:tcBorders>
            <w:noWrap/>
          </w:tcPr>
          <w:p w14:paraId="34A5C18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5F275F" w:rsidRPr="008E036E" w14:paraId="3D01DECA" w14:textId="77777777" w:rsidTr="005F275F">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706" w:type="pct"/>
            <w:tcBorders>
              <w:top w:val="single" w:sz="4" w:space="0" w:color="auto"/>
            </w:tcBorders>
            <w:noWrap/>
            <w:vAlign w:val="bottom"/>
            <w:hideMark/>
          </w:tcPr>
          <w:p w14:paraId="36704DCE"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 xml:space="preserve">Bonide sulfur </w:t>
            </w:r>
          </w:p>
        </w:tc>
        <w:tc>
          <w:tcPr>
            <w:tcW w:w="496" w:type="pct"/>
            <w:tcBorders>
              <w:top w:val="single" w:sz="4" w:space="0" w:color="auto"/>
            </w:tcBorders>
            <w:noWrap/>
            <w:vAlign w:val="bottom"/>
            <w:hideMark/>
          </w:tcPr>
          <w:p w14:paraId="0D65A205"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0.0</w:t>
            </w:r>
            <w:r w:rsidRPr="008E036E">
              <w:rPr>
                <w:rFonts w:ascii="Times New Roman" w:hAnsi="Times New Roman" w:cs="Times New Roman"/>
                <w:sz w:val="20"/>
                <w:szCs w:val="20"/>
              </w:rPr>
              <w:t xml:space="preserve"> c</w:t>
            </w:r>
          </w:p>
        </w:tc>
        <w:tc>
          <w:tcPr>
            <w:tcW w:w="483" w:type="pct"/>
            <w:tcBorders>
              <w:top w:val="single" w:sz="4" w:space="0" w:color="auto"/>
            </w:tcBorders>
            <w:noWrap/>
            <w:vAlign w:val="bottom"/>
            <w:hideMark/>
          </w:tcPr>
          <w:p w14:paraId="0F05468D"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r w:rsidRPr="008E036E">
              <w:rPr>
                <w:rFonts w:ascii="Times New Roman" w:hAnsi="Times New Roman" w:cs="Times New Roman"/>
                <w:sz w:val="20"/>
                <w:szCs w:val="20"/>
                <w:vertAlign w:val="superscript"/>
              </w:rPr>
              <w:t>z</w:t>
            </w:r>
          </w:p>
        </w:tc>
        <w:tc>
          <w:tcPr>
            <w:tcW w:w="529" w:type="pct"/>
            <w:tcBorders>
              <w:top w:val="single" w:sz="4" w:space="0" w:color="auto"/>
            </w:tcBorders>
            <w:noWrap/>
            <w:vAlign w:val="bottom"/>
            <w:hideMark/>
          </w:tcPr>
          <w:p w14:paraId="5870538E"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33" w:type="pct"/>
            <w:tcBorders>
              <w:top w:val="single" w:sz="4" w:space="0" w:color="auto"/>
            </w:tcBorders>
            <w:noWrap/>
            <w:vAlign w:val="bottom"/>
            <w:hideMark/>
          </w:tcPr>
          <w:p w14:paraId="68426199"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tcBorders>
              <w:top w:val="single" w:sz="4" w:space="0" w:color="auto"/>
            </w:tcBorders>
            <w:noWrap/>
            <w:vAlign w:val="bottom"/>
            <w:hideMark/>
          </w:tcPr>
          <w:p w14:paraId="55A723D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529" w:type="pct"/>
            <w:tcBorders>
              <w:top w:val="single" w:sz="4" w:space="0" w:color="auto"/>
            </w:tcBorders>
            <w:noWrap/>
            <w:vAlign w:val="bottom"/>
            <w:hideMark/>
          </w:tcPr>
          <w:p w14:paraId="0815DEB9"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70" w:type="pct"/>
            <w:tcBorders>
              <w:top w:val="single" w:sz="4" w:space="0" w:color="auto"/>
            </w:tcBorders>
            <w:noWrap/>
            <w:vAlign w:val="bottom"/>
            <w:hideMark/>
          </w:tcPr>
          <w:p w14:paraId="4A0E11DC"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tcBorders>
              <w:top w:val="single" w:sz="4" w:space="0" w:color="auto"/>
            </w:tcBorders>
            <w:noWrap/>
            <w:vAlign w:val="bottom"/>
            <w:hideMark/>
          </w:tcPr>
          <w:p w14:paraId="18CFF6AC"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12" w:type="pct"/>
            <w:tcBorders>
              <w:top w:val="single" w:sz="4" w:space="0" w:color="auto"/>
            </w:tcBorders>
            <w:noWrap/>
            <w:vAlign w:val="bottom"/>
            <w:hideMark/>
          </w:tcPr>
          <w:p w14:paraId="7D36DE7A"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r>
      <w:tr w:rsidR="005F275F" w:rsidRPr="008E036E" w14:paraId="55924601" w14:textId="77777777" w:rsidTr="005F275F">
        <w:trPr>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0BCCB797"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Cinerrate</w:t>
            </w:r>
          </w:p>
        </w:tc>
        <w:tc>
          <w:tcPr>
            <w:tcW w:w="496" w:type="pct"/>
            <w:noWrap/>
            <w:vAlign w:val="bottom"/>
            <w:hideMark/>
          </w:tcPr>
          <w:p w14:paraId="47ABC4E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35</w:t>
            </w:r>
            <w:r>
              <w:rPr>
                <w:rFonts w:ascii="Times New Roman" w:hAnsi="Times New Roman" w:cs="Times New Roman"/>
                <w:sz w:val="20"/>
                <w:szCs w:val="20"/>
              </w:rPr>
              <w:t xml:space="preserve"> </w:t>
            </w:r>
            <w:r w:rsidRPr="008E036E">
              <w:rPr>
                <w:rFonts w:ascii="Times New Roman" w:hAnsi="Times New Roman" w:cs="Times New Roman"/>
                <w:sz w:val="20"/>
                <w:szCs w:val="20"/>
              </w:rPr>
              <w:t>abc</w:t>
            </w:r>
          </w:p>
        </w:tc>
        <w:tc>
          <w:tcPr>
            <w:tcW w:w="483" w:type="pct"/>
            <w:noWrap/>
            <w:vAlign w:val="bottom"/>
            <w:hideMark/>
          </w:tcPr>
          <w:p w14:paraId="23AE3387"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21  bc</w:t>
            </w:r>
          </w:p>
        </w:tc>
        <w:tc>
          <w:tcPr>
            <w:tcW w:w="529" w:type="pct"/>
            <w:noWrap/>
            <w:vAlign w:val="bottom"/>
            <w:hideMark/>
          </w:tcPr>
          <w:p w14:paraId="6CFB98CF"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320 bc</w:t>
            </w:r>
          </w:p>
        </w:tc>
        <w:tc>
          <w:tcPr>
            <w:tcW w:w="433" w:type="pct"/>
            <w:noWrap/>
            <w:vAlign w:val="bottom"/>
            <w:hideMark/>
          </w:tcPr>
          <w:p w14:paraId="0B222414"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b</w:t>
            </w:r>
          </w:p>
        </w:tc>
        <w:tc>
          <w:tcPr>
            <w:tcW w:w="471" w:type="pct"/>
            <w:noWrap/>
            <w:vAlign w:val="bottom"/>
            <w:hideMark/>
          </w:tcPr>
          <w:p w14:paraId="37CED5E1"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6.0 c</w:t>
            </w:r>
          </w:p>
        </w:tc>
        <w:tc>
          <w:tcPr>
            <w:tcW w:w="529" w:type="pct"/>
            <w:noWrap/>
            <w:vAlign w:val="bottom"/>
            <w:hideMark/>
          </w:tcPr>
          <w:p w14:paraId="14EFDE93"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43   c</w:t>
            </w:r>
          </w:p>
        </w:tc>
        <w:tc>
          <w:tcPr>
            <w:tcW w:w="470" w:type="pct"/>
            <w:noWrap/>
            <w:vAlign w:val="bottom"/>
            <w:hideMark/>
          </w:tcPr>
          <w:p w14:paraId="513A6BF7"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b</w:t>
            </w:r>
          </w:p>
        </w:tc>
        <w:tc>
          <w:tcPr>
            <w:tcW w:w="471" w:type="pct"/>
            <w:noWrap/>
            <w:vAlign w:val="bottom"/>
            <w:hideMark/>
          </w:tcPr>
          <w:p w14:paraId="494CD645"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2.0 c</w:t>
            </w:r>
          </w:p>
        </w:tc>
        <w:tc>
          <w:tcPr>
            <w:tcW w:w="412" w:type="pct"/>
            <w:noWrap/>
            <w:vAlign w:val="bottom"/>
            <w:hideMark/>
          </w:tcPr>
          <w:p w14:paraId="23C4F25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6.0 c</w:t>
            </w:r>
          </w:p>
        </w:tc>
      </w:tr>
      <w:tr w:rsidR="005F275F" w:rsidRPr="008E036E" w14:paraId="04D03251" w14:textId="77777777" w:rsidTr="005F275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67947000"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Defguard</w:t>
            </w:r>
          </w:p>
        </w:tc>
        <w:tc>
          <w:tcPr>
            <w:tcW w:w="496" w:type="pct"/>
            <w:noWrap/>
            <w:vAlign w:val="bottom"/>
            <w:hideMark/>
          </w:tcPr>
          <w:p w14:paraId="44998F75"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w:t>
            </w:r>
            <w:r>
              <w:rPr>
                <w:rFonts w:ascii="Times New Roman" w:hAnsi="Times New Roman" w:cs="Times New Roman"/>
                <w:sz w:val="20"/>
                <w:szCs w:val="20"/>
              </w:rPr>
              <w:t xml:space="preserve"> </w:t>
            </w:r>
            <w:r w:rsidRPr="008E036E">
              <w:rPr>
                <w:rFonts w:ascii="Times New Roman" w:hAnsi="Times New Roman" w:cs="Times New Roman"/>
                <w:sz w:val="20"/>
                <w:szCs w:val="20"/>
              </w:rPr>
              <w:t>a</w:t>
            </w:r>
          </w:p>
        </w:tc>
        <w:tc>
          <w:tcPr>
            <w:tcW w:w="483" w:type="pct"/>
            <w:noWrap/>
            <w:vAlign w:val="bottom"/>
            <w:hideMark/>
          </w:tcPr>
          <w:p w14:paraId="52216514"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66  ab</w:t>
            </w:r>
          </w:p>
        </w:tc>
        <w:tc>
          <w:tcPr>
            <w:tcW w:w="529" w:type="pct"/>
            <w:noWrap/>
            <w:vAlign w:val="bottom"/>
            <w:hideMark/>
          </w:tcPr>
          <w:p w14:paraId="662F877B"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722 a</w:t>
            </w:r>
          </w:p>
        </w:tc>
        <w:tc>
          <w:tcPr>
            <w:tcW w:w="433" w:type="pct"/>
            <w:noWrap/>
            <w:vAlign w:val="bottom"/>
            <w:hideMark/>
          </w:tcPr>
          <w:p w14:paraId="486D6402"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13  a</w:t>
            </w:r>
          </w:p>
        </w:tc>
        <w:tc>
          <w:tcPr>
            <w:tcW w:w="471" w:type="pct"/>
            <w:noWrap/>
            <w:vAlign w:val="bottom"/>
            <w:hideMark/>
          </w:tcPr>
          <w:p w14:paraId="27A270E7"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23  b</w:t>
            </w:r>
          </w:p>
        </w:tc>
        <w:tc>
          <w:tcPr>
            <w:tcW w:w="529" w:type="pct"/>
            <w:noWrap/>
            <w:vAlign w:val="bottom"/>
            <w:hideMark/>
          </w:tcPr>
          <w:p w14:paraId="1DD20F08"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168 b</w:t>
            </w:r>
          </w:p>
        </w:tc>
        <w:tc>
          <w:tcPr>
            <w:tcW w:w="470" w:type="pct"/>
            <w:noWrap/>
            <w:vAlign w:val="bottom"/>
            <w:hideMark/>
          </w:tcPr>
          <w:p w14:paraId="1E9779D4"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9.0 a</w:t>
            </w:r>
          </w:p>
        </w:tc>
        <w:tc>
          <w:tcPr>
            <w:tcW w:w="471" w:type="pct"/>
            <w:noWrap/>
            <w:vAlign w:val="bottom"/>
            <w:hideMark/>
          </w:tcPr>
          <w:p w14:paraId="34297E47"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16  bc</w:t>
            </w:r>
          </w:p>
        </w:tc>
        <w:tc>
          <w:tcPr>
            <w:tcW w:w="412" w:type="pct"/>
            <w:noWrap/>
            <w:vAlign w:val="bottom"/>
            <w:hideMark/>
          </w:tcPr>
          <w:p w14:paraId="36DE2F7A"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57  b</w:t>
            </w:r>
          </w:p>
        </w:tc>
      </w:tr>
      <w:tr w:rsidR="005F275F" w:rsidRPr="008E036E" w14:paraId="3BEFC511" w14:textId="77777777" w:rsidTr="005F275F">
        <w:trPr>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4226FC7B"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Exile</w:t>
            </w:r>
          </w:p>
        </w:tc>
        <w:tc>
          <w:tcPr>
            <w:tcW w:w="496" w:type="pct"/>
            <w:noWrap/>
            <w:vAlign w:val="bottom"/>
            <w:hideMark/>
          </w:tcPr>
          <w:p w14:paraId="6CB0D738"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21 </w:t>
            </w:r>
            <w:r w:rsidRPr="008E036E">
              <w:rPr>
                <w:rFonts w:ascii="Times New Roman" w:hAnsi="Times New Roman" w:cs="Times New Roman"/>
                <w:sz w:val="20"/>
                <w:szCs w:val="20"/>
              </w:rPr>
              <w:t>bc</w:t>
            </w:r>
          </w:p>
        </w:tc>
        <w:tc>
          <w:tcPr>
            <w:tcW w:w="483" w:type="pct"/>
            <w:noWrap/>
            <w:vAlign w:val="bottom"/>
            <w:hideMark/>
          </w:tcPr>
          <w:p w14:paraId="573D65B2"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28  bc</w:t>
            </w:r>
          </w:p>
        </w:tc>
        <w:tc>
          <w:tcPr>
            <w:tcW w:w="529" w:type="pct"/>
            <w:noWrap/>
            <w:vAlign w:val="bottom"/>
            <w:hideMark/>
          </w:tcPr>
          <w:p w14:paraId="69733C4C"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248 c</w:t>
            </w:r>
          </w:p>
        </w:tc>
        <w:tc>
          <w:tcPr>
            <w:tcW w:w="433" w:type="pct"/>
            <w:noWrap/>
            <w:vAlign w:val="bottom"/>
            <w:hideMark/>
          </w:tcPr>
          <w:p w14:paraId="04DD1943"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b</w:t>
            </w:r>
          </w:p>
        </w:tc>
        <w:tc>
          <w:tcPr>
            <w:tcW w:w="471" w:type="pct"/>
            <w:noWrap/>
            <w:vAlign w:val="bottom"/>
            <w:hideMark/>
          </w:tcPr>
          <w:p w14:paraId="311ED72A"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 c</w:t>
            </w:r>
          </w:p>
        </w:tc>
        <w:tc>
          <w:tcPr>
            <w:tcW w:w="529" w:type="pct"/>
            <w:noWrap/>
            <w:vAlign w:val="bottom"/>
            <w:hideMark/>
          </w:tcPr>
          <w:p w14:paraId="0731261A"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45   c</w:t>
            </w:r>
          </w:p>
        </w:tc>
        <w:tc>
          <w:tcPr>
            <w:tcW w:w="470" w:type="pct"/>
            <w:noWrap/>
            <w:vAlign w:val="bottom"/>
            <w:hideMark/>
          </w:tcPr>
          <w:p w14:paraId="038F5DA2"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c</w:t>
            </w:r>
          </w:p>
        </w:tc>
        <w:tc>
          <w:tcPr>
            <w:tcW w:w="471" w:type="pct"/>
            <w:noWrap/>
            <w:vAlign w:val="bottom"/>
            <w:hideMark/>
          </w:tcPr>
          <w:p w14:paraId="2E07CD72"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2.0 c</w:t>
            </w:r>
          </w:p>
        </w:tc>
        <w:tc>
          <w:tcPr>
            <w:tcW w:w="412" w:type="pct"/>
            <w:noWrap/>
            <w:vAlign w:val="bottom"/>
            <w:hideMark/>
          </w:tcPr>
          <w:p w14:paraId="7C614DBA"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 c</w:t>
            </w:r>
          </w:p>
        </w:tc>
      </w:tr>
      <w:tr w:rsidR="005F275F" w:rsidRPr="008E036E" w14:paraId="559E7B6F" w14:textId="77777777" w:rsidTr="005F275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7867F79C"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 xml:space="preserve">IP-1 </w:t>
            </w:r>
          </w:p>
        </w:tc>
        <w:tc>
          <w:tcPr>
            <w:tcW w:w="496" w:type="pct"/>
            <w:noWrap/>
            <w:vAlign w:val="bottom"/>
            <w:hideMark/>
          </w:tcPr>
          <w:p w14:paraId="47932517"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24 </w:t>
            </w:r>
            <w:r w:rsidRPr="008E036E">
              <w:rPr>
                <w:rFonts w:ascii="Times New Roman" w:hAnsi="Times New Roman" w:cs="Times New Roman"/>
                <w:sz w:val="20"/>
                <w:szCs w:val="20"/>
              </w:rPr>
              <w:t>bc</w:t>
            </w:r>
          </w:p>
        </w:tc>
        <w:tc>
          <w:tcPr>
            <w:tcW w:w="483" w:type="pct"/>
            <w:noWrap/>
            <w:vAlign w:val="bottom"/>
            <w:hideMark/>
          </w:tcPr>
          <w:p w14:paraId="7302C249"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9.0 c</w:t>
            </w:r>
          </w:p>
        </w:tc>
        <w:tc>
          <w:tcPr>
            <w:tcW w:w="529" w:type="pct"/>
            <w:noWrap/>
            <w:vAlign w:val="bottom"/>
            <w:hideMark/>
          </w:tcPr>
          <w:p w14:paraId="4BE4700B"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197 c</w:t>
            </w:r>
            <w:r w:rsidRPr="008E036E">
              <w:rPr>
                <w:rFonts w:ascii="Times New Roman" w:hAnsi="Times New Roman" w:cs="Times New Roman"/>
                <w:sz w:val="20"/>
                <w:szCs w:val="20"/>
                <w:vertAlign w:val="superscript"/>
              </w:rPr>
              <w:t>d</w:t>
            </w:r>
          </w:p>
        </w:tc>
        <w:tc>
          <w:tcPr>
            <w:tcW w:w="433" w:type="pct"/>
            <w:noWrap/>
            <w:vAlign w:val="bottom"/>
            <w:hideMark/>
          </w:tcPr>
          <w:p w14:paraId="15AB23D9"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2.0 b</w:t>
            </w:r>
          </w:p>
        </w:tc>
        <w:tc>
          <w:tcPr>
            <w:tcW w:w="471" w:type="pct"/>
            <w:noWrap/>
            <w:vAlign w:val="bottom"/>
            <w:hideMark/>
          </w:tcPr>
          <w:p w14:paraId="618B0B1B"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c</w:t>
            </w:r>
          </w:p>
        </w:tc>
        <w:tc>
          <w:tcPr>
            <w:tcW w:w="529" w:type="pct"/>
            <w:noWrap/>
            <w:vAlign w:val="bottom"/>
            <w:hideMark/>
          </w:tcPr>
          <w:p w14:paraId="2E35EB64"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28   c</w:t>
            </w:r>
          </w:p>
        </w:tc>
        <w:tc>
          <w:tcPr>
            <w:tcW w:w="470" w:type="pct"/>
            <w:noWrap/>
            <w:vAlign w:val="bottom"/>
            <w:hideMark/>
          </w:tcPr>
          <w:p w14:paraId="65943A56"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028EDB60"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c</w:t>
            </w:r>
          </w:p>
        </w:tc>
        <w:tc>
          <w:tcPr>
            <w:tcW w:w="412" w:type="pct"/>
            <w:noWrap/>
            <w:vAlign w:val="bottom"/>
            <w:hideMark/>
          </w:tcPr>
          <w:p w14:paraId="3D829517"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2.0 c</w:t>
            </w:r>
          </w:p>
        </w:tc>
      </w:tr>
      <w:tr w:rsidR="005F275F" w:rsidRPr="008E036E" w14:paraId="688110D8" w14:textId="77777777" w:rsidTr="005F275F">
        <w:trPr>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3BF22744"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 xml:space="preserve">IP-2 </w:t>
            </w:r>
          </w:p>
        </w:tc>
        <w:tc>
          <w:tcPr>
            <w:tcW w:w="496" w:type="pct"/>
            <w:noWrap/>
            <w:vAlign w:val="bottom"/>
            <w:hideMark/>
          </w:tcPr>
          <w:p w14:paraId="53D942A7"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   </w:t>
            </w:r>
            <w:r w:rsidRPr="008E036E">
              <w:rPr>
                <w:rFonts w:ascii="Times New Roman" w:hAnsi="Times New Roman" w:cs="Times New Roman"/>
                <w:sz w:val="20"/>
                <w:szCs w:val="20"/>
              </w:rPr>
              <w:t>c</w:t>
            </w:r>
          </w:p>
        </w:tc>
        <w:tc>
          <w:tcPr>
            <w:tcW w:w="483" w:type="pct"/>
            <w:noWrap/>
            <w:vAlign w:val="bottom"/>
            <w:hideMark/>
          </w:tcPr>
          <w:p w14:paraId="50DEF089"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c</w:t>
            </w:r>
          </w:p>
        </w:tc>
        <w:tc>
          <w:tcPr>
            <w:tcW w:w="529" w:type="pct"/>
            <w:noWrap/>
            <w:vAlign w:val="bottom"/>
            <w:hideMark/>
          </w:tcPr>
          <w:p w14:paraId="13BE98E1"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2.0  c</w:t>
            </w:r>
          </w:p>
        </w:tc>
        <w:tc>
          <w:tcPr>
            <w:tcW w:w="433" w:type="pct"/>
            <w:noWrap/>
            <w:vAlign w:val="bottom"/>
            <w:hideMark/>
          </w:tcPr>
          <w:p w14:paraId="11FBB2C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00072BC2"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c</w:t>
            </w:r>
          </w:p>
        </w:tc>
        <w:tc>
          <w:tcPr>
            <w:tcW w:w="529" w:type="pct"/>
            <w:noWrap/>
            <w:vAlign w:val="bottom"/>
            <w:hideMark/>
          </w:tcPr>
          <w:p w14:paraId="2E265751"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2.0  c</w:t>
            </w:r>
          </w:p>
        </w:tc>
        <w:tc>
          <w:tcPr>
            <w:tcW w:w="470" w:type="pct"/>
            <w:noWrap/>
            <w:vAlign w:val="bottom"/>
            <w:hideMark/>
          </w:tcPr>
          <w:p w14:paraId="0FF08DD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1A7EB9FE"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12" w:type="pct"/>
            <w:noWrap/>
            <w:vAlign w:val="bottom"/>
            <w:hideMark/>
          </w:tcPr>
          <w:p w14:paraId="0AB1F7EE"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r>
      <w:tr w:rsidR="005F275F" w:rsidRPr="008E036E" w14:paraId="688E2C08" w14:textId="77777777" w:rsidTr="005F275F">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3A700ED4"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IP-V1*</w:t>
            </w:r>
          </w:p>
        </w:tc>
        <w:tc>
          <w:tcPr>
            <w:tcW w:w="496" w:type="pct"/>
            <w:noWrap/>
            <w:vAlign w:val="bottom"/>
            <w:hideMark/>
          </w:tcPr>
          <w:p w14:paraId="77F5A51E"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59 </w:t>
            </w:r>
            <w:r w:rsidRPr="008E036E">
              <w:rPr>
                <w:rFonts w:ascii="Times New Roman" w:hAnsi="Times New Roman" w:cs="Times New Roman"/>
                <w:sz w:val="20"/>
                <w:szCs w:val="20"/>
              </w:rPr>
              <w:t>ab</w:t>
            </w:r>
          </w:p>
        </w:tc>
        <w:tc>
          <w:tcPr>
            <w:tcW w:w="483" w:type="pct"/>
            <w:noWrap/>
            <w:vAlign w:val="bottom"/>
            <w:hideMark/>
          </w:tcPr>
          <w:p w14:paraId="25CC6264"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61  ab</w:t>
            </w:r>
          </w:p>
        </w:tc>
        <w:tc>
          <w:tcPr>
            <w:tcW w:w="529" w:type="pct"/>
            <w:noWrap/>
            <w:vAlign w:val="bottom"/>
            <w:hideMark/>
          </w:tcPr>
          <w:p w14:paraId="2CE75EC9"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626 ab</w:t>
            </w:r>
          </w:p>
        </w:tc>
        <w:tc>
          <w:tcPr>
            <w:tcW w:w="433" w:type="pct"/>
            <w:noWrap/>
            <w:vAlign w:val="bottom"/>
            <w:hideMark/>
          </w:tcPr>
          <w:p w14:paraId="432C114C"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 a</w:t>
            </w:r>
          </w:p>
        </w:tc>
        <w:tc>
          <w:tcPr>
            <w:tcW w:w="471" w:type="pct"/>
            <w:noWrap/>
            <w:vAlign w:val="bottom"/>
            <w:hideMark/>
          </w:tcPr>
          <w:p w14:paraId="0CA0670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18  b</w:t>
            </w:r>
          </w:p>
        </w:tc>
        <w:tc>
          <w:tcPr>
            <w:tcW w:w="529" w:type="pct"/>
            <w:noWrap/>
            <w:vAlign w:val="bottom"/>
            <w:hideMark/>
          </w:tcPr>
          <w:p w14:paraId="009C5567"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111 b</w:t>
            </w:r>
          </w:p>
        </w:tc>
        <w:tc>
          <w:tcPr>
            <w:tcW w:w="470" w:type="pct"/>
            <w:noWrap/>
            <w:vAlign w:val="bottom"/>
            <w:hideMark/>
          </w:tcPr>
          <w:p w14:paraId="08850133"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5.0 ab</w:t>
            </w:r>
          </w:p>
        </w:tc>
        <w:tc>
          <w:tcPr>
            <w:tcW w:w="471" w:type="pct"/>
            <w:noWrap/>
            <w:vAlign w:val="bottom"/>
            <w:hideMark/>
          </w:tcPr>
          <w:p w14:paraId="718BBE84"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11  bc</w:t>
            </w:r>
          </w:p>
        </w:tc>
        <w:tc>
          <w:tcPr>
            <w:tcW w:w="412" w:type="pct"/>
            <w:noWrap/>
            <w:vAlign w:val="bottom"/>
            <w:hideMark/>
          </w:tcPr>
          <w:p w14:paraId="1918D41D"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40  bc</w:t>
            </w:r>
          </w:p>
        </w:tc>
      </w:tr>
      <w:tr w:rsidR="005F275F" w:rsidRPr="008E036E" w14:paraId="4A613D2E" w14:textId="77777777" w:rsidTr="005F275F">
        <w:trPr>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313C2465"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IP-V4</w:t>
            </w:r>
          </w:p>
        </w:tc>
        <w:tc>
          <w:tcPr>
            <w:tcW w:w="496" w:type="pct"/>
            <w:noWrap/>
            <w:vAlign w:val="bottom"/>
            <w:hideMark/>
          </w:tcPr>
          <w:p w14:paraId="6B4D0956"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69 </w:t>
            </w:r>
            <w:r w:rsidRPr="008E036E">
              <w:rPr>
                <w:rFonts w:ascii="Times New Roman" w:hAnsi="Times New Roman" w:cs="Times New Roman"/>
                <w:sz w:val="20"/>
                <w:szCs w:val="20"/>
              </w:rPr>
              <w:t>ab</w:t>
            </w:r>
          </w:p>
        </w:tc>
        <w:tc>
          <w:tcPr>
            <w:tcW w:w="483" w:type="pct"/>
            <w:noWrap/>
            <w:vAlign w:val="bottom"/>
            <w:hideMark/>
          </w:tcPr>
          <w:p w14:paraId="056C0F7F"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63  ab</w:t>
            </w:r>
          </w:p>
        </w:tc>
        <w:tc>
          <w:tcPr>
            <w:tcW w:w="529" w:type="pct"/>
            <w:noWrap/>
            <w:vAlign w:val="bottom"/>
            <w:hideMark/>
          </w:tcPr>
          <w:p w14:paraId="1D9B3A4E"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700 a</w:t>
            </w:r>
          </w:p>
        </w:tc>
        <w:tc>
          <w:tcPr>
            <w:tcW w:w="433" w:type="pct"/>
            <w:noWrap/>
            <w:vAlign w:val="bottom"/>
            <w:hideMark/>
          </w:tcPr>
          <w:p w14:paraId="67187A88"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a</w:t>
            </w:r>
          </w:p>
        </w:tc>
        <w:tc>
          <w:tcPr>
            <w:tcW w:w="471" w:type="pct"/>
            <w:noWrap/>
            <w:vAlign w:val="bottom"/>
            <w:hideMark/>
          </w:tcPr>
          <w:p w14:paraId="31219617"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18  b</w:t>
            </w:r>
          </w:p>
        </w:tc>
        <w:tc>
          <w:tcPr>
            <w:tcW w:w="529" w:type="pct"/>
            <w:noWrap/>
            <w:vAlign w:val="bottom"/>
            <w:hideMark/>
          </w:tcPr>
          <w:p w14:paraId="7087AC4C"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133 b</w:t>
            </w:r>
          </w:p>
        </w:tc>
        <w:tc>
          <w:tcPr>
            <w:tcW w:w="470" w:type="pct"/>
            <w:noWrap/>
            <w:vAlign w:val="bottom"/>
            <w:hideMark/>
          </w:tcPr>
          <w:p w14:paraId="1FE9C570"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 a</w:t>
            </w:r>
          </w:p>
        </w:tc>
        <w:tc>
          <w:tcPr>
            <w:tcW w:w="471" w:type="pct"/>
            <w:noWrap/>
            <w:vAlign w:val="bottom"/>
            <w:hideMark/>
          </w:tcPr>
          <w:p w14:paraId="66482DD4"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13  bc</w:t>
            </w:r>
          </w:p>
        </w:tc>
        <w:tc>
          <w:tcPr>
            <w:tcW w:w="412" w:type="pct"/>
            <w:noWrap/>
            <w:vAlign w:val="bottom"/>
            <w:hideMark/>
          </w:tcPr>
          <w:p w14:paraId="7A131D8A"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44  bc</w:t>
            </w:r>
          </w:p>
        </w:tc>
      </w:tr>
      <w:tr w:rsidR="005F275F" w:rsidRPr="008E036E" w14:paraId="16FBC4BD" w14:textId="77777777" w:rsidTr="005F275F">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0F74E5E8"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 xml:space="preserve">Luna Experience </w:t>
            </w:r>
          </w:p>
        </w:tc>
        <w:tc>
          <w:tcPr>
            <w:tcW w:w="496" w:type="pct"/>
            <w:noWrap/>
            <w:vAlign w:val="bottom"/>
            <w:hideMark/>
          </w:tcPr>
          <w:p w14:paraId="12A4A0BE"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0.0 </w:t>
            </w:r>
            <w:r w:rsidRPr="008E036E">
              <w:rPr>
                <w:rFonts w:ascii="Times New Roman" w:hAnsi="Times New Roman" w:cs="Times New Roman"/>
                <w:sz w:val="20"/>
                <w:szCs w:val="20"/>
              </w:rPr>
              <w:t>c</w:t>
            </w:r>
          </w:p>
        </w:tc>
        <w:tc>
          <w:tcPr>
            <w:tcW w:w="483" w:type="pct"/>
            <w:noWrap/>
            <w:vAlign w:val="bottom"/>
            <w:hideMark/>
          </w:tcPr>
          <w:p w14:paraId="50B759FC"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529" w:type="pct"/>
            <w:noWrap/>
            <w:vAlign w:val="bottom"/>
            <w:hideMark/>
          </w:tcPr>
          <w:p w14:paraId="250404E5"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33" w:type="pct"/>
            <w:noWrap/>
            <w:vAlign w:val="bottom"/>
            <w:hideMark/>
          </w:tcPr>
          <w:p w14:paraId="263C91B2"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7CAE1E98"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529" w:type="pct"/>
            <w:noWrap/>
            <w:vAlign w:val="bottom"/>
            <w:hideMark/>
          </w:tcPr>
          <w:p w14:paraId="3ED8B19E"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70" w:type="pct"/>
            <w:noWrap/>
            <w:vAlign w:val="bottom"/>
            <w:hideMark/>
          </w:tcPr>
          <w:p w14:paraId="1A22D2BE"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44FB7C6B"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12" w:type="pct"/>
            <w:noWrap/>
            <w:vAlign w:val="bottom"/>
            <w:hideMark/>
          </w:tcPr>
          <w:p w14:paraId="7EE0F3F4"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r>
      <w:tr w:rsidR="005F275F" w:rsidRPr="008E036E" w14:paraId="68E4CDD0" w14:textId="77777777" w:rsidTr="005F275F">
        <w:trPr>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53B74C1E"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Milstop</w:t>
            </w:r>
          </w:p>
        </w:tc>
        <w:tc>
          <w:tcPr>
            <w:tcW w:w="496" w:type="pct"/>
            <w:noWrap/>
            <w:vAlign w:val="bottom"/>
            <w:hideMark/>
          </w:tcPr>
          <w:p w14:paraId="39F00359"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0.0 </w:t>
            </w:r>
            <w:r w:rsidRPr="008E036E">
              <w:rPr>
                <w:rFonts w:ascii="Times New Roman" w:hAnsi="Times New Roman" w:cs="Times New Roman"/>
                <w:sz w:val="20"/>
                <w:szCs w:val="20"/>
              </w:rPr>
              <w:t>c</w:t>
            </w:r>
          </w:p>
        </w:tc>
        <w:tc>
          <w:tcPr>
            <w:tcW w:w="483" w:type="pct"/>
            <w:noWrap/>
            <w:vAlign w:val="bottom"/>
            <w:hideMark/>
          </w:tcPr>
          <w:p w14:paraId="47BD4F1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529" w:type="pct"/>
            <w:noWrap/>
            <w:vAlign w:val="bottom"/>
            <w:hideMark/>
          </w:tcPr>
          <w:p w14:paraId="4490E6F3"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33" w:type="pct"/>
            <w:noWrap/>
            <w:vAlign w:val="bottom"/>
            <w:hideMark/>
          </w:tcPr>
          <w:p w14:paraId="05F8C2D6"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335734F4"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529" w:type="pct"/>
            <w:noWrap/>
            <w:vAlign w:val="bottom"/>
            <w:hideMark/>
          </w:tcPr>
          <w:p w14:paraId="33974ABC"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70" w:type="pct"/>
            <w:noWrap/>
            <w:vAlign w:val="bottom"/>
            <w:hideMark/>
          </w:tcPr>
          <w:p w14:paraId="4E1ADCD2"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77964BE9"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c>
          <w:tcPr>
            <w:tcW w:w="412" w:type="pct"/>
            <w:noWrap/>
            <w:vAlign w:val="bottom"/>
            <w:hideMark/>
          </w:tcPr>
          <w:p w14:paraId="5BEB31D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c</w:t>
            </w:r>
          </w:p>
        </w:tc>
      </w:tr>
      <w:tr w:rsidR="005F275F" w:rsidRPr="008E036E" w14:paraId="31AF2044" w14:textId="77777777" w:rsidTr="005F275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2CB89F4C"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 xml:space="preserve">Regalia </w:t>
            </w:r>
          </w:p>
        </w:tc>
        <w:tc>
          <w:tcPr>
            <w:tcW w:w="496" w:type="pct"/>
            <w:noWrap/>
            <w:vAlign w:val="bottom"/>
            <w:hideMark/>
          </w:tcPr>
          <w:p w14:paraId="41C3EE5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0.0 </w:t>
            </w:r>
            <w:r w:rsidRPr="008E036E">
              <w:rPr>
                <w:rFonts w:ascii="Times New Roman" w:hAnsi="Times New Roman" w:cs="Times New Roman"/>
                <w:sz w:val="20"/>
                <w:szCs w:val="20"/>
              </w:rPr>
              <w:t>c</w:t>
            </w:r>
          </w:p>
        </w:tc>
        <w:tc>
          <w:tcPr>
            <w:tcW w:w="483" w:type="pct"/>
            <w:noWrap/>
            <w:vAlign w:val="bottom"/>
            <w:hideMark/>
          </w:tcPr>
          <w:p w14:paraId="149A6CC0"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12  c</w:t>
            </w:r>
          </w:p>
        </w:tc>
        <w:tc>
          <w:tcPr>
            <w:tcW w:w="529" w:type="pct"/>
            <w:noWrap/>
            <w:vAlign w:val="bottom"/>
            <w:hideMark/>
          </w:tcPr>
          <w:p w14:paraId="034AB4A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42   c</w:t>
            </w:r>
          </w:p>
        </w:tc>
        <w:tc>
          <w:tcPr>
            <w:tcW w:w="433" w:type="pct"/>
            <w:noWrap/>
            <w:vAlign w:val="bottom"/>
            <w:hideMark/>
          </w:tcPr>
          <w:p w14:paraId="640044C6"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795B5A49"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c</w:t>
            </w:r>
          </w:p>
        </w:tc>
        <w:tc>
          <w:tcPr>
            <w:tcW w:w="529" w:type="pct"/>
            <w:noWrap/>
            <w:vAlign w:val="bottom"/>
            <w:hideMark/>
          </w:tcPr>
          <w:p w14:paraId="40A3AB1D"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12   c</w:t>
            </w:r>
          </w:p>
        </w:tc>
        <w:tc>
          <w:tcPr>
            <w:tcW w:w="470" w:type="pct"/>
            <w:noWrap/>
            <w:vAlign w:val="bottom"/>
            <w:hideMark/>
          </w:tcPr>
          <w:p w14:paraId="61E85678"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294A18C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c</w:t>
            </w:r>
          </w:p>
        </w:tc>
        <w:tc>
          <w:tcPr>
            <w:tcW w:w="412" w:type="pct"/>
            <w:noWrap/>
            <w:vAlign w:val="bottom"/>
            <w:hideMark/>
          </w:tcPr>
          <w:p w14:paraId="1AA471D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c</w:t>
            </w:r>
          </w:p>
        </w:tc>
      </w:tr>
      <w:tr w:rsidR="005F275F" w:rsidRPr="008E036E" w14:paraId="2CBBB4EF" w14:textId="77777777" w:rsidTr="005F275F">
        <w:trPr>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2675932B"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Regalia*</w:t>
            </w:r>
          </w:p>
        </w:tc>
        <w:tc>
          <w:tcPr>
            <w:tcW w:w="496" w:type="pct"/>
            <w:noWrap/>
            <w:vAlign w:val="bottom"/>
            <w:hideMark/>
          </w:tcPr>
          <w:p w14:paraId="079B9085"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5.0 </w:t>
            </w:r>
            <w:r w:rsidRPr="008E036E">
              <w:rPr>
                <w:rFonts w:ascii="Times New Roman" w:hAnsi="Times New Roman" w:cs="Times New Roman"/>
                <w:sz w:val="20"/>
                <w:szCs w:val="20"/>
              </w:rPr>
              <w:t>c</w:t>
            </w:r>
          </w:p>
        </w:tc>
        <w:tc>
          <w:tcPr>
            <w:tcW w:w="483" w:type="pct"/>
            <w:noWrap/>
            <w:vAlign w:val="bottom"/>
            <w:hideMark/>
          </w:tcPr>
          <w:p w14:paraId="7604051F"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15  c</w:t>
            </w:r>
          </w:p>
        </w:tc>
        <w:tc>
          <w:tcPr>
            <w:tcW w:w="529" w:type="pct"/>
            <w:noWrap/>
            <w:vAlign w:val="bottom"/>
            <w:hideMark/>
          </w:tcPr>
          <w:p w14:paraId="1345690E"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88   c</w:t>
            </w:r>
          </w:p>
        </w:tc>
        <w:tc>
          <w:tcPr>
            <w:tcW w:w="433" w:type="pct"/>
            <w:noWrap/>
            <w:vAlign w:val="bottom"/>
            <w:hideMark/>
          </w:tcPr>
          <w:p w14:paraId="68DBFC0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b</w:t>
            </w:r>
          </w:p>
        </w:tc>
        <w:tc>
          <w:tcPr>
            <w:tcW w:w="471" w:type="pct"/>
            <w:noWrap/>
            <w:vAlign w:val="bottom"/>
            <w:hideMark/>
          </w:tcPr>
          <w:p w14:paraId="5A6160E1"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4.0 c</w:t>
            </w:r>
          </w:p>
        </w:tc>
        <w:tc>
          <w:tcPr>
            <w:tcW w:w="529" w:type="pct"/>
            <w:noWrap/>
            <w:vAlign w:val="bottom"/>
            <w:hideMark/>
          </w:tcPr>
          <w:p w14:paraId="64CE6FA1"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24   c</w:t>
            </w:r>
          </w:p>
        </w:tc>
        <w:tc>
          <w:tcPr>
            <w:tcW w:w="470" w:type="pct"/>
            <w:noWrap/>
            <w:vAlign w:val="bottom"/>
            <w:hideMark/>
          </w:tcPr>
          <w:p w14:paraId="5E9D4FCC"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0.0 b</w:t>
            </w:r>
          </w:p>
        </w:tc>
        <w:tc>
          <w:tcPr>
            <w:tcW w:w="471" w:type="pct"/>
            <w:noWrap/>
            <w:vAlign w:val="bottom"/>
            <w:hideMark/>
          </w:tcPr>
          <w:p w14:paraId="540B3CE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c</w:t>
            </w:r>
          </w:p>
        </w:tc>
        <w:tc>
          <w:tcPr>
            <w:tcW w:w="412" w:type="pct"/>
            <w:noWrap/>
            <w:vAlign w:val="bottom"/>
            <w:hideMark/>
          </w:tcPr>
          <w:p w14:paraId="4E2CEE38"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c</w:t>
            </w:r>
          </w:p>
        </w:tc>
      </w:tr>
      <w:tr w:rsidR="005F275F" w:rsidRPr="008E036E" w14:paraId="41ED229D" w14:textId="77777777" w:rsidTr="005F275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3818FF74"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 xml:space="preserve">Sil-Matrix </w:t>
            </w:r>
          </w:p>
        </w:tc>
        <w:tc>
          <w:tcPr>
            <w:tcW w:w="496" w:type="pct"/>
            <w:noWrap/>
            <w:vAlign w:val="bottom"/>
            <w:hideMark/>
          </w:tcPr>
          <w:p w14:paraId="320CDBAF"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30 </w:t>
            </w:r>
            <w:r w:rsidRPr="008E036E">
              <w:rPr>
                <w:rFonts w:ascii="Times New Roman" w:hAnsi="Times New Roman" w:cs="Times New Roman"/>
                <w:sz w:val="20"/>
                <w:szCs w:val="20"/>
              </w:rPr>
              <w:t>bc</w:t>
            </w:r>
          </w:p>
        </w:tc>
        <w:tc>
          <w:tcPr>
            <w:tcW w:w="483" w:type="pct"/>
            <w:noWrap/>
            <w:vAlign w:val="bottom"/>
            <w:hideMark/>
          </w:tcPr>
          <w:p w14:paraId="32549A8C"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51  ab</w:t>
            </w:r>
          </w:p>
        </w:tc>
        <w:tc>
          <w:tcPr>
            <w:tcW w:w="529" w:type="pct"/>
            <w:noWrap/>
            <w:vAlign w:val="bottom"/>
            <w:hideMark/>
          </w:tcPr>
          <w:p w14:paraId="72B9BBC2"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390 ab</w:t>
            </w:r>
          </w:p>
        </w:tc>
        <w:tc>
          <w:tcPr>
            <w:tcW w:w="433" w:type="pct"/>
            <w:noWrap/>
            <w:vAlign w:val="bottom"/>
            <w:hideMark/>
          </w:tcPr>
          <w:p w14:paraId="5A64E594"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b</w:t>
            </w:r>
          </w:p>
        </w:tc>
        <w:tc>
          <w:tcPr>
            <w:tcW w:w="471" w:type="pct"/>
            <w:noWrap/>
            <w:vAlign w:val="bottom"/>
            <w:hideMark/>
          </w:tcPr>
          <w:p w14:paraId="6BC85261"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  c</w:t>
            </w:r>
          </w:p>
        </w:tc>
        <w:tc>
          <w:tcPr>
            <w:tcW w:w="529" w:type="pct"/>
            <w:noWrap/>
            <w:vAlign w:val="bottom"/>
            <w:hideMark/>
          </w:tcPr>
          <w:p w14:paraId="7F0D377D"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55   c</w:t>
            </w:r>
          </w:p>
        </w:tc>
        <w:tc>
          <w:tcPr>
            <w:tcW w:w="470" w:type="pct"/>
            <w:noWrap/>
            <w:vAlign w:val="bottom"/>
            <w:hideMark/>
          </w:tcPr>
          <w:p w14:paraId="3916B81D"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2.0 b</w:t>
            </w:r>
          </w:p>
        </w:tc>
        <w:tc>
          <w:tcPr>
            <w:tcW w:w="471" w:type="pct"/>
            <w:noWrap/>
            <w:vAlign w:val="bottom"/>
            <w:hideMark/>
          </w:tcPr>
          <w:p w14:paraId="37A1F432"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 bc</w:t>
            </w:r>
          </w:p>
        </w:tc>
        <w:tc>
          <w:tcPr>
            <w:tcW w:w="412" w:type="pct"/>
            <w:noWrap/>
            <w:vAlign w:val="bottom"/>
            <w:hideMark/>
          </w:tcPr>
          <w:p w14:paraId="5B21FCD3"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23  bc</w:t>
            </w:r>
          </w:p>
        </w:tc>
      </w:tr>
      <w:tr w:rsidR="005F275F" w:rsidRPr="008E036E" w14:paraId="7554251A" w14:textId="77777777" w:rsidTr="005F275F">
        <w:trPr>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4155B375"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Stargus</w:t>
            </w:r>
          </w:p>
        </w:tc>
        <w:tc>
          <w:tcPr>
            <w:tcW w:w="496" w:type="pct"/>
            <w:noWrap/>
            <w:vAlign w:val="bottom"/>
            <w:hideMark/>
          </w:tcPr>
          <w:p w14:paraId="0FD261DA"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40 </w:t>
            </w:r>
            <w:r w:rsidRPr="008E036E">
              <w:rPr>
                <w:rFonts w:ascii="Times New Roman" w:hAnsi="Times New Roman" w:cs="Times New Roman"/>
                <w:sz w:val="20"/>
                <w:szCs w:val="20"/>
              </w:rPr>
              <w:t>ab</w:t>
            </w:r>
          </w:p>
        </w:tc>
        <w:tc>
          <w:tcPr>
            <w:tcW w:w="483" w:type="pct"/>
            <w:noWrap/>
            <w:vAlign w:val="bottom"/>
            <w:hideMark/>
          </w:tcPr>
          <w:p w14:paraId="1500B393"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54  ab</w:t>
            </w:r>
          </w:p>
        </w:tc>
        <w:tc>
          <w:tcPr>
            <w:tcW w:w="529" w:type="pct"/>
            <w:noWrap/>
            <w:vAlign w:val="bottom"/>
            <w:hideMark/>
          </w:tcPr>
          <w:p w14:paraId="56F5DDE6"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469 ab</w:t>
            </w:r>
          </w:p>
        </w:tc>
        <w:tc>
          <w:tcPr>
            <w:tcW w:w="433" w:type="pct"/>
            <w:noWrap/>
            <w:vAlign w:val="bottom"/>
            <w:hideMark/>
          </w:tcPr>
          <w:p w14:paraId="314EB60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 a</w:t>
            </w:r>
          </w:p>
        </w:tc>
        <w:tc>
          <w:tcPr>
            <w:tcW w:w="471" w:type="pct"/>
            <w:noWrap/>
            <w:vAlign w:val="bottom"/>
            <w:hideMark/>
          </w:tcPr>
          <w:p w14:paraId="33AA96A5"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17  b</w:t>
            </w:r>
          </w:p>
        </w:tc>
        <w:tc>
          <w:tcPr>
            <w:tcW w:w="529" w:type="pct"/>
            <w:noWrap/>
            <w:vAlign w:val="bottom"/>
            <w:hideMark/>
          </w:tcPr>
          <w:p w14:paraId="3261F8D5"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107 b</w:t>
            </w:r>
          </w:p>
        </w:tc>
        <w:tc>
          <w:tcPr>
            <w:tcW w:w="470" w:type="pct"/>
            <w:noWrap/>
            <w:vAlign w:val="bottom"/>
            <w:hideMark/>
          </w:tcPr>
          <w:p w14:paraId="7393C264"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3.0 ab</w:t>
            </w:r>
          </w:p>
        </w:tc>
        <w:tc>
          <w:tcPr>
            <w:tcW w:w="471" w:type="pct"/>
            <w:noWrap/>
            <w:vAlign w:val="bottom"/>
            <w:hideMark/>
          </w:tcPr>
          <w:p w14:paraId="06956D51"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11  bc</w:t>
            </w:r>
          </w:p>
        </w:tc>
        <w:tc>
          <w:tcPr>
            <w:tcW w:w="412" w:type="pct"/>
            <w:noWrap/>
            <w:vAlign w:val="bottom"/>
            <w:hideMark/>
          </w:tcPr>
          <w:p w14:paraId="2D8F80F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37  bc</w:t>
            </w:r>
          </w:p>
        </w:tc>
      </w:tr>
      <w:tr w:rsidR="005F275F" w:rsidRPr="008E036E" w14:paraId="0EE2A9A7" w14:textId="77777777" w:rsidTr="005F275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706" w:type="pct"/>
            <w:noWrap/>
            <w:vAlign w:val="bottom"/>
            <w:hideMark/>
          </w:tcPr>
          <w:p w14:paraId="38204351" w14:textId="77777777" w:rsidR="005F275F" w:rsidRPr="008E036E" w:rsidRDefault="005F275F" w:rsidP="005F275F">
            <w:pPr>
              <w:pStyle w:val="NoSpacing"/>
              <w:rPr>
                <w:rFonts w:ascii="Times New Roman" w:hAnsi="Times New Roman" w:cs="Times New Roman"/>
                <w:b w:val="0"/>
                <w:sz w:val="20"/>
                <w:szCs w:val="20"/>
              </w:rPr>
            </w:pPr>
          </w:p>
        </w:tc>
        <w:tc>
          <w:tcPr>
            <w:tcW w:w="496" w:type="pct"/>
            <w:noWrap/>
            <w:vAlign w:val="bottom"/>
            <w:hideMark/>
          </w:tcPr>
          <w:p w14:paraId="48C3516B"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83" w:type="pct"/>
            <w:noWrap/>
            <w:vAlign w:val="bottom"/>
            <w:hideMark/>
          </w:tcPr>
          <w:p w14:paraId="08174B4B"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29" w:type="pct"/>
            <w:noWrap/>
            <w:vAlign w:val="bottom"/>
            <w:hideMark/>
          </w:tcPr>
          <w:p w14:paraId="00B0326C"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33" w:type="pct"/>
            <w:noWrap/>
            <w:vAlign w:val="bottom"/>
            <w:hideMark/>
          </w:tcPr>
          <w:p w14:paraId="028B193A"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noWrap/>
            <w:vAlign w:val="bottom"/>
            <w:hideMark/>
          </w:tcPr>
          <w:p w14:paraId="2D537E32"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529" w:type="pct"/>
            <w:noWrap/>
            <w:vAlign w:val="bottom"/>
            <w:hideMark/>
          </w:tcPr>
          <w:p w14:paraId="771D0502"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0" w:type="pct"/>
            <w:noWrap/>
            <w:vAlign w:val="bottom"/>
            <w:hideMark/>
          </w:tcPr>
          <w:p w14:paraId="2F56222A"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71" w:type="pct"/>
            <w:noWrap/>
            <w:vAlign w:val="bottom"/>
            <w:hideMark/>
          </w:tcPr>
          <w:p w14:paraId="16696DDE"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c>
          <w:tcPr>
            <w:tcW w:w="412" w:type="pct"/>
            <w:noWrap/>
            <w:vAlign w:val="bottom"/>
            <w:hideMark/>
          </w:tcPr>
          <w:p w14:paraId="65A8917F" w14:textId="77777777" w:rsidR="005F275F" w:rsidRPr="008E036E" w:rsidRDefault="005F275F"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F275F" w:rsidRPr="008E036E" w14:paraId="08A5063F" w14:textId="77777777" w:rsidTr="005F275F">
        <w:trPr>
          <w:trHeight w:val="42"/>
        </w:trPr>
        <w:tc>
          <w:tcPr>
            <w:cnfStyle w:val="001000000000" w:firstRow="0" w:lastRow="0" w:firstColumn="1" w:lastColumn="0" w:oddVBand="0" w:evenVBand="0" w:oddHBand="0" w:evenHBand="0" w:firstRowFirstColumn="0" w:firstRowLastColumn="0" w:lastRowFirstColumn="0" w:lastRowLastColumn="0"/>
            <w:tcW w:w="706" w:type="pct"/>
            <w:tcBorders>
              <w:bottom w:val="single" w:sz="4" w:space="0" w:color="auto"/>
            </w:tcBorders>
            <w:noWrap/>
            <w:vAlign w:val="bottom"/>
            <w:hideMark/>
          </w:tcPr>
          <w:p w14:paraId="28933074"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Water  (check)</w:t>
            </w:r>
          </w:p>
        </w:tc>
        <w:tc>
          <w:tcPr>
            <w:tcW w:w="496" w:type="pct"/>
            <w:tcBorders>
              <w:bottom w:val="single" w:sz="4" w:space="0" w:color="auto"/>
            </w:tcBorders>
            <w:noWrap/>
            <w:vAlign w:val="bottom"/>
            <w:hideMark/>
          </w:tcPr>
          <w:p w14:paraId="31B6A23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66  a</w:t>
            </w:r>
            <w:r w:rsidRPr="008E036E">
              <w:rPr>
                <w:rFonts w:ascii="Times New Roman" w:hAnsi="Times New Roman" w:cs="Times New Roman"/>
                <w:sz w:val="20"/>
                <w:szCs w:val="20"/>
              </w:rPr>
              <w:t>b</w:t>
            </w:r>
          </w:p>
        </w:tc>
        <w:tc>
          <w:tcPr>
            <w:tcW w:w="483" w:type="pct"/>
            <w:tcBorders>
              <w:bottom w:val="single" w:sz="4" w:space="0" w:color="auto"/>
            </w:tcBorders>
            <w:noWrap/>
            <w:vAlign w:val="bottom"/>
            <w:hideMark/>
          </w:tcPr>
          <w:p w14:paraId="467ADEA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80  a</w:t>
            </w:r>
          </w:p>
        </w:tc>
        <w:tc>
          <w:tcPr>
            <w:tcW w:w="529" w:type="pct"/>
            <w:tcBorders>
              <w:bottom w:val="single" w:sz="4" w:space="0" w:color="auto"/>
            </w:tcBorders>
            <w:noWrap/>
            <w:vAlign w:val="bottom"/>
            <w:hideMark/>
          </w:tcPr>
          <w:p w14:paraId="72BD1E29"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744 a</w:t>
            </w:r>
          </w:p>
        </w:tc>
        <w:tc>
          <w:tcPr>
            <w:tcW w:w="433" w:type="pct"/>
            <w:tcBorders>
              <w:bottom w:val="single" w:sz="4" w:space="0" w:color="auto"/>
            </w:tcBorders>
            <w:noWrap/>
            <w:vAlign w:val="bottom"/>
            <w:hideMark/>
          </w:tcPr>
          <w:p w14:paraId="5C3AF524"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11  a</w:t>
            </w:r>
          </w:p>
        </w:tc>
        <w:tc>
          <w:tcPr>
            <w:tcW w:w="471" w:type="pct"/>
            <w:tcBorders>
              <w:bottom w:val="single" w:sz="4" w:space="0" w:color="auto"/>
            </w:tcBorders>
            <w:noWrap/>
            <w:vAlign w:val="bottom"/>
            <w:hideMark/>
          </w:tcPr>
          <w:p w14:paraId="5CDB55CB"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54  a</w:t>
            </w:r>
          </w:p>
        </w:tc>
        <w:tc>
          <w:tcPr>
            <w:tcW w:w="529" w:type="pct"/>
            <w:tcBorders>
              <w:bottom w:val="single" w:sz="4" w:space="0" w:color="auto"/>
            </w:tcBorders>
            <w:noWrap/>
            <w:vAlign w:val="bottom"/>
            <w:hideMark/>
          </w:tcPr>
          <w:p w14:paraId="65774647"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265 a</w:t>
            </w:r>
          </w:p>
        </w:tc>
        <w:tc>
          <w:tcPr>
            <w:tcW w:w="470" w:type="pct"/>
            <w:tcBorders>
              <w:bottom w:val="single" w:sz="4" w:space="0" w:color="auto"/>
            </w:tcBorders>
            <w:noWrap/>
            <w:vAlign w:val="bottom"/>
            <w:hideMark/>
          </w:tcPr>
          <w:p w14:paraId="2BD00376"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7.0 a</w:t>
            </w:r>
          </w:p>
        </w:tc>
        <w:tc>
          <w:tcPr>
            <w:tcW w:w="471" w:type="pct"/>
            <w:tcBorders>
              <w:bottom w:val="single" w:sz="4" w:space="0" w:color="auto"/>
            </w:tcBorders>
            <w:noWrap/>
            <w:vAlign w:val="bottom"/>
            <w:hideMark/>
          </w:tcPr>
          <w:p w14:paraId="66218E65"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43  a</w:t>
            </w:r>
          </w:p>
        </w:tc>
        <w:tc>
          <w:tcPr>
            <w:tcW w:w="412" w:type="pct"/>
            <w:tcBorders>
              <w:bottom w:val="single" w:sz="4" w:space="0" w:color="auto"/>
            </w:tcBorders>
            <w:noWrap/>
            <w:vAlign w:val="bottom"/>
            <w:hideMark/>
          </w:tcPr>
          <w:p w14:paraId="3060B24D" w14:textId="77777777" w:rsidR="005F275F" w:rsidRPr="008E036E" w:rsidRDefault="005F275F"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8E036E">
              <w:rPr>
                <w:rFonts w:ascii="Times New Roman" w:hAnsi="Times New Roman" w:cs="Times New Roman"/>
                <w:sz w:val="20"/>
                <w:szCs w:val="20"/>
              </w:rPr>
              <w:t>152 a</w:t>
            </w:r>
          </w:p>
        </w:tc>
      </w:tr>
      <w:tr w:rsidR="005F275F" w:rsidRPr="008E036E" w14:paraId="198E463D" w14:textId="77777777" w:rsidTr="005F275F">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5000" w:type="pct"/>
            <w:gridSpan w:val="10"/>
            <w:tcBorders>
              <w:top w:val="single" w:sz="4" w:space="0" w:color="auto"/>
            </w:tcBorders>
            <w:shd w:val="clear" w:color="auto" w:fill="auto"/>
          </w:tcPr>
          <w:p w14:paraId="3DED634C"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vertAlign w:val="superscript"/>
              </w:rPr>
              <w:t xml:space="preserve">w </w:t>
            </w:r>
            <w:r w:rsidRPr="008E036E">
              <w:rPr>
                <w:rFonts w:ascii="Times New Roman" w:hAnsi="Times New Roman" w:cs="Times New Roman"/>
                <w:b w:val="0"/>
                <w:sz w:val="20"/>
                <w:szCs w:val="20"/>
              </w:rPr>
              <w:t xml:space="preserve">Disease index (DI)= (I*S)/100, where DI=disease index, I=disease incidence, S=disease severity, and 100 represents the maximum possible incidence and severity scores. </w:t>
            </w:r>
          </w:p>
          <w:p w14:paraId="57072E3A"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vertAlign w:val="superscript"/>
              </w:rPr>
              <w:t>x</w:t>
            </w:r>
            <w:r w:rsidRPr="008E036E">
              <w:rPr>
                <w:rFonts w:ascii="Times New Roman" w:hAnsi="Times New Roman" w:cs="Times New Roman"/>
                <w:b w:val="0"/>
                <w:sz w:val="20"/>
                <w:szCs w:val="20"/>
              </w:rPr>
              <w:t xml:space="preserve"> Area under the disease progress curve (AUDPC) was calculated according to the formula: ∑</w:t>
            </w:r>
            <w:r w:rsidRPr="008E036E">
              <w:rPr>
                <w:rFonts w:ascii="Times New Roman" w:hAnsi="Times New Roman" w:cs="Times New Roman"/>
                <w:b w:val="0"/>
                <w:sz w:val="20"/>
                <w:szCs w:val="20"/>
                <w:vertAlign w:val="superscript"/>
              </w:rPr>
              <w:t>n</w:t>
            </w:r>
            <w:r w:rsidRPr="008E036E">
              <w:rPr>
                <w:rFonts w:ascii="Times New Roman" w:hAnsi="Times New Roman" w:cs="Times New Roman"/>
                <w:b w:val="0"/>
                <w:kern w:val="22"/>
                <w:sz w:val="20"/>
                <w:szCs w:val="20"/>
                <w:vertAlign w:val="superscript"/>
              </w:rPr>
              <w:t xml:space="preserve"> </w:t>
            </w:r>
            <w:r w:rsidRPr="008E036E">
              <w:rPr>
                <w:rFonts w:ascii="Times New Roman" w:hAnsi="Times New Roman" w:cs="Times New Roman"/>
                <w:b w:val="0"/>
                <w:kern w:val="22"/>
                <w:sz w:val="20"/>
                <w:szCs w:val="20"/>
                <w:vertAlign w:val="subscript"/>
              </w:rPr>
              <w:t>i=1</w:t>
            </w:r>
            <w:r w:rsidRPr="008E036E">
              <w:rPr>
                <w:rFonts w:ascii="Times New Roman" w:hAnsi="Times New Roman" w:cs="Times New Roman"/>
                <w:b w:val="0"/>
                <w:kern w:val="22"/>
                <w:sz w:val="20"/>
                <w:szCs w:val="20"/>
              </w:rPr>
              <w:t>[(</w:t>
            </w:r>
            <w:r w:rsidRPr="008E036E">
              <w:rPr>
                <w:rFonts w:ascii="Times New Roman" w:hAnsi="Times New Roman" w:cs="Times New Roman"/>
                <w:b w:val="0"/>
                <w:i/>
                <w:kern w:val="22"/>
                <w:sz w:val="20"/>
                <w:szCs w:val="20"/>
              </w:rPr>
              <w:t>DI</w:t>
            </w:r>
            <w:r w:rsidRPr="008E036E">
              <w:rPr>
                <w:rFonts w:ascii="Times New Roman" w:hAnsi="Times New Roman" w:cs="Times New Roman"/>
                <w:b w:val="0"/>
                <w:i/>
                <w:kern w:val="22"/>
                <w:sz w:val="20"/>
                <w:szCs w:val="20"/>
                <w:vertAlign w:val="subscript"/>
              </w:rPr>
              <w:t>i</w:t>
            </w:r>
            <w:r w:rsidRPr="008E036E">
              <w:rPr>
                <w:rFonts w:ascii="Times New Roman" w:hAnsi="Times New Roman" w:cs="Times New Roman"/>
                <w:b w:val="0"/>
                <w:kern w:val="22"/>
                <w:sz w:val="20"/>
                <w:szCs w:val="20"/>
                <w:vertAlign w:val="subscript"/>
              </w:rPr>
              <w:t>+1</w:t>
            </w:r>
            <w:r w:rsidRPr="008E036E">
              <w:rPr>
                <w:rFonts w:ascii="Times New Roman" w:hAnsi="Times New Roman" w:cs="Times New Roman"/>
                <w:b w:val="0"/>
                <w:kern w:val="22"/>
                <w:sz w:val="20"/>
                <w:szCs w:val="20"/>
              </w:rPr>
              <w:t xml:space="preserve"> + </w:t>
            </w:r>
            <w:r w:rsidRPr="008E036E">
              <w:rPr>
                <w:rFonts w:ascii="Times New Roman" w:hAnsi="Times New Roman" w:cs="Times New Roman"/>
                <w:b w:val="0"/>
                <w:i/>
                <w:kern w:val="22"/>
                <w:sz w:val="20"/>
                <w:szCs w:val="20"/>
              </w:rPr>
              <w:t>DI</w:t>
            </w:r>
            <w:r w:rsidRPr="008E036E">
              <w:rPr>
                <w:rFonts w:ascii="Times New Roman" w:hAnsi="Times New Roman" w:cs="Times New Roman"/>
                <w:b w:val="0"/>
                <w:i/>
                <w:kern w:val="22"/>
                <w:sz w:val="20"/>
                <w:szCs w:val="20"/>
                <w:vertAlign w:val="subscript"/>
              </w:rPr>
              <w:t>i</w:t>
            </w:r>
            <w:r w:rsidRPr="008E036E">
              <w:rPr>
                <w:rFonts w:ascii="Times New Roman" w:hAnsi="Times New Roman" w:cs="Times New Roman"/>
                <w:b w:val="0"/>
                <w:kern w:val="22"/>
                <w:sz w:val="20"/>
                <w:szCs w:val="20"/>
              </w:rPr>
              <w:t>)/2] [</w:t>
            </w:r>
            <w:r w:rsidRPr="008E036E">
              <w:rPr>
                <w:rFonts w:ascii="Times New Roman" w:hAnsi="Times New Roman" w:cs="Times New Roman"/>
                <w:b w:val="0"/>
                <w:i/>
                <w:kern w:val="22"/>
                <w:sz w:val="20"/>
                <w:szCs w:val="20"/>
              </w:rPr>
              <w:t>t</w:t>
            </w:r>
            <w:r w:rsidRPr="008E036E">
              <w:rPr>
                <w:rFonts w:ascii="Times New Roman" w:hAnsi="Times New Roman" w:cs="Times New Roman"/>
                <w:b w:val="0"/>
                <w:i/>
                <w:kern w:val="22"/>
                <w:sz w:val="20"/>
                <w:szCs w:val="20"/>
                <w:vertAlign w:val="subscript"/>
              </w:rPr>
              <w:t>i</w:t>
            </w:r>
            <w:r w:rsidRPr="008E036E">
              <w:rPr>
                <w:rFonts w:ascii="Times New Roman" w:hAnsi="Times New Roman" w:cs="Times New Roman"/>
                <w:b w:val="0"/>
                <w:kern w:val="22"/>
                <w:sz w:val="20"/>
                <w:szCs w:val="20"/>
                <w:vertAlign w:val="subscript"/>
              </w:rPr>
              <w:t>+1</w:t>
            </w:r>
            <w:r w:rsidRPr="008E036E">
              <w:rPr>
                <w:rFonts w:ascii="Times New Roman" w:hAnsi="Times New Roman" w:cs="Times New Roman"/>
                <w:b w:val="0"/>
                <w:kern w:val="22"/>
                <w:sz w:val="20"/>
                <w:szCs w:val="20"/>
              </w:rPr>
              <w:t xml:space="preserve"> – </w:t>
            </w:r>
            <w:r w:rsidRPr="008E036E">
              <w:rPr>
                <w:rFonts w:ascii="Times New Roman" w:hAnsi="Times New Roman" w:cs="Times New Roman"/>
                <w:b w:val="0"/>
                <w:i/>
                <w:kern w:val="22"/>
                <w:sz w:val="20"/>
                <w:szCs w:val="20"/>
              </w:rPr>
              <w:t>t</w:t>
            </w:r>
            <w:r w:rsidRPr="008E036E">
              <w:rPr>
                <w:rFonts w:ascii="Times New Roman" w:hAnsi="Times New Roman" w:cs="Times New Roman"/>
                <w:b w:val="0"/>
                <w:i/>
                <w:kern w:val="22"/>
                <w:sz w:val="20"/>
                <w:szCs w:val="20"/>
                <w:vertAlign w:val="subscript"/>
              </w:rPr>
              <w:t>i</w:t>
            </w:r>
            <w:r w:rsidRPr="008E036E">
              <w:rPr>
                <w:rFonts w:ascii="Times New Roman" w:hAnsi="Times New Roman" w:cs="Times New Roman"/>
                <w:b w:val="0"/>
                <w:kern w:val="22"/>
                <w:sz w:val="20"/>
                <w:szCs w:val="20"/>
              </w:rPr>
              <w:t xml:space="preserve">], where </w:t>
            </w:r>
            <w:r w:rsidRPr="008E036E">
              <w:rPr>
                <w:rFonts w:ascii="Times New Roman" w:hAnsi="Times New Roman" w:cs="Times New Roman"/>
                <w:b w:val="0"/>
                <w:i/>
                <w:kern w:val="22"/>
                <w:sz w:val="20"/>
                <w:szCs w:val="20"/>
              </w:rPr>
              <w:t>DI</w:t>
            </w:r>
            <w:r w:rsidRPr="008E036E">
              <w:rPr>
                <w:rFonts w:ascii="Times New Roman" w:hAnsi="Times New Roman" w:cs="Times New Roman"/>
                <w:b w:val="0"/>
                <w:kern w:val="22"/>
                <w:sz w:val="20"/>
                <w:szCs w:val="20"/>
              </w:rPr>
              <w:t xml:space="preserve"> = disease index at the </w:t>
            </w:r>
            <w:r w:rsidRPr="008E036E">
              <w:rPr>
                <w:rFonts w:ascii="Times New Roman" w:hAnsi="Times New Roman" w:cs="Times New Roman"/>
                <w:b w:val="0"/>
                <w:i/>
                <w:kern w:val="22"/>
                <w:sz w:val="20"/>
                <w:szCs w:val="20"/>
              </w:rPr>
              <w:t>i</w:t>
            </w:r>
            <w:r w:rsidRPr="008E036E">
              <w:rPr>
                <w:rFonts w:ascii="Times New Roman" w:hAnsi="Times New Roman" w:cs="Times New Roman"/>
                <w:b w:val="0"/>
                <w:kern w:val="22"/>
                <w:sz w:val="20"/>
                <w:szCs w:val="20"/>
              </w:rPr>
              <w:t xml:space="preserve">th observation, </w:t>
            </w:r>
            <w:r w:rsidRPr="008E036E">
              <w:rPr>
                <w:rFonts w:ascii="Times New Roman" w:hAnsi="Times New Roman" w:cs="Times New Roman"/>
                <w:b w:val="0"/>
                <w:i/>
                <w:kern w:val="22"/>
                <w:sz w:val="20"/>
                <w:szCs w:val="20"/>
              </w:rPr>
              <w:t>t</w:t>
            </w:r>
            <w:r w:rsidRPr="008E036E">
              <w:rPr>
                <w:rFonts w:ascii="Times New Roman" w:hAnsi="Times New Roman" w:cs="Times New Roman"/>
                <w:b w:val="0"/>
                <w:i/>
                <w:kern w:val="22"/>
                <w:sz w:val="20"/>
                <w:szCs w:val="20"/>
                <w:vertAlign w:val="subscript"/>
              </w:rPr>
              <w:t>i</w:t>
            </w:r>
            <w:r w:rsidRPr="008E036E">
              <w:rPr>
                <w:rFonts w:ascii="Times New Roman" w:hAnsi="Times New Roman" w:cs="Times New Roman"/>
                <w:b w:val="0"/>
                <w:kern w:val="22"/>
                <w:sz w:val="20"/>
                <w:szCs w:val="20"/>
                <w:vertAlign w:val="subscript"/>
              </w:rPr>
              <w:t xml:space="preserve"> </w:t>
            </w:r>
            <w:r w:rsidRPr="008E036E">
              <w:rPr>
                <w:rFonts w:ascii="Times New Roman" w:hAnsi="Times New Roman" w:cs="Times New Roman"/>
                <w:b w:val="0"/>
                <w:kern w:val="22"/>
                <w:sz w:val="20"/>
                <w:szCs w:val="20"/>
              </w:rPr>
              <w:t xml:space="preserve">= time (days) since the previous rating at the </w:t>
            </w:r>
            <w:r w:rsidRPr="008E036E">
              <w:rPr>
                <w:rFonts w:ascii="Times New Roman" w:hAnsi="Times New Roman" w:cs="Times New Roman"/>
                <w:b w:val="0"/>
                <w:i/>
                <w:kern w:val="22"/>
                <w:sz w:val="20"/>
                <w:szCs w:val="20"/>
              </w:rPr>
              <w:t>i</w:t>
            </w:r>
            <w:r w:rsidRPr="008E036E">
              <w:rPr>
                <w:rFonts w:ascii="Times New Roman" w:hAnsi="Times New Roman" w:cs="Times New Roman"/>
                <w:b w:val="0"/>
                <w:kern w:val="22"/>
                <w:sz w:val="20"/>
                <w:szCs w:val="20"/>
              </w:rPr>
              <w:t>th observation, and n = total number of observations</w:t>
            </w:r>
            <w:r w:rsidRPr="008E036E">
              <w:rPr>
                <w:rFonts w:ascii="Times New Roman" w:hAnsi="Times New Roman" w:cs="Times New Roman"/>
                <w:b w:val="0"/>
                <w:sz w:val="20"/>
                <w:szCs w:val="20"/>
              </w:rPr>
              <w:t>.</w:t>
            </w:r>
          </w:p>
          <w:p w14:paraId="49855C2F"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vertAlign w:val="superscript"/>
              </w:rPr>
              <w:t>y</w:t>
            </w:r>
            <w:r w:rsidRPr="008E036E">
              <w:rPr>
                <w:rFonts w:ascii="Times New Roman" w:hAnsi="Times New Roman" w:cs="Times New Roman"/>
                <w:b w:val="0"/>
                <w:sz w:val="20"/>
                <w:szCs w:val="20"/>
              </w:rPr>
              <w:t xml:space="preserve"> Days after the first treatment application </w:t>
            </w:r>
          </w:p>
          <w:p w14:paraId="1C2E4D3F"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vertAlign w:val="superscript"/>
              </w:rPr>
              <w:t>z</w:t>
            </w:r>
            <w:r w:rsidRPr="008E036E">
              <w:rPr>
                <w:rFonts w:ascii="Times New Roman" w:hAnsi="Times New Roman" w:cs="Times New Roman"/>
                <w:b w:val="0"/>
                <w:sz w:val="20"/>
                <w:szCs w:val="20"/>
              </w:rPr>
              <w:t xml:space="preserve"> Means followed by the same letter(s) within columns are not significantly different (Tukey test, P&lt;0.05).</w:t>
            </w:r>
          </w:p>
          <w:p w14:paraId="37561904" w14:textId="77777777" w:rsidR="005F275F" w:rsidRPr="008E036E" w:rsidRDefault="005F275F" w:rsidP="005F275F">
            <w:pPr>
              <w:pStyle w:val="NoSpacing"/>
              <w:rPr>
                <w:rFonts w:ascii="Times New Roman" w:hAnsi="Times New Roman" w:cs="Times New Roman"/>
                <w:b w:val="0"/>
                <w:sz w:val="20"/>
                <w:szCs w:val="20"/>
              </w:rPr>
            </w:pPr>
            <w:r w:rsidRPr="008E036E">
              <w:rPr>
                <w:rFonts w:ascii="Times New Roman" w:hAnsi="Times New Roman" w:cs="Times New Roman"/>
                <w:b w:val="0"/>
                <w:sz w:val="20"/>
                <w:szCs w:val="20"/>
              </w:rPr>
              <w:t xml:space="preserve">*Post-inoculation treatment </w:t>
            </w:r>
          </w:p>
          <w:p w14:paraId="7D0A91F4" w14:textId="77777777" w:rsidR="005F275F" w:rsidRPr="008E036E" w:rsidRDefault="005F275F" w:rsidP="005F275F">
            <w:pPr>
              <w:pStyle w:val="NoSpacing"/>
              <w:rPr>
                <w:rFonts w:ascii="Times New Roman" w:hAnsi="Times New Roman" w:cs="Times New Roman"/>
                <w:bCs w:val="0"/>
                <w:sz w:val="20"/>
                <w:szCs w:val="20"/>
              </w:rPr>
            </w:pPr>
          </w:p>
        </w:tc>
      </w:tr>
    </w:tbl>
    <w:p w14:paraId="5B55B02F" w14:textId="197F9283" w:rsidR="00D20476" w:rsidRDefault="00D20476" w:rsidP="00D20476">
      <w:pPr>
        <w:rPr>
          <w:rFonts w:cs="Times New Roman"/>
          <w:szCs w:val="24"/>
        </w:rPr>
        <w:sectPr w:rsidR="00D20476" w:rsidSect="005F275F">
          <w:pgSz w:w="15840" w:h="12240" w:orient="landscape" w:code="1"/>
          <w:pgMar w:top="1440" w:right="1440" w:bottom="1440" w:left="1440" w:header="720" w:footer="1440" w:gutter="0"/>
          <w:cols w:space="720"/>
          <w:docGrid w:linePitch="360"/>
        </w:sectPr>
      </w:pPr>
    </w:p>
    <w:p w14:paraId="0154DE35" w14:textId="77777777" w:rsidR="00D20476" w:rsidRPr="004C3997" w:rsidRDefault="00D20476" w:rsidP="00D20476">
      <w:pPr>
        <w:rPr>
          <w:rFonts w:cs="Times New Roman"/>
          <w:szCs w:val="24"/>
        </w:rPr>
      </w:pPr>
    </w:p>
    <w:p w14:paraId="2FDD56A5" w14:textId="2BE64E99" w:rsidR="00D20476" w:rsidRPr="00AB65D6" w:rsidRDefault="00D20476" w:rsidP="005F275F">
      <w:pPr>
        <w:pStyle w:val="Caption"/>
        <w:framePr w:wrap="around" w:hAnchor="page" w:x="2101" w:y="85"/>
      </w:pPr>
      <w:bookmarkStart w:id="465" w:name="_Toc101048754"/>
      <w:r w:rsidRPr="00AB65D6">
        <w:t>Table 5.</w:t>
      </w:r>
      <w:r w:rsidR="00035AE8">
        <w:fldChar w:fldCharType="begin"/>
      </w:r>
      <w:r w:rsidR="00035AE8">
        <w:instrText xml:space="preserve"> SEQ Table_5. \* ARABIC </w:instrText>
      </w:r>
      <w:r w:rsidR="00035AE8">
        <w:fldChar w:fldCharType="separate"/>
      </w:r>
      <w:r w:rsidR="009C2EDC">
        <w:rPr>
          <w:noProof/>
        </w:rPr>
        <w:t>5</w:t>
      </w:r>
      <w:r w:rsidR="00035AE8">
        <w:rPr>
          <w:noProof/>
        </w:rPr>
        <w:fldChar w:fldCharType="end"/>
      </w:r>
      <w:r w:rsidRPr="00AB65D6">
        <w:t>. Efficacy of fungicide treatments against powdery mildew in Experiment 3, 2021</w:t>
      </w:r>
      <w:bookmarkEnd w:id="465"/>
    </w:p>
    <w:p w14:paraId="5951C50B" w14:textId="77777777" w:rsidR="00D20476" w:rsidRPr="004C3997" w:rsidRDefault="00D20476" w:rsidP="00D20476">
      <w:pPr>
        <w:rPr>
          <w:rFonts w:cs="Times New Roman"/>
        </w:rPr>
      </w:pPr>
    </w:p>
    <w:tbl>
      <w:tblPr>
        <w:tblStyle w:val="ListTable1Light-Accent5"/>
        <w:tblpPr w:leftFromText="180" w:rightFromText="180" w:vertAnchor="page" w:horzAnchor="margin" w:tblpX="440" w:tblpY="2476"/>
        <w:tblW w:w="0" w:type="auto"/>
        <w:tblLook w:val="04A0" w:firstRow="1" w:lastRow="0" w:firstColumn="1" w:lastColumn="0" w:noHBand="0" w:noVBand="1"/>
      </w:tblPr>
      <w:tblGrid>
        <w:gridCol w:w="1835"/>
        <w:gridCol w:w="752"/>
        <w:gridCol w:w="822"/>
        <w:gridCol w:w="886"/>
        <w:gridCol w:w="1027"/>
        <w:gridCol w:w="847"/>
        <w:gridCol w:w="859"/>
        <w:gridCol w:w="880"/>
        <w:gridCol w:w="882"/>
        <w:gridCol w:w="726"/>
        <w:gridCol w:w="822"/>
        <w:gridCol w:w="880"/>
        <w:gridCol w:w="882"/>
      </w:tblGrid>
      <w:tr w:rsidR="00D20476" w:rsidRPr="009E4E0B" w14:paraId="25FC981B" w14:textId="77777777" w:rsidTr="005F275F">
        <w:trPr>
          <w:cnfStyle w:val="100000000000" w:firstRow="1" w:lastRow="0" w:firstColumn="0" w:lastColumn="0" w:oddVBand="0" w:evenVBand="0" w:oddHBand="0"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1719" w:type="dxa"/>
            <w:vMerge w:val="restart"/>
            <w:tcBorders>
              <w:top w:val="single" w:sz="4" w:space="0" w:color="auto"/>
              <w:bottom w:val="none" w:sz="0" w:space="0" w:color="auto"/>
            </w:tcBorders>
            <w:shd w:val="clear" w:color="auto" w:fill="auto"/>
            <w:noWrap/>
            <w:hideMark/>
          </w:tcPr>
          <w:p w14:paraId="310118D1"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hAnsi="Times New Roman" w:cs="Times New Roman"/>
                <w:b w:val="0"/>
                <w:sz w:val="20"/>
                <w:szCs w:val="20"/>
              </w:rPr>
              <w:t>Treatment</w:t>
            </w:r>
          </w:p>
        </w:tc>
        <w:tc>
          <w:tcPr>
            <w:tcW w:w="0" w:type="auto"/>
            <w:gridSpan w:val="4"/>
            <w:tcBorders>
              <w:top w:val="single" w:sz="4" w:space="0" w:color="auto"/>
              <w:bottom w:val="single" w:sz="4" w:space="0" w:color="auto"/>
            </w:tcBorders>
            <w:shd w:val="clear" w:color="auto" w:fill="auto"/>
          </w:tcPr>
          <w:p w14:paraId="1221D59B" w14:textId="77777777" w:rsidR="00D20476" w:rsidRPr="009E4E0B" w:rsidRDefault="00D20476" w:rsidP="005F275F">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9E4E0B">
              <w:rPr>
                <w:rFonts w:ascii="Times New Roman" w:eastAsia="Times New Roman" w:hAnsi="Times New Roman" w:cs="Times New Roman"/>
                <w:b w:val="0"/>
                <w:sz w:val="20"/>
                <w:szCs w:val="20"/>
              </w:rPr>
              <w:t>Incidence (%)</w:t>
            </w:r>
          </w:p>
        </w:tc>
        <w:tc>
          <w:tcPr>
            <w:tcW w:w="0" w:type="auto"/>
            <w:gridSpan w:val="4"/>
            <w:tcBorders>
              <w:top w:val="single" w:sz="4" w:space="0" w:color="auto"/>
              <w:bottom w:val="single" w:sz="4" w:space="0" w:color="auto"/>
            </w:tcBorders>
            <w:shd w:val="clear" w:color="auto" w:fill="auto"/>
          </w:tcPr>
          <w:p w14:paraId="370C6052" w14:textId="77777777" w:rsidR="00D20476" w:rsidRPr="009E4E0B" w:rsidRDefault="00D20476" w:rsidP="005F275F">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9E4E0B">
              <w:rPr>
                <w:rFonts w:ascii="Times New Roman" w:eastAsia="Times New Roman" w:hAnsi="Times New Roman" w:cs="Times New Roman"/>
                <w:b w:val="0"/>
                <w:sz w:val="20"/>
                <w:szCs w:val="20"/>
              </w:rPr>
              <w:t>Severity (%)</w:t>
            </w:r>
          </w:p>
        </w:tc>
        <w:tc>
          <w:tcPr>
            <w:tcW w:w="3063" w:type="dxa"/>
            <w:gridSpan w:val="4"/>
            <w:tcBorders>
              <w:top w:val="single" w:sz="4" w:space="0" w:color="auto"/>
              <w:bottom w:val="single" w:sz="4" w:space="0" w:color="auto"/>
            </w:tcBorders>
            <w:shd w:val="clear" w:color="auto" w:fill="auto"/>
          </w:tcPr>
          <w:p w14:paraId="70D7E86D" w14:textId="77777777" w:rsidR="00D20476" w:rsidRPr="009E4E0B" w:rsidRDefault="00D20476" w:rsidP="005F275F">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9E4E0B">
              <w:rPr>
                <w:rFonts w:ascii="Times New Roman" w:eastAsia="Times New Roman" w:hAnsi="Times New Roman" w:cs="Times New Roman"/>
                <w:b w:val="0"/>
                <w:sz w:val="20"/>
                <w:szCs w:val="20"/>
              </w:rPr>
              <w:t xml:space="preserve">Disease index </w:t>
            </w:r>
            <w:r w:rsidRPr="009E4E0B">
              <w:rPr>
                <w:rFonts w:ascii="Times New Roman" w:eastAsia="Times New Roman" w:hAnsi="Times New Roman" w:cs="Times New Roman"/>
                <w:b w:val="0"/>
                <w:sz w:val="20"/>
                <w:szCs w:val="20"/>
                <w:vertAlign w:val="superscript"/>
              </w:rPr>
              <w:t>w</w:t>
            </w:r>
          </w:p>
        </w:tc>
      </w:tr>
      <w:tr w:rsidR="005F275F" w:rsidRPr="009E4E0B" w14:paraId="6AC6DB2B" w14:textId="77777777" w:rsidTr="005F275F">
        <w:trPr>
          <w:cnfStyle w:val="000000100000" w:firstRow="0" w:lastRow="0" w:firstColumn="0" w:lastColumn="0" w:oddVBand="0" w:evenVBand="0" w:oddHBand="1" w:evenHBand="0" w:firstRowFirstColumn="0" w:firstRowLastColumn="0" w:lastRowFirstColumn="0" w:lastRowLastColumn="0"/>
          <w:trHeight w:val="49"/>
        </w:trPr>
        <w:tc>
          <w:tcPr>
            <w:cnfStyle w:val="001000000000" w:firstRow="0" w:lastRow="0" w:firstColumn="1" w:lastColumn="0" w:oddVBand="0" w:evenVBand="0" w:oddHBand="0" w:evenHBand="0" w:firstRowFirstColumn="0" w:firstRowLastColumn="0" w:lastRowFirstColumn="0" w:lastRowLastColumn="0"/>
            <w:tcW w:w="1719" w:type="dxa"/>
            <w:vMerge/>
            <w:shd w:val="clear" w:color="auto" w:fill="auto"/>
            <w:hideMark/>
          </w:tcPr>
          <w:p w14:paraId="66641D0C" w14:textId="77777777" w:rsidR="00D20476" w:rsidRPr="009E4E0B" w:rsidRDefault="00D20476" w:rsidP="005F275F">
            <w:pPr>
              <w:pStyle w:val="NoSpacing"/>
              <w:rPr>
                <w:rFonts w:ascii="Times New Roman" w:eastAsia="Times New Roman" w:hAnsi="Times New Roman" w:cs="Times New Roman"/>
                <w:b w:val="0"/>
                <w:sz w:val="20"/>
                <w:szCs w:val="20"/>
              </w:rPr>
            </w:pPr>
          </w:p>
        </w:tc>
        <w:tc>
          <w:tcPr>
            <w:tcW w:w="0" w:type="auto"/>
            <w:tcBorders>
              <w:top w:val="single" w:sz="4" w:space="0" w:color="auto"/>
            </w:tcBorders>
            <w:shd w:val="clear" w:color="auto" w:fill="auto"/>
            <w:noWrap/>
          </w:tcPr>
          <w:p w14:paraId="29BB3C03"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5/06</w:t>
            </w:r>
          </w:p>
        </w:tc>
        <w:tc>
          <w:tcPr>
            <w:tcW w:w="0" w:type="auto"/>
            <w:tcBorders>
              <w:top w:val="single" w:sz="4" w:space="0" w:color="auto"/>
            </w:tcBorders>
            <w:shd w:val="clear" w:color="auto" w:fill="auto"/>
            <w:noWrap/>
            <w:hideMark/>
          </w:tcPr>
          <w:p w14:paraId="0EFA1316"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5/13</w:t>
            </w:r>
          </w:p>
        </w:tc>
        <w:tc>
          <w:tcPr>
            <w:tcW w:w="0" w:type="auto"/>
            <w:tcBorders>
              <w:top w:val="single" w:sz="4" w:space="0" w:color="auto"/>
            </w:tcBorders>
            <w:shd w:val="clear" w:color="auto" w:fill="auto"/>
            <w:noWrap/>
            <w:hideMark/>
          </w:tcPr>
          <w:p w14:paraId="2ABAFE39"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5/20</w:t>
            </w:r>
          </w:p>
        </w:tc>
        <w:tc>
          <w:tcPr>
            <w:tcW w:w="0" w:type="auto"/>
            <w:vMerge w:val="restart"/>
            <w:tcBorders>
              <w:top w:val="single" w:sz="4" w:space="0" w:color="auto"/>
            </w:tcBorders>
            <w:shd w:val="clear" w:color="auto" w:fill="auto"/>
            <w:vAlign w:val="bottom"/>
            <w:hideMark/>
          </w:tcPr>
          <w:p w14:paraId="62B79244" w14:textId="77777777" w:rsidR="00D20476" w:rsidRPr="009E4E0B"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eastAsia="Times New Roman" w:hAnsi="Times New Roman" w:cs="Times New Roman"/>
                <w:sz w:val="18"/>
                <w:szCs w:val="18"/>
              </w:rPr>
              <w:t>AUDPC</w:t>
            </w:r>
            <w:r w:rsidRPr="009E4E0B">
              <w:rPr>
                <w:rFonts w:ascii="Times New Roman" w:eastAsia="Times New Roman" w:hAnsi="Times New Roman" w:cs="Times New Roman"/>
                <w:sz w:val="18"/>
                <w:szCs w:val="18"/>
                <w:vertAlign w:val="superscript"/>
              </w:rPr>
              <w:t>x</w:t>
            </w:r>
          </w:p>
        </w:tc>
        <w:tc>
          <w:tcPr>
            <w:tcW w:w="0" w:type="auto"/>
            <w:tcBorders>
              <w:top w:val="single" w:sz="4" w:space="0" w:color="auto"/>
            </w:tcBorders>
            <w:shd w:val="clear" w:color="auto" w:fill="auto"/>
            <w:noWrap/>
          </w:tcPr>
          <w:p w14:paraId="3773386F"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5/06</w:t>
            </w:r>
          </w:p>
        </w:tc>
        <w:tc>
          <w:tcPr>
            <w:tcW w:w="0" w:type="auto"/>
            <w:tcBorders>
              <w:top w:val="single" w:sz="4" w:space="0" w:color="auto"/>
            </w:tcBorders>
            <w:shd w:val="clear" w:color="auto" w:fill="auto"/>
            <w:noWrap/>
            <w:hideMark/>
          </w:tcPr>
          <w:p w14:paraId="5A48CC38"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5/13</w:t>
            </w:r>
          </w:p>
        </w:tc>
        <w:tc>
          <w:tcPr>
            <w:tcW w:w="0" w:type="auto"/>
            <w:tcBorders>
              <w:top w:val="single" w:sz="4" w:space="0" w:color="auto"/>
            </w:tcBorders>
            <w:shd w:val="clear" w:color="auto" w:fill="auto"/>
            <w:noWrap/>
            <w:hideMark/>
          </w:tcPr>
          <w:p w14:paraId="35CF6EA4"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5/20</w:t>
            </w:r>
          </w:p>
        </w:tc>
        <w:tc>
          <w:tcPr>
            <w:tcW w:w="0" w:type="auto"/>
            <w:vMerge w:val="restart"/>
            <w:tcBorders>
              <w:top w:val="single" w:sz="4" w:space="0" w:color="auto"/>
            </w:tcBorders>
            <w:shd w:val="clear" w:color="auto" w:fill="auto"/>
            <w:vAlign w:val="bottom"/>
            <w:hideMark/>
          </w:tcPr>
          <w:p w14:paraId="71D44B70" w14:textId="77777777" w:rsidR="00D20476" w:rsidRPr="009E4E0B"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eastAsia="Times New Roman" w:hAnsi="Times New Roman" w:cs="Times New Roman"/>
                <w:sz w:val="18"/>
                <w:szCs w:val="18"/>
              </w:rPr>
              <w:t>AUDPC</w:t>
            </w:r>
          </w:p>
        </w:tc>
        <w:tc>
          <w:tcPr>
            <w:tcW w:w="0" w:type="auto"/>
            <w:tcBorders>
              <w:top w:val="single" w:sz="4" w:space="0" w:color="auto"/>
            </w:tcBorders>
            <w:shd w:val="clear" w:color="auto" w:fill="auto"/>
            <w:noWrap/>
            <w:hideMark/>
          </w:tcPr>
          <w:p w14:paraId="785EFAED"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5/06</w:t>
            </w:r>
          </w:p>
        </w:tc>
        <w:tc>
          <w:tcPr>
            <w:tcW w:w="0" w:type="auto"/>
            <w:tcBorders>
              <w:top w:val="single" w:sz="4" w:space="0" w:color="auto"/>
            </w:tcBorders>
            <w:shd w:val="clear" w:color="auto" w:fill="auto"/>
            <w:noWrap/>
            <w:hideMark/>
          </w:tcPr>
          <w:p w14:paraId="6ECD3E05"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5/13</w:t>
            </w:r>
          </w:p>
        </w:tc>
        <w:tc>
          <w:tcPr>
            <w:tcW w:w="0" w:type="auto"/>
            <w:tcBorders>
              <w:top w:val="single" w:sz="4" w:space="0" w:color="auto"/>
            </w:tcBorders>
            <w:shd w:val="clear" w:color="auto" w:fill="auto"/>
            <w:noWrap/>
            <w:hideMark/>
          </w:tcPr>
          <w:p w14:paraId="52D1439F"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5/20</w:t>
            </w:r>
          </w:p>
        </w:tc>
        <w:tc>
          <w:tcPr>
            <w:tcW w:w="508" w:type="dxa"/>
            <w:vMerge w:val="restart"/>
            <w:tcBorders>
              <w:top w:val="single" w:sz="4" w:space="0" w:color="auto"/>
            </w:tcBorders>
            <w:shd w:val="clear" w:color="auto" w:fill="auto"/>
            <w:vAlign w:val="bottom"/>
            <w:hideMark/>
          </w:tcPr>
          <w:p w14:paraId="411C03B4" w14:textId="77777777" w:rsidR="00D20476" w:rsidRPr="009E4E0B" w:rsidRDefault="00D20476" w:rsidP="005F275F">
            <w:pPr>
              <w:pStyle w:val="NoSpacing"/>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eastAsia="Times New Roman" w:hAnsi="Times New Roman" w:cs="Times New Roman"/>
                <w:sz w:val="18"/>
                <w:szCs w:val="18"/>
              </w:rPr>
              <w:t>AUDPC</w:t>
            </w:r>
          </w:p>
        </w:tc>
      </w:tr>
      <w:tr w:rsidR="00D20476" w:rsidRPr="009E4E0B" w14:paraId="1D7CC393" w14:textId="77777777" w:rsidTr="005F275F">
        <w:trPr>
          <w:trHeight w:val="49"/>
        </w:trPr>
        <w:tc>
          <w:tcPr>
            <w:cnfStyle w:val="001000000000" w:firstRow="0" w:lastRow="0" w:firstColumn="1" w:lastColumn="0" w:oddVBand="0" w:evenVBand="0" w:oddHBand="0" w:evenHBand="0" w:firstRowFirstColumn="0" w:firstRowLastColumn="0" w:lastRowFirstColumn="0" w:lastRowLastColumn="0"/>
            <w:tcW w:w="1719" w:type="dxa"/>
            <w:tcBorders>
              <w:bottom w:val="single" w:sz="4" w:space="0" w:color="auto"/>
            </w:tcBorders>
          </w:tcPr>
          <w:p w14:paraId="69D2E519" w14:textId="77777777" w:rsidR="00D20476" w:rsidRPr="009E4E0B" w:rsidRDefault="00D20476" w:rsidP="005F275F">
            <w:pPr>
              <w:pStyle w:val="NoSpacing"/>
              <w:rPr>
                <w:rFonts w:ascii="Times New Roman" w:eastAsia="Times New Roman" w:hAnsi="Times New Roman" w:cs="Times New Roman"/>
                <w:b w:val="0"/>
                <w:sz w:val="20"/>
                <w:szCs w:val="20"/>
              </w:rPr>
            </w:pPr>
          </w:p>
        </w:tc>
        <w:tc>
          <w:tcPr>
            <w:tcW w:w="0" w:type="auto"/>
            <w:tcBorders>
              <w:bottom w:val="single" w:sz="4" w:space="0" w:color="auto"/>
            </w:tcBorders>
            <w:noWrap/>
          </w:tcPr>
          <w:p w14:paraId="5AABE04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7 days</w:t>
            </w:r>
          </w:p>
        </w:tc>
        <w:tc>
          <w:tcPr>
            <w:tcW w:w="0" w:type="auto"/>
            <w:tcBorders>
              <w:bottom w:val="single" w:sz="4" w:space="0" w:color="auto"/>
            </w:tcBorders>
            <w:noWrap/>
          </w:tcPr>
          <w:p w14:paraId="0EC6CDDF"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14 days</w:t>
            </w:r>
          </w:p>
        </w:tc>
        <w:tc>
          <w:tcPr>
            <w:tcW w:w="0" w:type="auto"/>
            <w:tcBorders>
              <w:bottom w:val="single" w:sz="4" w:space="0" w:color="auto"/>
            </w:tcBorders>
            <w:noWrap/>
          </w:tcPr>
          <w:p w14:paraId="7BD49696"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21 days</w:t>
            </w:r>
            <w:r w:rsidRPr="009E4E0B">
              <w:rPr>
                <w:rFonts w:ascii="Times New Roman" w:hAnsi="Times New Roman" w:cs="Times New Roman"/>
                <w:sz w:val="18"/>
                <w:szCs w:val="18"/>
                <w:vertAlign w:val="superscript"/>
              </w:rPr>
              <w:t>y</w:t>
            </w:r>
          </w:p>
        </w:tc>
        <w:tc>
          <w:tcPr>
            <w:tcW w:w="0" w:type="auto"/>
            <w:vMerge/>
            <w:tcBorders>
              <w:bottom w:val="single" w:sz="4" w:space="0" w:color="auto"/>
            </w:tcBorders>
          </w:tcPr>
          <w:p w14:paraId="25A1E9A3"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0" w:type="auto"/>
            <w:tcBorders>
              <w:bottom w:val="single" w:sz="4" w:space="0" w:color="auto"/>
            </w:tcBorders>
            <w:noWrap/>
          </w:tcPr>
          <w:p w14:paraId="4F8CD07B"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7 days</w:t>
            </w:r>
          </w:p>
        </w:tc>
        <w:tc>
          <w:tcPr>
            <w:tcW w:w="0" w:type="auto"/>
            <w:tcBorders>
              <w:bottom w:val="single" w:sz="4" w:space="0" w:color="auto"/>
            </w:tcBorders>
            <w:noWrap/>
          </w:tcPr>
          <w:p w14:paraId="6826D659"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14 days</w:t>
            </w:r>
          </w:p>
        </w:tc>
        <w:tc>
          <w:tcPr>
            <w:tcW w:w="0" w:type="auto"/>
            <w:tcBorders>
              <w:bottom w:val="single" w:sz="4" w:space="0" w:color="auto"/>
            </w:tcBorders>
            <w:noWrap/>
          </w:tcPr>
          <w:p w14:paraId="34FA021A"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21 days</w:t>
            </w:r>
            <w:r w:rsidRPr="009E4E0B">
              <w:rPr>
                <w:rFonts w:ascii="Times New Roman" w:hAnsi="Times New Roman" w:cs="Times New Roman"/>
                <w:sz w:val="18"/>
                <w:szCs w:val="18"/>
                <w:vertAlign w:val="superscript"/>
              </w:rPr>
              <w:t>c</w:t>
            </w:r>
          </w:p>
        </w:tc>
        <w:tc>
          <w:tcPr>
            <w:tcW w:w="0" w:type="auto"/>
            <w:vMerge/>
            <w:tcBorders>
              <w:bottom w:val="single" w:sz="4" w:space="0" w:color="auto"/>
            </w:tcBorders>
          </w:tcPr>
          <w:p w14:paraId="762F7D41"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p>
        </w:tc>
        <w:tc>
          <w:tcPr>
            <w:tcW w:w="0" w:type="auto"/>
            <w:tcBorders>
              <w:bottom w:val="single" w:sz="4" w:space="0" w:color="auto"/>
            </w:tcBorders>
            <w:noWrap/>
          </w:tcPr>
          <w:p w14:paraId="16E51057"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7 days</w:t>
            </w:r>
          </w:p>
        </w:tc>
        <w:tc>
          <w:tcPr>
            <w:tcW w:w="0" w:type="auto"/>
            <w:tcBorders>
              <w:bottom w:val="single" w:sz="4" w:space="0" w:color="auto"/>
            </w:tcBorders>
            <w:noWrap/>
          </w:tcPr>
          <w:p w14:paraId="6CB09878"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14 days</w:t>
            </w:r>
          </w:p>
        </w:tc>
        <w:tc>
          <w:tcPr>
            <w:tcW w:w="0" w:type="auto"/>
            <w:tcBorders>
              <w:bottom w:val="single" w:sz="4" w:space="0" w:color="auto"/>
            </w:tcBorders>
            <w:noWrap/>
          </w:tcPr>
          <w:p w14:paraId="4DD61CA5"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8"/>
                <w:szCs w:val="18"/>
              </w:rPr>
            </w:pPr>
            <w:r w:rsidRPr="009E4E0B">
              <w:rPr>
                <w:rFonts w:ascii="Times New Roman" w:hAnsi="Times New Roman" w:cs="Times New Roman"/>
                <w:sz w:val="18"/>
                <w:szCs w:val="18"/>
              </w:rPr>
              <w:t>21 days</w:t>
            </w:r>
            <w:r w:rsidRPr="009E4E0B">
              <w:rPr>
                <w:rFonts w:ascii="Times New Roman" w:hAnsi="Times New Roman" w:cs="Times New Roman"/>
                <w:sz w:val="18"/>
                <w:szCs w:val="18"/>
                <w:vertAlign w:val="superscript"/>
              </w:rPr>
              <w:t>c</w:t>
            </w:r>
          </w:p>
        </w:tc>
        <w:tc>
          <w:tcPr>
            <w:tcW w:w="508" w:type="dxa"/>
            <w:vMerge/>
            <w:tcBorders>
              <w:bottom w:val="single" w:sz="4" w:space="0" w:color="auto"/>
            </w:tcBorders>
          </w:tcPr>
          <w:p w14:paraId="2A15B2E5"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p>
        </w:tc>
      </w:tr>
      <w:tr w:rsidR="005F275F" w:rsidRPr="009E4E0B" w14:paraId="1771DD95" w14:textId="77777777" w:rsidTr="005F275F">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719" w:type="dxa"/>
            <w:tcBorders>
              <w:top w:val="single" w:sz="4" w:space="0" w:color="auto"/>
            </w:tcBorders>
            <w:noWrap/>
            <w:hideMark/>
          </w:tcPr>
          <w:p w14:paraId="5667A3B6"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hAnsi="Times New Roman" w:cs="Times New Roman"/>
                <w:b w:val="0"/>
                <w:sz w:val="20"/>
                <w:szCs w:val="20"/>
              </w:rPr>
              <w:t xml:space="preserve">IP-1 </w:t>
            </w:r>
          </w:p>
        </w:tc>
        <w:tc>
          <w:tcPr>
            <w:tcW w:w="0" w:type="auto"/>
            <w:tcBorders>
              <w:top w:val="single" w:sz="4" w:space="0" w:color="auto"/>
            </w:tcBorders>
            <w:noWrap/>
          </w:tcPr>
          <w:p w14:paraId="610057A1"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color w:val="000000"/>
                <w:sz w:val="20"/>
                <w:szCs w:val="20"/>
              </w:rPr>
              <w:t>3.0 c</w:t>
            </w:r>
          </w:p>
        </w:tc>
        <w:tc>
          <w:tcPr>
            <w:tcW w:w="0" w:type="auto"/>
            <w:tcBorders>
              <w:top w:val="single" w:sz="4" w:space="0" w:color="auto"/>
            </w:tcBorders>
            <w:noWrap/>
            <w:hideMark/>
          </w:tcPr>
          <w:p w14:paraId="652EA583"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63  ab</w:t>
            </w:r>
          </w:p>
        </w:tc>
        <w:tc>
          <w:tcPr>
            <w:tcW w:w="0" w:type="auto"/>
            <w:tcBorders>
              <w:top w:val="single" w:sz="4" w:space="0" w:color="auto"/>
            </w:tcBorders>
            <w:noWrap/>
            <w:hideMark/>
          </w:tcPr>
          <w:p w14:paraId="49906D41"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53  bc</w:t>
            </w:r>
          </w:p>
        </w:tc>
        <w:tc>
          <w:tcPr>
            <w:tcW w:w="0" w:type="auto"/>
            <w:tcBorders>
              <w:top w:val="single" w:sz="4" w:space="0" w:color="auto"/>
            </w:tcBorders>
            <w:noWrap/>
            <w:hideMark/>
          </w:tcPr>
          <w:p w14:paraId="44BC2836"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644    bc</w:t>
            </w:r>
            <w:r w:rsidRPr="009E4E0B">
              <w:rPr>
                <w:rFonts w:ascii="Times New Roman" w:eastAsia="Times New Roman" w:hAnsi="Times New Roman" w:cs="Times New Roman"/>
                <w:sz w:val="20"/>
                <w:szCs w:val="20"/>
                <w:vertAlign w:val="superscript"/>
              </w:rPr>
              <w:t>z</w:t>
            </w:r>
          </w:p>
        </w:tc>
        <w:tc>
          <w:tcPr>
            <w:tcW w:w="0" w:type="auto"/>
            <w:tcBorders>
              <w:top w:val="single" w:sz="4" w:space="0" w:color="auto"/>
            </w:tcBorders>
            <w:noWrap/>
          </w:tcPr>
          <w:p w14:paraId="015F720B"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2.0 c</w:t>
            </w:r>
          </w:p>
        </w:tc>
        <w:tc>
          <w:tcPr>
            <w:tcW w:w="0" w:type="auto"/>
            <w:tcBorders>
              <w:top w:val="single" w:sz="4" w:space="0" w:color="auto"/>
            </w:tcBorders>
            <w:noWrap/>
            <w:hideMark/>
          </w:tcPr>
          <w:p w14:paraId="45A6BBFB"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13  de</w:t>
            </w:r>
          </w:p>
        </w:tc>
        <w:tc>
          <w:tcPr>
            <w:tcW w:w="0" w:type="auto"/>
            <w:tcBorders>
              <w:top w:val="single" w:sz="4" w:space="0" w:color="auto"/>
            </w:tcBorders>
            <w:noWrap/>
            <w:hideMark/>
          </w:tcPr>
          <w:p w14:paraId="28865790"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14  cde</w:t>
            </w:r>
          </w:p>
        </w:tc>
        <w:tc>
          <w:tcPr>
            <w:tcW w:w="0" w:type="auto"/>
            <w:tcBorders>
              <w:top w:val="single" w:sz="4" w:space="0" w:color="auto"/>
            </w:tcBorders>
            <w:noWrap/>
            <w:hideMark/>
          </w:tcPr>
          <w:p w14:paraId="44DA0A47"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152 bc</w:t>
            </w:r>
          </w:p>
        </w:tc>
        <w:tc>
          <w:tcPr>
            <w:tcW w:w="0" w:type="auto"/>
            <w:tcBorders>
              <w:top w:val="single" w:sz="4" w:space="0" w:color="auto"/>
            </w:tcBorders>
            <w:noWrap/>
            <w:hideMark/>
          </w:tcPr>
          <w:p w14:paraId="7BC90CE6"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b</w:t>
            </w:r>
          </w:p>
        </w:tc>
        <w:tc>
          <w:tcPr>
            <w:tcW w:w="0" w:type="auto"/>
            <w:tcBorders>
              <w:top w:val="single" w:sz="4" w:space="0" w:color="auto"/>
            </w:tcBorders>
            <w:noWrap/>
            <w:hideMark/>
          </w:tcPr>
          <w:p w14:paraId="6B00BBDA"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8.0 bc</w:t>
            </w:r>
          </w:p>
        </w:tc>
        <w:tc>
          <w:tcPr>
            <w:tcW w:w="0" w:type="auto"/>
            <w:tcBorders>
              <w:top w:val="single" w:sz="4" w:space="0" w:color="auto"/>
            </w:tcBorders>
            <w:noWrap/>
            <w:hideMark/>
          </w:tcPr>
          <w:p w14:paraId="16339468"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8.0 b</w:t>
            </w:r>
          </w:p>
        </w:tc>
        <w:tc>
          <w:tcPr>
            <w:tcW w:w="508" w:type="dxa"/>
            <w:tcBorders>
              <w:top w:val="single" w:sz="4" w:space="0" w:color="auto"/>
            </w:tcBorders>
            <w:hideMark/>
          </w:tcPr>
          <w:p w14:paraId="53D11726"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82   bc</w:t>
            </w:r>
          </w:p>
        </w:tc>
      </w:tr>
      <w:tr w:rsidR="00D20476" w:rsidRPr="009E4E0B" w14:paraId="59B9013C" w14:textId="77777777" w:rsidTr="005F275F">
        <w:trPr>
          <w:trHeight w:val="47"/>
        </w:trPr>
        <w:tc>
          <w:tcPr>
            <w:cnfStyle w:val="001000000000" w:firstRow="0" w:lastRow="0" w:firstColumn="1" w:lastColumn="0" w:oddVBand="0" w:evenVBand="0" w:oddHBand="0" w:evenHBand="0" w:firstRowFirstColumn="0" w:firstRowLastColumn="0" w:lastRowFirstColumn="0" w:lastRowLastColumn="0"/>
            <w:tcW w:w="1719" w:type="dxa"/>
            <w:noWrap/>
            <w:hideMark/>
          </w:tcPr>
          <w:p w14:paraId="064E4944"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hAnsi="Times New Roman" w:cs="Times New Roman"/>
                <w:b w:val="0"/>
                <w:sz w:val="20"/>
                <w:szCs w:val="20"/>
              </w:rPr>
              <w:t xml:space="preserve">IP-2 </w:t>
            </w:r>
          </w:p>
        </w:tc>
        <w:tc>
          <w:tcPr>
            <w:tcW w:w="0" w:type="auto"/>
            <w:noWrap/>
          </w:tcPr>
          <w:p w14:paraId="045D68A9"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8.0 c</w:t>
            </w:r>
          </w:p>
        </w:tc>
        <w:tc>
          <w:tcPr>
            <w:tcW w:w="0" w:type="auto"/>
            <w:noWrap/>
            <w:hideMark/>
          </w:tcPr>
          <w:p w14:paraId="0E84BC4B"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65  ab</w:t>
            </w:r>
          </w:p>
        </w:tc>
        <w:tc>
          <w:tcPr>
            <w:tcW w:w="0" w:type="auto"/>
            <w:noWrap/>
            <w:hideMark/>
          </w:tcPr>
          <w:p w14:paraId="153832C2"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68  b</w:t>
            </w:r>
          </w:p>
        </w:tc>
        <w:tc>
          <w:tcPr>
            <w:tcW w:w="0" w:type="auto"/>
            <w:noWrap/>
            <w:hideMark/>
          </w:tcPr>
          <w:p w14:paraId="28000815"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763    b</w:t>
            </w:r>
          </w:p>
        </w:tc>
        <w:tc>
          <w:tcPr>
            <w:tcW w:w="0" w:type="auto"/>
            <w:noWrap/>
          </w:tcPr>
          <w:p w14:paraId="2442CBAC"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5.0 c</w:t>
            </w:r>
          </w:p>
        </w:tc>
        <w:tc>
          <w:tcPr>
            <w:tcW w:w="0" w:type="auto"/>
            <w:noWrap/>
            <w:hideMark/>
          </w:tcPr>
          <w:p w14:paraId="318C483F"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19  cde</w:t>
            </w:r>
          </w:p>
        </w:tc>
        <w:tc>
          <w:tcPr>
            <w:tcW w:w="0" w:type="auto"/>
            <w:noWrap/>
            <w:hideMark/>
          </w:tcPr>
          <w:p w14:paraId="6DBC6CA7"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18  bcd</w:t>
            </w:r>
          </w:p>
        </w:tc>
        <w:tc>
          <w:tcPr>
            <w:tcW w:w="0" w:type="auto"/>
            <w:noWrap/>
            <w:hideMark/>
          </w:tcPr>
          <w:p w14:paraId="70A145B7"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241 b</w:t>
            </w:r>
          </w:p>
        </w:tc>
        <w:tc>
          <w:tcPr>
            <w:tcW w:w="0" w:type="auto"/>
            <w:noWrap/>
            <w:hideMark/>
          </w:tcPr>
          <w:p w14:paraId="75FC71D7"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1.0 b</w:t>
            </w:r>
          </w:p>
        </w:tc>
        <w:tc>
          <w:tcPr>
            <w:tcW w:w="0" w:type="auto"/>
            <w:noWrap/>
            <w:hideMark/>
          </w:tcPr>
          <w:p w14:paraId="70A848C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13  bc</w:t>
            </w:r>
          </w:p>
        </w:tc>
        <w:tc>
          <w:tcPr>
            <w:tcW w:w="0" w:type="auto"/>
            <w:noWrap/>
            <w:hideMark/>
          </w:tcPr>
          <w:p w14:paraId="02FBF38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12  bc</w:t>
            </w:r>
          </w:p>
        </w:tc>
        <w:tc>
          <w:tcPr>
            <w:tcW w:w="508" w:type="dxa"/>
            <w:hideMark/>
          </w:tcPr>
          <w:p w14:paraId="16B931D2"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137 bc</w:t>
            </w:r>
          </w:p>
        </w:tc>
      </w:tr>
      <w:tr w:rsidR="005F275F" w:rsidRPr="009E4E0B" w14:paraId="2E4F4E73" w14:textId="77777777" w:rsidTr="005F275F">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719" w:type="dxa"/>
            <w:noWrap/>
            <w:hideMark/>
          </w:tcPr>
          <w:p w14:paraId="29713144"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hAnsi="Times New Roman" w:cs="Times New Roman"/>
                <w:b w:val="0"/>
                <w:sz w:val="20"/>
                <w:szCs w:val="20"/>
              </w:rPr>
              <w:t>IP-V1*</w:t>
            </w:r>
          </w:p>
        </w:tc>
        <w:tc>
          <w:tcPr>
            <w:tcW w:w="0" w:type="auto"/>
            <w:noWrap/>
          </w:tcPr>
          <w:p w14:paraId="767BC8B4"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13  c</w:t>
            </w:r>
          </w:p>
        </w:tc>
        <w:tc>
          <w:tcPr>
            <w:tcW w:w="0" w:type="auto"/>
            <w:noWrap/>
            <w:hideMark/>
          </w:tcPr>
          <w:p w14:paraId="05CF9AC7"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10  c</w:t>
            </w:r>
          </w:p>
        </w:tc>
        <w:tc>
          <w:tcPr>
            <w:tcW w:w="0" w:type="auto"/>
            <w:noWrap/>
            <w:hideMark/>
          </w:tcPr>
          <w:p w14:paraId="087181AA"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3.0 d</w:t>
            </w:r>
          </w:p>
        </w:tc>
        <w:tc>
          <w:tcPr>
            <w:tcW w:w="0" w:type="auto"/>
            <w:noWrap/>
            <w:hideMark/>
          </w:tcPr>
          <w:p w14:paraId="0588012C"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224    cd</w:t>
            </w:r>
          </w:p>
        </w:tc>
        <w:tc>
          <w:tcPr>
            <w:tcW w:w="0" w:type="auto"/>
            <w:noWrap/>
          </w:tcPr>
          <w:p w14:paraId="4DA1A11E"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8.0 bc</w:t>
            </w:r>
          </w:p>
        </w:tc>
        <w:tc>
          <w:tcPr>
            <w:tcW w:w="0" w:type="auto"/>
            <w:noWrap/>
            <w:hideMark/>
          </w:tcPr>
          <w:p w14:paraId="4CAED536"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8.0 de</w:t>
            </w:r>
          </w:p>
        </w:tc>
        <w:tc>
          <w:tcPr>
            <w:tcW w:w="0" w:type="auto"/>
            <w:noWrap/>
            <w:hideMark/>
          </w:tcPr>
          <w:p w14:paraId="6A36663C"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2.0 ef</w:t>
            </w:r>
          </w:p>
        </w:tc>
        <w:tc>
          <w:tcPr>
            <w:tcW w:w="0" w:type="auto"/>
            <w:noWrap/>
            <w:hideMark/>
          </w:tcPr>
          <w:p w14:paraId="43FD0209"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132 bc</w:t>
            </w:r>
          </w:p>
        </w:tc>
        <w:tc>
          <w:tcPr>
            <w:tcW w:w="0" w:type="auto"/>
            <w:noWrap/>
            <w:hideMark/>
          </w:tcPr>
          <w:p w14:paraId="5C43DEDF"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2.0 b</w:t>
            </w:r>
          </w:p>
        </w:tc>
        <w:tc>
          <w:tcPr>
            <w:tcW w:w="0" w:type="auto"/>
            <w:noWrap/>
            <w:hideMark/>
          </w:tcPr>
          <w:p w14:paraId="32C9F56B"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1.0 bc</w:t>
            </w:r>
          </w:p>
        </w:tc>
        <w:tc>
          <w:tcPr>
            <w:tcW w:w="0" w:type="auto"/>
            <w:noWrap/>
            <w:hideMark/>
          </w:tcPr>
          <w:p w14:paraId="08D8CCA3"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b</w:t>
            </w:r>
          </w:p>
        </w:tc>
        <w:tc>
          <w:tcPr>
            <w:tcW w:w="508" w:type="dxa"/>
            <w:hideMark/>
          </w:tcPr>
          <w:p w14:paraId="002F36A0"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24   bc</w:t>
            </w:r>
          </w:p>
        </w:tc>
      </w:tr>
      <w:tr w:rsidR="00D20476" w:rsidRPr="009E4E0B" w14:paraId="66335B6E" w14:textId="77777777" w:rsidTr="005F275F">
        <w:trPr>
          <w:trHeight w:val="47"/>
        </w:trPr>
        <w:tc>
          <w:tcPr>
            <w:cnfStyle w:val="001000000000" w:firstRow="0" w:lastRow="0" w:firstColumn="1" w:lastColumn="0" w:oddVBand="0" w:evenVBand="0" w:oddHBand="0" w:evenHBand="0" w:firstRowFirstColumn="0" w:firstRowLastColumn="0" w:lastRowFirstColumn="0" w:lastRowLastColumn="0"/>
            <w:tcW w:w="1719" w:type="dxa"/>
            <w:noWrap/>
            <w:hideMark/>
          </w:tcPr>
          <w:p w14:paraId="33815FB5"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hAnsi="Times New Roman" w:cs="Times New Roman"/>
                <w:b w:val="0"/>
                <w:sz w:val="20"/>
                <w:szCs w:val="20"/>
              </w:rPr>
              <w:t>IP-V4</w:t>
            </w:r>
          </w:p>
        </w:tc>
        <w:tc>
          <w:tcPr>
            <w:tcW w:w="0" w:type="auto"/>
            <w:noWrap/>
          </w:tcPr>
          <w:p w14:paraId="05416106"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20  ab</w:t>
            </w:r>
          </w:p>
        </w:tc>
        <w:tc>
          <w:tcPr>
            <w:tcW w:w="0" w:type="auto"/>
            <w:noWrap/>
            <w:hideMark/>
          </w:tcPr>
          <w:p w14:paraId="3833D47C"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58  ab</w:t>
            </w:r>
          </w:p>
        </w:tc>
        <w:tc>
          <w:tcPr>
            <w:tcW w:w="0" w:type="auto"/>
            <w:noWrap/>
            <w:hideMark/>
          </w:tcPr>
          <w:p w14:paraId="376B6074"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58  b</w:t>
            </w:r>
          </w:p>
        </w:tc>
        <w:tc>
          <w:tcPr>
            <w:tcW w:w="0" w:type="auto"/>
            <w:noWrap/>
            <w:hideMark/>
          </w:tcPr>
          <w:p w14:paraId="2D601FF4"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748    b</w:t>
            </w:r>
          </w:p>
        </w:tc>
        <w:tc>
          <w:tcPr>
            <w:tcW w:w="0" w:type="auto"/>
            <w:noWrap/>
          </w:tcPr>
          <w:p w14:paraId="5BB6970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8.0 abc</w:t>
            </w:r>
          </w:p>
        </w:tc>
        <w:tc>
          <w:tcPr>
            <w:tcW w:w="0" w:type="auto"/>
            <w:noWrap/>
            <w:hideMark/>
          </w:tcPr>
          <w:p w14:paraId="06CBC028"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25  bcd</w:t>
            </w:r>
          </w:p>
        </w:tc>
        <w:tc>
          <w:tcPr>
            <w:tcW w:w="0" w:type="auto"/>
            <w:noWrap/>
            <w:hideMark/>
          </w:tcPr>
          <w:p w14:paraId="51977A4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19  bcd</w:t>
            </w:r>
          </w:p>
        </w:tc>
        <w:tc>
          <w:tcPr>
            <w:tcW w:w="0" w:type="auto"/>
            <w:noWrap/>
            <w:hideMark/>
          </w:tcPr>
          <w:p w14:paraId="3B39BA2C"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305 b</w:t>
            </w:r>
          </w:p>
        </w:tc>
        <w:tc>
          <w:tcPr>
            <w:tcW w:w="0" w:type="auto"/>
            <w:noWrap/>
            <w:hideMark/>
          </w:tcPr>
          <w:p w14:paraId="30A80A6B"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3.0 b</w:t>
            </w:r>
          </w:p>
        </w:tc>
        <w:tc>
          <w:tcPr>
            <w:tcW w:w="0" w:type="auto"/>
            <w:noWrap/>
            <w:hideMark/>
          </w:tcPr>
          <w:p w14:paraId="39A47BF2"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14  c</w:t>
            </w:r>
          </w:p>
        </w:tc>
        <w:tc>
          <w:tcPr>
            <w:tcW w:w="0" w:type="auto"/>
            <w:noWrap/>
            <w:hideMark/>
          </w:tcPr>
          <w:p w14:paraId="7633BAEB"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11  b</w:t>
            </w:r>
          </w:p>
        </w:tc>
        <w:tc>
          <w:tcPr>
            <w:tcW w:w="508" w:type="dxa"/>
            <w:hideMark/>
          </w:tcPr>
          <w:p w14:paraId="3996B891"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158 b</w:t>
            </w:r>
          </w:p>
        </w:tc>
      </w:tr>
      <w:tr w:rsidR="005F275F" w:rsidRPr="009E4E0B" w14:paraId="39B76AC4" w14:textId="77777777" w:rsidTr="005F275F">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719" w:type="dxa"/>
            <w:noWrap/>
            <w:hideMark/>
          </w:tcPr>
          <w:p w14:paraId="5B47731C"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hAnsi="Times New Roman" w:cs="Times New Roman"/>
                <w:b w:val="0"/>
                <w:sz w:val="20"/>
                <w:szCs w:val="20"/>
              </w:rPr>
              <w:t xml:space="preserve">Luna Experience </w:t>
            </w:r>
          </w:p>
        </w:tc>
        <w:tc>
          <w:tcPr>
            <w:tcW w:w="0" w:type="auto"/>
            <w:noWrap/>
          </w:tcPr>
          <w:p w14:paraId="5F17E571"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d</w:t>
            </w:r>
          </w:p>
        </w:tc>
        <w:tc>
          <w:tcPr>
            <w:tcW w:w="0" w:type="auto"/>
            <w:noWrap/>
            <w:hideMark/>
          </w:tcPr>
          <w:p w14:paraId="32CA0BF3"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c</w:t>
            </w:r>
          </w:p>
        </w:tc>
        <w:tc>
          <w:tcPr>
            <w:tcW w:w="0" w:type="auto"/>
            <w:noWrap/>
            <w:hideMark/>
          </w:tcPr>
          <w:p w14:paraId="0C393256"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d</w:t>
            </w:r>
          </w:p>
        </w:tc>
        <w:tc>
          <w:tcPr>
            <w:tcW w:w="0" w:type="auto"/>
            <w:noWrap/>
            <w:hideMark/>
          </w:tcPr>
          <w:p w14:paraId="094CC48B"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5.0     d</w:t>
            </w:r>
          </w:p>
        </w:tc>
        <w:tc>
          <w:tcPr>
            <w:tcW w:w="0" w:type="auto"/>
            <w:noWrap/>
          </w:tcPr>
          <w:p w14:paraId="611CBDEB"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e</w:t>
            </w:r>
          </w:p>
        </w:tc>
        <w:tc>
          <w:tcPr>
            <w:tcW w:w="0" w:type="auto"/>
            <w:noWrap/>
            <w:hideMark/>
          </w:tcPr>
          <w:p w14:paraId="26AECDC5"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e</w:t>
            </w:r>
          </w:p>
        </w:tc>
        <w:tc>
          <w:tcPr>
            <w:tcW w:w="0" w:type="auto"/>
            <w:noWrap/>
            <w:hideMark/>
          </w:tcPr>
          <w:p w14:paraId="1B18B98A"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f</w:t>
            </w:r>
          </w:p>
        </w:tc>
        <w:tc>
          <w:tcPr>
            <w:tcW w:w="0" w:type="auto"/>
            <w:noWrap/>
            <w:hideMark/>
          </w:tcPr>
          <w:p w14:paraId="1E9294BD"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5.0  c</w:t>
            </w:r>
          </w:p>
        </w:tc>
        <w:tc>
          <w:tcPr>
            <w:tcW w:w="0" w:type="auto"/>
            <w:noWrap/>
            <w:hideMark/>
          </w:tcPr>
          <w:p w14:paraId="7860D393"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b</w:t>
            </w:r>
          </w:p>
        </w:tc>
        <w:tc>
          <w:tcPr>
            <w:tcW w:w="0" w:type="auto"/>
            <w:noWrap/>
            <w:hideMark/>
          </w:tcPr>
          <w:p w14:paraId="35A1A218"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b</w:t>
            </w:r>
          </w:p>
        </w:tc>
        <w:tc>
          <w:tcPr>
            <w:tcW w:w="0" w:type="auto"/>
            <w:noWrap/>
            <w:hideMark/>
          </w:tcPr>
          <w:p w14:paraId="14D43795"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b</w:t>
            </w:r>
          </w:p>
        </w:tc>
        <w:tc>
          <w:tcPr>
            <w:tcW w:w="508" w:type="dxa"/>
            <w:hideMark/>
          </w:tcPr>
          <w:p w14:paraId="2C64FFD5"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c</w:t>
            </w:r>
          </w:p>
        </w:tc>
      </w:tr>
      <w:tr w:rsidR="00D20476" w:rsidRPr="009E4E0B" w14:paraId="20CDDF9F" w14:textId="77777777" w:rsidTr="005F275F">
        <w:trPr>
          <w:trHeight w:val="47"/>
        </w:trPr>
        <w:tc>
          <w:tcPr>
            <w:cnfStyle w:val="001000000000" w:firstRow="0" w:lastRow="0" w:firstColumn="1" w:lastColumn="0" w:oddVBand="0" w:evenVBand="0" w:oddHBand="0" w:evenHBand="0" w:firstRowFirstColumn="0" w:firstRowLastColumn="0" w:lastRowFirstColumn="0" w:lastRowLastColumn="0"/>
            <w:tcW w:w="1719" w:type="dxa"/>
            <w:noWrap/>
            <w:hideMark/>
          </w:tcPr>
          <w:p w14:paraId="4C87B99E"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eastAsia="Times New Roman" w:hAnsi="Times New Roman" w:cs="Times New Roman"/>
                <w:b w:val="0"/>
                <w:sz w:val="20"/>
                <w:szCs w:val="20"/>
              </w:rPr>
              <w:t>Regalia</w:t>
            </w:r>
          </w:p>
        </w:tc>
        <w:tc>
          <w:tcPr>
            <w:tcW w:w="0" w:type="auto"/>
            <w:noWrap/>
          </w:tcPr>
          <w:p w14:paraId="0DE8C921"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1.0 c</w:t>
            </w:r>
          </w:p>
        </w:tc>
        <w:tc>
          <w:tcPr>
            <w:tcW w:w="0" w:type="auto"/>
            <w:noWrap/>
            <w:hideMark/>
          </w:tcPr>
          <w:p w14:paraId="3678AB97"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4.0 c</w:t>
            </w:r>
          </w:p>
        </w:tc>
        <w:tc>
          <w:tcPr>
            <w:tcW w:w="0" w:type="auto"/>
            <w:noWrap/>
            <w:hideMark/>
          </w:tcPr>
          <w:p w14:paraId="4E5B86F6"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25  c</w:t>
            </w:r>
          </w:p>
        </w:tc>
        <w:tc>
          <w:tcPr>
            <w:tcW w:w="0" w:type="auto"/>
            <w:noWrap/>
            <w:hideMark/>
          </w:tcPr>
          <w:p w14:paraId="285573AB"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122    cd</w:t>
            </w:r>
          </w:p>
        </w:tc>
        <w:tc>
          <w:tcPr>
            <w:tcW w:w="0" w:type="auto"/>
            <w:noWrap/>
          </w:tcPr>
          <w:p w14:paraId="71433AF7"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1.0 c</w:t>
            </w:r>
          </w:p>
        </w:tc>
        <w:tc>
          <w:tcPr>
            <w:tcW w:w="0" w:type="auto"/>
            <w:noWrap/>
            <w:hideMark/>
          </w:tcPr>
          <w:p w14:paraId="3B39F963"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2.0 e</w:t>
            </w:r>
          </w:p>
        </w:tc>
        <w:tc>
          <w:tcPr>
            <w:tcW w:w="0" w:type="auto"/>
            <w:noWrap/>
            <w:hideMark/>
          </w:tcPr>
          <w:p w14:paraId="3A2114EB"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7.0 def</w:t>
            </w:r>
          </w:p>
        </w:tc>
        <w:tc>
          <w:tcPr>
            <w:tcW w:w="0" w:type="auto"/>
            <w:noWrap/>
            <w:hideMark/>
          </w:tcPr>
          <w:p w14:paraId="222C5FED"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45   c</w:t>
            </w:r>
          </w:p>
        </w:tc>
        <w:tc>
          <w:tcPr>
            <w:tcW w:w="0" w:type="auto"/>
            <w:noWrap/>
            <w:hideMark/>
          </w:tcPr>
          <w:p w14:paraId="1B68D7CC"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b</w:t>
            </w:r>
          </w:p>
        </w:tc>
        <w:tc>
          <w:tcPr>
            <w:tcW w:w="0" w:type="auto"/>
            <w:noWrap/>
            <w:hideMark/>
          </w:tcPr>
          <w:p w14:paraId="202B78A4"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0.0 b</w:t>
            </w:r>
          </w:p>
        </w:tc>
        <w:tc>
          <w:tcPr>
            <w:tcW w:w="0" w:type="auto"/>
            <w:noWrap/>
            <w:hideMark/>
          </w:tcPr>
          <w:p w14:paraId="3EBFE2A7"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2.0 b</w:t>
            </w:r>
          </w:p>
        </w:tc>
        <w:tc>
          <w:tcPr>
            <w:tcW w:w="508" w:type="dxa"/>
            <w:hideMark/>
          </w:tcPr>
          <w:p w14:paraId="6266E78C"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8.0  c</w:t>
            </w:r>
          </w:p>
        </w:tc>
      </w:tr>
      <w:tr w:rsidR="005F275F" w:rsidRPr="009E4E0B" w14:paraId="0ED7C014" w14:textId="77777777" w:rsidTr="005F275F">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719" w:type="dxa"/>
            <w:noWrap/>
          </w:tcPr>
          <w:p w14:paraId="1508909C" w14:textId="77777777" w:rsidR="00D20476" w:rsidRPr="009E4E0B" w:rsidRDefault="00D20476" w:rsidP="005F275F">
            <w:pPr>
              <w:pStyle w:val="NoSpacing"/>
              <w:rPr>
                <w:rFonts w:ascii="Times New Roman" w:eastAsia="Times New Roman" w:hAnsi="Times New Roman" w:cs="Times New Roman"/>
                <w:b w:val="0"/>
                <w:sz w:val="20"/>
                <w:szCs w:val="20"/>
              </w:rPr>
            </w:pPr>
          </w:p>
        </w:tc>
        <w:tc>
          <w:tcPr>
            <w:tcW w:w="0" w:type="auto"/>
            <w:noWrap/>
          </w:tcPr>
          <w:p w14:paraId="04A06CD8"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197C487A"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4FF53807"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0D7337DE"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1832F287"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758EE554"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0600C1E1"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661A79AD"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20BAD0BE"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39E6DC45"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0" w:type="auto"/>
            <w:noWrap/>
          </w:tcPr>
          <w:p w14:paraId="689D1556"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c>
          <w:tcPr>
            <w:tcW w:w="508" w:type="dxa"/>
          </w:tcPr>
          <w:p w14:paraId="6D486F03" w14:textId="77777777" w:rsidR="00D20476" w:rsidRPr="009E4E0B" w:rsidRDefault="00D20476"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p>
        </w:tc>
      </w:tr>
      <w:tr w:rsidR="00D20476" w:rsidRPr="009E4E0B" w14:paraId="795F7CC4" w14:textId="77777777" w:rsidTr="005F275F">
        <w:trPr>
          <w:trHeight w:val="47"/>
        </w:trPr>
        <w:tc>
          <w:tcPr>
            <w:cnfStyle w:val="001000000000" w:firstRow="0" w:lastRow="0" w:firstColumn="1" w:lastColumn="0" w:oddVBand="0" w:evenVBand="0" w:oddHBand="0" w:evenHBand="0" w:firstRowFirstColumn="0" w:firstRowLastColumn="0" w:lastRowFirstColumn="0" w:lastRowLastColumn="0"/>
            <w:tcW w:w="1719" w:type="dxa"/>
            <w:tcBorders>
              <w:bottom w:val="single" w:sz="4" w:space="0" w:color="auto"/>
            </w:tcBorders>
            <w:noWrap/>
          </w:tcPr>
          <w:p w14:paraId="05F067A8" w14:textId="77777777" w:rsidR="00D20476" w:rsidRPr="009E4E0B" w:rsidRDefault="00D20476" w:rsidP="005F275F">
            <w:pPr>
              <w:pStyle w:val="NoSpacing"/>
              <w:rPr>
                <w:rFonts w:ascii="Times New Roman" w:eastAsia="Times New Roman" w:hAnsi="Times New Roman" w:cs="Times New Roman"/>
                <w:b w:val="0"/>
                <w:sz w:val="20"/>
                <w:szCs w:val="20"/>
              </w:rPr>
            </w:pPr>
            <w:r w:rsidRPr="009E4E0B">
              <w:rPr>
                <w:rFonts w:ascii="Times New Roman" w:hAnsi="Times New Roman" w:cs="Times New Roman"/>
                <w:b w:val="0"/>
                <w:sz w:val="20"/>
                <w:szCs w:val="20"/>
              </w:rPr>
              <w:t>Water  (check)</w:t>
            </w:r>
          </w:p>
        </w:tc>
        <w:tc>
          <w:tcPr>
            <w:tcW w:w="0" w:type="auto"/>
            <w:tcBorders>
              <w:bottom w:val="single" w:sz="4" w:space="0" w:color="auto"/>
            </w:tcBorders>
            <w:noWrap/>
          </w:tcPr>
          <w:p w14:paraId="72C547D5"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58 a</w:t>
            </w:r>
          </w:p>
        </w:tc>
        <w:tc>
          <w:tcPr>
            <w:tcW w:w="0" w:type="auto"/>
            <w:tcBorders>
              <w:bottom w:val="single" w:sz="4" w:space="0" w:color="auto"/>
            </w:tcBorders>
            <w:noWrap/>
          </w:tcPr>
          <w:p w14:paraId="1561B23D"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86 a</w:t>
            </w:r>
          </w:p>
        </w:tc>
        <w:tc>
          <w:tcPr>
            <w:tcW w:w="0" w:type="auto"/>
            <w:tcBorders>
              <w:bottom w:val="single" w:sz="4" w:space="0" w:color="auto"/>
            </w:tcBorders>
            <w:noWrap/>
          </w:tcPr>
          <w:p w14:paraId="5FFF8B6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89  a</w:t>
            </w:r>
          </w:p>
        </w:tc>
        <w:tc>
          <w:tcPr>
            <w:tcW w:w="0" w:type="auto"/>
            <w:tcBorders>
              <w:bottom w:val="single" w:sz="4" w:space="0" w:color="auto"/>
            </w:tcBorders>
            <w:noWrap/>
          </w:tcPr>
          <w:p w14:paraId="6992CB12"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1,365 a</w:t>
            </w:r>
          </w:p>
        </w:tc>
        <w:tc>
          <w:tcPr>
            <w:tcW w:w="0" w:type="auto"/>
            <w:tcBorders>
              <w:bottom w:val="single" w:sz="4" w:space="0" w:color="auto"/>
            </w:tcBorders>
            <w:noWrap/>
          </w:tcPr>
          <w:p w14:paraId="3F8572A4"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19  ab</w:t>
            </w:r>
          </w:p>
        </w:tc>
        <w:tc>
          <w:tcPr>
            <w:tcW w:w="0" w:type="auto"/>
            <w:tcBorders>
              <w:bottom w:val="single" w:sz="4" w:space="0" w:color="auto"/>
            </w:tcBorders>
            <w:noWrap/>
          </w:tcPr>
          <w:p w14:paraId="7D8BD624"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39  ab</w:t>
            </w:r>
          </w:p>
        </w:tc>
        <w:tc>
          <w:tcPr>
            <w:tcW w:w="0" w:type="auto"/>
            <w:tcBorders>
              <w:bottom w:val="single" w:sz="4" w:space="0" w:color="auto"/>
            </w:tcBorders>
            <w:noWrap/>
          </w:tcPr>
          <w:p w14:paraId="78A317BD"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50  a</w:t>
            </w:r>
          </w:p>
        </w:tc>
        <w:tc>
          <w:tcPr>
            <w:tcW w:w="0" w:type="auto"/>
            <w:tcBorders>
              <w:bottom w:val="single" w:sz="4" w:space="0" w:color="auto"/>
            </w:tcBorders>
            <w:noWrap/>
          </w:tcPr>
          <w:p w14:paraId="23D2A6D2"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595 a</w:t>
            </w:r>
          </w:p>
        </w:tc>
        <w:tc>
          <w:tcPr>
            <w:tcW w:w="0" w:type="auto"/>
            <w:tcBorders>
              <w:bottom w:val="single" w:sz="4" w:space="0" w:color="auto"/>
            </w:tcBorders>
            <w:noWrap/>
          </w:tcPr>
          <w:p w14:paraId="6356953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14  a</w:t>
            </w:r>
          </w:p>
        </w:tc>
        <w:tc>
          <w:tcPr>
            <w:tcW w:w="0" w:type="auto"/>
            <w:tcBorders>
              <w:bottom w:val="single" w:sz="4" w:space="0" w:color="auto"/>
            </w:tcBorders>
            <w:noWrap/>
          </w:tcPr>
          <w:p w14:paraId="0BA6368C"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34  a</w:t>
            </w:r>
          </w:p>
        </w:tc>
        <w:tc>
          <w:tcPr>
            <w:tcW w:w="0" w:type="auto"/>
            <w:tcBorders>
              <w:bottom w:val="single" w:sz="4" w:space="0" w:color="auto"/>
            </w:tcBorders>
            <w:noWrap/>
          </w:tcPr>
          <w:p w14:paraId="02873FC0"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45  a</w:t>
            </w:r>
          </w:p>
        </w:tc>
        <w:tc>
          <w:tcPr>
            <w:tcW w:w="508" w:type="dxa"/>
            <w:tcBorders>
              <w:bottom w:val="single" w:sz="4" w:space="0" w:color="auto"/>
            </w:tcBorders>
          </w:tcPr>
          <w:p w14:paraId="19A566A5" w14:textId="77777777" w:rsidR="00D20476" w:rsidRPr="009E4E0B" w:rsidRDefault="00D20476"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rPr>
            </w:pPr>
            <w:r w:rsidRPr="009E4E0B">
              <w:rPr>
                <w:rFonts w:ascii="Times New Roman" w:eastAsia="Times New Roman" w:hAnsi="Times New Roman" w:cs="Times New Roman"/>
                <w:sz w:val="20"/>
                <w:szCs w:val="20"/>
              </w:rPr>
              <w:t>493 a</w:t>
            </w:r>
          </w:p>
        </w:tc>
      </w:tr>
      <w:tr w:rsidR="00D20476" w:rsidRPr="009E4E0B" w14:paraId="7DBC9C1E" w14:textId="77777777" w:rsidTr="005F275F">
        <w:trPr>
          <w:cnfStyle w:val="000000100000" w:firstRow="0" w:lastRow="0" w:firstColumn="0" w:lastColumn="0" w:oddVBand="0" w:evenVBand="0" w:oddHBand="1" w:evenHBand="0" w:firstRowFirstColumn="0" w:firstRowLastColumn="0" w:lastRowFirstColumn="0" w:lastRowLastColumn="0"/>
          <w:trHeight w:val="47"/>
        </w:trPr>
        <w:tc>
          <w:tcPr>
            <w:cnfStyle w:val="001000000000" w:firstRow="0" w:lastRow="0" w:firstColumn="1" w:lastColumn="0" w:oddVBand="0" w:evenVBand="0" w:oddHBand="0" w:evenHBand="0" w:firstRowFirstColumn="0" w:firstRowLastColumn="0" w:lastRowFirstColumn="0" w:lastRowLastColumn="0"/>
            <w:tcW w:w="12100" w:type="dxa"/>
            <w:gridSpan w:val="13"/>
            <w:tcBorders>
              <w:top w:val="single" w:sz="4" w:space="0" w:color="auto"/>
            </w:tcBorders>
            <w:shd w:val="clear" w:color="auto" w:fill="auto"/>
            <w:noWrap/>
          </w:tcPr>
          <w:p w14:paraId="5F425E37" w14:textId="77777777" w:rsidR="00D20476" w:rsidRPr="009E4E0B" w:rsidRDefault="00D20476" w:rsidP="005F275F">
            <w:pPr>
              <w:pStyle w:val="NoSpacing"/>
              <w:rPr>
                <w:rFonts w:ascii="Times New Roman" w:hAnsi="Times New Roman" w:cs="Times New Roman"/>
                <w:b w:val="0"/>
                <w:sz w:val="18"/>
                <w:szCs w:val="18"/>
              </w:rPr>
            </w:pPr>
            <w:r w:rsidRPr="009E4E0B">
              <w:rPr>
                <w:rFonts w:ascii="Times New Roman" w:hAnsi="Times New Roman" w:cs="Times New Roman"/>
                <w:b w:val="0"/>
                <w:sz w:val="18"/>
                <w:szCs w:val="18"/>
                <w:vertAlign w:val="superscript"/>
              </w:rPr>
              <w:t xml:space="preserve">w </w:t>
            </w:r>
            <w:r w:rsidRPr="009E4E0B">
              <w:rPr>
                <w:rFonts w:ascii="Times New Roman" w:hAnsi="Times New Roman" w:cs="Times New Roman"/>
                <w:b w:val="0"/>
                <w:sz w:val="18"/>
                <w:szCs w:val="18"/>
              </w:rPr>
              <w:t xml:space="preserve">Disease index (DI)= (I*S)/100, where DI=disease index, I=disease incidence, S=disease severity, and 100 represents the maximum possible incidence and severity scores. </w:t>
            </w:r>
          </w:p>
          <w:p w14:paraId="10255D4B" w14:textId="77777777" w:rsidR="00D20476" w:rsidRPr="009E4E0B" w:rsidRDefault="00D20476" w:rsidP="005F275F">
            <w:pPr>
              <w:pStyle w:val="NoSpacing"/>
              <w:rPr>
                <w:rFonts w:ascii="Times New Roman" w:hAnsi="Times New Roman" w:cs="Times New Roman"/>
                <w:b w:val="0"/>
                <w:sz w:val="18"/>
                <w:szCs w:val="18"/>
              </w:rPr>
            </w:pPr>
            <w:r w:rsidRPr="009E4E0B">
              <w:rPr>
                <w:rFonts w:ascii="Times New Roman" w:hAnsi="Times New Roman" w:cs="Times New Roman"/>
                <w:b w:val="0"/>
                <w:sz w:val="18"/>
                <w:szCs w:val="18"/>
                <w:vertAlign w:val="superscript"/>
              </w:rPr>
              <w:t>x</w:t>
            </w:r>
            <w:r w:rsidRPr="009E4E0B">
              <w:rPr>
                <w:rFonts w:ascii="Times New Roman" w:hAnsi="Times New Roman" w:cs="Times New Roman"/>
                <w:b w:val="0"/>
                <w:sz w:val="18"/>
                <w:szCs w:val="18"/>
              </w:rPr>
              <w:t xml:space="preserve"> Area under the disease progress curve (AUDPC) was calculated according to the formula: ∑</w:t>
            </w:r>
            <w:r w:rsidRPr="009E4E0B">
              <w:rPr>
                <w:rFonts w:ascii="Times New Roman" w:hAnsi="Times New Roman" w:cs="Times New Roman"/>
                <w:b w:val="0"/>
                <w:sz w:val="18"/>
                <w:szCs w:val="18"/>
                <w:vertAlign w:val="superscript"/>
              </w:rPr>
              <w:t>n</w:t>
            </w:r>
            <w:r w:rsidRPr="009E4E0B">
              <w:rPr>
                <w:rFonts w:ascii="Times New Roman" w:hAnsi="Times New Roman" w:cs="Times New Roman"/>
                <w:b w:val="0"/>
                <w:kern w:val="22"/>
                <w:sz w:val="18"/>
                <w:szCs w:val="18"/>
                <w:vertAlign w:val="superscript"/>
              </w:rPr>
              <w:t xml:space="preserve"> </w:t>
            </w:r>
            <w:r w:rsidRPr="009E4E0B">
              <w:rPr>
                <w:rFonts w:ascii="Times New Roman" w:hAnsi="Times New Roman" w:cs="Times New Roman"/>
                <w:b w:val="0"/>
                <w:kern w:val="22"/>
                <w:sz w:val="18"/>
                <w:szCs w:val="18"/>
                <w:vertAlign w:val="subscript"/>
              </w:rPr>
              <w:t>i=1</w:t>
            </w:r>
            <w:r w:rsidRPr="009E4E0B">
              <w:rPr>
                <w:rFonts w:ascii="Times New Roman" w:hAnsi="Times New Roman" w:cs="Times New Roman"/>
                <w:b w:val="0"/>
                <w:kern w:val="22"/>
                <w:sz w:val="18"/>
                <w:szCs w:val="18"/>
              </w:rPr>
              <w:t>[(</w:t>
            </w:r>
            <w:r w:rsidRPr="009E4E0B">
              <w:rPr>
                <w:rFonts w:ascii="Times New Roman" w:hAnsi="Times New Roman" w:cs="Times New Roman"/>
                <w:b w:val="0"/>
                <w:i/>
                <w:kern w:val="22"/>
                <w:sz w:val="18"/>
                <w:szCs w:val="18"/>
              </w:rPr>
              <w:t>DI</w:t>
            </w:r>
            <w:r w:rsidRPr="009E4E0B">
              <w:rPr>
                <w:rFonts w:ascii="Times New Roman" w:hAnsi="Times New Roman" w:cs="Times New Roman"/>
                <w:b w:val="0"/>
                <w:i/>
                <w:kern w:val="22"/>
                <w:sz w:val="18"/>
                <w:szCs w:val="18"/>
                <w:vertAlign w:val="subscript"/>
              </w:rPr>
              <w:t>i</w:t>
            </w:r>
            <w:r w:rsidRPr="009E4E0B">
              <w:rPr>
                <w:rFonts w:ascii="Times New Roman" w:hAnsi="Times New Roman" w:cs="Times New Roman"/>
                <w:b w:val="0"/>
                <w:kern w:val="22"/>
                <w:sz w:val="18"/>
                <w:szCs w:val="18"/>
                <w:vertAlign w:val="subscript"/>
              </w:rPr>
              <w:t>+1</w:t>
            </w:r>
            <w:r w:rsidRPr="009E4E0B">
              <w:rPr>
                <w:rFonts w:ascii="Times New Roman" w:hAnsi="Times New Roman" w:cs="Times New Roman"/>
                <w:b w:val="0"/>
                <w:kern w:val="22"/>
                <w:sz w:val="18"/>
                <w:szCs w:val="18"/>
              </w:rPr>
              <w:t xml:space="preserve"> + </w:t>
            </w:r>
            <w:r w:rsidRPr="009E4E0B">
              <w:rPr>
                <w:rFonts w:ascii="Times New Roman" w:hAnsi="Times New Roman" w:cs="Times New Roman"/>
                <w:b w:val="0"/>
                <w:i/>
                <w:kern w:val="22"/>
                <w:sz w:val="18"/>
                <w:szCs w:val="18"/>
              </w:rPr>
              <w:t>DI</w:t>
            </w:r>
            <w:r w:rsidRPr="009E4E0B">
              <w:rPr>
                <w:rFonts w:ascii="Times New Roman" w:hAnsi="Times New Roman" w:cs="Times New Roman"/>
                <w:b w:val="0"/>
                <w:i/>
                <w:kern w:val="22"/>
                <w:sz w:val="18"/>
                <w:szCs w:val="18"/>
                <w:vertAlign w:val="subscript"/>
              </w:rPr>
              <w:t>i</w:t>
            </w:r>
            <w:r w:rsidRPr="009E4E0B">
              <w:rPr>
                <w:rFonts w:ascii="Times New Roman" w:hAnsi="Times New Roman" w:cs="Times New Roman"/>
                <w:b w:val="0"/>
                <w:kern w:val="22"/>
                <w:sz w:val="18"/>
                <w:szCs w:val="18"/>
              </w:rPr>
              <w:t>)/2] [</w:t>
            </w:r>
            <w:r w:rsidRPr="009E4E0B">
              <w:rPr>
                <w:rFonts w:ascii="Times New Roman" w:hAnsi="Times New Roman" w:cs="Times New Roman"/>
                <w:b w:val="0"/>
                <w:i/>
                <w:kern w:val="22"/>
                <w:sz w:val="18"/>
                <w:szCs w:val="18"/>
              </w:rPr>
              <w:t>t</w:t>
            </w:r>
            <w:r w:rsidRPr="009E4E0B">
              <w:rPr>
                <w:rFonts w:ascii="Times New Roman" w:hAnsi="Times New Roman" w:cs="Times New Roman"/>
                <w:b w:val="0"/>
                <w:i/>
                <w:kern w:val="22"/>
                <w:sz w:val="18"/>
                <w:szCs w:val="18"/>
                <w:vertAlign w:val="subscript"/>
              </w:rPr>
              <w:t>i</w:t>
            </w:r>
            <w:r w:rsidRPr="009E4E0B">
              <w:rPr>
                <w:rFonts w:ascii="Times New Roman" w:hAnsi="Times New Roman" w:cs="Times New Roman"/>
                <w:b w:val="0"/>
                <w:kern w:val="22"/>
                <w:sz w:val="18"/>
                <w:szCs w:val="18"/>
                <w:vertAlign w:val="subscript"/>
              </w:rPr>
              <w:t>+1</w:t>
            </w:r>
            <w:r w:rsidRPr="009E4E0B">
              <w:rPr>
                <w:rFonts w:ascii="Times New Roman" w:hAnsi="Times New Roman" w:cs="Times New Roman"/>
                <w:b w:val="0"/>
                <w:kern w:val="22"/>
                <w:sz w:val="18"/>
                <w:szCs w:val="18"/>
              </w:rPr>
              <w:t xml:space="preserve"> – </w:t>
            </w:r>
            <w:r w:rsidRPr="009E4E0B">
              <w:rPr>
                <w:rFonts w:ascii="Times New Roman" w:hAnsi="Times New Roman" w:cs="Times New Roman"/>
                <w:b w:val="0"/>
                <w:i/>
                <w:kern w:val="22"/>
                <w:sz w:val="18"/>
                <w:szCs w:val="18"/>
              </w:rPr>
              <w:t>t</w:t>
            </w:r>
            <w:r w:rsidRPr="009E4E0B">
              <w:rPr>
                <w:rFonts w:ascii="Times New Roman" w:hAnsi="Times New Roman" w:cs="Times New Roman"/>
                <w:b w:val="0"/>
                <w:i/>
                <w:kern w:val="22"/>
                <w:sz w:val="18"/>
                <w:szCs w:val="18"/>
                <w:vertAlign w:val="subscript"/>
              </w:rPr>
              <w:t>i</w:t>
            </w:r>
            <w:r w:rsidRPr="009E4E0B">
              <w:rPr>
                <w:rFonts w:ascii="Times New Roman" w:hAnsi="Times New Roman" w:cs="Times New Roman"/>
                <w:b w:val="0"/>
                <w:kern w:val="22"/>
                <w:sz w:val="18"/>
                <w:szCs w:val="18"/>
              </w:rPr>
              <w:t xml:space="preserve">], where </w:t>
            </w:r>
            <w:r w:rsidRPr="009E4E0B">
              <w:rPr>
                <w:rFonts w:ascii="Times New Roman" w:hAnsi="Times New Roman" w:cs="Times New Roman"/>
                <w:b w:val="0"/>
                <w:i/>
                <w:kern w:val="22"/>
                <w:sz w:val="18"/>
                <w:szCs w:val="18"/>
              </w:rPr>
              <w:t>DI</w:t>
            </w:r>
            <w:r w:rsidRPr="009E4E0B">
              <w:rPr>
                <w:rFonts w:ascii="Times New Roman" w:hAnsi="Times New Roman" w:cs="Times New Roman"/>
                <w:b w:val="0"/>
                <w:kern w:val="22"/>
                <w:sz w:val="18"/>
                <w:szCs w:val="18"/>
              </w:rPr>
              <w:t xml:space="preserve"> = disease index at the </w:t>
            </w:r>
            <w:r w:rsidRPr="009E4E0B">
              <w:rPr>
                <w:rFonts w:ascii="Times New Roman" w:hAnsi="Times New Roman" w:cs="Times New Roman"/>
                <w:b w:val="0"/>
                <w:i/>
                <w:kern w:val="22"/>
                <w:sz w:val="18"/>
                <w:szCs w:val="18"/>
              </w:rPr>
              <w:t>i</w:t>
            </w:r>
            <w:r w:rsidRPr="009E4E0B">
              <w:rPr>
                <w:rFonts w:ascii="Times New Roman" w:hAnsi="Times New Roman" w:cs="Times New Roman"/>
                <w:b w:val="0"/>
                <w:kern w:val="22"/>
                <w:sz w:val="18"/>
                <w:szCs w:val="18"/>
              </w:rPr>
              <w:t xml:space="preserve">th observation, </w:t>
            </w:r>
            <w:r w:rsidRPr="009E4E0B">
              <w:rPr>
                <w:rFonts w:ascii="Times New Roman" w:hAnsi="Times New Roman" w:cs="Times New Roman"/>
                <w:b w:val="0"/>
                <w:i/>
                <w:kern w:val="22"/>
                <w:sz w:val="18"/>
                <w:szCs w:val="18"/>
              </w:rPr>
              <w:t>t</w:t>
            </w:r>
            <w:r w:rsidRPr="009E4E0B">
              <w:rPr>
                <w:rFonts w:ascii="Times New Roman" w:hAnsi="Times New Roman" w:cs="Times New Roman"/>
                <w:b w:val="0"/>
                <w:i/>
                <w:kern w:val="22"/>
                <w:sz w:val="18"/>
                <w:szCs w:val="18"/>
                <w:vertAlign w:val="subscript"/>
              </w:rPr>
              <w:t>i</w:t>
            </w:r>
            <w:r w:rsidRPr="009E4E0B">
              <w:rPr>
                <w:rFonts w:ascii="Times New Roman" w:hAnsi="Times New Roman" w:cs="Times New Roman"/>
                <w:b w:val="0"/>
                <w:kern w:val="22"/>
                <w:sz w:val="18"/>
                <w:szCs w:val="18"/>
                <w:vertAlign w:val="subscript"/>
              </w:rPr>
              <w:t xml:space="preserve"> </w:t>
            </w:r>
            <w:r w:rsidRPr="009E4E0B">
              <w:rPr>
                <w:rFonts w:ascii="Times New Roman" w:hAnsi="Times New Roman" w:cs="Times New Roman"/>
                <w:b w:val="0"/>
                <w:kern w:val="22"/>
                <w:sz w:val="18"/>
                <w:szCs w:val="18"/>
              </w:rPr>
              <w:t xml:space="preserve">= time (days) since the previous rating at the </w:t>
            </w:r>
            <w:r w:rsidRPr="009E4E0B">
              <w:rPr>
                <w:rFonts w:ascii="Times New Roman" w:hAnsi="Times New Roman" w:cs="Times New Roman"/>
                <w:b w:val="0"/>
                <w:i/>
                <w:kern w:val="22"/>
                <w:sz w:val="18"/>
                <w:szCs w:val="18"/>
              </w:rPr>
              <w:t>i</w:t>
            </w:r>
            <w:r w:rsidRPr="009E4E0B">
              <w:rPr>
                <w:rFonts w:ascii="Times New Roman" w:hAnsi="Times New Roman" w:cs="Times New Roman"/>
                <w:b w:val="0"/>
                <w:kern w:val="22"/>
                <w:sz w:val="18"/>
                <w:szCs w:val="18"/>
              </w:rPr>
              <w:t>th observation, and n = total number of observations</w:t>
            </w:r>
            <w:r w:rsidRPr="009E4E0B">
              <w:rPr>
                <w:rFonts w:ascii="Times New Roman" w:hAnsi="Times New Roman" w:cs="Times New Roman"/>
                <w:b w:val="0"/>
                <w:sz w:val="18"/>
                <w:szCs w:val="18"/>
              </w:rPr>
              <w:t>.</w:t>
            </w:r>
          </w:p>
          <w:p w14:paraId="0478BCA6" w14:textId="77777777" w:rsidR="00D20476" w:rsidRPr="009E4E0B" w:rsidRDefault="00D20476" w:rsidP="005F275F">
            <w:pPr>
              <w:pStyle w:val="NoSpacing"/>
              <w:rPr>
                <w:rFonts w:ascii="Times New Roman" w:hAnsi="Times New Roman" w:cs="Times New Roman"/>
                <w:b w:val="0"/>
                <w:sz w:val="18"/>
                <w:szCs w:val="18"/>
              </w:rPr>
            </w:pPr>
            <w:r w:rsidRPr="009E4E0B">
              <w:rPr>
                <w:rFonts w:ascii="Times New Roman" w:hAnsi="Times New Roman" w:cs="Times New Roman"/>
                <w:b w:val="0"/>
                <w:sz w:val="18"/>
                <w:szCs w:val="18"/>
                <w:vertAlign w:val="superscript"/>
              </w:rPr>
              <w:t>y</w:t>
            </w:r>
            <w:r w:rsidRPr="009E4E0B">
              <w:rPr>
                <w:rFonts w:ascii="Times New Roman" w:hAnsi="Times New Roman" w:cs="Times New Roman"/>
                <w:b w:val="0"/>
                <w:sz w:val="18"/>
                <w:szCs w:val="18"/>
              </w:rPr>
              <w:t xml:space="preserve"> Days after the first treatment application </w:t>
            </w:r>
          </w:p>
          <w:p w14:paraId="26E9DAD6" w14:textId="77777777" w:rsidR="00D20476" w:rsidRPr="009E4E0B" w:rsidRDefault="00D20476" w:rsidP="005F275F">
            <w:pPr>
              <w:pStyle w:val="NoSpacing"/>
              <w:rPr>
                <w:rFonts w:ascii="Times New Roman" w:hAnsi="Times New Roman" w:cs="Times New Roman"/>
                <w:b w:val="0"/>
                <w:sz w:val="18"/>
                <w:szCs w:val="18"/>
              </w:rPr>
            </w:pPr>
            <w:r w:rsidRPr="009E4E0B">
              <w:rPr>
                <w:rFonts w:ascii="Times New Roman" w:hAnsi="Times New Roman" w:cs="Times New Roman"/>
                <w:b w:val="0"/>
                <w:sz w:val="18"/>
                <w:szCs w:val="18"/>
                <w:u w:val="double"/>
                <w:vertAlign w:val="superscript"/>
              </w:rPr>
              <w:t>z</w:t>
            </w:r>
            <w:r w:rsidRPr="009E4E0B">
              <w:rPr>
                <w:rFonts w:ascii="Times New Roman" w:hAnsi="Times New Roman" w:cs="Times New Roman"/>
                <w:b w:val="0"/>
                <w:sz w:val="18"/>
                <w:szCs w:val="18"/>
              </w:rPr>
              <w:t xml:space="preserve"> Means followed by the same letter(s) within columns are not significantly different (Tukey test, P&lt;0.05).</w:t>
            </w:r>
          </w:p>
          <w:p w14:paraId="747D15DC" w14:textId="77777777" w:rsidR="00D20476" w:rsidRPr="009E4E0B" w:rsidRDefault="00D20476" w:rsidP="005F275F">
            <w:pPr>
              <w:pStyle w:val="NoSpacing"/>
              <w:rPr>
                <w:rFonts w:ascii="Times New Roman" w:hAnsi="Times New Roman" w:cs="Times New Roman"/>
                <w:b w:val="0"/>
                <w:sz w:val="18"/>
                <w:szCs w:val="18"/>
              </w:rPr>
            </w:pPr>
            <w:r w:rsidRPr="009E4E0B">
              <w:rPr>
                <w:rFonts w:ascii="Times New Roman" w:hAnsi="Times New Roman" w:cs="Times New Roman"/>
                <w:b w:val="0"/>
                <w:sz w:val="18"/>
                <w:szCs w:val="18"/>
              </w:rPr>
              <w:t xml:space="preserve">*Post-inoculation treatment </w:t>
            </w:r>
          </w:p>
        </w:tc>
      </w:tr>
    </w:tbl>
    <w:p w14:paraId="47BE2D33" w14:textId="77777777" w:rsidR="00D20476" w:rsidRPr="004C3997" w:rsidRDefault="00D20476" w:rsidP="00D20476">
      <w:pPr>
        <w:rPr>
          <w:rFonts w:cs="Times New Roman"/>
          <w:szCs w:val="24"/>
        </w:rPr>
      </w:pPr>
    </w:p>
    <w:p w14:paraId="65D8D292" w14:textId="77777777" w:rsidR="00D20476" w:rsidRPr="004C3997" w:rsidRDefault="00D20476" w:rsidP="00D20476">
      <w:pPr>
        <w:rPr>
          <w:rFonts w:cs="Times New Roman"/>
          <w:szCs w:val="24"/>
        </w:rPr>
      </w:pPr>
    </w:p>
    <w:p w14:paraId="4A130B19" w14:textId="77777777" w:rsidR="00D20476" w:rsidRPr="004C3997" w:rsidRDefault="00D20476" w:rsidP="00D20476">
      <w:pPr>
        <w:rPr>
          <w:rFonts w:cs="Times New Roman"/>
          <w:szCs w:val="24"/>
        </w:rPr>
        <w:sectPr w:rsidR="00D20476" w:rsidRPr="004C3997" w:rsidSect="006F7E26">
          <w:pgSz w:w="15840" w:h="12240" w:orient="landscape" w:code="1"/>
          <w:pgMar w:top="1440" w:right="1440" w:bottom="1440" w:left="1440" w:header="720" w:footer="1440" w:gutter="0"/>
          <w:cols w:space="720"/>
          <w:docGrid w:linePitch="360"/>
        </w:sectPr>
      </w:pPr>
      <w:r w:rsidRPr="004C3997">
        <w:rPr>
          <w:rFonts w:cs="Times New Roman"/>
          <w:szCs w:val="24"/>
        </w:rPr>
        <w:br w:type="page"/>
      </w:r>
    </w:p>
    <w:p w14:paraId="579D92AD" w14:textId="77777777" w:rsidR="00D20476" w:rsidRPr="00EC57AB" w:rsidRDefault="00D20476" w:rsidP="00D20476">
      <w:pPr>
        <w:rPr>
          <w:rFonts w:cs="Times New Roman"/>
          <w:szCs w:val="24"/>
        </w:rPr>
      </w:pPr>
    </w:p>
    <w:p w14:paraId="5CBB568E" w14:textId="7729E768" w:rsidR="005F275F" w:rsidRDefault="005F275F" w:rsidP="005F275F">
      <w:pPr>
        <w:pStyle w:val="Caption"/>
        <w:framePr w:wrap="around" w:hAnchor="page" w:x="1890" w:y="85"/>
      </w:pPr>
      <w:bookmarkStart w:id="466" w:name="_Toc101048755"/>
      <w:r>
        <w:t xml:space="preserve">Table 5. </w:t>
      </w:r>
      <w:r w:rsidR="00035AE8">
        <w:fldChar w:fldCharType="begin"/>
      </w:r>
      <w:r w:rsidR="00035AE8">
        <w:instrText xml:space="preserve"> SEQ Table_5. \* ARABIC </w:instrText>
      </w:r>
      <w:r w:rsidR="00035AE8">
        <w:fldChar w:fldCharType="separate"/>
      </w:r>
      <w:r w:rsidR="009C2EDC">
        <w:rPr>
          <w:noProof/>
        </w:rPr>
        <w:t>6</w:t>
      </w:r>
      <w:r w:rsidR="00035AE8">
        <w:rPr>
          <w:noProof/>
        </w:rPr>
        <w:fldChar w:fldCharType="end"/>
      </w:r>
      <w:r>
        <w:t xml:space="preserve">. </w:t>
      </w:r>
      <w:r w:rsidRPr="0072322C">
        <w:t>Disease (AUDPC) reduction by fungicide treatments across trials</w:t>
      </w:r>
      <w:bookmarkEnd w:id="466"/>
    </w:p>
    <w:p w14:paraId="76B8A32A" w14:textId="77777777" w:rsidR="00D20476" w:rsidRPr="004C3997" w:rsidRDefault="00D20476" w:rsidP="00D20476">
      <w:pPr>
        <w:rPr>
          <w:rFonts w:cs="Times New Roman"/>
          <w:szCs w:val="24"/>
        </w:rPr>
      </w:pPr>
    </w:p>
    <w:p w14:paraId="24587C18" w14:textId="77777777" w:rsidR="00D20476" w:rsidRPr="004C3997" w:rsidRDefault="00D20476" w:rsidP="00D20476">
      <w:pPr>
        <w:rPr>
          <w:rFonts w:cs="Times New Roman"/>
          <w:szCs w:val="24"/>
        </w:rPr>
      </w:pPr>
    </w:p>
    <w:tbl>
      <w:tblPr>
        <w:tblStyle w:val="ListTable1Light-Accent5"/>
        <w:tblpPr w:leftFromText="180" w:rightFromText="180" w:vertAnchor="text" w:horzAnchor="margin" w:tblpX="330" w:tblpY="-29"/>
        <w:tblW w:w="4642" w:type="pct"/>
        <w:tblLayout w:type="fixed"/>
        <w:tblLook w:val="04A0" w:firstRow="1" w:lastRow="0" w:firstColumn="1" w:lastColumn="0" w:noHBand="0" w:noVBand="1"/>
      </w:tblPr>
      <w:tblGrid>
        <w:gridCol w:w="1459"/>
        <w:gridCol w:w="1599"/>
        <w:gridCol w:w="1595"/>
        <w:gridCol w:w="1595"/>
        <w:gridCol w:w="1123"/>
        <w:gridCol w:w="1319"/>
      </w:tblGrid>
      <w:tr w:rsidR="002E4580" w:rsidRPr="004E484A" w14:paraId="467913D7" w14:textId="77777777" w:rsidTr="005F275F">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39" w:type="pct"/>
            <w:vMerge w:val="restart"/>
            <w:tcBorders>
              <w:top w:val="single" w:sz="4" w:space="0" w:color="auto"/>
              <w:bottom w:val="single" w:sz="4" w:space="0" w:color="auto"/>
            </w:tcBorders>
            <w:shd w:val="clear" w:color="auto" w:fill="auto"/>
            <w:vAlign w:val="bottom"/>
          </w:tcPr>
          <w:p w14:paraId="1F72DFBD" w14:textId="77777777" w:rsidR="002E4580" w:rsidRPr="004E484A" w:rsidRDefault="002E4580" w:rsidP="005F275F">
            <w:pPr>
              <w:pStyle w:val="NoSpacing"/>
              <w:rPr>
                <w:rFonts w:ascii="Times New Roman" w:eastAsia="Times New Roman" w:hAnsi="Times New Roman" w:cs="Times New Roman"/>
                <w:b w:val="0"/>
                <w:sz w:val="20"/>
                <w:szCs w:val="20"/>
              </w:rPr>
            </w:pPr>
            <w:r w:rsidRPr="004E484A">
              <w:rPr>
                <w:rFonts w:ascii="Times New Roman" w:eastAsia="Times New Roman" w:hAnsi="Times New Roman" w:cs="Times New Roman"/>
                <w:b w:val="0"/>
                <w:sz w:val="20"/>
                <w:szCs w:val="20"/>
              </w:rPr>
              <w:t>Treatment</w:t>
            </w:r>
          </w:p>
        </w:tc>
        <w:tc>
          <w:tcPr>
            <w:tcW w:w="3402" w:type="pct"/>
            <w:gridSpan w:val="4"/>
            <w:tcBorders>
              <w:top w:val="single" w:sz="4" w:space="0" w:color="auto"/>
              <w:bottom w:val="single" w:sz="4" w:space="0" w:color="auto"/>
            </w:tcBorders>
            <w:shd w:val="clear" w:color="auto" w:fill="auto"/>
            <w:noWrap/>
            <w:vAlign w:val="bottom"/>
          </w:tcPr>
          <w:p w14:paraId="14FE0ADD" w14:textId="77777777" w:rsidR="002E4580" w:rsidRPr="004E484A" w:rsidRDefault="002E4580" w:rsidP="005F275F">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0"/>
                <w:szCs w:val="20"/>
              </w:rPr>
            </w:pPr>
            <w:r w:rsidRPr="004E484A">
              <w:rPr>
                <w:rFonts w:ascii="Times New Roman" w:eastAsia="Times New Roman" w:hAnsi="Times New Roman" w:cs="Times New Roman"/>
                <w:b w:val="0"/>
                <w:sz w:val="20"/>
                <w:szCs w:val="20"/>
              </w:rPr>
              <w:t xml:space="preserve">Index AUDPC reduction </w:t>
            </w:r>
            <w:r w:rsidRPr="004E484A">
              <w:rPr>
                <w:rFonts w:ascii="Times New Roman" w:eastAsia="Times New Roman" w:hAnsi="Times New Roman" w:cs="Times New Roman"/>
                <w:b w:val="0"/>
                <w:sz w:val="20"/>
                <w:szCs w:val="20"/>
                <w:vertAlign w:val="superscript"/>
              </w:rPr>
              <w:t>y</w:t>
            </w:r>
            <w:r w:rsidRPr="004E484A">
              <w:rPr>
                <w:rFonts w:ascii="Times New Roman" w:eastAsia="Times New Roman" w:hAnsi="Times New Roman" w:cs="Times New Roman"/>
                <w:b w:val="0"/>
                <w:sz w:val="20"/>
                <w:szCs w:val="20"/>
              </w:rPr>
              <w:t xml:space="preserve"> (%)</w:t>
            </w:r>
          </w:p>
        </w:tc>
        <w:tc>
          <w:tcPr>
            <w:tcW w:w="759" w:type="pct"/>
            <w:vMerge w:val="restart"/>
            <w:tcBorders>
              <w:top w:val="single" w:sz="4" w:space="0" w:color="auto"/>
              <w:bottom w:val="single" w:sz="4" w:space="0" w:color="auto"/>
            </w:tcBorders>
            <w:noWrap/>
            <w:vAlign w:val="bottom"/>
          </w:tcPr>
          <w:p w14:paraId="70F37269" w14:textId="77777777" w:rsidR="002E4580" w:rsidRPr="004E484A" w:rsidRDefault="002E4580" w:rsidP="005F275F">
            <w:pPr>
              <w:pStyle w:val="NoSpacing"/>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4E484A">
              <w:rPr>
                <w:rFonts w:ascii="Times New Roman" w:hAnsi="Times New Roman" w:cs="Times New Roman"/>
                <w:b w:val="0"/>
                <w:sz w:val="20"/>
                <w:szCs w:val="20"/>
              </w:rPr>
              <w:t xml:space="preserve">Efficacy </w:t>
            </w:r>
            <w:r w:rsidRPr="004E484A">
              <w:rPr>
                <w:rFonts w:ascii="Times New Roman" w:hAnsi="Times New Roman" w:cs="Times New Roman"/>
                <w:b w:val="0"/>
                <w:sz w:val="20"/>
                <w:szCs w:val="20"/>
                <w:vertAlign w:val="superscript"/>
              </w:rPr>
              <w:t>z</w:t>
            </w:r>
            <w:r w:rsidRPr="004E484A">
              <w:rPr>
                <w:rFonts w:ascii="Times New Roman" w:hAnsi="Times New Roman" w:cs="Times New Roman"/>
                <w:b w:val="0"/>
                <w:sz w:val="20"/>
                <w:szCs w:val="20"/>
              </w:rPr>
              <w:t xml:space="preserve">  </w:t>
            </w:r>
          </w:p>
        </w:tc>
      </w:tr>
      <w:tr w:rsidR="005F275F" w:rsidRPr="004E484A" w14:paraId="0615F1B4" w14:textId="77777777" w:rsidTr="005F275F">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39" w:type="pct"/>
            <w:vMerge/>
            <w:tcBorders>
              <w:top w:val="single" w:sz="4" w:space="0" w:color="auto"/>
              <w:bottom w:val="single" w:sz="4" w:space="0" w:color="auto"/>
            </w:tcBorders>
            <w:shd w:val="clear" w:color="auto" w:fill="auto"/>
            <w:hideMark/>
          </w:tcPr>
          <w:p w14:paraId="2DFAF5F3" w14:textId="77777777" w:rsidR="002E4580" w:rsidRPr="004E484A" w:rsidRDefault="002E4580" w:rsidP="005F275F">
            <w:pPr>
              <w:pStyle w:val="NoSpacing"/>
              <w:rPr>
                <w:rFonts w:ascii="Times New Roman" w:eastAsia="Times New Roman" w:hAnsi="Times New Roman" w:cs="Times New Roman"/>
                <w:b w:val="0"/>
                <w:sz w:val="20"/>
                <w:szCs w:val="20"/>
              </w:rPr>
            </w:pPr>
          </w:p>
        </w:tc>
        <w:tc>
          <w:tcPr>
            <w:tcW w:w="920" w:type="pct"/>
            <w:tcBorders>
              <w:top w:val="single" w:sz="4" w:space="0" w:color="auto"/>
              <w:bottom w:val="single" w:sz="4" w:space="0" w:color="auto"/>
            </w:tcBorders>
            <w:shd w:val="clear" w:color="auto" w:fill="auto"/>
            <w:noWrap/>
          </w:tcPr>
          <w:p w14:paraId="0FBA32C3"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4E484A">
              <w:rPr>
                <w:rFonts w:ascii="Times New Roman" w:eastAsia="Times New Roman" w:hAnsi="Times New Roman" w:cs="Times New Roman"/>
                <w:sz w:val="20"/>
                <w:szCs w:val="20"/>
              </w:rPr>
              <w:t>Experiment 1</w:t>
            </w:r>
          </w:p>
        </w:tc>
        <w:tc>
          <w:tcPr>
            <w:tcW w:w="918" w:type="pct"/>
            <w:tcBorders>
              <w:top w:val="single" w:sz="4" w:space="0" w:color="auto"/>
              <w:bottom w:val="single" w:sz="4" w:space="0" w:color="auto"/>
            </w:tcBorders>
            <w:shd w:val="clear" w:color="auto" w:fill="auto"/>
            <w:noWrap/>
          </w:tcPr>
          <w:p w14:paraId="753A2141"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4E484A">
              <w:rPr>
                <w:rFonts w:ascii="Times New Roman" w:eastAsia="Times New Roman" w:hAnsi="Times New Roman" w:cs="Times New Roman"/>
                <w:sz w:val="20"/>
                <w:szCs w:val="20"/>
              </w:rPr>
              <w:t>Experiment 2</w:t>
            </w:r>
          </w:p>
        </w:tc>
        <w:tc>
          <w:tcPr>
            <w:tcW w:w="918" w:type="pct"/>
            <w:tcBorders>
              <w:top w:val="single" w:sz="4" w:space="0" w:color="auto"/>
              <w:bottom w:val="single" w:sz="4" w:space="0" w:color="auto"/>
            </w:tcBorders>
            <w:shd w:val="clear" w:color="auto" w:fill="auto"/>
            <w:noWrap/>
          </w:tcPr>
          <w:p w14:paraId="521AA037"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4E484A">
              <w:rPr>
                <w:rFonts w:ascii="Times New Roman" w:eastAsia="Times New Roman" w:hAnsi="Times New Roman" w:cs="Times New Roman"/>
                <w:sz w:val="20"/>
                <w:szCs w:val="20"/>
              </w:rPr>
              <w:t>Experiment 3</w:t>
            </w:r>
          </w:p>
        </w:tc>
        <w:tc>
          <w:tcPr>
            <w:tcW w:w="646" w:type="pct"/>
            <w:tcBorders>
              <w:top w:val="single" w:sz="4" w:space="0" w:color="auto"/>
              <w:bottom w:val="single" w:sz="4" w:space="0" w:color="auto"/>
            </w:tcBorders>
            <w:shd w:val="clear" w:color="auto" w:fill="auto"/>
            <w:noWrap/>
          </w:tcPr>
          <w:p w14:paraId="62814382"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rPr>
            </w:pPr>
            <w:r w:rsidRPr="004E484A">
              <w:rPr>
                <w:rFonts w:ascii="Times New Roman" w:eastAsia="Times New Roman" w:hAnsi="Times New Roman" w:cs="Times New Roman"/>
                <w:sz w:val="20"/>
                <w:szCs w:val="20"/>
              </w:rPr>
              <w:t>Average</w:t>
            </w:r>
          </w:p>
        </w:tc>
        <w:tc>
          <w:tcPr>
            <w:tcW w:w="759" w:type="pct"/>
            <w:vMerge/>
            <w:tcBorders>
              <w:top w:val="single" w:sz="4" w:space="0" w:color="auto"/>
              <w:bottom w:val="single" w:sz="4" w:space="0" w:color="auto"/>
            </w:tcBorders>
            <w:noWrap/>
          </w:tcPr>
          <w:p w14:paraId="1407B0CA"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5F275F" w:rsidRPr="004E484A" w14:paraId="5FD1E061" w14:textId="77777777" w:rsidTr="005F275F">
        <w:trPr>
          <w:trHeight w:val="258"/>
        </w:trPr>
        <w:tc>
          <w:tcPr>
            <w:cnfStyle w:val="001000000000" w:firstRow="0" w:lastRow="0" w:firstColumn="1" w:lastColumn="0" w:oddVBand="0" w:evenVBand="0" w:oddHBand="0" w:evenHBand="0" w:firstRowFirstColumn="0" w:firstRowLastColumn="0" w:lastRowFirstColumn="0" w:lastRowLastColumn="0"/>
            <w:tcW w:w="839" w:type="pct"/>
            <w:tcBorders>
              <w:top w:val="single" w:sz="4" w:space="0" w:color="auto"/>
            </w:tcBorders>
            <w:noWrap/>
          </w:tcPr>
          <w:p w14:paraId="12E64256"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Bonide sulfur</w:t>
            </w:r>
          </w:p>
        </w:tc>
        <w:tc>
          <w:tcPr>
            <w:tcW w:w="920" w:type="pct"/>
            <w:tcBorders>
              <w:top w:val="single" w:sz="4" w:space="0" w:color="auto"/>
            </w:tcBorders>
            <w:noWrap/>
          </w:tcPr>
          <w:p w14:paraId="268B9CB5"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100</w:t>
            </w:r>
          </w:p>
        </w:tc>
        <w:tc>
          <w:tcPr>
            <w:tcW w:w="918" w:type="pct"/>
            <w:tcBorders>
              <w:top w:val="single" w:sz="4" w:space="0" w:color="auto"/>
            </w:tcBorders>
            <w:noWrap/>
          </w:tcPr>
          <w:p w14:paraId="55079FD3"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100</w:t>
            </w:r>
          </w:p>
        </w:tc>
        <w:tc>
          <w:tcPr>
            <w:tcW w:w="918" w:type="pct"/>
            <w:tcBorders>
              <w:top w:val="single" w:sz="4" w:space="0" w:color="auto"/>
            </w:tcBorders>
            <w:noWrap/>
          </w:tcPr>
          <w:p w14:paraId="208B33DA"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tcBorders>
              <w:top w:val="single" w:sz="4" w:space="0" w:color="auto"/>
            </w:tcBorders>
            <w:noWrap/>
          </w:tcPr>
          <w:p w14:paraId="1750EFA4"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100</w:t>
            </w:r>
          </w:p>
        </w:tc>
        <w:tc>
          <w:tcPr>
            <w:tcW w:w="759" w:type="pct"/>
            <w:tcBorders>
              <w:top w:val="single" w:sz="4" w:space="0" w:color="auto"/>
            </w:tcBorders>
            <w:noWrap/>
          </w:tcPr>
          <w:p w14:paraId="170617F5"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Excellent</w:t>
            </w:r>
          </w:p>
        </w:tc>
      </w:tr>
      <w:tr w:rsidR="005F275F" w:rsidRPr="004E484A" w14:paraId="2591E065" w14:textId="77777777" w:rsidTr="005F275F">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39" w:type="pct"/>
            <w:noWrap/>
          </w:tcPr>
          <w:p w14:paraId="1199C2EE"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Cinerrate</w:t>
            </w:r>
          </w:p>
        </w:tc>
        <w:tc>
          <w:tcPr>
            <w:tcW w:w="920" w:type="pct"/>
            <w:noWrap/>
          </w:tcPr>
          <w:p w14:paraId="52D7E832"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88</w:t>
            </w:r>
          </w:p>
        </w:tc>
        <w:tc>
          <w:tcPr>
            <w:tcW w:w="918" w:type="pct"/>
            <w:noWrap/>
          </w:tcPr>
          <w:p w14:paraId="3FF3A7CC"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96</w:t>
            </w:r>
          </w:p>
        </w:tc>
        <w:tc>
          <w:tcPr>
            <w:tcW w:w="918" w:type="pct"/>
            <w:noWrap/>
          </w:tcPr>
          <w:p w14:paraId="01790A97"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noWrap/>
          </w:tcPr>
          <w:p w14:paraId="1B97EF4A"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92</w:t>
            </w:r>
          </w:p>
        </w:tc>
        <w:tc>
          <w:tcPr>
            <w:tcW w:w="759" w:type="pct"/>
            <w:noWrap/>
          </w:tcPr>
          <w:p w14:paraId="2EC3B8B6"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Very Good</w:t>
            </w:r>
          </w:p>
        </w:tc>
      </w:tr>
      <w:tr w:rsidR="005F275F" w:rsidRPr="004E484A" w14:paraId="3E7C9ADF" w14:textId="77777777" w:rsidTr="005F275F">
        <w:trPr>
          <w:trHeight w:val="248"/>
        </w:trPr>
        <w:tc>
          <w:tcPr>
            <w:cnfStyle w:val="001000000000" w:firstRow="0" w:lastRow="0" w:firstColumn="1" w:lastColumn="0" w:oddVBand="0" w:evenVBand="0" w:oddHBand="0" w:evenHBand="0" w:firstRowFirstColumn="0" w:firstRowLastColumn="0" w:lastRowFirstColumn="0" w:lastRowLastColumn="0"/>
            <w:tcW w:w="839" w:type="pct"/>
            <w:noWrap/>
          </w:tcPr>
          <w:p w14:paraId="685A3C59"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Defguard</w:t>
            </w:r>
          </w:p>
        </w:tc>
        <w:tc>
          <w:tcPr>
            <w:tcW w:w="920" w:type="pct"/>
            <w:noWrap/>
          </w:tcPr>
          <w:p w14:paraId="68CA069F"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96</w:t>
            </w:r>
          </w:p>
        </w:tc>
        <w:tc>
          <w:tcPr>
            <w:tcW w:w="918" w:type="pct"/>
            <w:noWrap/>
          </w:tcPr>
          <w:p w14:paraId="296CF3A8"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63</w:t>
            </w:r>
          </w:p>
        </w:tc>
        <w:tc>
          <w:tcPr>
            <w:tcW w:w="918" w:type="pct"/>
            <w:noWrap/>
          </w:tcPr>
          <w:p w14:paraId="53CC2B1A"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noWrap/>
          </w:tcPr>
          <w:p w14:paraId="5A9E71B1"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79</w:t>
            </w:r>
          </w:p>
        </w:tc>
        <w:tc>
          <w:tcPr>
            <w:tcW w:w="759" w:type="pct"/>
            <w:noWrap/>
          </w:tcPr>
          <w:p w14:paraId="0B7C66B3"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Good</w:t>
            </w:r>
          </w:p>
        </w:tc>
      </w:tr>
      <w:tr w:rsidR="005F275F" w:rsidRPr="004E484A" w14:paraId="41B0959A" w14:textId="77777777" w:rsidTr="005F275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39" w:type="pct"/>
            <w:noWrap/>
          </w:tcPr>
          <w:p w14:paraId="4D4E3F8B"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Exile</w:t>
            </w:r>
          </w:p>
        </w:tc>
        <w:tc>
          <w:tcPr>
            <w:tcW w:w="920" w:type="pct"/>
            <w:noWrap/>
          </w:tcPr>
          <w:p w14:paraId="4DE88BDD"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91</w:t>
            </w:r>
          </w:p>
        </w:tc>
        <w:tc>
          <w:tcPr>
            <w:tcW w:w="918" w:type="pct"/>
            <w:noWrap/>
          </w:tcPr>
          <w:p w14:paraId="6D4A8B5A"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95</w:t>
            </w:r>
          </w:p>
        </w:tc>
        <w:tc>
          <w:tcPr>
            <w:tcW w:w="918" w:type="pct"/>
            <w:noWrap/>
          </w:tcPr>
          <w:p w14:paraId="5FD0F561"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noWrap/>
          </w:tcPr>
          <w:p w14:paraId="6E62637A"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93</w:t>
            </w:r>
          </w:p>
        </w:tc>
        <w:tc>
          <w:tcPr>
            <w:tcW w:w="759" w:type="pct"/>
            <w:noWrap/>
          </w:tcPr>
          <w:p w14:paraId="4F8F25F9"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Very Good</w:t>
            </w:r>
          </w:p>
        </w:tc>
      </w:tr>
      <w:tr w:rsidR="005F275F" w:rsidRPr="004E484A" w14:paraId="46B2087C" w14:textId="77777777" w:rsidTr="005F275F">
        <w:trPr>
          <w:trHeight w:val="248"/>
        </w:trPr>
        <w:tc>
          <w:tcPr>
            <w:cnfStyle w:val="001000000000" w:firstRow="0" w:lastRow="0" w:firstColumn="1" w:lastColumn="0" w:oddVBand="0" w:evenVBand="0" w:oddHBand="0" w:evenHBand="0" w:firstRowFirstColumn="0" w:firstRowLastColumn="0" w:lastRowFirstColumn="0" w:lastRowLastColumn="0"/>
            <w:tcW w:w="839" w:type="pct"/>
            <w:noWrap/>
          </w:tcPr>
          <w:p w14:paraId="2E680E1D"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IP-1</w:t>
            </w:r>
          </w:p>
        </w:tc>
        <w:tc>
          <w:tcPr>
            <w:tcW w:w="920" w:type="pct"/>
            <w:noWrap/>
          </w:tcPr>
          <w:p w14:paraId="68F227DA"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81</w:t>
            </w:r>
          </w:p>
        </w:tc>
        <w:tc>
          <w:tcPr>
            <w:tcW w:w="918" w:type="pct"/>
            <w:noWrap/>
          </w:tcPr>
          <w:p w14:paraId="2CEFD4AD"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99</w:t>
            </w:r>
          </w:p>
        </w:tc>
        <w:tc>
          <w:tcPr>
            <w:tcW w:w="918" w:type="pct"/>
            <w:noWrap/>
          </w:tcPr>
          <w:p w14:paraId="07BEBBB4"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83</w:t>
            </w:r>
          </w:p>
        </w:tc>
        <w:tc>
          <w:tcPr>
            <w:tcW w:w="646" w:type="pct"/>
            <w:noWrap/>
          </w:tcPr>
          <w:p w14:paraId="3B33AD7A"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88</w:t>
            </w:r>
          </w:p>
        </w:tc>
        <w:tc>
          <w:tcPr>
            <w:tcW w:w="759" w:type="pct"/>
            <w:noWrap/>
          </w:tcPr>
          <w:p w14:paraId="4892E6EE"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Very good</w:t>
            </w:r>
          </w:p>
        </w:tc>
      </w:tr>
      <w:tr w:rsidR="005F275F" w:rsidRPr="004E484A" w14:paraId="2CABF3CC" w14:textId="77777777" w:rsidTr="005F275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39" w:type="pct"/>
            <w:noWrap/>
          </w:tcPr>
          <w:p w14:paraId="36FC5696"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IP-2</w:t>
            </w:r>
          </w:p>
        </w:tc>
        <w:tc>
          <w:tcPr>
            <w:tcW w:w="920" w:type="pct"/>
            <w:noWrap/>
          </w:tcPr>
          <w:p w14:paraId="099294A8"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67</w:t>
            </w:r>
          </w:p>
        </w:tc>
        <w:tc>
          <w:tcPr>
            <w:tcW w:w="918" w:type="pct"/>
            <w:noWrap/>
          </w:tcPr>
          <w:p w14:paraId="575DB48A"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100</w:t>
            </w:r>
          </w:p>
        </w:tc>
        <w:tc>
          <w:tcPr>
            <w:tcW w:w="918" w:type="pct"/>
            <w:noWrap/>
          </w:tcPr>
          <w:p w14:paraId="40E40539"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72</w:t>
            </w:r>
          </w:p>
        </w:tc>
        <w:tc>
          <w:tcPr>
            <w:tcW w:w="646" w:type="pct"/>
            <w:noWrap/>
          </w:tcPr>
          <w:p w14:paraId="06A9358D"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80</w:t>
            </w:r>
          </w:p>
        </w:tc>
        <w:tc>
          <w:tcPr>
            <w:tcW w:w="759" w:type="pct"/>
            <w:noWrap/>
          </w:tcPr>
          <w:p w14:paraId="24780D89"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Good</w:t>
            </w:r>
          </w:p>
        </w:tc>
      </w:tr>
      <w:tr w:rsidR="005F275F" w:rsidRPr="004E484A" w14:paraId="088C9A0A" w14:textId="77777777" w:rsidTr="005F275F">
        <w:trPr>
          <w:trHeight w:val="258"/>
        </w:trPr>
        <w:tc>
          <w:tcPr>
            <w:cnfStyle w:val="001000000000" w:firstRow="0" w:lastRow="0" w:firstColumn="1" w:lastColumn="0" w:oddVBand="0" w:evenVBand="0" w:oddHBand="0" w:evenHBand="0" w:firstRowFirstColumn="0" w:firstRowLastColumn="0" w:lastRowFirstColumn="0" w:lastRowLastColumn="0"/>
            <w:tcW w:w="839" w:type="pct"/>
            <w:noWrap/>
          </w:tcPr>
          <w:p w14:paraId="5BB4A755"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IP-V1*</w:t>
            </w:r>
          </w:p>
        </w:tc>
        <w:tc>
          <w:tcPr>
            <w:tcW w:w="920" w:type="pct"/>
            <w:noWrap/>
          </w:tcPr>
          <w:p w14:paraId="3C8459FF"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918" w:type="pct"/>
            <w:noWrap/>
          </w:tcPr>
          <w:p w14:paraId="3C7D579D"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74</w:t>
            </w:r>
          </w:p>
        </w:tc>
        <w:tc>
          <w:tcPr>
            <w:tcW w:w="918" w:type="pct"/>
            <w:noWrap/>
          </w:tcPr>
          <w:p w14:paraId="2F9702EB"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95</w:t>
            </w:r>
          </w:p>
        </w:tc>
        <w:tc>
          <w:tcPr>
            <w:tcW w:w="646" w:type="pct"/>
            <w:noWrap/>
          </w:tcPr>
          <w:p w14:paraId="4F57C5E4"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84</w:t>
            </w:r>
          </w:p>
        </w:tc>
        <w:tc>
          <w:tcPr>
            <w:tcW w:w="759" w:type="pct"/>
            <w:noWrap/>
          </w:tcPr>
          <w:p w14:paraId="754F9178"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Good</w:t>
            </w:r>
          </w:p>
        </w:tc>
      </w:tr>
      <w:tr w:rsidR="005F275F" w:rsidRPr="004E484A" w14:paraId="3DF6B8E0" w14:textId="77777777" w:rsidTr="005F275F">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39" w:type="pct"/>
            <w:noWrap/>
          </w:tcPr>
          <w:p w14:paraId="14FE2569"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IP-V4</w:t>
            </w:r>
          </w:p>
        </w:tc>
        <w:tc>
          <w:tcPr>
            <w:tcW w:w="920" w:type="pct"/>
            <w:noWrap/>
          </w:tcPr>
          <w:p w14:paraId="74EDF453"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918" w:type="pct"/>
            <w:noWrap/>
          </w:tcPr>
          <w:p w14:paraId="67C3036B"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71</w:t>
            </w:r>
          </w:p>
        </w:tc>
        <w:tc>
          <w:tcPr>
            <w:tcW w:w="918" w:type="pct"/>
            <w:noWrap/>
          </w:tcPr>
          <w:p w14:paraId="3F671609"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68</w:t>
            </w:r>
          </w:p>
        </w:tc>
        <w:tc>
          <w:tcPr>
            <w:tcW w:w="646" w:type="pct"/>
            <w:noWrap/>
          </w:tcPr>
          <w:p w14:paraId="70C51BE7"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70</w:t>
            </w:r>
          </w:p>
        </w:tc>
        <w:tc>
          <w:tcPr>
            <w:tcW w:w="759" w:type="pct"/>
            <w:noWrap/>
          </w:tcPr>
          <w:p w14:paraId="54CC5571"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Fair</w:t>
            </w:r>
          </w:p>
        </w:tc>
      </w:tr>
      <w:tr w:rsidR="005F275F" w:rsidRPr="004E484A" w14:paraId="27D891BB" w14:textId="77777777" w:rsidTr="005F275F">
        <w:trPr>
          <w:trHeight w:val="248"/>
        </w:trPr>
        <w:tc>
          <w:tcPr>
            <w:cnfStyle w:val="001000000000" w:firstRow="0" w:lastRow="0" w:firstColumn="1" w:lastColumn="0" w:oddVBand="0" w:evenVBand="0" w:oddHBand="0" w:evenHBand="0" w:firstRowFirstColumn="0" w:firstRowLastColumn="0" w:lastRowFirstColumn="0" w:lastRowLastColumn="0"/>
            <w:tcW w:w="839" w:type="pct"/>
            <w:noWrap/>
          </w:tcPr>
          <w:p w14:paraId="3D1F47A3"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Luna Experience</w:t>
            </w:r>
          </w:p>
        </w:tc>
        <w:tc>
          <w:tcPr>
            <w:tcW w:w="920" w:type="pct"/>
            <w:noWrap/>
          </w:tcPr>
          <w:p w14:paraId="740BFF05"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95</w:t>
            </w:r>
          </w:p>
        </w:tc>
        <w:tc>
          <w:tcPr>
            <w:tcW w:w="918" w:type="pct"/>
            <w:noWrap/>
          </w:tcPr>
          <w:p w14:paraId="0B43559C"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100</w:t>
            </w:r>
          </w:p>
        </w:tc>
        <w:tc>
          <w:tcPr>
            <w:tcW w:w="918" w:type="pct"/>
            <w:noWrap/>
          </w:tcPr>
          <w:p w14:paraId="3137FFA4"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100</w:t>
            </w:r>
          </w:p>
        </w:tc>
        <w:tc>
          <w:tcPr>
            <w:tcW w:w="646" w:type="pct"/>
            <w:noWrap/>
          </w:tcPr>
          <w:p w14:paraId="4C56F25F"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98</w:t>
            </w:r>
          </w:p>
        </w:tc>
        <w:tc>
          <w:tcPr>
            <w:tcW w:w="759" w:type="pct"/>
            <w:noWrap/>
          </w:tcPr>
          <w:p w14:paraId="3E9CFE67"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Excellent</w:t>
            </w:r>
          </w:p>
        </w:tc>
      </w:tr>
      <w:tr w:rsidR="005F275F" w:rsidRPr="004E484A" w14:paraId="52EE9648" w14:textId="77777777" w:rsidTr="005F275F">
        <w:trPr>
          <w:cnfStyle w:val="000000100000" w:firstRow="0" w:lastRow="0" w:firstColumn="0" w:lastColumn="0" w:oddVBand="0" w:evenVBand="0" w:oddHBand="1"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839" w:type="pct"/>
            <w:noWrap/>
          </w:tcPr>
          <w:p w14:paraId="3A5B8462"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Milstop</w:t>
            </w:r>
          </w:p>
        </w:tc>
        <w:tc>
          <w:tcPr>
            <w:tcW w:w="920" w:type="pct"/>
            <w:noWrap/>
          </w:tcPr>
          <w:p w14:paraId="63F26816"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98</w:t>
            </w:r>
          </w:p>
        </w:tc>
        <w:tc>
          <w:tcPr>
            <w:tcW w:w="918" w:type="pct"/>
            <w:noWrap/>
          </w:tcPr>
          <w:p w14:paraId="658FEE94"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100</w:t>
            </w:r>
          </w:p>
        </w:tc>
        <w:tc>
          <w:tcPr>
            <w:tcW w:w="918" w:type="pct"/>
            <w:noWrap/>
          </w:tcPr>
          <w:p w14:paraId="5DC094C2"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noWrap/>
          </w:tcPr>
          <w:p w14:paraId="4017AD05"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99</w:t>
            </w:r>
          </w:p>
        </w:tc>
        <w:tc>
          <w:tcPr>
            <w:tcW w:w="759" w:type="pct"/>
            <w:noWrap/>
          </w:tcPr>
          <w:p w14:paraId="67556AC9"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Excellent</w:t>
            </w:r>
          </w:p>
        </w:tc>
      </w:tr>
      <w:tr w:rsidR="005F275F" w:rsidRPr="004E484A" w14:paraId="39D35F4F" w14:textId="77777777" w:rsidTr="005F275F">
        <w:trPr>
          <w:trHeight w:val="248"/>
        </w:trPr>
        <w:tc>
          <w:tcPr>
            <w:cnfStyle w:val="001000000000" w:firstRow="0" w:lastRow="0" w:firstColumn="1" w:lastColumn="0" w:oddVBand="0" w:evenVBand="0" w:oddHBand="0" w:evenHBand="0" w:firstRowFirstColumn="0" w:firstRowLastColumn="0" w:lastRowFirstColumn="0" w:lastRowLastColumn="0"/>
            <w:tcW w:w="839" w:type="pct"/>
            <w:noWrap/>
          </w:tcPr>
          <w:p w14:paraId="26082C43"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Regalia</w:t>
            </w:r>
          </w:p>
        </w:tc>
        <w:tc>
          <w:tcPr>
            <w:tcW w:w="920" w:type="pct"/>
            <w:noWrap/>
          </w:tcPr>
          <w:p w14:paraId="2296D398"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85</w:t>
            </w:r>
          </w:p>
        </w:tc>
        <w:tc>
          <w:tcPr>
            <w:tcW w:w="918" w:type="pct"/>
            <w:noWrap/>
          </w:tcPr>
          <w:p w14:paraId="0F402C1D"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98</w:t>
            </w:r>
          </w:p>
        </w:tc>
        <w:tc>
          <w:tcPr>
            <w:tcW w:w="918" w:type="pct"/>
            <w:noWrap/>
          </w:tcPr>
          <w:p w14:paraId="2BE9095C"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98</w:t>
            </w:r>
          </w:p>
        </w:tc>
        <w:tc>
          <w:tcPr>
            <w:tcW w:w="646" w:type="pct"/>
            <w:noWrap/>
          </w:tcPr>
          <w:p w14:paraId="2618EA70"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94</w:t>
            </w:r>
          </w:p>
        </w:tc>
        <w:tc>
          <w:tcPr>
            <w:tcW w:w="759" w:type="pct"/>
            <w:noWrap/>
          </w:tcPr>
          <w:p w14:paraId="24E68043"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Very good</w:t>
            </w:r>
          </w:p>
        </w:tc>
      </w:tr>
      <w:tr w:rsidR="005F275F" w:rsidRPr="004E484A" w14:paraId="3F3C3B87" w14:textId="77777777" w:rsidTr="005F275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39" w:type="pct"/>
            <w:noWrap/>
          </w:tcPr>
          <w:p w14:paraId="7CFC32C9"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Regalia*</w:t>
            </w:r>
          </w:p>
        </w:tc>
        <w:tc>
          <w:tcPr>
            <w:tcW w:w="920" w:type="pct"/>
            <w:noWrap/>
          </w:tcPr>
          <w:p w14:paraId="72354818"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65</w:t>
            </w:r>
          </w:p>
        </w:tc>
        <w:tc>
          <w:tcPr>
            <w:tcW w:w="918" w:type="pct"/>
            <w:noWrap/>
          </w:tcPr>
          <w:p w14:paraId="011BC353"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98</w:t>
            </w:r>
          </w:p>
        </w:tc>
        <w:tc>
          <w:tcPr>
            <w:tcW w:w="918" w:type="pct"/>
            <w:noWrap/>
          </w:tcPr>
          <w:p w14:paraId="2120EB58"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noWrap/>
          </w:tcPr>
          <w:p w14:paraId="06F15E8C"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82</w:t>
            </w:r>
          </w:p>
        </w:tc>
        <w:tc>
          <w:tcPr>
            <w:tcW w:w="759" w:type="pct"/>
            <w:noWrap/>
          </w:tcPr>
          <w:p w14:paraId="74C4DC16"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Good</w:t>
            </w:r>
          </w:p>
        </w:tc>
      </w:tr>
      <w:tr w:rsidR="005F275F" w:rsidRPr="004E484A" w14:paraId="43FC26AA" w14:textId="77777777" w:rsidTr="005F275F">
        <w:trPr>
          <w:trHeight w:val="258"/>
        </w:trPr>
        <w:tc>
          <w:tcPr>
            <w:cnfStyle w:val="001000000000" w:firstRow="0" w:lastRow="0" w:firstColumn="1" w:lastColumn="0" w:oddVBand="0" w:evenVBand="0" w:oddHBand="0" w:evenHBand="0" w:firstRowFirstColumn="0" w:firstRowLastColumn="0" w:lastRowFirstColumn="0" w:lastRowLastColumn="0"/>
            <w:tcW w:w="839" w:type="pct"/>
            <w:noWrap/>
          </w:tcPr>
          <w:p w14:paraId="04C4921F"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Sil-Matrix</w:t>
            </w:r>
          </w:p>
        </w:tc>
        <w:tc>
          <w:tcPr>
            <w:tcW w:w="920" w:type="pct"/>
            <w:noWrap/>
          </w:tcPr>
          <w:p w14:paraId="04266E35"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90</w:t>
            </w:r>
          </w:p>
        </w:tc>
        <w:tc>
          <w:tcPr>
            <w:tcW w:w="918" w:type="pct"/>
            <w:noWrap/>
          </w:tcPr>
          <w:p w14:paraId="515E8A8B"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85</w:t>
            </w:r>
          </w:p>
        </w:tc>
        <w:tc>
          <w:tcPr>
            <w:tcW w:w="918" w:type="pct"/>
            <w:noWrap/>
          </w:tcPr>
          <w:p w14:paraId="32F5E58A"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noWrap/>
          </w:tcPr>
          <w:p w14:paraId="1E73C051"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88</w:t>
            </w:r>
          </w:p>
        </w:tc>
        <w:tc>
          <w:tcPr>
            <w:tcW w:w="759" w:type="pct"/>
            <w:noWrap/>
          </w:tcPr>
          <w:p w14:paraId="59A5AD74" w14:textId="77777777" w:rsidR="002E4580" w:rsidRPr="004E484A" w:rsidRDefault="002E4580" w:rsidP="005F275F">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Very good</w:t>
            </w:r>
          </w:p>
        </w:tc>
      </w:tr>
      <w:tr w:rsidR="005F275F" w:rsidRPr="004E484A" w14:paraId="1B0AC4DA" w14:textId="77777777" w:rsidTr="005F275F">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839" w:type="pct"/>
            <w:tcBorders>
              <w:bottom w:val="single" w:sz="4" w:space="0" w:color="auto"/>
            </w:tcBorders>
            <w:noWrap/>
          </w:tcPr>
          <w:p w14:paraId="3B641456"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Stargus</w:t>
            </w:r>
          </w:p>
        </w:tc>
        <w:tc>
          <w:tcPr>
            <w:tcW w:w="920" w:type="pct"/>
            <w:tcBorders>
              <w:bottom w:val="single" w:sz="4" w:space="0" w:color="auto"/>
            </w:tcBorders>
            <w:noWrap/>
          </w:tcPr>
          <w:p w14:paraId="096CF326"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76</w:t>
            </w:r>
          </w:p>
        </w:tc>
        <w:tc>
          <w:tcPr>
            <w:tcW w:w="918" w:type="pct"/>
            <w:tcBorders>
              <w:bottom w:val="single" w:sz="4" w:space="0" w:color="auto"/>
            </w:tcBorders>
            <w:noWrap/>
          </w:tcPr>
          <w:p w14:paraId="33B8AC5B"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76</w:t>
            </w:r>
          </w:p>
        </w:tc>
        <w:tc>
          <w:tcPr>
            <w:tcW w:w="918" w:type="pct"/>
            <w:tcBorders>
              <w:bottom w:val="single" w:sz="4" w:space="0" w:color="auto"/>
            </w:tcBorders>
            <w:noWrap/>
          </w:tcPr>
          <w:p w14:paraId="4EB8F7B3"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w:t>
            </w:r>
          </w:p>
        </w:tc>
        <w:tc>
          <w:tcPr>
            <w:tcW w:w="646" w:type="pct"/>
            <w:tcBorders>
              <w:bottom w:val="single" w:sz="4" w:space="0" w:color="auto"/>
            </w:tcBorders>
            <w:noWrap/>
          </w:tcPr>
          <w:p w14:paraId="2903634C"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76</w:t>
            </w:r>
          </w:p>
        </w:tc>
        <w:tc>
          <w:tcPr>
            <w:tcW w:w="759" w:type="pct"/>
            <w:tcBorders>
              <w:bottom w:val="single" w:sz="4" w:space="0" w:color="auto"/>
            </w:tcBorders>
            <w:noWrap/>
          </w:tcPr>
          <w:p w14:paraId="02052937" w14:textId="77777777" w:rsidR="002E4580" w:rsidRPr="004E484A" w:rsidRDefault="002E4580" w:rsidP="005F275F">
            <w:pPr>
              <w:pStyle w:val="NoSpacing"/>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4E484A">
              <w:rPr>
                <w:rFonts w:ascii="Times New Roman" w:hAnsi="Times New Roman" w:cs="Times New Roman"/>
                <w:sz w:val="20"/>
                <w:szCs w:val="20"/>
              </w:rPr>
              <w:t>Good</w:t>
            </w:r>
          </w:p>
        </w:tc>
      </w:tr>
      <w:tr w:rsidR="002E4580" w:rsidRPr="004E484A" w14:paraId="530D2E8E" w14:textId="77777777" w:rsidTr="005F275F">
        <w:trPr>
          <w:trHeight w:val="248"/>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4" w:space="0" w:color="auto"/>
            </w:tcBorders>
            <w:noWrap/>
          </w:tcPr>
          <w:p w14:paraId="072E9693"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eastAsia="Times New Roman" w:hAnsi="Times New Roman" w:cs="Times New Roman"/>
                <w:b w:val="0"/>
                <w:sz w:val="20"/>
                <w:szCs w:val="20"/>
                <w:vertAlign w:val="superscript"/>
              </w:rPr>
              <w:t>y</w:t>
            </w:r>
            <w:r w:rsidRPr="004E484A">
              <w:rPr>
                <w:rFonts w:ascii="Times New Roman" w:eastAsia="Times New Roman" w:hAnsi="Times New Roman" w:cs="Times New Roman"/>
                <w:b w:val="0"/>
                <w:sz w:val="20"/>
                <w:szCs w:val="20"/>
              </w:rPr>
              <w:t xml:space="preserve"> Index AUDPC reduction: d</w:t>
            </w:r>
            <w:r w:rsidRPr="004E484A">
              <w:rPr>
                <w:rFonts w:ascii="Times New Roman" w:hAnsi="Times New Roman" w:cs="Times New Roman"/>
                <w:b w:val="0"/>
                <w:sz w:val="20"/>
                <w:szCs w:val="20"/>
              </w:rPr>
              <w:t xml:space="preserve">isease reduction was calculated using the equation: ((disease rating for untreated – disease rating for a treatment)/disease rating for untreated) *100. </w:t>
            </w:r>
          </w:p>
          <w:p w14:paraId="21533270"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vertAlign w:val="superscript"/>
              </w:rPr>
              <w:t>z</w:t>
            </w:r>
            <w:r w:rsidRPr="004E484A">
              <w:rPr>
                <w:rFonts w:ascii="Times New Roman" w:hAnsi="Times New Roman" w:cs="Times New Roman"/>
                <w:b w:val="0"/>
                <w:sz w:val="20"/>
                <w:szCs w:val="20"/>
              </w:rPr>
              <w:t xml:space="preserve"> Efficacy categories ranged from an excellent to a fair efficacy category. Average index AUDPC reduction from 100% to 96% was “excellent”, 95% to 86% was “very good”, 85% to 76% was “good”, and 75% to 66% was “Fair”.</w:t>
            </w:r>
          </w:p>
          <w:p w14:paraId="0FC2AC89"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 xml:space="preserve">Hyphen (-): treatment was not tested’ </w:t>
            </w:r>
          </w:p>
          <w:p w14:paraId="3A61BFF0" w14:textId="77777777" w:rsidR="002E4580" w:rsidRPr="004E484A" w:rsidRDefault="002E4580" w:rsidP="005F275F">
            <w:pPr>
              <w:pStyle w:val="NoSpacing"/>
              <w:rPr>
                <w:rFonts w:ascii="Times New Roman" w:hAnsi="Times New Roman" w:cs="Times New Roman"/>
                <w:b w:val="0"/>
                <w:sz w:val="20"/>
                <w:szCs w:val="20"/>
              </w:rPr>
            </w:pPr>
            <w:r w:rsidRPr="004E484A">
              <w:rPr>
                <w:rFonts w:ascii="Times New Roman" w:hAnsi="Times New Roman" w:cs="Times New Roman"/>
                <w:b w:val="0"/>
                <w:sz w:val="20"/>
                <w:szCs w:val="20"/>
              </w:rPr>
              <w:t>*Post-inoculation treatment</w:t>
            </w:r>
          </w:p>
        </w:tc>
      </w:tr>
    </w:tbl>
    <w:p w14:paraId="719D7C9B" w14:textId="77777777" w:rsidR="00D20476" w:rsidRPr="004C3997" w:rsidRDefault="00D20476" w:rsidP="00D20476">
      <w:pPr>
        <w:rPr>
          <w:rFonts w:cs="Times New Roman"/>
          <w:szCs w:val="24"/>
        </w:rPr>
      </w:pPr>
      <w:r w:rsidRPr="004C3997">
        <w:rPr>
          <w:rFonts w:cs="Times New Roman"/>
          <w:szCs w:val="24"/>
        </w:rPr>
        <w:br w:type="page"/>
      </w:r>
    </w:p>
    <w:p w14:paraId="41C248FC" w14:textId="70F37A20" w:rsidR="00D20476" w:rsidRPr="004C3997" w:rsidRDefault="005F275F" w:rsidP="00D20476">
      <w:pPr>
        <w:rPr>
          <w:rFonts w:cs="Times New Roman"/>
          <w:szCs w:val="24"/>
        </w:rPr>
      </w:pPr>
      <w:r>
        <w:rPr>
          <w:noProof/>
        </w:rPr>
        <mc:AlternateContent>
          <mc:Choice Requires="wps">
            <w:drawing>
              <wp:anchor distT="0" distB="0" distL="114300" distR="114300" simplePos="0" relativeHeight="251747328" behindDoc="0" locked="0" layoutInCell="1" allowOverlap="1" wp14:anchorId="54D22022" wp14:editId="6D2A8043">
                <wp:simplePos x="0" y="0"/>
                <wp:positionH relativeFrom="column">
                  <wp:posOffset>113030</wp:posOffset>
                </wp:positionH>
                <wp:positionV relativeFrom="paragraph">
                  <wp:posOffset>3145790</wp:posOffset>
                </wp:positionV>
                <wp:extent cx="5613400" cy="1419225"/>
                <wp:effectExtent l="0" t="0" r="6350" b="9525"/>
                <wp:wrapNone/>
                <wp:docPr id="57" name="Text Box 57"/>
                <wp:cNvGraphicFramePr/>
                <a:graphic xmlns:a="http://schemas.openxmlformats.org/drawingml/2006/main">
                  <a:graphicData uri="http://schemas.microsoft.com/office/word/2010/wordprocessingShape">
                    <wps:wsp>
                      <wps:cNvSpPr txBox="1"/>
                      <wps:spPr>
                        <a:xfrm>
                          <a:off x="0" y="0"/>
                          <a:ext cx="5613400" cy="1419225"/>
                        </a:xfrm>
                        <a:prstGeom prst="rect">
                          <a:avLst/>
                        </a:prstGeom>
                        <a:solidFill>
                          <a:prstClr val="white"/>
                        </a:solidFill>
                        <a:ln>
                          <a:noFill/>
                        </a:ln>
                      </wps:spPr>
                      <wps:txbx>
                        <w:txbxContent>
                          <w:p w14:paraId="6C943AF2" w14:textId="46FF481E" w:rsidR="009C2EDC" w:rsidRPr="002E4580" w:rsidRDefault="009C2EDC" w:rsidP="00D20476">
                            <w:pPr>
                              <w:pStyle w:val="Caption"/>
                              <w:rPr>
                                <w:b w:val="0"/>
                                <w:noProof/>
                              </w:rPr>
                            </w:pPr>
                            <w:bookmarkStart w:id="467" w:name="_Toc101049111"/>
                            <w:r w:rsidRPr="002E4580">
                              <w:t>Figure 5.</w:t>
                            </w:r>
                            <w:r w:rsidR="00035AE8">
                              <w:fldChar w:fldCharType="begin"/>
                            </w:r>
                            <w:r w:rsidR="00035AE8">
                              <w:instrText xml:space="preserve"> SEQ Figure_5. \* ARABIC </w:instrText>
                            </w:r>
                            <w:r w:rsidR="00035AE8">
                              <w:fldChar w:fldCharType="separate"/>
                            </w:r>
                            <w:r>
                              <w:rPr>
                                <w:noProof/>
                              </w:rPr>
                              <w:t>1</w:t>
                            </w:r>
                            <w:r w:rsidR="00035AE8">
                              <w:rPr>
                                <w:noProof/>
                              </w:rPr>
                              <w:fldChar w:fldCharType="end"/>
                            </w:r>
                            <w:r w:rsidRPr="002E4580">
                              <w:t>.</w:t>
                            </w:r>
                            <w:r w:rsidRPr="002E4580">
                              <w:rPr>
                                <w:b w:val="0"/>
                              </w:rPr>
                              <w:t xml:space="preserve"> Molecular phylogenetic neighbor-joining tree based on the internal transcribed spacer region (ITS), intergenic spacer (IGS) and β-tubulin nucleotides sequences of 12 </w:t>
                            </w:r>
                            <w:r w:rsidRPr="002E4580">
                              <w:rPr>
                                <w:b w:val="0"/>
                                <w:i/>
                              </w:rPr>
                              <w:t>Golovinomyces</w:t>
                            </w:r>
                            <w:r w:rsidRPr="002E4580">
                              <w:rPr>
                                <w:b w:val="0"/>
                              </w:rPr>
                              <w:t xml:space="preserve"> species reported in the literature and one isolate collected </w:t>
                            </w:r>
                            <w:r w:rsidRPr="002E4580">
                              <w:rPr>
                                <w:rFonts w:eastAsia="Times New Roman" w:cs="Times New Roman"/>
                                <w:b w:val="0"/>
                              </w:rPr>
                              <w:t xml:space="preserve">from powdery mildew infected hemp leaf in Tennessee. </w:t>
                            </w:r>
                            <w:r w:rsidRPr="002E4580">
                              <w:rPr>
                                <w:rFonts w:eastAsia="Palatino-Roman" w:cs="Times New Roman"/>
                                <w:b w:val="0"/>
                              </w:rPr>
                              <w:t>Bootstrap values are shown at branch nodes. All sequences except the TN isolate were collected from Qiu et al. 2020.</w:t>
                            </w:r>
                            <w:bookmarkEnd w:id="4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22022" id="Text Box 57" o:spid="_x0000_s1041" type="#_x0000_t202" style="position:absolute;margin-left:8.9pt;margin-top:247.7pt;width:442pt;height:111.7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" stroked="f">
                <v:textbox inset="0,0,0,0">
                  <w:txbxContent>
                    <w:p w14:paraId="6C943AF2" w14:textId="46FF481E" w:rsidR="009C2EDC" w:rsidRPr="002E4580" w:rsidRDefault="009C2EDC" w:rsidP="00D20476">
                      <w:pPr>
                        <w:pStyle w:val="Caption"/>
                        <w:rPr>
                          <w:b w:val="0"/>
                          <w:noProof/>
                        </w:rPr>
                      </w:pPr>
                      <w:bookmarkStart w:id="477" w:name="_Toc101049111"/>
                      <w:r w:rsidRPr="002E4580">
                        <w:t>Figure 5.</w:t>
                      </w:r>
                      <w:fldSimple w:instr=" SEQ Figure_5. \* ARABIC ">
                        <w:r>
                          <w:rPr>
                            <w:noProof/>
                          </w:rPr>
                          <w:t>1</w:t>
                        </w:r>
                      </w:fldSimple>
                      <w:r w:rsidRPr="002E4580">
                        <w:t>.</w:t>
                      </w:r>
                      <w:r w:rsidRPr="002E4580">
                        <w:rPr>
                          <w:b w:val="0"/>
                        </w:rPr>
                        <w:t xml:space="preserve"> Molecular phylogenetic neighbor-joining tree based on the internal transcribed spacer region (ITS), intergenic spacer (IGS) and β-tubulin nucleotides sequences of 12 </w:t>
                      </w:r>
                      <w:r w:rsidRPr="002E4580">
                        <w:rPr>
                          <w:b w:val="0"/>
                          <w:i/>
                        </w:rPr>
                        <w:t>Golovinomyces</w:t>
                      </w:r>
                      <w:r w:rsidRPr="002E4580">
                        <w:rPr>
                          <w:b w:val="0"/>
                        </w:rPr>
                        <w:t xml:space="preserve"> species reported in the literature and one isolate collected </w:t>
                      </w:r>
                      <w:r w:rsidRPr="002E4580">
                        <w:rPr>
                          <w:rFonts w:eastAsia="Times New Roman" w:cs="Times New Roman"/>
                          <w:b w:val="0"/>
                        </w:rPr>
                        <w:t xml:space="preserve">from powdery mildew infected hemp leaf in Tennessee. </w:t>
                      </w:r>
                      <w:r w:rsidRPr="002E4580">
                        <w:rPr>
                          <w:rFonts w:eastAsia="Palatino-Roman" w:cs="Times New Roman"/>
                          <w:b w:val="0"/>
                        </w:rPr>
                        <w:t>Bootstrap values are shown at branch nodes. All sequences except the TN isolate were collected from Qiu et al. 2020.</w:t>
                      </w:r>
                      <w:bookmarkEnd w:id="477"/>
                    </w:p>
                  </w:txbxContent>
                </v:textbox>
              </v:shape>
            </w:pict>
          </mc:Fallback>
        </mc:AlternateContent>
      </w:r>
      <w:r>
        <w:rPr>
          <w:rFonts w:cs="Times New Roman"/>
          <w:noProof/>
          <w:szCs w:val="24"/>
        </w:rPr>
        <w:drawing>
          <wp:anchor distT="0" distB="0" distL="114300" distR="114300" simplePos="0" relativeHeight="251745280" behindDoc="0" locked="0" layoutInCell="1" allowOverlap="1" wp14:anchorId="394203E2" wp14:editId="12878AC5">
            <wp:simplePos x="0" y="0"/>
            <wp:positionH relativeFrom="column">
              <wp:posOffset>139428</wp:posOffset>
            </wp:positionH>
            <wp:positionV relativeFrom="paragraph">
              <wp:posOffset>456928</wp:posOffset>
            </wp:positionV>
            <wp:extent cx="5555343" cy="2315134"/>
            <wp:effectExtent l="19050" t="19050" r="26670" b="2857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pic:cNvPicPr>
                      <a:picLocks noChangeAspect="1"/>
                    </pic:cNvPicPr>
                  </pic:nvPicPr>
                  <pic:blipFill rotWithShape="1">
                    <a:blip r:embed="rId131">
                      <a:extLst>
                        <a:ext uri="{28A0092B-C50C-407E-A947-70E740481C1C}">
                          <a14:useLocalDpi xmlns:a14="http://schemas.microsoft.com/office/drawing/2010/main" val="0"/>
                        </a:ext>
                      </a:extLst>
                    </a:blip>
                    <a:srcRect r="2853"/>
                    <a:stretch/>
                  </pic:blipFill>
                  <pic:spPr bwMode="auto">
                    <a:xfrm>
                      <a:off x="0" y="0"/>
                      <a:ext cx="5555343" cy="2315134"/>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0476" w:rsidRPr="004C3997">
        <w:rPr>
          <w:rFonts w:cs="Times New Roman"/>
          <w:szCs w:val="24"/>
        </w:rPr>
        <w:br w:type="page"/>
      </w:r>
    </w:p>
    <w:p w14:paraId="5576BCFE" w14:textId="1BDCCC89" w:rsidR="00D20476" w:rsidRPr="004C3997" w:rsidRDefault="005F275F" w:rsidP="00D20476">
      <w:pPr>
        <w:rPr>
          <w:rFonts w:cs="Times New Roman"/>
          <w:szCs w:val="24"/>
        </w:rPr>
        <w:sectPr w:rsidR="00D20476" w:rsidRPr="004C3997" w:rsidSect="006F7E26">
          <w:footerReference w:type="default" r:id="rId132"/>
          <w:pgSz w:w="12240" w:h="15840" w:code="1"/>
          <w:pgMar w:top="1440" w:right="1440" w:bottom="1440" w:left="1440" w:header="720" w:footer="1440" w:gutter="0"/>
          <w:cols w:space="720"/>
          <w:docGrid w:linePitch="360"/>
        </w:sectPr>
      </w:pPr>
      <w:r w:rsidRPr="004C3997">
        <w:rPr>
          <w:rFonts w:cs="Times New Roman"/>
          <w:noProof/>
          <w:szCs w:val="24"/>
        </w:rPr>
        <w:drawing>
          <wp:anchor distT="0" distB="0" distL="114300" distR="114300" simplePos="0" relativeHeight="251746304" behindDoc="1" locked="0" layoutInCell="1" allowOverlap="1" wp14:anchorId="5EA875F0" wp14:editId="74E367ED">
            <wp:simplePos x="0" y="0"/>
            <wp:positionH relativeFrom="column">
              <wp:posOffset>85452</wp:posOffset>
            </wp:positionH>
            <wp:positionV relativeFrom="paragraph">
              <wp:posOffset>451757</wp:posOffset>
            </wp:positionV>
            <wp:extent cx="5443855" cy="3088005"/>
            <wp:effectExtent l="0" t="0" r="4445" b="0"/>
            <wp:wrapTight wrapText="bothSides">
              <wp:wrapPolygon edited="0">
                <wp:start x="0" y="0"/>
                <wp:lineTo x="0" y="21453"/>
                <wp:lineTo x="21542" y="21453"/>
                <wp:lineTo x="2154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igure 1.png"/>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443855" cy="308800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8352" behindDoc="1" locked="0" layoutInCell="1" allowOverlap="1" wp14:anchorId="553FA92D" wp14:editId="5316F06C">
                <wp:simplePos x="0" y="0"/>
                <wp:positionH relativeFrom="column">
                  <wp:posOffset>171904</wp:posOffset>
                </wp:positionH>
                <wp:positionV relativeFrom="paragraph">
                  <wp:posOffset>3657328</wp:posOffset>
                </wp:positionV>
                <wp:extent cx="5350510" cy="635"/>
                <wp:effectExtent l="0" t="0" r="2540" b="0"/>
                <wp:wrapTight wrapText="bothSides">
                  <wp:wrapPolygon edited="0">
                    <wp:start x="0" y="0"/>
                    <wp:lineTo x="0" y="19957"/>
                    <wp:lineTo x="21533" y="19957"/>
                    <wp:lineTo x="21533" y="0"/>
                    <wp:lineTo x="0" y="0"/>
                  </wp:wrapPolygon>
                </wp:wrapTight>
                <wp:docPr id="61" name="Text Box 61"/>
                <wp:cNvGraphicFramePr/>
                <a:graphic xmlns:a="http://schemas.openxmlformats.org/drawingml/2006/main">
                  <a:graphicData uri="http://schemas.microsoft.com/office/word/2010/wordprocessingShape">
                    <wps:wsp>
                      <wps:cNvSpPr txBox="1"/>
                      <wps:spPr>
                        <a:xfrm>
                          <a:off x="0" y="0"/>
                          <a:ext cx="5350510" cy="635"/>
                        </a:xfrm>
                        <a:prstGeom prst="rect">
                          <a:avLst/>
                        </a:prstGeom>
                        <a:solidFill>
                          <a:prstClr val="white"/>
                        </a:solidFill>
                        <a:ln>
                          <a:noFill/>
                        </a:ln>
                      </wps:spPr>
                      <wps:txbx>
                        <w:txbxContent>
                          <w:p w14:paraId="0DA638AC" w14:textId="665324E5" w:rsidR="009C2EDC" w:rsidRPr="005F275F" w:rsidRDefault="009C2EDC" w:rsidP="00D20476">
                            <w:pPr>
                              <w:pStyle w:val="Caption"/>
                              <w:rPr>
                                <w:rFonts w:cs="Times New Roman"/>
                                <w:b w:val="0"/>
                                <w:noProof/>
                              </w:rPr>
                            </w:pPr>
                            <w:bookmarkStart w:id="468" w:name="_Toc101049112"/>
                            <w:r w:rsidRPr="005F275F">
                              <w:t>Figure 5.</w:t>
                            </w:r>
                            <w:r w:rsidR="00035AE8">
                              <w:fldChar w:fldCharType="begin"/>
                            </w:r>
                            <w:r w:rsidR="00035AE8">
                              <w:instrText xml:space="preserve"> SEQ Figure_5. \* ARABIC </w:instrText>
                            </w:r>
                            <w:r w:rsidR="00035AE8">
                              <w:fldChar w:fldCharType="separate"/>
                            </w:r>
                            <w:r>
                              <w:rPr>
                                <w:noProof/>
                              </w:rPr>
                              <w:t>2</w:t>
                            </w:r>
                            <w:r w:rsidR="00035AE8">
                              <w:rPr>
                                <w:noProof/>
                              </w:rPr>
                              <w:fldChar w:fldCharType="end"/>
                            </w:r>
                            <w:r w:rsidRPr="005F275F">
                              <w:rPr>
                                <w:b w:val="0"/>
                              </w:rPr>
                              <w:t>. Representative images showing differences in powdery mildew symptoms on water-sprayed (control) and select fungicide-treated leaves.</w:t>
                            </w:r>
                            <w:bookmarkEnd w:id="46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53FA92D" id="Text Box 61" o:spid="_x0000_s1042" type="#_x0000_t202" style="position:absolute;margin-left:13.55pt;margin-top:4in;width:421.3pt;height:.05pt;z-index:-251568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" stroked="f">
                <v:textbox style="mso-fit-shape-to-text:t" inset="0,0,0,0">
                  <w:txbxContent>
                    <w:p w14:paraId="0DA638AC" w14:textId="665324E5" w:rsidR="009C2EDC" w:rsidRPr="005F275F" w:rsidRDefault="009C2EDC" w:rsidP="00D20476">
                      <w:pPr>
                        <w:pStyle w:val="Caption"/>
                        <w:rPr>
                          <w:rFonts w:cs="Times New Roman"/>
                          <w:b w:val="0"/>
                          <w:noProof/>
                        </w:rPr>
                      </w:pPr>
                      <w:bookmarkStart w:id="479" w:name="_Toc101049112"/>
                      <w:r w:rsidRPr="005F275F">
                        <w:t>Figure 5.</w:t>
                      </w:r>
                      <w:fldSimple w:instr=" SEQ Figure_5. \* ARABIC ">
                        <w:r>
                          <w:rPr>
                            <w:noProof/>
                          </w:rPr>
                          <w:t>2</w:t>
                        </w:r>
                      </w:fldSimple>
                      <w:r w:rsidRPr="005F275F">
                        <w:rPr>
                          <w:b w:val="0"/>
                        </w:rPr>
                        <w:t>. Representative images showing differences in powdery mildew symptoms on water-sprayed (control) and select fungicide-treated leaves.</w:t>
                      </w:r>
                      <w:bookmarkEnd w:id="479"/>
                    </w:p>
                  </w:txbxContent>
                </v:textbox>
                <w10:wrap type="tight"/>
              </v:shape>
            </w:pict>
          </mc:Fallback>
        </mc:AlternateContent>
      </w:r>
      <w:r w:rsidR="00D20476" w:rsidRPr="004C3997">
        <w:rPr>
          <w:rFonts w:cs="Times New Roman"/>
          <w:szCs w:val="24"/>
        </w:rPr>
        <w:br w:type="page"/>
      </w:r>
    </w:p>
    <w:p w14:paraId="473D471F" w14:textId="77777777" w:rsidR="00D20476" w:rsidRPr="004C3997" w:rsidRDefault="00D20476" w:rsidP="00D20476">
      <w:pPr>
        <w:rPr>
          <w:rFonts w:cs="Times New Roman"/>
          <w:szCs w:val="24"/>
        </w:rPr>
      </w:pPr>
    </w:p>
    <w:p w14:paraId="14DE4ADA" w14:textId="77777777" w:rsidR="00D20476" w:rsidRPr="004C3997" w:rsidRDefault="00D20476" w:rsidP="00D20476">
      <w:pPr>
        <w:rPr>
          <w:rFonts w:cs="Times New Roman"/>
          <w:szCs w:val="24"/>
        </w:rPr>
      </w:pPr>
    </w:p>
    <w:p w14:paraId="2EEA57D3" w14:textId="73A9AA28" w:rsidR="00D20476" w:rsidRDefault="00102AAA" w:rsidP="00D20476">
      <w:pPr>
        <w:pStyle w:val="NormalWeb"/>
        <w:spacing w:before="0" w:beforeAutospacing="0" w:after="0" w:afterAutospacing="0"/>
        <w:ind w:left="1260" w:hanging="540"/>
      </w:pPr>
      <w:r>
        <w:rPr>
          <w:noProof/>
        </w:rPr>
        <w:drawing>
          <wp:anchor distT="0" distB="0" distL="114300" distR="114300" simplePos="0" relativeHeight="251750400" behindDoc="0" locked="0" layoutInCell="1" allowOverlap="1" wp14:anchorId="4EF1B319" wp14:editId="7A8CE103">
            <wp:simplePos x="0" y="0"/>
            <wp:positionH relativeFrom="column">
              <wp:posOffset>338667</wp:posOffset>
            </wp:positionH>
            <wp:positionV relativeFrom="paragraph">
              <wp:posOffset>174413</wp:posOffset>
            </wp:positionV>
            <wp:extent cx="5279409" cy="3175421"/>
            <wp:effectExtent l="0" t="0" r="0" b="6350"/>
            <wp:wrapNone/>
            <wp:docPr id="10"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8"/>
                    <pic:cNvPicPr>
                      <a:picLocks noChangeAspect="1"/>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279409" cy="3175421"/>
                    </a:xfrm>
                    <a:prstGeom prst="rect">
                      <a:avLst/>
                    </a:prstGeom>
                  </pic:spPr>
                </pic:pic>
              </a:graphicData>
            </a:graphic>
          </wp:anchor>
        </w:drawing>
      </w:r>
    </w:p>
    <w:p w14:paraId="6F381031" w14:textId="06FBB9CD" w:rsidR="00D20476" w:rsidRPr="008E2CD0" w:rsidRDefault="00D20476" w:rsidP="00D20476">
      <w:pPr>
        <w:pStyle w:val="Heading1"/>
        <w:ind w:left="720"/>
      </w:pPr>
    </w:p>
    <w:p w14:paraId="7CF989E3" w14:textId="6467F709" w:rsidR="00D20476" w:rsidRDefault="00102AAA">
      <w:pPr>
        <w:rPr>
          <w:b/>
          <w:bCs/>
          <w:sz w:val="32"/>
          <w:szCs w:val="32"/>
        </w:rPr>
      </w:pPr>
      <w:r>
        <w:rPr>
          <w:noProof/>
        </w:rPr>
        <mc:AlternateContent>
          <mc:Choice Requires="wps">
            <w:drawing>
              <wp:anchor distT="0" distB="0" distL="114300" distR="114300" simplePos="0" relativeHeight="251753472" behindDoc="0" locked="0" layoutInCell="1" allowOverlap="1" wp14:anchorId="5ED98C72" wp14:editId="3B8D999E">
                <wp:simplePos x="0" y="0"/>
                <wp:positionH relativeFrom="column">
                  <wp:posOffset>237067</wp:posOffset>
                </wp:positionH>
                <wp:positionV relativeFrom="paragraph">
                  <wp:posOffset>3105150</wp:posOffset>
                </wp:positionV>
                <wp:extent cx="5613400" cy="922867"/>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5613400" cy="922867"/>
                        </a:xfrm>
                        <a:prstGeom prst="rect">
                          <a:avLst/>
                        </a:prstGeom>
                        <a:solidFill>
                          <a:schemeClr val="lt1"/>
                        </a:solidFill>
                        <a:ln w="6350">
                          <a:noFill/>
                        </a:ln>
                      </wps:spPr>
                      <wps:txbx>
                        <w:txbxContent>
                          <w:p w14:paraId="47D8C5B7" w14:textId="51C3125A" w:rsidR="009C2EDC" w:rsidRPr="004C5552" w:rsidRDefault="009C2EDC" w:rsidP="00102AAA">
                            <w:pPr>
                              <w:pStyle w:val="Caption"/>
                              <w:rPr>
                                <w:rFonts w:cs="Times New Roman"/>
                                <w:b w:val="0"/>
                              </w:rPr>
                            </w:pPr>
                            <w:bookmarkStart w:id="469" w:name="_Toc101049113"/>
                            <w:r w:rsidRPr="00A11CC9">
                              <w:t>Figure 5.</w:t>
                            </w:r>
                            <w:r w:rsidR="00035AE8">
                              <w:fldChar w:fldCharType="begin"/>
                            </w:r>
                            <w:r w:rsidR="00035AE8">
                              <w:instrText xml:space="preserve"> SEQ Figure_5. \* ARABIC </w:instrText>
                            </w:r>
                            <w:r w:rsidR="00035AE8">
                              <w:fldChar w:fldCharType="separate"/>
                            </w:r>
                            <w:r>
                              <w:rPr>
                                <w:noProof/>
                              </w:rPr>
                              <w:t>3</w:t>
                            </w:r>
                            <w:r w:rsidR="00035AE8">
                              <w:rPr>
                                <w:noProof/>
                              </w:rPr>
                              <w:fldChar w:fldCharType="end"/>
                            </w:r>
                            <w:r w:rsidRPr="00A11CC9">
                              <w:t xml:space="preserve">. </w:t>
                            </w:r>
                            <w:r w:rsidRPr="004C5552">
                              <w:rPr>
                                <w:b w:val="0"/>
                              </w:rPr>
                              <w:t xml:space="preserve">Index Area Under the Disease Progress Curve (AUDPC) for treatments in Experiment 1 (a), Experiment 2, (b) and Experiment 3 (c). Bars sharing any of the same letters within each experiment are not significantly different (Tukey test, α = 0.05). </w:t>
                            </w:r>
                            <w:r w:rsidRPr="004C5552">
                              <w:rPr>
                                <w:rFonts w:cs="Times New Roman"/>
                                <w:b w:val="0"/>
                              </w:rPr>
                              <w:t>Asterisk (*) = post-inoculation treatment</w:t>
                            </w:r>
                            <w:bookmarkEnd w:id="46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98C72" id="Text Box 3" o:spid="_x0000_s1043" type="#_x0000_t202" style="position:absolute;margin-left:18.65pt;margin-top:244.5pt;width:442pt;height:72.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" fillcolor="white [3201]" stroked="f" strokeweight=".5pt">
                <v:textbox>
                  <w:txbxContent>
                    <w:p w14:paraId="47D8C5B7" w14:textId="51C3125A" w:rsidR="009C2EDC" w:rsidRPr="004C5552" w:rsidRDefault="009C2EDC" w:rsidP="00102AAA">
                      <w:pPr>
                        <w:pStyle w:val="Caption"/>
                        <w:rPr>
                          <w:rFonts w:cs="Times New Roman"/>
                          <w:b w:val="0"/>
                        </w:rPr>
                      </w:pPr>
                      <w:bookmarkStart w:id="481" w:name="_Toc101049113"/>
                      <w:r w:rsidRPr="00A11CC9">
                        <w:t>Figure 5.</w:t>
                      </w:r>
                      <w:fldSimple w:instr=" SEQ Figure_5. \* ARABIC ">
                        <w:r>
                          <w:rPr>
                            <w:noProof/>
                          </w:rPr>
                          <w:t>3</w:t>
                        </w:r>
                      </w:fldSimple>
                      <w:r w:rsidRPr="00A11CC9">
                        <w:t xml:space="preserve">. </w:t>
                      </w:r>
                      <w:r w:rsidRPr="004C5552">
                        <w:rPr>
                          <w:b w:val="0"/>
                        </w:rPr>
                        <w:t xml:space="preserve">Index Area Under the Disease Progress Curve (AUDPC) for treatments in Experiment 1 (a), Experiment 2, (b) and Experiment 3 (c). Bars sharing any of the same letters within each experiment are not significantly different (Tukey test, α = 0.05). </w:t>
                      </w:r>
                      <w:r w:rsidRPr="004C5552">
                        <w:rPr>
                          <w:rFonts w:cs="Times New Roman"/>
                          <w:b w:val="0"/>
                        </w:rPr>
                        <w:t>Asterisk (*) = post-inoculation treatment</w:t>
                      </w:r>
                      <w:bookmarkEnd w:id="481"/>
                    </w:p>
                  </w:txbxContent>
                </v:textbox>
              </v:shape>
            </w:pict>
          </mc:Fallback>
        </mc:AlternateContent>
      </w:r>
      <w:r w:rsidR="00D20476">
        <w:br w:type="page"/>
      </w:r>
    </w:p>
    <w:p w14:paraId="6D00941B" w14:textId="79DD0245" w:rsidR="005D0AE4" w:rsidRPr="005F275F" w:rsidRDefault="0090512B" w:rsidP="005F275F">
      <w:pPr>
        <w:pStyle w:val="Title"/>
        <w:ind w:left="720"/>
        <w:rPr>
          <w:sz w:val="28"/>
          <w:szCs w:val="28"/>
        </w:rPr>
      </w:pPr>
      <w:r w:rsidRPr="005F275F">
        <w:rPr>
          <w:sz w:val="28"/>
          <w:szCs w:val="28"/>
        </w:rPr>
        <w:t>CHAPTER VI. CONCLUSION</w:t>
      </w:r>
      <w:bookmarkEnd w:id="378"/>
      <w:bookmarkEnd w:id="379"/>
      <w:bookmarkEnd w:id="380"/>
      <w:r w:rsidR="005F396F" w:rsidRPr="005F275F">
        <w:rPr>
          <w:sz w:val="28"/>
          <w:szCs w:val="28"/>
        </w:rPr>
        <w:t>S</w:t>
      </w:r>
    </w:p>
    <w:p w14:paraId="06E71868" w14:textId="4F3EA569" w:rsidR="00A76CBA" w:rsidRPr="005D0AE4" w:rsidRDefault="00A76CBA" w:rsidP="004E11C2">
      <w:pPr>
        <w:spacing w:line="360" w:lineRule="auto"/>
        <w:ind w:left="720"/>
        <w:rPr>
          <w:rFonts w:cs="Times New Roman"/>
          <w:b/>
          <w:bCs/>
          <w:sz w:val="28"/>
          <w:szCs w:val="28"/>
        </w:rPr>
      </w:pPr>
    </w:p>
    <w:p w14:paraId="1171B7AA" w14:textId="77777777" w:rsidR="00334ECE" w:rsidRPr="00306B3F" w:rsidRDefault="00334ECE" w:rsidP="004E11C2">
      <w:pPr>
        <w:spacing w:line="360" w:lineRule="auto"/>
        <w:ind w:left="720" w:firstLine="720"/>
        <w:rPr>
          <w:rFonts w:cs="Times New Roman"/>
          <w:szCs w:val="24"/>
        </w:rPr>
      </w:pPr>
      <w:r w:rsidRPr="00306B3F">
        <w:rPr>
          <w:rFonts w:cs="Times New Roman"/>
          <w:szCs w:val="24"/>
        </w:rPr>
        <w:t xml:space="preserve">The first objective of the study reported in Chapter II was to </w:t>
      </w:r>
      <w:r>
        <w:rPr>
          <w:rFonts w:cs="Times New Roman"/>
          <w:szCs w:val="24"/>
        </w:rPr>
        <w:t>assess</w:t>
      </w:r>
      <w:r w:rsidRPr="00306B3F">
        <w:rPr>
          <w:rFonts w:cs="Times New Roman"/>
          <w:szCs w:val="24"/>
        </w:rPr>
        <w:t xml:space="preserve"> the dynamics of plant</w:t>
      </w:r>
      <w:r>
        <w:rPr>
          <w:rFonts w:cs="Times New Roman"/>
          <w:szCs w:val="24"/>
        </w:rPr>
        <w:t>-</w:t>
      </w:r>
      <w:r w:rsidRPr="00306B3F">
        <w:rPr>
          <w:rFonts w:cs="Times New Roman"/>
          <w:szCs w:val="24"/>
        </w:rPr>
        <w:t>parasitic nematode populations across row</w:t>
      </w:r>
      <w:r>
        <w:rPr>
          <w:rFonts w:cs="Times New Roman"/>
          <w:szCs w:val="24"/>
        </w:rPr>
        <w:t>-</w:t>
      </w:r>
      <w:r w:rsidRPr="00306B3F">
        <w:rPr>
          <w:rFonts w:cs="Times New Roman"/>
          <w:szCs w:val="24"/>
        </w:rPr>
        <w:t xml:space="preserve">crop fields in Tennessee. This information </w:t>
      </w:r>
      <w:r>
        <w:rPr>
          <w:rFonts w:cs="Times New Roman"/>
          <w:szCs w:val="24"/>
        </w:rPr>
        <w:t>helps</w:t>
      </w:r>
      <w:r w:rsidRPr="00306B3F">
        <w:rPr>
          <w:rFonts w:cs="Times New Roman"/>
          <w:szCs w:val="24"/>
        </w:rPr>
        <w:t xml:space="preserve"> facilitate improved </w:t>
      </w:r>
      <w:r>
        <w:rPr>
          <w:rFonts w:cs="Times New Roman"/>
          <w:szCs w:val="24"/>
        </w:rPr>
        <w:t>management</w:t>
      </w:r>
      <w:r w:rsidRPr="00306B3F">
        <w:rPr>
          <w:rFonts w:cs="Times New Roman"/>
          <w:szCs w:val="24"/>
        </w:rPr>
        <w:t xml:space="preserve"> of nematodes and avoid field crop damage </w:t>
      </w:r>
      <w:r>
        <w:rPr>
          <w:rFonts w:cs="Times New Roman"/>
          <w:szCs w:val="24"/>
        </w:rPr>
        <w:t>from</w:t>
      </w:r>
      <w:r w:rsidRPr="00306B3F">
        <w:rPr>
          <w:rFonts w:cs="Times New Roman"/>
          <w:szCs w:val="24"/>
        </w:rPr>
        <w:t xml:space="preserve"> the nematodes. Across all samples collected from 25 counties, fourteen nematode</w:t>
      </w:r>
      <w:r>
        <w:rPr>
          <w:rFonts w:cs="Times New Roman"/>
          <w:szCs w:val="24"/>
        </w:rPr>
        <w:t xml:space="preserve"> genera</w:t>
      </w:r>
      <w:r w:rsidRPr="00306B3F">
        <w:rPr>
          <w:rFonts w:cs="Times New Roman"/>
          <w:szCs w:val="24"/>
        </w:rPr>
        <w:t xml:space="preserve"> were found, suggesting the nematodes are potential threats to field crop production in Tennessee. Populations of spiral, lance, SCN, and root-knot nematodes were either most prevalent or occurred at high densities in samples, indicating that the nematodes demand close monitoring and may require drastic control measures to prevent crop</w:t>
      </w:r>
      <w:r w:rsidR="005D569B">
        <w:rPr>
          <w:rFonts w:cs="Times New Roman"/>
          <w:szCs w:val="24"/>
        </w:rPr>
        <w:t xml:space="preserve"> loss</w:t>
      </w:r>
      <w:r w:rsidRPr="00306B3F">
        <w:rPr>
          <w:rFonts w:cs="Times New Roman"/>
          <w:szCs w:val="24"/>
        </w:rPr>
        <w:t xml:space="preserve">.  The second objective of the Chapter II study was to determine the virulence phenotypes of SCN populations in Tennessee fields. The information was to aid management recommendations for SCN populations. Findings suggest </w:t>
      </w:r>
      <w:r>
        <w:rPr>
          <w:rFonts w:cs="Times New Roman"/>
          <w:szCs w:val="24"/>
        </w:rPr>
        <w:t>there are</w:t>
      </w:r>
      <w:r w:rsidRPr="00306B3F">
        <w:rPr>
          <w:rFonts w:cs="Times New Roman"/>
          <w:szCs w:val="24"/>
        </w:rPr>
        <w:t xml:space="preserve"> virulent SCN phenotypes prevalent in TN fields, with close to 100% of the populations tested able to feed and reproduce on PI 88788 SCN resistance type, and over 60% developed on the Peking resistance type. This suggest</w:t>
      </w:r>
      <w:r>
        <w:rPr>
          <w:rFonts w:cs="Times New Roman"/>
          <w:szCs w:val="24"/>
        </w:rPr>
        <w:t>s</w:t>
      </w:r>
      <w:r w:rsidRPr="00306B3F">
        <w:rPr>
          <w:rFonts w:cs="Times New Roman"/>
          <w:szCs w:val="24"/>
        </w:rPr>
        <w:t xml:space="preserve"> that cultivars developed from th</w:t>
      </w:r>
      <w:r>
        <w:rPr>
          <w:rFonts w:cs="Times New Roman"/>
          <w:szCs w:val="24"/>
        </w:rPr>
        <w:t>ese</w:t>
      </w:r>
      <w:r w:rsidRPr="00306B3F">
        <w:rPr>
          <w:rFonts w:cs="Times New Roman"/>
          <w:szCs w:val="24"/>
        </w:rPr>
        <w:t xml:space="preserve"> resistance types </w:t>
      </w:r>
      <w:r>
        <w:rPr>
          <w:rFonts w:cs="Times New Roman"/>
          <w:szCs w:val="24"/>
        </w:rPr>
        <w:t>could</w:t>
      </w:r>
      <w:r w:rsidRPr="00306B3F">
        <w:rPr>
          <w:rFonts w:cs="Times New Roman"/>
          <w:szCs w:val="24"/>
        </w:rPr>
        <w:t xml:space="preserve"> incur yield loss if grown in fields where the</w:t>
      </w:r>
      <w:r>
        <w:rPr>
          <w:rFonts w:cs="Times New Roman"/>
          <w:szCs w:val="24"/>
        </w:rPr>
        <w:t>se</w:t>
      </w:r>
      <w:r w:rsidRPr="00306B3F">
        <w:rPr>
          <w:rFonts w:cs="Times New Roman"/>
          <w:szCs w:val="24"/>
        </w:rPr>
        <w:t xml:space="preserve"> SCN populations were found</w:t>
      </w:r>
      <w:r>
        <w:rPr>
          <w:rFonts w:cs="Times New Roman"/>
          <w:szCs w:val="24"/>
        </w:rPr>
        <w:t xml:space="preserve"> and SCN population density could increase</w:t>
      </w:r>
      <w:r w:rsidRPr="00306B3F">
        <w:rPr>
          <w:rFonts w:cs="Times New Roman"/>
          <w:szCs w:val="24"/>
        </w:rPr>
        <w:t xml:space="preserve">. </w:t>
      </w:r>
    </w:p>
    <w:p w14:paraId="529FB113" w14:textId="32DD9249" w:rsidR="00334ECE" w:rsidRPr="00306B3F" w:rsidRDefault="00334ECE" w:rsidP="004E11C2">
      <w:pPr>
        <w:spacing w:line="360" w:lineRule="auto"/>
        <w:ind w:left="720" w:firstLine="720"/>
        <w:rPr>
          <w:rFonts w:cs="Times New Roman"/>
          <w:szCs w:val="24"/>
        </w:rPr>
      </w:pPr>
      <w:r w:rsidRPr="00306B3F">
        <w:rPr>
          <w:rFonts w:cs="Times New Roman"/>
          <w:szCs w:val="24"/>
        </w:rPr>
        <w:t xml:space="preserve">The objectives of the study reported in Chapter III were to evaluate the impact of SCN </w:t>
      </w:r>
      <w:r w:rsidRPr="00306B3F">
        <w:rPr>
          <w:rFonts w:cs="Times New Roman"/>
          <w:bCs/>
          <w:szCs w:val="24"/>
        </w:rPr>
        <w:t xml:space="preserve">HG type 1.2.5.7 </w:t>
      </w:r>
      <w:r w:rsidRPr="00306B3F">
        <w:rPr>
          <w:rFonts w:cs="Times New Roman"/>
          <w:noProof/>
          <w:szCs w:val="24"/>
        </w:rPr>
        <w:t>on</w:t>
      </w:r>
      <w:r w:rsidRPr="00306B3F">
        <w:rPr>
          <w:rFonts w:cs="Times New Roman"/>
          <w:szCs w:val="24"/>
        </w:rPr>
        <w:t xml:space="preserve"> soybean NF activity and growth on susceptible and resistant soybean genotypes. The study provide</w:t>
      </w:r>
      <w:r>
        <w:rPr>
          <w:rFonts w:cs="Times New Roman"/>
          <w:szCs w:val="24"/>
        </w:rPr>
        <w:t>s</w:t>
      </w:r>
      <w:r w:rsidRPr="00306B3F">
        <w:rPr>
          <w:rFonts w:cs="Times New Roman"/>
          <w:szCs w:val="24"/>
        </w:rPr>
        <w:t xml:space="preserve"> insights that can facilit</w:t>
      </w:r>
      <w:r>
        <w:rPr>
          <w:rFonts w:cs="Times New Roman"/>
          <w:szCs w:val="24"/>
        </w:rPr>
        <w:t>ate</w:t>
      </w:r>
      <w:r w:rsidRPr="00306B3F">
        <w:rPr>
          <w:rFonts w:cs="Times New Roman"/>
          <w:szCs w:val="24"/>
        </w:rPr>
        <w:t xml:space="preserve"> sustainable and improved management of SCN and prevent yield loss </w:t>
      </w:r>
      <w:r>
        <w:rPr>
          <w:rFonts w:cs="Times New Roman"/>
          <w:szCs w:val="24"/>
        </w:rPr>
        <w:t>from</w:t>
      </w:r>
      <w:r w:rsidRPr="00306B3F">
        <w:rPr>
          <w:rFonts w:cs="Times New Roman"/>
          <w:szCs w:val="24"/>
        </w:rPr>
        <w:t xml:space="preserve"> the nematode. Results suggest that the impact of virulent SCN biotype (HG type 1.2.5.7) on NF activity can vary among susceptible soybean cultivars. The tested population decreased NF activity on one susceptible variety (Williams 82) but did not affect NF activity on another susceptible variety (Ellis) in this study. Results also indicate that NF activity </w:t>
      </w:r>
      <w:r>
        <w:rPr>
          <w:rFonts w:cs="Times New Roman"/>
          <w:szCs w:val="24"/>
        </w:rPr>
        <w:t>on</w:t>
      </w:r>
      <w:r w:rsidRPr="00306B3F">
        <w:rPr>
          <w:rFonts w:cs="Times New Roman"/>
          <w:szCs w:val="24"/>
        </w:rPr>
        <w:t xml:space="preserve"> resistant soybean cultivars are not affected by virulent SCN activity. This was reflected </w:t>
      </w:r>
      <w:r>
        <w:rPr>
          <w:rFonts w:cs="Times New Roman"/>
          <w:szCs w:val="24"/>
        </w:rPr>
        <w:t>i</w:t>
      </w:r>
      <w:r w:rsidRPr="00306B3F">
        <w:rPr>
          <w:rFonts w:cs="Times New Roman"/>
          <w:szCs w:val="24"/>
        </w:rPr>
        <w:t xml:space="preserve">n </w:t>
      </w:r>
      <w:r>
        <w:rPr>
          <w:rFonts w:cs="Times New Roman"/>
          <w:szCs w:val="24"/>
        </w:rPr>
        <w:t xml:space="preserve">the </w:t>
      </w:r>
      <w:r w:rsidRPr="00306B3F">
        <w:rPr>
          <w:rFonts w:cs="Times New Roman"/>
          <w:szCs w:val="24"/>
        </w:rPr>
        <w:t xml:space="preserve">NF activity of PI 88788 </w:t>
      </w:r>
      <w:r>
        <w:rPr>
          <w:rFonts w:cs="Times New Roman"/>
          <w:szCs w:val="24"/>
        </w:rPr>
        <w:t>which</w:t>
      </w:r>
      <w:r w:rsidRPr="00306B3F">
        <w:rPr>
          <w:rFonts w:cs="Times New Roman"/>
          <w:szCs w:val="24"/>
        </w:rPr>
        <w:t xml:space="preserve"> was not affected by SCN in this study. Furthermore, results suggested that SCN activity will more likely affect soybean leaf color, leaf area, and root area than leaf nitrogen content and root length, as the latter group was not affected by SCN activity in this study. </w:t>
      </w:r>
      <w:r>
        <w:rPr>
          <w:rFonts w:cs="Times New Roman"/>
          <w:szCs w:val="24"/>
        </w:rPr>
        <w:t xml:space="preserve">Additionally, </w:t>
      </w:r>
      <w:r w:rsidR="00B8143F">
        <w:rPr>
          <w:rFonts w:cs="Times New Roman"/>
          <w:szCs w:val="24"/>
        </w:rPr>
        <w:t>r</w:t>
      </w:r>
      <w:r w:rsidRPr="00306B3F">
        <w:rPr>
          <w:rFonts w:cs="Times New Roman"/>
          <w:szCs w:val="24"/>
        </w:rPr>
        <w:t xml:space="preserve">esults also </w:t>
      </w:r>
      <w:r>
        <w:rPr>
          <w:rFonts w:cs="Times New Roman"/>
          <w:szCs w:val="24"/>
        </w:rPr>
        <w:t>indicate</w:t>
      </w:r>
      <w:r w:rsidRPr="00306B3F">
        <w:rPr>
          <w:rFonts w:cs="Times New Roman"/>
          <w:szCs w:val="24"/>
        </w:rPr>
        <w:t xml:space="preserve"> that</w:t>
      </w:r>
      <w:r>
        <w:rPr>
          <w:rFonts w:cs="Times New Roman"/>
          <w:szCs w:val="24"/>
        </w:rPr>
        <w:t xml:space="preserve"> it is possible that</w:t>
      </w:r>
      <w:r w:rsidRPr="00306B3F">
        <w:rPr>
          <w:rFonts w:cs="Times New Roman"/>
          <w:szCs w:val="24"/>
        </w:rPr>
        <w:t xml:space="preserve"> SCN can develop highly on a soybean cultivar without diminishing the soybean </w:t>
      </w:r>
      <w:r>
        <w:rPr>
          <w:rFonts w:cs="Times New Roman"/>
          <w:szCs w:val="24"/>
        </w:rPr>
        <w:t>growth and NF activity</w:t>
      </w:r>
      <w:r w:rsidRPr="00306B3F">
        <w:rPr>
          <w:rFonts w:cs="Times New Roman"/>
          <w:szCs w:val="24"/>
        </w:rPr>
        <w:t xml:space="preserve">. This was reflected </w:t>
      </w:r>
      <w:r>
        <w:rPr>
          <w:rFonts w:cs="Times New Roman"/>
          <w:szCs w:val="24"/>
        </w:rPr>
        <w:t>i</w:t>
      </w:r>
      <w:r w:rsidRPr="00306B3F">
        <w:rPr>
          <w:rFonts w:cs="Times New Roman"/>
          <w:szCs w:val="24"/>
        </w:rPr>
        <w:t xml:space="preserve">n Ellis that supported a high SCN population without diminishing NF </w:t>
      </w:r>
      <w:r w:rsidR="00F733D3" w:rsidRPr="00306B3F">
        <w:rPr>
          <w:rFonts w:cs="Times New Roman"/>
          <w:szCs w:val="24"/>
        </w:rPr>
        <w:t>activity</w:t>
      </w:r>
      <w:r w:rsidRPr="00306B3F">
        <w:rPr>
          <w:rFonts w:cs="Times New Roman"/>
          <w:szCs w:val="24"/>
        </w:rPr>
        <w:t xml:space="preserve"> and growth parameters. </w:t>
      </w:r>
      <w:r>
        <w:rPr>
          <w:rFonts w:cs="Times New Roman"/>
          <w:szCs w:val="24"/>
        </w:rPr>
        <w:t>Overall, these results indicate</w:t>
      </w:r>
      <w:r w:rsidRPr="00306B3F">
        <w:rPr>
          <w:rFonts w:cs="Times New Roman"/>
          <w:szCs w:val="24"/>
        </w:rPr>
        <w:t xml:space="preserve"> that </w:t>
      </w:r>
      <w:r>
        <w:rPr>
          <w:rFonts w:cs="Times New Roman"/>
          <w:szCs w:val="24"/>
        </w:rPr>
        <w:t xml:space="preserve">the </w:t>
      </w:r>
      <w:r w:rsidRPr="00306B3F">
        <w:rPr>
          <w:rFonts w:cs="Times New Roman"/>
          <w:szCs w:val="24"/>
        </w:rPr>
        <w:t>effects of virulent SCN on susceptible cultivars can vary, but</w:t>
      </w:r>
      <w:r>
        <w:rPr>
          <w:rFonts w:cs="Times New Roman"/>
          <w:szCs w:val="24"/>
        </w:rPr>
        <w:t xml:space="preserve"> it has limited to no impact on </w:t>
      </w:r>
      <w:r w:rsidRPr="00306B3F">
        <w:rPr>
          <w:rFonts w:cs="Times New Roman"/>
          <w:szCs w:val="24"/>
        </w:rPr>
        <w:t>resistant cultivars</w:t>
      </w:r>
      <w:r>
        <w:rPr>
          <w:rFonts w:cs="Times New Roman"/>
          <w:szCs w:val="24"/>
        </w:rPr>
        <w:t xml:space="preserve"> despite it being able to reproduce on the resistant cultivar tested</w:t>
      </w:r>
      <w:r w:rsidRPr="00306B3F">
        <w:rPr>
          <w:rFonts w:cs="Times New Roman"/>
          <w:szCs w:val="24"/>
        </w:rPr>
        <w:t>.</w:t>
      </w:r>
    </w:p>
    <w:p w14:paraId="53590835" w14:textId="34C26B08" w:rsidR="00334ECE" w:rsidRPr="00306B3F" w:rsidRDefault="00334ECE" w:rsidP="004E11C2">
      <w:pPr>
        <w:spacing w:line="360" w:lineRule="auto"/>
        <w:ind w:left="720" w:firstLine="720"/>
        <w:rPr>
          <w:rFonts w:cs="Times New Roman"/>
          <w:szCs w:val="24"/>
        </w:rPr>
      </w:pPr>
      <w:r w:rsidRPr="00306B3F">
        <w:rPr>
          <w:rFonts w:cs="Times New Roman"/>
          <w:szCs w:val="24"/>
        </w:rPr>
        <w:t xml:space="preserve">The reports in Chapter IV were based on </w:t>
      </w:r>
      <w:r>
        <w:rPr>
          <w:rFonts w:cs="Times New Roman"/>
          <w:szCs w:val="24"/>
        </w:rPr>
        <w:t>two</w:t>
      </w:r>
      <w:r w:rsidRPr="00306B3F">
        <w:rPr>
          <w:rFonts w:cs="Times New Roman"/>
          <w:szCs w:val="24"/>
        </w:rPr>
        <w:t xml:space="preserve"> objectives: (1) </w:t>
      </w:r>
      <w:r w:rsidRPr="00306B3F">
        <w:rPr>
          <w:rFonts w:cs="Times New Roman"/>
          <w:szCs w:val="24"/>
          <w:shd w:val="clear" w:color="auto" w:fill="FFFFFF"/>
        </w:rPr>
        <w:t xml:space="preserve">to identify the impact of microsclerotial inoculum density on </w:t>
      </w:r>
      <w:r w:rsidRPr="00306B3F">
        <w:rPr>
          <w:rFonts w:cs="Times New Roman"/>
          <w:szCs w:val="24"/>
        </w:rPr>
        <w:t>charcoal rot disease severity of soybean, soybean growth and yield, and (</w:t>
      </w:r>
      <w:r>
        <w:rPr>
          <w:rFonts w:cs="Times New Roman"/>
          <w:szCs w:val="24"/>
        </w:rPr>
        <w:t>2</w:t>
      </w:r>
      <w:r w:rsidRPr="00306B3F">
        <w:rPr>
          <w:rFonts w:cs="Times New Roman"/>
          <w:szCs w:val="24"/>
        </w:rPr>
        <w:t xml:space="preserve">) evaluate the impact of two soybean varieties (susceptible and moderately resistant) on the resulting microsclerotial density in soils and plant tissues. Results indicated that densities of </w:t>
      </w:r>
      <w:r w:rsidRPr="00306B3F">
        <w:rPr>
          <w:rFonts w:cs="Times New Roman"/>
          <w:i/>
          <w:szCs w:val="24"/>
        </w:rPr>
        <w:t>M. phaseolina</w:t>
      </w:r>
      <w:r w:rsidRPr="00306B3F">
        <w:rPr>
          <w:rFonts w:cs="Times New Roman"/>
          <w:szCs w:val="24"/>
        </w:rPr>
        <w:t xml:space="preserve"> inoculum that are equivalent 327 CFU/gram of soil can cause disease and yield loss in a greenhouse setting. Also, results suggested that yield loss can occur without an obvious growth reduction by charcoal rot. It is also indicated from </w:t>
      </w:r>
      <w:r>
        <w:rPr>
          <w:rFonts w:cs="Times New Roman"/>
          <w:szCs w:val="24"/>
        </w:rPr>
        <w:t xml:space="preserve">the </w:t>
      </w:r>
      <w:r w:rsidRPr="00306B3F">
        <w:rPr>
          <w:rFonts w:cs="Times New Roman"/>
          <w:szCs w:val="24"/>
        </w:rPr>
        <w:t>results that moderately resistant soybean varieties have the potential of preventing significant disease development by reducing the pathogen inoculum densityDT97-4290, a moderately resistant variety, had a significantly lower microsclerotial density at harvest in this study</w:t>
      </w:r>
      <w:r>
        <w:rPr>
          <w:rFonts w:cs="Times New Roman"/>
          <w:szCs w:val="24"/>
        </w:rPr>
        <w:t>.</w:t>
      </w:r>
      <w:r w:rsidRPr="00306B3F" w:rsidDel="00E04C14">
        <w:rPr>
          <w:rFonts w:cs="Times New Roman"/>
          <w:szCs w:val="24"/>
        </w:rPr>
        <w:t xml:space="preserve"> </w:t>
      </w:r>
      <w:r>
        <w:rPr>
          <w:rFonts w:cs="Times New Roman"/>
          <w:szCs w:val="24"/>
        </w:rPr>
        <w:t>Further i</w:t>
      </w:r>
      <w:r w:rsidRPr="00306B3F">
        <w:rPr>
          <w:rFonts w:cs="Times New Roman"/>
          <w:szCs w:val="24"/>
        </w:rPr>
        <w:t xml:space="preserve">nvestigation of the highest microsclerotial density tested in this study in a microplot field trial would provide additional information and insights into the impact of </w:t>
      </w:r>
      <w:r w:rsidRPr="00306B3F">
        <w:rPr>
          <w:rFonts w:cs="Times New Roman"/>
          <w:i/>
          <w:szCs w:val="24"/>
        </w:rPr>
        <w:t>M. phaseolina</w:t>
      </w:r>
      <w:r w:rsidRPr="00306B3F">
        <w:rPr>
          <w:rFonts w:cs="Times New Roman"/>
          <w:szCs w:val="24"/>
        </w:rPr>
        <w:t xml:space="preserve"> microsclerotial density on charcoal rot severity and subsequent soybean damage and yield loss. </w:t>
      </w:r>
    </w:p>
    <w:p w14:paraId="199CBF16" w14:textId="10111329" w:rsidR="00334ECE" w:rsidRPr="00306B3F" w:rsidRDefault="00334ECE" w:rsidP="004E11C2">
      <w:pPr>
        <w:spacing w:line="360" w:lineRule="auto"/>
        <w:ind w:left="720" w:firstLine="720"/>
        <w:rPr>
          <w:rFonts w:cs="Times New Roman"/>
          <w:szCs w:val="24"/>
        </w:rPr>
      </w:pPr>
      <w:r w:rsidRPr="00306B3F">
        <w:rPr>
          <w:rFonts w:cs="Times New Roman"/>
          <w:szCs w:val="24"/>
        </w:rPr>
        <w:t>Finally, in</w:t>
      </w:r>
      <w:r>
        <w:rPr>
          <w:rFonts w:cs="Times New Roman"/>
          <w:szCs w:val="24"/>
        </w:rPr>
        <w:t xml:space="preserve"> the</w:t>
      </w:r>
      <w:r w:rsidRPr="00306B3F">
        <w:rPr>
          <w:rFonts w:cs="Times New Roman"/>
          <w:szCs w:val="24"/>
        </w:rPr>
        <w:t xml:space="preserve"> </w:t>
      </w:r>
      <w:r>
        <w:rPr>
          <w:rFonts w:cs="Times New Roman"/>
          <w:szCs w:val="24"/>
        </w:rPr>
        <w:t xml:space="preserve">Chapter V </w:t>
      </w:r>
      <w:r w:rsidRPr="00306B3F">
        <w:rPr>
          <w:rFonts w:cs="Times New Roman"/>
          <w:szCs w:val="24"/>
        </w:rPr>
        <w:t xml:space="preserve">study, the objectives were to (1) identify the </w:t>
      </w:r>
      <w:r w:rsidRPr="00306B3F">
        <w:rPr>
          <w:rFonts w:cs="Times New Roman"/>
          <w:i/>
          <w:szCs w:val="24"/>
        </w:rPr>
        <w:t>Golovinomyces species</w:t>
      </w:r>
      <w:r w:rsidRPr="00306B3F">
        <w:rPr>
          <w:rFonts w:cs="Times New Roman"/>
          <w:szCs w:val="24"/>
        </w:rPr>
        <w:t xml:space="preserve"> causing hemp powdery mildew in the greenhouse in Tennessee and (2) </w:t>
      </w:r>
      <w:r w:rsidRPr="00306B3F">
        <w:rPr>
          <w:rFonts w:cs="Times New Roman"/>
          <w:color w:val="0E101A"/>
          <w:szCs w:val="24"/>
        </w:rPr>
        <w:t xml:space="preserve">assess the efficacy of fungicides against the disease in the greenhouse. Results showed that </w:t>
      </w:r>
      <w:r w:rsidRPr="00306B3F">
        <w:rPr>
          <w:rFonts w:cs="Times New Roman"/>
          <w:i/>
          <w:iCs/>
          <w:color w:val="0E101A"/>
          <w:szCs w:val="24"/>
        </w:rPr>
        <w:t>Golovinomyces ambrosiae</w:t>
      </w:r>
      <w:r w:rsidRPr="00306B3F">
        <w:rPr>
          <w:rFonts w:cs="Times New Roman"/>
          <w:color w:val="0E101A"/>
          <w:szCs w:val="24"/>
        </w:rPr>
        <w:t xml:space="preserve"> is the causative pathogen of hemp powdery mildew in Tennessee</w:t>
      </w:r>
      <w:r>
        <w:rPr>
          <w:rFonts w:cs="Times New Roman"/>
          <w:color w:val="0E101A"/>
          <w:szCs w:val="24"/>
        </w:rPr>
        <w:t>. T</w:t>
      </w:r>
      <w:r w:rsidRPr="00306B3F">
        <w:rPr>
          <w:rFonts w:cs="Times New Roman"/>
          <w:color w:val="0E101A"/>
          <w:szCs w:val="24"/>
        </w:rPr>
        <w:t xml:space="preserve">his was shown through internal transcribed spacer (ITS) region, intergenic spacer (IGS) region, and beta-tubulin genes sequencing and based on a phylogenetic analysis containing sequence data from closely related species. Also, eight </w:t>
      </w:r>
      <w:r w:rsidRPr="00306B3F">
        <w:rPr>
          <w:rFonts w:cs="Times New Roman"/>
          <w:szCs w:val="24"/>
        </w:rPr>
        <w:t xml:space="preserve">fungicides (Bonide sulfur, Cinnerate, Defguard, MilStop, Regalia, Sil-Matrix, and Stargus) exhibited varying levels of efficacy against hemp powdery mildew caused by </w:t>
      </w:r>
      <w:r w:rsidRPr="00306B3F">
        <w:rPr>
          <w:rFonts w:cs="Times New Roman"/>
          <w:i/>
          <w:szCs w:val="24"/>
        </w:rPr>
        <w:t xml:space="preserve">G. ambrosiae, </w:t>
      </w:r>
      <w:r w:rsidRPr="00306B3F">
        <w:rPr>
          <w:rFonts w:cs="Times New Roman"/>
          <w:szCs w:val="24"/>
        </w:rPr>
        <w:t>and five of them (Defguard, Exile, Regalia, Sil</w:t>
      </w:r>
      <w:r>
        <w:rPr>
          <w:rFonts w:cs="Times New Roman"/>
          <w:szCs w:val="24"/>
        </w:rPr>
        <w:t>-M</w:t>
      </w:r>
      <w:r w:rsidRPr="00306B3F">
        <w:rPr>
          <w:rFonts w:cs="Times New Roman"/>
          <w:szCs w:val="24"/>
        </w:rPr>
        <w:t>atrix, and Stargus)</w:t>
      </w:r>
      <w:r>
        <w:rPr>
          <w:rFonts w:cs="Times New Roman"/>
          <w:szCs w:val="24"/>
        </w:rPr>
        <w:t xml:space="preserve"> and many other fungicides products</w:t>
      </w:r>
      <w:r w:rsidRPr="00306B3F">
        <w:rPr>
          <w:rFonts w:cs="Times New Roman"/>
          <w:szCs w:val="24"/>
        </w:rPr>
        <w:t xml:space="preserve"> that are </w:t>
      </w:r>
      <w:r>
        <w:rPr>
          <w:rFonts w:cs="Times New Roman"/>
          <w:szCs w:val="24"/>
        </w:rPr>
        <w:t xml:space="preserve">now </w:t>
      </w:r>
      <w:r w:rsidRPr="00306B3F">
        <w:rPr>
          <w:rFonts w:cs="Times New Roman"/>
          <w:szCs w:val="24"/>
        </w:rPr>
        <w:t>registered for use on hemp in Tennessee</w:t>
      </w:r>
      <w:r>
        <w:rPr>
          <w:rFonts w:cs="Times New Roman"/>
          <w:szCs w:val="24"/>
        </w:rPr>
        <w:t xml:space="preserve"> can </w:t>
      </w:r>
      <w:r w:rsidRPr="00306B3F">
        <w:rPr>
          <w:rFonts w:cs="Times New Roman"/>
          <w:szCs w:val="24"/>
        </w:rPr>
        <w:t xml:space="preserve">facilitate effective control of hemp powdery mildew in the greenhouse in Tennessee. </w:t>
      </w:r>
    </w:p>
    <w:p w14:paraId="2D5B5CB3" w14:textId="64D94C43" w:rsidR="00334ECE" w:rsidRPr="00306B3F" w:rsidRDefault="00334ECE" w:rsidP="004E11C2">
      <w:pPr>
        <w:spacing w:line="360" w:lineRule="auto"/>
        <w:ind w:left="720" w:firstLine="720"/>
        <w:rPr>
          <w:rFonts w:cs="Times New Roman"/>
          <w:szCs w:val="24"/>
        </w:rPr>
      </w:pPr>
      <w:r w:rsidRPr="00306B3F">
        <w:rPr>
          <w:rFonts w:cs="Times New Roman"/>
          <w:szCs w:val="24"/>
        </w:rPr>
        <w:t>These studies provide current data that can support</w:t>
      </w:r>
      <w:r w:rsidR="00694B7C">
        <w:rPr>
          <w:rFonts w:cs="Times New Roman"/>
          <w:szCs w:val="24"/>
        </w:rPr>
        <w:t xml:space="preserve"> the </w:t>
      </w:r>
      <w:r>
        <w:rPr>
          <w:rFonts w:cs="Times New Roman"/>
          <w:szCs w:val="24"/>
        </w:rPr>
        <w:t>improved</w:t>
      </w:r>
      <w:r w:rsidRPr="00306B3F">
        <w:rPr>
          <w:rFonts w:cs="Times New Roman"/>
          <w:szCs w:val="24"/>
        </w:rPr>
        <w:t xml:space="preserve"> and sustainable management of plant</w:t>
      </w:r>
      <w:r>
        <w:rPr>
          <w:rFonts w:cs="Times New Roman"/>
          <w:szCs w:val="24"/>
        </w:rPr>
        <w:t>-parasitic nematodes a</w:t>
      </w:r>
      <w:r w:rsidRPr="00306B3F">
        <w:rPr>
          <w:rFonts w:cs="Times New Roman"/>
          <w:szCs w:val="24"/>
        </w:rPr>
        <w:t xml:space="preserve">ssociated with field crops in Tennessee and identify </w:t>
      </w:r>
      <w:r>
        <w:rPr>
          <w:rFonts w:cs="Times New Roman"/>
          <w:szCs w:val="24"/>
        </w:rPr>
        <w:t xml:space="preserve">the </w:t>
      </w:r>
      <w:r w:rsidRPr="00306B3F">
        <w:rPr>
          <w:rFonts w:cs="Times New Roman"/>
          <w:szCs w:val="24"/>
        </w:rPr>
        <w:t>nematodes of growing concern</w:t>
      </w:r>
      <w:r>
        <w:rPr>
          <w:rFonts w:cs="Times New Roman"/>
          <w:szCs w:val="24"/>
        </w:rPr>
        <w:t xml:space="preserve"> in</w:t>
      </w:r>
      <w:r w:rsidRPr="00306B3F">
        <w:rPr>
          <w:rFonts w:cs="Times New Roman"/>
          <w:szCs w:val="24"/>
        </w:rPr>
        <w:t xml:space="preserve"> fields as </w:t>
      </w:r>
      <w:r w:rsidR="00694B7C">
        <w:rPr>
          <w:rFonts w:cs="Times New Roman"/>
          <w:szCs w:val="24"/>
        </w:rPr>
        <w:t xml:space="preserve">the </w:t>
      </w:r>
      <w:r w:rsidRPr="00306B3F">
        <w:rPr>
          <w:rFonts w:cs="Times New Roman"/>
          <w:szCs w:val="24"/>
        </w:rPr>
        <w:t>spiral, lance, SCN, and root-knot nematodes. Appro</w:t>
      </w:r>
      <w:r>
        <w:rPr>
          <w:rFonts w:cs="Times New Roman"/>
          <w:szCs w:val="24"/>
        </w:rPr>
        <w:t>p</w:t>
      </w:r>
      <w:r w:rsidRPr="00306B3F">
        <w:rPr>
          <w:rFonts w:cs="Times New Roman"/>
          <w:szCs w:val="24"/>
        </w:rPr>
        <w:t>riate measures suggested earlier in the discu</w:t>
      </w:r>
      <w:r>
        <w:rPr>
          <w:rFonts w:cs="Times New Roman"/>
          <w:szCs w:val="24"/>
        </w:rPr>
        <w:t>s</w:t>
      </w:r>
      <w:r w:rsidRPr="00306B3F">
        <w:rPr>
          <w:rFonts w:cs="Times New Roman"/>
          <w:szCs w:val="24"/>
        </w:rPr>
        <w:t>sion session of Chapter II should be taken to prevent potential crop damage by the nematodes. Macrophomina phaseolina microsc</w:t>
      </w:r>
      <w:r>
        <w:rPr>
          <w:rFonts w:cs="Times New Roman"/>
          <w:szCs w:val="24"/>
        </w:rPr>
        <w:t>leroti</w:t>
      </w:r>
      <w:r w:rsidRPr="00306B3F">
        <w:rPr>
          <w:rFonts w:cs="Times New Roman"/>
          <w:szCs w:val="24"/>
        </w:rPr>
        <w:t>a</w:t>
      </w:r>
      <w:r>
        <w:rPr>
          <w:rFonts w:cs="Times New Roman"/>
          <w:szCs w:val="24"/>
        </w:rPr>
        <w:t>l</w:t>
      </w:r>
      <w:r w:rsidRPr="00306B3F">
        <w:rPr>
          <w:rFonts w:cs="Times New Roman"/>
          <w:szCs w:val="24"/>
        </w:rPr>
        <w:t xml:space="preserve"> density that can cause charcoal rot and soybean yield loss was identified throu</w:t>
      </w:r>
      <w:r>
        <w:rPr>
          <w:rFonts w:cs="Times New Roman"/>
          <w:szCs w:val="24"/>
        </w:rPr>
        <w:t>g</w:t>
      </w:r>
      <w:r w:rsidRPr="00306B3F">
        <w:rPr>
          <w:rFonts w:cs="Times New Roman"/>
          <w:szCs w:val="24"/>
        </w:rPr>
        <w:t xml:space="preserve">h this study, and the potential of using moderately resistant cultivars to suppress field inoculum of the fungus was suggested, to </w:t>
      </w:r>
      <w:r>
        <w:rPr>
          <w:rFonts w:cs="Times New Roman"/>
          <w:szCs w:val="24"/>
        </w:rPr>
        <w:t xml:space="preserve">support </w:t>
      </w:r>
      <w:r w:rsidRPr="00306B3F">
        <w:rPr>
          <w:rFonts w:cs="Times New Roman"/>
          <w:szCs w:val="24"/>
        </w:rPr>
        <w:t>sustain</w:t>
      </w:r>
      <w:r>
        <w:rPr>
          <w:rFonts w:cs="Times New Roman"/>
          <w:szCs w:val="24"/>
        </w:rPr>
        <w:t>able</w:t>
      </w:r>
      <w:r w:rsidRPr="00306B3F">
        <w:rPr>
          <w:rFonts w:cs="Times New Roman"/>
          <w:szCs w:val="24"/>
        </w:rPr>
        <w:t xml:space="preserve"> disease management. Finally, through this study</w:t>
      </w:r>
      <w:r>
        <w:rPr>
          <w:rFonts w:cs="Times New Roman"/>
          <w:szCs w:val="24"/>
        </w:rPr>
        <w:t>,</w:t>
      </w:r>
      <w:r w:rsidRPr="00306B3F">
        <w:rPr>
          <w:rFonts w:cs="Times New Roman"/>
          <w:szCs w:val="24"/>
        </w:rPr>
        <w:t xml:space="preserve"> the patho</w:t>
      </w:r>
      <w:r>
        <w:rPr>
          <w:rFonts w:cs="Times New Roman"/>
          <w:szCs w:val="24"/>
        </w:rPr>
        <w:t>ge</w:t>
      </w:r>
      <w:r w:rsidRPr="00306B3F">
        <w:rPr>
          <w:rFonts w:cs="Times New Roman"/>
          <w:szCs w:val="24"/>
        </w:rPr>
        <w:t xml:space="preserve">n causing hemp powdery mildew in </w:t>
      </w:r>
      <w:r>
        <w:rPr>
          <w:rFonts w:cs="Times New Roman"/>
          <w:szCs w:val="24"/>
        </w:rPr>
        <w:t xml:space="preserve">the </w:t>
      </w:r>
      <w:r w:rsidRPr="00306B3F">
        <w:rPr>
          <w:rFonts w:cs="Times New Roman"/>
          <w:szCs w:val="24"/>
        </w:rPr>
        <w:t xml:space="preserve">greenhouse in Tennessee was identified as </w:t>
      </w:r>
      <w:r w:rsidRPr="00306B3F">
        <w:rPr>
          <w:rFonts w:cs="Times New Roman"/>
          <w:i/>
          <w:szCs w:val="24"/>
        </w:rPr>
        <w:t>G. ambrosi</w:t>
      </w:r>
      <w:r>
        <w:rPr>
          <w:rFonts w:cs="Times New Roman"/>
          <w:i/>
          <w:szCs w:val="24"/>
        </w:rPr>
        <w:t>a</w:t>
      </w:r>
      <w:r w:rsidRPr="00306B3F">
        <w:rPr>
          <w:rFonts w:cs="Times New Roman"/>
          <w:i/>
          <w:szCs w:val="24"/>
        </w:rPr>
        <w:t>e</w:t>
      </w:r>
      <w:r w:rsidRPr="00306B3F">
        <w:rPr>
          <w:rFonts w:cs="Times New Roman"/>
          <w:szCs w:val="24"/>
        </w:rPr>
        <w:t xml:space="preserve">. This information will </w:t>
      </w:r>
      <w:r>
        <w:rPr>
          <w:rFonts w:cs="Times New Roman"/>
          <w:szCs w:val="24"/>
        </w:rPr>
        <w:t xml:space="preserve">guide </w:t>
      </w:r>
      <w:r w:rsidRPr="00306B3F">
        <w:rPr>
          <w:rFonts w:cs="Times New Roman"/>
          <w:szCs w:val="24"/>
        </w:rPr>
        <w:t>fu</w:t>
      </w:r>
      <w:r>
        <w:rPr>
          <w:rFonts w:cs="Times New Roman"/>
          <w:szCs w:val="24"/>
        </w:rPr>
        <w:t>r</w:t>
      </w:r>
      <w:r w:rsidRPr="00306B3F">
        <w:rPr>
          <w:rFonts w:cs="Times New Roman"/>
          <w:szCs w:val="24"/>
        </w:rPr>
        <w:t>ther investigation</w:t>
      </w:r>
      <w:r>
        <w:rPr>
          <w:rFonts w:cs="Times New Roman"/>
          <w:szCs w:val="24"/>
        </w:rPr>
        <w:t>s</w:t>
      </w:r>
      <w:r w:rsidRPr="00306B3F">
        <w:rPr>
          <w:rFonts w:cs="Times New Roman"/>
          <w:szCs w:val="24"/>
        </w:rPr>
        <w:t xml:space="preserve"> of the pathogen in Tennessee.</w:t>
      </w:r>
      <w:r>
        <w:rPr>
          <w:rFonts w:cs="Times New Roman"/>
          <w:szCs w:val="24"/>
        </w:rPr>
        <w:t xml:space="preserve"> Fi</w:t>
      </w:r>
      <w:r w:rsidRPr="00306B3F">
        <w:rPr>
          <w:rFonts w:cs="Times New Roman"/>
          <w:szCs w:val="24"/>
        </w:rPr>
        <w:t>nally, this research study provides fungicide effica</w:t>
      </w:r>
      <w:r>
        <w:rPr>
          <w:rFonts w:cs="Times New Roman"/>
          <w:szCs w:val="24"/>
        </w:rPr>
        <w:t>c</w:t>
      </w:r>
      <w:r w:rsidRPr="00306B3F">
        <w:rPr>
          <w:rFonts w:cs="Times New Roman"/>
          <w:szCs w:val="24"/>
        </w:rPr>
        <w:t>y data to support hemp powdery mildew control. Overall, the four research studies provided current data</w:t>
      </w:r>
      <w:r>
        <w:rPr>
          <w:rFonts w:cs="Times New Roman"/>
          <w:szCs w:val="24"/>
        </w:rPr>
        <w:t xml:space="preserve"> that can facilitate an </w:t>
      </w:r>
      <w:r w:rsidRPr="00306B3F">
        <w:rPr>
          <w:rFonts w:cs="Times New Roman"/>
          <w:szCs w:val="24"/>
        </w:rPr>
        <w:t>improve</w:t>
      </w:r>
      <w:r>
        <w:rPr>
          <w:rFonts w:cs="Times New Roman"/>
          <w:szCs w:val="24"/>
        </w:rPr>
        <w:t>d</w:t>
      </w:r>
      <w:r w:rsidRPr="00306B3F">
        <w:rPr>
          <w:rFonts w:cs="Times New Roman"/>
          <w:szCs w:val="24"/>
        </w:rPr>
        <w:t xml:space="preserve"> and sustain</w:t>
      </w:r>
      <w:r>
        <w:rPr>
          <w:rFonts w:cs="Times New Roman"/>
          <w:szCs w:val="24"/>
        </w:rPr>
        <w:t xml:space="preserve">able </w:t>
      </w:r>
      <w:r w:rsidRPr="00306B3F">
        <w:rPr>
          <w:rFonts w:cs="Times New Roman"/>
          <w:szCs w:val="24"/>
        </w:rPr>
        <w:t xml:space="preserve">control of nematodes in field crops, charcoal rot </w:t>
      </w:r>
      <w:r>
        <w:rPr>
          <w:rFonts w:cs="Times New Roman"/>
          <w:szCs w:val="24"/>
        </w:rPr>
        <w:t xml:space="preserve">disease </w:t>
      </w:r>
      <w:r w:rsidRPr="00306B3F">
        <w:rPr>
          <w:rFonts w:cs="Times New Roman"/>
          <w:szCs w:val="24"/>
        </w:rPr>
        <w:t xml:space="preserve">on soybean, and powdery mildew </w:t>
      </w:r>
      <w:r>
        <w:rPr>
          <w:rFonts w:cs="Times New Roman"/>
          <w:szCs w:val="24"/>
        </w:rPr>
        <w:t xml:space="preserve">disease on greenhouse </w:t>
      </w:r>
      <w:r w:rsidRPr="00306B3F">
        <w:rPr>
          <w:rFonts w:cs="Times New Roman"/>
          <w:szCs w:val="24"/>
        </w:rPr>
        <w:t>hemp in</w:t>
      </w:r>
      <w:r>
        <w:rPr>
          <w:rFonts w:cs="Times New Roman"/>
          <w:szCs w:val="24"/>
        </w:rPr>
        <w:t xml:space="preserve"> Tennessee.</w:t>
      </w:r>
    </w:p>
    <w:p w14:paraId="297A9B1C" w14:textId="77777777" w:rsidR="00F27979" w:rsidRPr="008E2CD0" w:rsidRDefault="00F27979" w:rsidP="008553A4">
      <w:pPr>
        <w:pStyle w:val="Heading1"/>
        <w:ind w:left="720"/>
      </w:pPr>
    </w:p>
    <w:p w14:paraId="6AA00D3E" w14:textId="77777777" w:rsidR="00E739B1" w:rsidRPr="008E2CD0" w:rsidRDefault="00E739B1" w:rsidP="008553A4">
      <w:pPr>
        <w:pStyle w:val="Heading1"/>
        <w:ind w:left="720"/>
      </w:pPr>
      <w:bookmarkStart w:id="470" w:name="_bookmark98"/>
      <w:bookmarkEnd w:id="470"/>
    </w:p>
    <w:p w14:paraId="1928FDF5" w14:textId="77777777" w:rsidR="00E739B1" w:rsidRPr="008E2CD0" w:rsidRDefault="00E739B1" w:rsidP="003C484D">
      <w:pPr>
        <w:ind w:left="720"/>
        <w:rPr>
          <w:rFonts w:cs="Times New Roman"/>
          <w:b/>
          <w:bCs/>
          <w:sz w:val="28"/>
          <w:szCs w:val="28"/>
        </w:rPr>
      </w:pPr>
      <w:r w:rsidRPr="008E2CD0">
        <w:rPr>
          <w:rFonts w:cs="Times New Roman"/>
        </w:rPr>
        <w:br w:type="page"/>
      </w:r>
    </w:p>
    <w:p w14:paraId="54A37233" w14:textId="665A24F1" w:rsidR="00A76CBA" w:rsidRPr="008E2CD0" w:rsidRDefault="0090512B" w:rsidP="003634A9">
      <w:pPr>
        <w:pStyle w:val="Heading1"/>
        <w:ind w:left="720"/>
        <w:jc w:val="center"/>
      </w:pPr>
      <w:bookmarkStart w:id="471" w:name="_Toc98812812"/>
      <w:bookmarkStart w:id="472" w:name="_Toc98813020"/>
      <w:bookmarkStart w:id="473" w:name="_Toc98813686"/>
      <w:bookmarkStart w:id="474" w:name="_Toc101048199"/>
      <w:r w:rsidRPr="008E2CD0">
        <w:t>VITA</w:t>
      </w:r>
      <w:bookmarkEnd w:id="471"/>
      <w:bookmarkEnd w:id="472"/>
      <w:bookmarkEnd w:id="473"/>
      <w:bookmarkEnd w:id="474"/>
    </w:p>
    <w:p w14:paraId="1D60F256" w14:textId="77777777" w:rsidR="00A76CBA" w:rsidRPr="008E2CD0" w:rsidRDefault="00A76CBA" w:rsidP="003C484D">
      <w:pPr>
        <w:pStyle w:val="BodyText"/>
        <w:spacing w:before="1"/>
        <w:ind w:left="720"/>
        <w:rPr>
          <w:rFonts w:cs="Times New Roman"/>
          <w:b/>
        </w:rPr>
      </w:pPr>
    </w:p>
    <w:p w14:paraId="46779A9F" w14:textId="2C715812" w:rsidR="001D5016" w:rsidRPr="00DD57FD" w:rsidRDefault="001D5016" w:rsidP="00D26A29">
      <w:pPr>
        <w:pStyle w:val="BodyText"/>
        <w:spacing w:line="360" w:lineRule="auto"/>
        <w:ind w:left="720" w:right="1072" w:firstLine="720"/>
        <w:rPr>
          <w:rFonts w:cs="Times New Roman"/>
        </w:rPr>
      </w:pPr>
      <w:r w:rsidRPr="008E2CD0">
        <w:rPr>
          <w:rFonts w:cs="Times New Roman"/>
        </w:rPr>
        <w:t>Rufus</w:t>
      </w:r>
      <w:r w:rsidR="009240BA" w:rsidRPr="008E2CD0">
        <w:rPr>
          <w:rFonts w:cs="Times New Roman"/>
        </w:rPr>
        <w:t xml:space="preserve"> J.</w:t>
      </w:r>
      <w:r w:rsidRPr="008E2CD0">
        <w:rPr>
          <w:rFonts w:cs="Times New Roman"/>
        </w:rPr>
        <w:t xml:space="preserve"> Akinrin</w:t>
      </w:r>
      <w:r w:rsidR="00D26A29">
        <w:rPr>
          <w:rFonts w:cs="Times New Roman"/>
        </w:rPr>
        <w:t>l</w:t>
      </w:r>
      <w:r w:rsidRPr="008E2CD0">
        <w:rPr>
          <w:rFonts w:cs="Times New Roman"/>
        </w:rPr>
        <w:t>ola was born and raised in Ondo S</w:t>
      </w:r>
      <w:r w:rsidR="00DF293E" w:rsidRPr="008E2CD0">
        <w:rPr>
          <w:rFonts w:cs="Times New Roman"/>
        </w:rPr>
        <w:t>t</w:t>
      </w:r>
      <w:r w:rsidRPr="008E2CD0">
        <w:rPr>
          <w:rFonts w:cs="Times New Roman"/>
        </w:rPr>
        <w:t>ate, Southwest of Nigeria. He is obtaining a Ph.D. in Plant Pathology from the Entomology and Plant Pathology Department, University of Tennessee, Knoxville</w:t>
      </w:r>
      <w:r w:rsidR="001C032F" w:rsidRPr="008E2CD0">
        <w:rPr>
          <w:rFonts w:cs="Times New Roman"/>
        </w:rPr>
        <w:t xml:space="preserve"> under the supervision</w:t>
      </w:r>
      <w:r w:rsidR="001C032F" w:rsidRPr="008E2CD0">
        <w:rPr>
          <w:rFonts w:cs="Times New Roman"/>
          <w:spacing w:val="-3"/>
        </w:rPr>
        <w:t xml:space="preserve"> </w:t>
      </w:r>
      <w:r w:rsidR="001C032F" w:rsidRPr="008E2CD0">
        <w:rPr>
          <w:rFonts w:cs="Times New Roman"/>
        </w:rPr>
        <w:t>of Dr.</w:t>
      </w:r>
      <w:r w:rsidR="001C032F" w:rsidRPr="008E2CD0">
        <w:rPr>
          <w:rFonts w:cs="Times New Roman"/>
          <w:spacing w:val="-2"/>
        </w:rPr>
        <w:t xml:space="preserve"> </w:t>
      </w:r>
      <w:r w:rsidR="001C032F" w:rsidRPr="008E2CD0">
        <w:rPr>
          <w:rFonts w:cs="Times New Roman"/>
        </w:rPr>
        <w:t>Heather</w:t>
      </w:r>
      <w:r w:rsidR="001C032F" w:rsidRPr="008E2CD0">
        <w:rPr>
          <w:rFonts w:cs="Times New Roman"/>
          <w:spacing w:val="-1"/>
        </w:rPr>
        <w:t xml:space="preserve"> </w:t>
      </w:r>
      <w:r w:rsidR="001C032F" w:rsidRPr="008E2CD0">
        <w:rPr>
          <w:rFonts w:cs="Times New Roman"/>
        </w:rPr>
        <w:t>Kelly and Dr. Zachariah Hansen</w:t>
      </w:r>
      <w:r w:rsidRPr="008E2CD0">
        <w:rPr>
          <w:rFonts w:cs="Times New Roman"/>
        </w:rPr>
        <w:t>. H</w:t>
      </w:r>
      <w:r w:rsidR="001C032F" w:rsidRPr="008E2CD0">
        <w:rPr>
          <w:rFonts w:cs="Times New Roman"/>
        </w:rPr>
        <w:t xml:space="preserve">e obtained </w:t>
      </w:r>
      <w:r w:rsidRPr="008E2CD0">
        <w:rPr>
          <w:rFonts w:cs="Times New Roman"/>
        </w:rPr>
        <w:t xml:space="preserve">an </w:t>
      </w:r>
      <w:r w:rsidR="004E11C2">
        <w:rPr>
          <w:rFonts w:cs="Times New Roman"/>
        </w:rPr>
        <w:t xml:space="preserve">a </w:t>
      </w:r>
      <w:r w:rsidRPr="008E2CD0">
        <w:rPr>
          <w:rFonts w:cs="Times New Roman"/>
        </w:rPr>
        <w:t>M</w:t>
      </w:r>
      <w:r w:rsidR="004E11C2">
        <w:rPr>
          <w:rFonts w:cs="Times New Roman"/>
        </w:rPr>
        <w:t xml:space="preserve">aster’s </w:t>
      </w:r>
      <w:r w:rsidRPr="008E2CD0">
        <w:rPr>
          <w:rFonts w:cs="Times New Roman"/>
        </w:rPr>
        <w:t xml:space="preserve">degree in Plant Pathology from the University of Nebraska-Lincoln </w:t>
      </w:r>
      <w:r w:rsidR="001C032F" w:rsidRPr="008E2CD0">
        <w:rPr>
          <w:rFonts w:cs="Times New Roman"/>
        </w:rPr>
        <w:t>under the direction</w:t>
      </w:r>
      <w:r w:rsidR="001C032F" w:rsidRPr="008E2CD0">
        <w:rPr>
          <w:rFonts w:cs="Times New Roman"/>
          <w:spacing w:val="-3"/>
        </w:rPr>
        <w:t xml:space="preserve"> </w:t>
      </w:r>
      <w:r w:rsidR="001C032F" w:rsidRPr="008E2CD0">
        <w:rPr>
          <w:rFonts w:cs="Times New Roman"/>
        </w:rPr>
        <w:t>of Dr.</w:t>
      </w:r>
      <w:r w:rsidR="001C032F" w:rsidRPr="008E2CD0">
        <w:rPr>
          <w:rFonts w:cs="Times New Roman"/>
          <w:spacing w:val="-2"/>
        </w:rPr>
        <w:t xml:space="preserve"> Gary Yuen and Dr. Tony Adesemoye </w:t>
      </w:r>
      <w:r w:rsidR="001C032F" w:rsidRPr="008E2CD0">
        <w:rPr>
          <w:rFonts w:cs="Times New Roman"/>
        </w:rPr>
        <w:t>in May 2018</w:t>
      </w:r>
      <w:r w:rsidRPr="008E2CD0">
        <w:rPr>
          <w:rFonts w:cs="Times New Roman"/>
        </w:rPr>
        <w:t xml:space="preserve">, and Bachelor’s </w:t>
      </w:r>
      <w:r w:rsidR="001C032F" w:rsidRPr="008E2CD0">
        <w:rPr>
          <w:rFonts w:cs="Times New Roman"/>
        </w:rPr>
        <w:t xml:space="preserve">degree </w:t>
      </w:r>
      <w:r w:rsidRPr="008E2CD0">
        <w:rPr>
          <w:rFonts w:cs="Times New Roman"/>
        </w:rPr>
        <w:t xml:space="preserve">in Microbiology from Adekunle Ajasin University, </w:t>
      </w:r>
      <w:r w:rsidR="001C032F" w:rsidRPr="008E2CD0">
        <w:rPr>
          <w:rFonts w:cs="Times New Roman"/>
        </w:rPr>
        <w:t xml:space="preserve">Akungba-Akoko, Ondo State </w:t>
      </w:r>
      <w:r w:rsidR="00B810EA">
        <w:rPr>
          <w:rFonts w:cs="Times New Roman"/>
        </w:rPr>
        <w:t>Nigeria in 2013</w:t>
      </w:r>
      <w:r w:rsidR="009240BA" w:rsidRPr="008E2CD0">
        <w:rPr>
          <w:rFonts w:cs="Times New Roman"/>
        </w:rPr>
        <w:t>.</w:t>
      </w:r>
    </w:p>
    <w:p w14:paraId="09A6B882" w14:textId="4D4CA136" w:rsidR="003C484D" w:rsidRPr="00DD57FD" w:rsidRDefault="003C484D" w:rsidP="003C484D">
      <w:pPr>
        <w:pStyle w:val="BodyText"/>
        <w:spacing w:line="360" w:lineRule="auto"/>
        <w:ind w:left="720" w:right="1072"/>
        <w:rPr>
          <w:rFonts w:cs="Times New Roman"/>
        </w:rPr>
      </w:pPr>
    </w:p>
    <w:sectPr w:rsidR="003C484D" w:rsidRPr="00DD57FD" w:rsidSect="006F7E26">
      <w:footerReference w:type="default" r:id="rId135"/>
      <w:pgSz w:w="12240" w:h="15840" w:code="1"/>
      <w:pgMar w:top="1440" w:right="1440" w:bottom="1440" w:left="1440" w:header="0" w:footer="1440" w:gutter="0"/>
      <w:cols w:space="720"/>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8F1C2E" w16cid:durableId="25E8AF40"/>
  <w16cid:commentId w16cid:paraId="443639C5" w16cid:durableId="25E8B32D"/>
  <w16cid:commentId w16cid:paraId="7C01D9F2" w16cid:durableId="25E8B41A"/>
  <w16cid:commentId w16cid:paraId="6F30E7BD" w16cid:durableId="25E8B568"/>
  <w16cid:commentId w16cid:paraId="442F0374" w16cid:durableId="25E8B89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124ECD" w14:textId="77777777" w:rsidR="00035AE8" w:rsidRDefault="00035AE8">
      <w:r>
        <w:separator/>
      </w:r>
    </w:p>
  </w:endnote>
  <w:endnote w:type="continuationSeparator" w:id="0">
    <w:p w14:paraId="19CE8476" w14:textId="77777777" w:rsidR="00035AE8" w:rsidRDefault="00035AE8">
      <w:r>
        <w:continuationSeparator/>
      </w:r>
    </w:p>
  </w:endnote>
  <w:endnote w:type="continuationNotice" w:id="1">
    <w:p w14:paraId="3170FB4D" w14:textId="77777777" w:rsidR="00035AE8" w:rsidRDefault="00035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otham-Book">
    <w:panose1 w:val="00000000000000000000"/>
    <w:charset w:val="80"/>
    <w:family w:val="swiss"/>
    <w:notTrueType/>
    <w:pitch w:val="default"/>
    <w:sig w:usb0="00000000" w:usb1="08070000" w:usb2="00000010" w:usb3="00000000" w:csb0="00020000" w:csb1="00000000"/>
  </w:font>
  <w:font w:name="TimesNewRomanPSMT">
    <w:altName w:val="Yu Gothic UI"/>
    <w:panose1 w:val="00000000000000000000"/>
    <w:charset w:val="80"/>
    <w:family w:val="auto"/>
    <w:notTrueType/>
    <w:pitch w:val="default"/>
    <w:sig w:usb0="00000000" w:usb1="08070000" w:usb2="00000010" w:usb3="00000000" w:csb0="00020000" w:csb1="00000000"/>
  </w:font>
  <w:font w:name="BemboStd">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Palatino-Roman">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275844"/>
      <w:docPartObj>
        <w:docPartGallery w:val="Page Numbers (Bottom of Page)"/>
        <w:docPartUnique/>
      </w:docPartObj>
    </w:sdtPr>
    <w:sdtEndPr>
      <w:rPr>
        <w:rFonts w:ascii="Times New Roman" w:hAnsi="Times New Roman" w:cs="Times New Roman"/>
        <w:noProof/>
      </w:rPr>
    </w:sdtEndPr>
    <w:sdtContent>
      <w:p w14:paraId="3324D8C5" w14:textId="3BCFA6BD" w:rsidR="009C2EDC" w:rsidRPr="00AF74B0" w:rsidRDefault="009C2EDC">
        <w:pPr>
          <w:pStyle w:val="Footer"/>
          <w:jc w:val="right"/>
          <w:rPr>
            <w:rFonts w:ascii="Times New Roman" w:hAnsi="Times New Roman" w:cs="Times New Roman"/>
          </w:rPr>
        </w:pPr>
        <w:r w:rsidRPr="00AF74B0">
          <w:rPr>
            <w:rFonts w:ascii="Times New Roman" w:hAnsi="Times New Roman" w:cs="Times New Roman"/>
          </w:rPr>
          <w:fldChar w:fldCharType="begin"/>
        </w:r>
        <w:r w:rsidRPr="00AF74B0">
          <w:rPr>
            <w:rFonts w:ascii="Times New Roman" w:hAnsi="Times New Roman" w:cs="Times New Roman"/>
          </w:rPr>
          <w:instrText xml:space="preserve"> PAGE   \* MERGEFORMAT </w:instrText>
        </w:r>
        <w:r w:rsidRPr="00AF74B0">
          <w:rPr>
            <w:rFonts w:ascii="Times New Roman" w:hAnsi="Times New Roman" w:cs="Times New Roman"/>
          </w:rPr>
          <w:fldChar w:fldCharType="separate"/>
        </w:r>
        <w:r w:rsidR="00CC4282">
          <w:rPr>
            <w:rFonts w:ascii="Times New Roman" w:hAnsi="Times New Roman" w:cs="Times New Roman"/>
            <w:noProof/>
          </w:rPr>
          <w:t>1</w:t>
        </w:r>
        <w:r w:rsidRPr="00AF74B0">
          <w:rPr>
            <w:rFonts w:ascii="Times New Roman" w:hAnsi="Times New Roman" w:cs="Times New Roman"/>
            <w:noProof/>
          </w:rPr>
          <w:fldChar w:fldCharType="end"/>
        </w:r>
      </w:p>
    </w:sdtContent>
  </w:sdt>
  <w:p w14:paraId="2ABF5F75" w14:textId="77777777" w:rsidR="009C2EDC" w:rsidRDefault="009C2ED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2009574"/>
      <w:docPartObj>
        <w:docPartGallery w:val="Page Numbers (Bottom of Page)"/>
        <w:docPartUnique/>
      </w:docPartObj>
    </w:sdtPr>
    <w:sdtEndPr>
      <w:rPr>
        <w:noProof/>
      </w:rPr>
    </w:sdtEndPr>
    <w:sdtContent>
      <w:p w14:paraId="19425B9E" w14:textId="63E012A3" w:rsidR="009C2EDC" w:rsidRDefault="009C2EDC">
        <w:pPr>
          <w:pStyle w:val="Footer"/>
          <w:jc w:val="right"/>
        </w:pPr>
        <w:r w:rsidRPr="00AC5D89">
          <w:rPr>
            <w:rFonts w:ascii="Times New Roman" w:hAnsi="Times New Roman" w:cs="Times New Roman"/>
          </w:rPr>
          <w:fldChar w:fldCharType="begin"/>
        </w:r>
        <w:r w:rsidRPr="00AC5D89">
          <w:rPr>
            <w:rFonts w:ascii="Times New Roman" w:hAnsi="Times New Roman" w:cs="Times New Roman"/>
          </w:rPr>
          <w:instrText xml:space="preserve"> PAGE   \* MERGEFORMAT </w:instrText>
        </w:r>
        <w:r w:rsidRPr="00AC5D89">
          <w:rPr>
            <w:rFonts w:ascii="Times New Roman" w:hAnsi="Times New Roman" w:cs="Times New Roman"/>
          </w:rPr>
          <w:fldChar w:fldCharType="separate"/>
        </w:r>
        <w:r w:rsidR="00CC4282">
          <w:rPr>
            <w:rFonts w:ascii="Times New Roman" w:hAnsi="Times New Roman" w:cs="Times New Roman"/>
            <w:noProof/>
          </w:rPr>
          <w:t>42</w:t>
        </w:r>
        <w:r w:rsidRPr="00AC5D89">
          <w:rPr>
            <w:rFonts w:ascii="Times New Roman" w:hAnsi="Times New Roman" w:cs="Times New Roman"/>
            <w:noProof/>
          </w:rPr>
          <w:fldChar w:fldCharType="end"/>
        </w:r>
      </w:p>
    </w:sdtContent>
  </w:sdt>
  <w:p w14:paraId="77FA994A" w14:textId="5A2D5C7F" w:rsidR="009C2EDC" w:rsidRDefault="009C2EDC">
    <w:pPr>
      <w:pStyle w:val="BodyText"/>
      <w:spacing w:line="14" w:lineRule="auto"/>
      <w:rPr>
        <w:sz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730018"/>
      <w:docPartObj>
        <w:docPartGallery w:val="Page Numbers (Bottom of Page)"/>
        <w:docPartUnique/>
      </w:docPartObj>
    </w:sdtPr>
    <w:sdtEndPr>
      <w:rPr>
        <w:rFonts w:ascii="Times New Roman" w:hAnsi="Times New Roman" w:cs="Times New Roman"/>
        <w:noProof/>
      </w:rPr>
    </w:sdtEndPr>
    <w:sdtContent>
      <w:p w14:paraId="2FD7609C" w14:textId="245A50FA" w:rsidR="009C2EDC" w:rsidRPr="00DF04BE" w:rsidRDefault="009C2EDC">
        <w:pPr>
          <w:pStyle w:val="Footer"/>
          <w:jc w:val="right"/>
          <w:rPr>
            <w:rFonts w:ascii="Times New Roman" w:hAnsi="Times New Roman" w:cs="Times New Roman"/>
          </w:rPr>
        </w:pPr>
        <w:r w:rsidRPr="00DF04BE">
          <w:rPr>
            <w:rFonts w:ascii="Times New Roman" w:hAnsi="Times New Roman" w:cs="Times New Roman"/>
          </w:rPr>
          <w:fldChar w:fldCharType="begin"/>
        </w:r>
        <w:r w:rsidRPr="00DF04BE">
          <w:rPr>
            <w:rFonts w:ascii="Times New Roman" w:hAnsi="Times New Roman" w:cs="Times New Roman"/>
          </w:rPr>
          <w:instrText xml:space="preserve"> PAGE   \* MERGEFORMAT </w:instrText>
        </w:r>
        <w:r w:rsidRPr="00DF04BE">
          <w:rPr>
            <w:rFonts w:ascii="Times New Roman" w:hAnsi="Times New Roman" w:cs="Times New Roman"/>
          </w:rPr>
          <w:fldChar w:fldCharType="separate"/>
        </w:r>
        <w:r w:rsidR="004E11C2">
          <w:rPr>
            <w:rFonts w:ascii="Times New Roman" w:hAnsi="Times New Roman" w:cs="Times New Roman"/>
            <w:noProof/>
          </w:rPr>
          <w:t>68</w:t>
        </w:r>
        <w:r w:rsidRPr="00DF04BE">
          <w:rPr>
            <w:rFonts w:ascii="Times New Roman" w:hAnsi="Times New Roman" w:cs="Times New Roman"/>
            <w:noProof/>
          </w:rPr>
          <w:fldChar w:fldCharType="end"/>
        </w:r>
      </w:p>
    </w:sdtContent>
  </w:sdt>
  <w:p w14:paraId="74A20CCC" w14:textId="77777777" w:rsidR="009C2EDC" w:rsidRDefault="009C2EDC">
    <w:pPr>
      <w:pStyle w:val="BodyText"/>
      <w:spacing w:line="14" w:lineRule="auto"/>
      <w:rPr>
        <w:sz w:val="20"/>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6380034"/>
      <w:docPartObj>
        <w:docPartGallery w:val="Page Numbers (Bottom of Page)"/>
        <w:docPartUnique/>
      </w:docPartObj>
    </w:sdtPr>
    <w:sdtEndPr>
      <w:rPr>
        <w:rFonts w:ascii="Times New Roman" w:hAnsi="Times New Roman" w:cs="Times New Roman"/>
        <w:noProof/>
      </w:rPr>
    </w:sdtEndPr>
    <w:sdtContent>
      <w:p w14:paraId="38A28A59" w14:textId="3FE594AF" w:rsidR="009C2EDC" w:rsidRPr="00DF04BE" w:rsidRDefault="009C2EDC">
        <w:pPr>
          <w:pStyle w:val="Footer"/>
          <w:jc w:val="right"/>
          <w:rPr>
            <w:rFonts w:ascii="Times New Roman" w:hAnsi="Times New Roman" w:cs="Times New Roman"/>
          </w:rPr>
        </w:pPr>
        <w:r w:rsidRPr="00DF04BE">
          <w:rPr>
            <w:rFonts w:ascii="Times New Roman" w:hAnsi="Times New Roman" w:cs="Times New Roman"/>
          </w:rPr>
          <w:fldChar w:fldCharType="begin"/>
        </w:r>
        <w:r w:rsidRPr="00DF04BE">
          <w:rPr>
            <w:rFonts w:ascii="Times New Roman" w:hAnsi="Times New Roman" w:cs="Times New Roman"/>
          </w:rPr>
          <w:instrText xml:space="preserve"> PAGE   \* MERGEFORMAT </w:instrText>
        </w:r>
        <w:r w:rsidRPr="00DF04BE">
          <w:rPr>
            <w:rFonts w:ascii="Times New Roman" w:hAnsi="Times New Roman" w:cs="Times New Roman"/>
          </w:rPr>
          <w:fldChar w:fldCharType="separate"/>
        </w:r>
        <w:r w:rsidR="00CC4282">
          <w:rPr>
            <w:rFonts w:ascii="Times New Roman" w:hAnsi="Times New Roman" w:cs="Times New Roman"/>
            <w:noProof/>
          </w:rPr>
          <w:t>77</w:t>
        </w:r>
        <w:r w:rsidRPr="00DF04BE">
          <w:rPr>
            <w:rFonts w:ascii="Times New Roman" w:hAnsi="Times New Roman" w:cs="Times New Roman"/>
            <w:noProof/>
          </w:rPr>
          <w:fldChar w:fldCharType="end"/>
        </w:r>
      </w:p>
    </w:sdtContent>
  </w:sdt>
  <w:p w14:paraId="4EA25624" w14:textId="77777777" w:rsidR="009C2EDC" w:rsidRDefault="009C2EDC">
    <w:pPr>
      <w:pStyle w:val="BodyText"/>
      <w:spacing w:line="14" w:lineRule="auto"/>
      <w:rPr>
        <w:sz w:val="20"/>
      </w:rP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3265162"/>
      <w:docPartObj>
        <w:docPartGallery w:val="Page Numbers (Bottom of Page)"/>
        <w:docPartUnique/>
      </w:docPartObj>
    </w:sdtPr>
    <w:sdtEndPr>
      <w:rPr>
        <w:rFonts w:ascii="Times New Roman" w:hAnsi="Times New Roman" w:cs="Times New Roman"/>
        <w:noProof/>
      </w:rPr>
    </w:sdtEndPr>
    <w:sdtContent>
      <w:p w14:paraId="692CE83F" w14:textId="3C54479A" w:rsidR="009C2EDC" w:rsidRPr="00A32B6A" w:rsidRDefault="009C2EDC">
        <w:pPr>
          <w:pStyle w:val="Footer"/>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CC4282">
          <w:rPr>
            <w:rFonts w:ascii="Times New Roman" w:hAnsi="Times New Roman" w:cs="Times New Roman"/>
            <w:noProof/>
          </w:rPr>
          <w:t>147</w:t>
        </w:r>
        <w:r>
          <w:rPr>
            <w:rFonts w:ascii="Times New Roman" w:hAnsi="Times New Roman" w:cs="Times New Roman"/>
          </w:rPr>
          <w:fldChar w:fldCharType="end"/>
        </w:r>
      </w:p>
    </w:sdtContent>
  </w:sdt>
  <w:p w14:paraId="7AD6B244" w14:textId="77777777" w:rsidR="009C2EDC" w:rsidRDefault="009C2EDC">
    <w:pPr>
      <w:pStyle w:val="BodyText"/>
      <w:spacing w:line="14" w:lineRule="auto"/>
      <w:rPr>
        <w:sz w:val="20"/>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6635560"/>
      <w:docPartObj>
        <w:docPartGallery w:val="Page Numbers (Bottom of Page)"/>
        <w:docPartUnique/>
      </w:docPartObj>
    </w:sdtPr>
    <w:sdtEndPr>
      <w:rPr>
        <w:noProof/>
      </w:rPr>
    </w:sdtEndPr>
    <w:sdtContent>
      <w:p w14:paraId="4E0EBD8D" w14:textId="5F2E42AD" w:rsidR="009C2EDC" w:rsidRDefault="009C2EDC">
        <w:pPr>
          <w:pStyle w:val="Footer"/>
          <w:jc w:val="right"/>
        </w:pPr>
        <w:r w:rsidRPr="005F275F">
          <w:rPr>
            <w:rFonts w:ascii="Times New Roman" w:hAnsi="Times New Roman" w:cs="Times New Roman"/>
          </w:rPr>
          <w:fldChar w:fldCharType="begin"/>
        </w:r>
        <w:r w:rsidRPr="005F275F">
          <w:rPr>
            <w:rFonts w:ascii="Times New Roman" w:hAnsi="Times New Roman" w:cs="Times New Roman"/>
          </w:rPr>
          <w:instrText xml:space="preserve"> PAGE   \* MERGEFORMAT </w:instrText>
        </w:r>
        <w:r w:rsidRPr="005F275F">
          <w:rPr>
            <w:rFonts w:ascii="Times New Roman" w:hAnsi="Times New Roman" w:cs="Times New Roman"/>
          </w:rPr>
          <w:fldChar w:fldCharType="separate"/>
        </w:r>
        <w:r w:rsidR="00CC4282">
          <w:rPr>
            <w:rFonts w:ascii="Times New Roman" w:hAnsi="Times New Roman" w:cs="Times New Roman"/>
            <w:noProof/>
          </w:rPr>
          <w:t>150</w:t>
        </w:r>
        <w:r w:rsidRPr="005F275F">
          <w:rPr>
            <w:rFonts w:ascii="Times New Roman" w:hAnsi="Times New Roman" w:cs="Times New Roman"/>
            <w:noProof/>
          </w:rPr>
          <w:fldChar w:fldCharType="end"/>
        </w:r>
      </w:p>
    </w:sdtContent>
  </w:sdt>
  <w:p w14:paraId="268AB632" w14:textId="77777777" w:rsidR="009C2EDC" w:rsidRDefault="009C2EDC">
    <w:pPr>
      <w:pStyle w:val="BodyText"/>
      <w:spacing w:line="14" w:lineRule="auto"/>
      <w:rPr>
        <w:sz w:val="20"/>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37247460"/>
      <w:docPartObj>
        <w:docPartGallery w:val="Page Numbers (Bottom of Page)"/>
        <w:docPartUnique/>
      </w:docPartObj>
    </w:sdtPr>
    <w:sdtEndPr>
      <w:rPr>
        <w:noProof/>
      </w:rPr>
    </w:sdtEndPr>
    <w:sdtContent>
      <w:p w14:paraId="2A4675D4" w14:textId="13FA2A8D" w:rsidR="009C2EDC" w:rsidRDefault="009C2EDC">
        <w:pPr>
          <w:pStyle w:val="Footer"/>
          <w:jc w:val="right"/>
        </w:pPr>
        <w:r w:rsidRPr="005F275F">
          <w:rPr>
            <w:rFonts w:ascii="Times New Roman" w:hAnsi="Times New Roman" w:cs="Times New Roman"/>
          </w:rPr>
          <w:fldChar w:fldCharType="begin"/>
        </w:r>
        <w:r w:rsidRPr="005F275F">
          <w:rPr>
            <w:rFonts w:ascii="Times New Roman" w:hAnsi="Times New Roman" w:cs="Times New Roman"/>
          </w:rPr>
          <w:instrText xml:space="preserve"> PAGE   \* MERGEFORMAT </w:instrText>
        </w:r>
        <w:r w:rsidRPr="005F275F">
          <w:rPr>
            <w:rFonts w:ascii="Times New Roman" w:hAnsi="Times New Roman" w:cs="Times New Roman"/>
          </w:rPr>
          <w:fldChar w:fldCharType="separate"/>
        </w:r>
        <w:r w:rsidR="00CC4282">
          <w:rPr>
            <w:rFonts w:ascii="Times New Roman" w:hAnsi="Times New Roman" w:cs="Times New Roman"/>
            <w:noProof/>
          </w:rPr>
          <w:t>155</w:t>
        </w:r>
        <w:r w:rsidRPr="005F275F">
          <w:rPr>
            <w:rFonts w:ascii="Times New Roman" w:hAnsi="Times New Roman" w:cs="Times New Roman"/>
            <w:noProof/>
          </w:rPr>
          <w:fldChar w:fldCharType="end"/>
        </w:r>
      </w:p>
    </w:sdtContent>
  </w:sdt>
  <w:p w14:paraId="6C230F11" w14:textId="77777777" w:rsidR="009C2EDC" w:rsidRDefault="009C2EDC">
    <w:pPr>
      <w:pStyle w:val="BodyText"/>
      <w:spacing w:line="14" w:lineRule="auto"/>
      <w:rPr>
        <w:sz w:val="20"/>
      </w:rPr>
    </w:pPr>
  </w:p>
  <w:p w14:paraId="1B79D7B4" w14:textId="77777777" w:rsidR="009C2EDC" w:rsidRDefault="009C2EDC"/>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F0DFA7" w14:textId="77777777" w:rsidR="00035AE8" w:rsidRDefault="00035AE8">
      <w:r>
        <w:separator/>
      </w:r>
    </w:p>
  </w:footnote>
  <w:footnote w:type="continuationSeparator" w:id="0">
    <w:p w14:paraId="5DE18D02" w14:textId="77777777" w:rsidR="00035AE8" w:rsidRDefault="00035AE8">
      <w:r>
        <w:continuationSeparator/>
      </w:r>
    </w:p>
  </w:footnote>
  <w:footnote w:type="continuationNotice" w:id="1">
    <w:p w14:paraId="5098B107" w14:textId="77777777" w:rsidR="00035AE8" w:rsidRDefault="00035AE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B73A4"/>
    <w:multiLevelType w:val="hybridMultilevel"/>
    <w:tmpl w:val="67D6F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20D57"/>
    <w:multiLevelType w:val="hybridMultilevel"/>
    <w:tmpl w:val="02B8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67524"/>
    <w:multiLevelType w:val="hybridMultilevel"/>
    <w:tmpl w:val="89AAD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B4412"/>
    <w:multiLevelType w:val="hybridMultilevel"/>
    <w:tmpl w:val="548E1E5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4A75A4"/>
    <w:multiLevelType w:val="hybridMultilevel"/>
    <w:tmpl w:val="B5ECB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B0211"/>
    <w:multiLevelType w:val="hybridMultilevel"/>
    <w:tmpl w:val="5CEAE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0F5284"/>
    <w:multiLevelType w:val="multilevel"/>
    <w:tmpl w:val="7BE21C8A"/>
    <w:lvl w:ilvl="0">
      <w:start w:val="1"/>
      <w:numFmt w:val="none"/>
      <w:suff w:val="space"/>
      <w:lvlText w:val="Chapter 2:"/>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7" w15:restartNumberingAfterBreak="0">
    <w:nsid w:val="35B46D0A"/>
    <w:multiLevelType w:val="hybridMultilevel"/>
    <w:tmpl w:val="67D6F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C44157"/>
    <w:multiLevelType w:val="hybridMultilevel"/>
    <w:tmpl w:val="CCC8A5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7744AF"/>
    <w:multiLevelType w:val="hybridMultilevel"/>
    <w:tmpl w:val="9AA079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13937EC"/>
    <w:multiLevelType w:val="hybridMultilevel"/>
    <w:tmpl w:val="4484D0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7B64E5"/>
    <w:multiLevelType w:val="hybridMultilevel"/>
    <w:tmpl w:val="67D6F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E75135"/>
    <w:multiLevelType w:val="hybridMultilevel"/>
    <w:tmpl w:val="6AFCE5B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4253BD"/>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0BD61F2"/>
    <w:multiLevelType w:val="hybridMultilevel"/>
    <w:tmpl w:val="840C40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2"/>
  </w:num>
  <w:num w:numId="3">
    <w:abstractNumId w:val="6"/>
  </w:num>
  <w:num w:numId="4">
    <w:abstractNumId w:val="1"/>
  </w:num>
  <w:num w:numId="5">
    <w:abstractNumId w:val="4"/>
  </w:num>
  <w:num w:numId="6">
    <w:abstractNumId w:val="13"/>
  </w:num>
  <w:num w:numId="7">
    <w:abstractNumId w:val="2"/>
  </w:num>
  <w:num w:numId="8">
    <w:abstractNumId w:val="3"/>
  </w:num>
  <w:num w:numId="9">
    <w:abstractNumId w:val="10"/>
  </w:num>
  <w:num w:numId="10">
    <w:abstractNumId w:val="0"/>
  </w:num>
  <w:num w:numId="11">
    <w:abstractNumId w:val="8"/>
  </w:num>
  <w:num w:numId="12">
    <w:abstractNumId w:val="15"/>
  </w:num>
  <w:num w:numId="13">
    <w:abstractNumId w:val="7"/>
  </w:num>
  <w:num w:numId="14">
    <w:abstractNumId w:val="11"/>
  </w:num>
  <w:num w:numId="15">
    <w:abstractNumId w:val="9"/>
  </w:num>
  <w:num w:numId="16">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savePreviewPicture/>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CxMDUzMjMxsTQwszBS0lEKTi0uzszPAykwNqkFAEJFeV8tAAAA"/>
  </w:docVars>
  <w:rsids>
    <w:rsidRoot w:val="00A76CBA"/>
    <w:rsid w:val="00001595"/>
    <w:rsid w:val="00003ABA"/>
    <w:rsid w:val="00003D95"/>
    <w:rsid w:val="0000408C"/>
    <w:rsid w:val="00004CF1"/>
    <w:rsid w:val="00005E44"/>
    <w:rsid w:val="000060B1"/>
    <w:rsid w:val="00007958"/>
    <w:rsid w:val="00012EF1"/>
    <w:rsid w:val="00021E08"/>
    <w:rsid w:val="000222EB"/>
    <w:rsid w:val="0003029D"/>
    <w:rsid w:val="0003378D"/>
    <w:rsid w:val="00034CA7"/>
    <w:rsid w:val="00035AE8"/>
    <w:rsid w:val="00040555"/>
    <w:rsid w:val="00040EC6"/>
    <w:rsid w:val="00043014"/>
    <w:rsid w:val="00050EDA"/>
    <w:rsid w:val="0005124C"/>
    <w:rsid w:val="00052639"/>
    <w:rsid w:val="0005441A"/>
    <w:rsid w:val="00054F79"/>
    <w:rsid w:val="00055676"/>
    <w:rsid w:val="00066D86"/>
    <w:rsid w:val="000679A1"/>
    <w:rsid w:val="00070F08"/>
    <w:rsid w:val="00071DA2"/>
    <w:rsid w:val="00072060"/>
    <w:rsid w:val="00081937"/>
    <w:rsid w:val="00084893"/>
    <w:rsid w:val="000865D4"/>
    <w:rsid w:val="00086EC5"/>
    <w:rsid w:val="00091451"/>
    <w:rsid w:val="00094455"/>
    <w:rsid w:val="000949A5"/>
    <w:rsid w:val="00094D18"/>
    <w:rsid w:val="00095E5F"/>
    <w:rsid w:val="000968CD"/>
    <w:rsid w:val="00097CBC"/>
    <w:rsid w:val="000A0416"/>
    <w:rsid w:val="000A1D8A"/>
    <w:rsid w:val="000A3134"/>
    <w:rsid w:val="000A4AB5"/>
    <w:rsid w:val="000A5134"/>
    <w:rsid w:val="000A778A"/>
    <w:rsid w:val="000B0315"/>
    <w:rsid w:val="000B2AB1"/>
    <w:rsid w:val="000B5367"/>
    <w:rsid w:val="000B5C6C"/>
    <w:rsid w:val="000B6F0B"/>
    <w:rsid w:val="000C5BF8"/>
    <w:rsid w:val="000C610C"/>
    <w:rsid w:val="000C62BB"/>
    <w:rsid w:val="000C6BA4"/>
    <w:rsid w:val="000D06A3"/>
    <w:rsid w:val="000D07B1"/>
    <w:rsid w:val="000D1156"/>
    <w:rsid w:val="000D24D4"/>
    <w:rsid w:val="000D4994"/>
    <w:rsid w:val="000D5616"/>
    <w:rsid w:val="000E146A"/>
    <w:rsid w:val="000E16D5"/>
    <w:rsid w:val="000E21C3"/>
    <w:rsid w:val="000E5927"/>
    <w:rsid w:val="000F2FE1"/>
    <w:rsid w:val="000F68BE"/>
    <w:rsid w:val="000F7BCA"/>
    <w:rsid w:val="001001BD"/>
    <w:rsid w:val="00102AAA"/>
    <w:rsid w:val="00104A7A"/>
    <w:rsid w:val="001139B1"/>
    <w:rsid w:val="0011402F"/>
    <w:rsid w:val="0011752C"/>
    <w:rsid w:val="001206C5"/>
    <w:rsid w:val="00121954"/>
    <w:rsid w:val="00124506"/>
    <w:rsid w:val="00126720"/>
    <w:rsid w:val="00135145"/>
    <w:rsid w:val="00136699"/>
    <w:rsid w:val="00137D68"/>
    <w:rsid w:val="00141253"/>
    <w:rsid w:val="001428D7"/>
    <w:rsid w:val="001433D2"/>
    <w:rsid w:val="00145B40"/>
    <w:rsid w:val="001504A1"/>
    <w:rsid w:val="001518A8"/>
    <w:rsid w:val="001534E4"/>
    <w:rsid w:val="00153CF6"/>
    <w:rsid w:val="001568FA"/>
    <w:rsid w:val="00157A32"/>
    <w:rsid w:val="00161A59"/>
    <w:rsid w:val="00162BD4"/>
    <w:rsid w:val="001739D0"/>
    <w:rsid w:val="00181781"/>
    <w:rsid w:val="001904DE"/>
    <w:rsid w:val="00191FDB"/>
    <w:rsid w:val="00192F19"/>
    <w:rsid w:val="001955F5"/>
    <w:rsid w:val="001A0B86"/>
    <w:rsid w:val="001A2C47"/>
    <w:rsid w:val="001A2D83"/>
    <w:rsid w:val="001A6350"/>
    <w:rsid w:val="001B06C2"/>
    <w:rsid w:val="001B2447"/>
    <w:rsid w:val="001B2D50"/>
    <w:rsid w:val="001B3845"/>
    <w:rsid w:val="001B3889"/>
    <w:rsid w:val="001B3A73"/>
    <w:rsid w:val="001C032F"/>
    <w:rsid w:val="001C3560"/>
    <w:rsid w:val="001C3FD9"/>
    <w:rsid w:val="001C431A"/>
    <w:rsid w:val="001C5475"/>
    <w:rsid w:val="001C5F7A"/>
    <w:rsid w:val="001D2965"/>
    <w:rsid w:val="001D360B"/>
    <w:rsid w:val="001D3988"/>
    <w:rsid w:val="001D3FAE"/>
    <w:rsid w:val="001D47B0"/>
    <w:rsid w:val="001D5016"/>
    <w:rsid w:val="001E06B7"/>
    <w:rsid w:val="001E253F"/>
    <w:rsid w:val="001E3E2A"/>
    <w:rsid w:val="001E3FC7"/>
    <w:rsid w:val="001E6B09"/>
    <w:rsid w:val="001E7F62"/>
    <w:rsid w:val="001F3745"/>
    <w:rsid w:val="001F760E"/>
    <w:rsid w:val="002168F5"/>
    <w:rsid w:val="00216B4F"/>
    <w:rsid w:val="00221AFF"/>
    <w:rsid w:val="002239DA"/>
    <w:rsid w:val="002259C3"/>
    <w:rsid w:val="00225CE0"/>
    <w:rsid w:val="00225FDA"/>
    <w:rsid w:val="00226F09"/>
    <w:rsid w:val="00230D2A"/>
    <w:rsid w:val="00231263"/>
    <w:rsid w:val="00241FD4"/>
    <w:rsid w:val="002451CE"/>
    <w:rsid w:val="00245B6F"/>
    <w:rsid w:val="00246200"/>
    <w:rsid w:val="00247A23"/>
    <w:rsid w:val="00247D8E"/>
    <w:rsid w:val="00254241"/>
    <w:rsid w:val="002626DB"/>
    <w:rsid w:val="0026325F"/>
    <w:rsid w:val="00263E88"/>
    <w:rsid w:val="00266379"/>
    <w:rsid w:val="002676D1"/>
    <w:rsid w:val="002705A1"/>
    <w:rsid w:val="00271C84"/>
    <w:rsid w:val="002733C4"/>
    <w:rsid w:val="00274B7E"/>
    <w:rsid w:val="002768F3"/>
    <w:rsid w:val="00280625"/>
    <w:rsid w:val="00280790"/>
    <w:rsid w:val="00282454"/>
    <w:rsid w:val="00285B86"/>
    <w:rsid w:val="002937A7"/>
    <w:rsid w:val="00295D3B"/>
    <w:rsid w:val="0029633D"/>
    <w:rsid w:val="002A0843"/>
    <w:rsid w:val="002A0D7E"/>
    <w:rsid w:val="002A1540"/>
    <w:rsid w:val="002A3EE3"/>
    <w:rsid w:val="002A765A"/>
    <w:rsid w:val="002B0064"/>
    <w:rsid w:val="002B19B9"/>
    <w:rsid w:val="002B31F4"/>
    <w:rsid w:val="002B5500"/>
    <w:rsid w:val="002B6833"/>
    <w:rsid w:val="002B74C5"/>
    <w:rsid w:val="002C5537"/>
    <w:rsid w:val="002C5D13"/>
    <w:rsid w:val="002C7068"/>
    <w:rsid w:val="002C70CD"/>
    <w:rsid w:val="002C7A47"/>
    <w:rsid w:val="002C7B0D"/>
    <w:rsid w:val="002D026E"/>
    <w:rsid w:val="002D7A3A"/>
    <w:rsid w:val="002E183E"/>
    <w:rsid w:val="002E2960"/>
    <w:rsid w:val="002E4580"/>
    <w:rsid w:val="002E6426"/>
    <w:rsid w:val="002E70A4"/>
    <w:rsid w:val="002F02BA"/>
    <w:rsid w:val="002F12F5"/>
    <w:rsid w:val="002F1765"/>
    <w:rsid w:val="002F224D"/>
    <w:rsid w:val="002F2BA5"/>
    <w:rsid w:val="002F7FAB"/>
    <w:rsid w:val="0030120B"/>
    <w:rsid w:val="00306F9C"/>
    <w:rsid w:val="00307913"/>
    <w:rsid w:val="003100E2"/>
    <w:rsid w:val="003102D3"/>
    <w:rsid w:val="00313AE3"/>
    <w:rsid w:val="003206AE"/>
    <w:rsid w:val="003247EA"/>
    <w:rsid w:val="003267A8"/>
    <w:rsid w:val="00331CB9"/>
    <w:rsid w:val="003333FE"/>
    <w:rsid w:val="00333938"/>
    <w:rsid w:val="00334300"/>
    <w:rsid w:val="00334ECE"/>
    <w:rsid w:val="00335573"/>
    <w:rsid w:val="0033599A"/>
    <w:rsid w:val="00336672"/>
    <w:rsid w:val="00341DFB"/>
    <w:rsid w:val="003504E4"/>
    <w:rsid w:val="00351552"/>
    <w:rsid w:val="00351EDC"/>
    <w:rsid w:val="00354A4A"/>
    <w:rsid w:val="0035602B"/>
    <w:rsid w:val="00357685"/>
    <w:rsid w:val="00362B17"/>
    <w:rsid w:val="00362BD8"/>
    <w:rsid w:val="003634A9"/>
    <w:rsid w:val="00363846"/>
    <w:rsid w:val="00365BDD"/>
    <w:rsid w:val="003705EB"/>
    <w:rsid w:val="00372E7F"/>
    <w:rsid w:val="00374080"/>
    <w:rsid w:val="003743A7"/>
    <w:rsid w:val="00375172"/>
    <w:rsid w:val="003756F7"/>
    <w:rsid w:val="0038116C"/>
    <w:rsid w:val="003821B0"/>
    <w:rsid w:val="00384EF9"/>
    <w:rsid w:val="0038520F"/>
    <w:rsid w:val="003869F4"/>
    <w:rsid w:val="00387AD8"/>
    <w:rsid w:val="00390172"/>
    <w:rsid w:val="00392DF9"/>
    <w:rsid w:val="003A1DE1"/>
    <w:rsid w:val="003A2ABB"/>
    <w:rsid w:val="003B4418"/>
    <w:rsid w:val="003B5208"/>
    <w:rsid w:val="003B5A5C"/>
    <w:rsid w:val="003B6818"/>
    <w:rsid w:val="003C4484"/>
    <w:rsid w:val="003C484D"/>
    <w:rsid w:val="003C4E75"/>
    <w:rsid w:val="003C5CD6"/>
    <w:rsid w:val="003C6254"/>
    <w:rsid w:val="003C67CC"/>
    <w:rsid w:val="003D1C5E"/>
    <w:rsid w:val="003D30ED"/>
    <w:rsid w:val="003D52FF"/>
    <w:rsid w:val="003E0513"/>
    <w:rsid w:val="003E12AE"/>
    <w:rsid w:val="003E394F"/>
    <w:rsid w:val="003E6A44"/>
    <w:rsid w:val="003E7CA3"/>
    <w:rsid w:val="003F116B"/>
    <w:rsid w:val="003F349E"/>
    <w:rsid w:val="004025BD"/>
    <w:rsid w:val="00402AF7"/>
    <w:rsid w:val="004035F8"/>
    <w:rsid w:val="0040509E"/>
    <w:rsid w:val="00405102"/>
    <w:rsid w:val="0040536E"/>
    <w:rsid w:val="00405562"/>
    <w:rsid w:val="00405D0B"/>
    <w:rsid w:val="00407D5E"/>
    <w:rsid w:val="004111C2"/>
    <w:rsid w:val="00412965"/>
    <w:rsid w:val="00413B46"/>
    <w:rsid w:val="0041435D"/>
    <w:rsid w:val="004206D9"/>
    <w:rsid w:val="00421703"/>
    <w:rsid w:val="00421B9D"/>
    <w:rsid w:val="00422435"/>
    <w:rsid w:val="00430540"/>
    <w:rsid w:val="004323A7"/>
    <w:rsid w:val="0044527D"/>
    <w:rsid w:val="00447B33"/>
    <w:rsid w:val="00452015"/>
    <w:rsid w:val="00456036"/>
    <w:rsid w:val="00456F33"/>
    <w:rsid w:val="00462C62"/>
    <w:rsid w:val="00467FA9"/>
    <w:rsid w:val="00471025"/>
    <w:rsid w:val="0047340C"/>
    <w:rsid w:val="00474987"/>
    <w:rsid w:val="00475947"/>
    <w:rsid w:val="00475FFA"/>
    <w:rsid w:val="00476777"/>
    <w:rsid w:val="00476E3B"/>
    <w:rsid w:val="00477A8A"/>
    <w:rsid w:val="00482F40"/>
    <w:rsid w:val="00487F70"/>
    <w:rsid w:val="00490E02"/>
    <w:rsid w:val="00494A25"/>
    <w:rsid w:val="004955E6"/>
    <w:rsid w:val="004A488E"/>
    <w:rsid w:val="004B02AC"/>
    <w:rsid w:val="004B1F61"/>
    <w:rsid w:val="004B749D"/>
    <w:rsid w:val="004C3D42"/>
    <w:rsid w:val="004C5552"/>
    <w:rsid w:val="004C7A2F"/>
    <w:rsid w:val="004D1191"/>
    <w:rsid w:val="004D3866"/>
    <w:rsid w:val="004D68C7"/>
    <w:rsid w:val="004E11C2"/>
    <w:rsid w:val="004E1AFA"/>
    <w:rsid w:val="004E3DFE"/>
    <w:rsid w:val="004E484A"/>
    <w:rsid w:val="004E50F5"/>
    <w:rsid w:val="004E5842"/>
    <w:rsid w:val="004E627D"/>
    <w:rsid w:val="0050064C"/>
    <w:rsid w:val="00504040"/>
    <w:rsid w:val="00505234"/>
    <w:rsid w:val="00511C39"/>
    <w:rsid w:val="00514597"/>
    <w:rsid w:val="005156C4"/>
    <w:rsid w:val="005201BF"/>
    <w:rsid w:val="0052214C"/>
    <w:rsid w:val="005235D4"/>
    <w:rsid w:val="00524A14"/>
    <w:rsid w:val="00525DA3"/>
    <w:rsid w:val="00535280"/>
    <w:rsid w:val="00536774"/>
    <w:rsid w:val="00541D8F"/>
    <w:rsid w:val="00542540"/>
    <w:rsid w:val="005426F8"/>
    <w:rsid w:val="00543D0F"/>
    <w:rsid w:val="0054457C"/>
    <w:rsid w:val="00547E53"/>
    <w:rsid w:val="0055230C"/>
    <w:rsid w:val="00552429"/>
    <w:rsid w:val="00554D1A"/>
    <w:rsid w:val="00555346"/>
    <w:rsid w:val="00556CF2"/>
    <w:rsid w:val="00557319"/>
    <w:rsid w:val="005573C8"/>
    <w:rsid w:val="00557D48"/>
    <w:rsid w:val="00557E1F"/>
    <w:rsid w:val="005606CE"/>
    <w:rsid w:val="005645C1"/>
    <w:rsid w:val="00566072"/>
    <w:rsid w:val="005661CF"/>
    <w:rsid w:val="005730CC"/>
    <w:rsid w:val="005739C0"/>
    <w:rsid w:val="00573D3E"/>
    <w:rsid w:val="00580A5E"/>
    <w:rsid w:val="00585823"/>
    <w:rsid w:val="005878C9"/>
    <w:rsid w:val="005945BC"/>
    <w:rsid w:val="005958D7"/>
    <w:rsid w:val="0059689F"/>
    <w:rsid w:val="005A0756"/>
    <w:rsid w:val="005A0C75"/>
    <w:rsid w:val="005A2B55"/>
    <w:rsid w:val="005A31C8"/>
    <w:rsid w:val="005A4859"/>
    <w:rsid w:val="005A4AEF"/>
    <w:rsid w:val="005A580A"/>
    <w:rsid w:val="005A779E"/>
    <w:rsid w:val="005B243E"/>
    <w:rsid w:val="005B58FE"/>
    <w:rsid w:val="005B7B6E"/>
    <w:rsid w:val="005C3F11"/>
    <w:rsid w:val="005C408D"/>
    <w:rsid w:val="005C7CAC"/>
    <w:rsid w:val="005D0AE4"/>
    <w:rsid w:val="005D13F6"/>
    <w:rsid w:val="005D569B"/>
    <w:rsid w:val="005D71BD"/>
    <w:rsid w:val="005E0638"/>
    <w:rsid w:val="005E3DEE"/>
    <w:rsid w:val="005E409E"/>
    <w:rsid w:val="005E7D85"/>
    <w:rsid w:val="005F0279"/>
    <w:rsid w:val="005F275F"/>
    <w:rsid w:val="005F396F"/>
    <w:rsid w:val="00600607"/>
    <w:rsid w:val="006010C1"/>
    <w:rsid w:val="006024D8"/>
    <w:rsid w:val="00610B17"/>
    <w:rsid w:val="00611EAA"/>
    <w:rsid w:val="00615963"/>
    <w:rsid w:val="00615E75"/>
    <w:rsid w:val="00621103"/>
    <w:rsid w:val="00622F77"/>
    <w:rsid w:val="00623310"/>
    <w:rsid w:val="006255B5"/>
    <w:rsid w:val="00626410"/>
    <w:rsid w:val="00631AAA"/>
    <w:rsid w:val="00633DAB"/>
    <w:rsid w:val="00634F7C"/>
    <w:rsid w:val="00636221"/>
    <w:rsid w:val="00636E85"/>
    <w:rsid w:val="00642A34"/>
    <w:rsid w:val="006436B2"/>
    <w:rsid w:val="00644EE1"/>
    <w:rsid w:val="0065212E"/>
    <w:rsid w:val="006538BB"/>
    <w:rsid w:val="00653C0F"/>
    <w:rsid w:val="00661406"/>
    <w:rsid w:val="00665BFB"/>
    <w:rsid w:val="0066784C"/>
    <w:rsid w:val="0067157A"/>
    <w:rsid w:val="00672794"/>
    <w:rsid w:val="006758B5"/>
    <w:rsid w:val="006761DE"/>
    <w:rsid w:val="0068375E"/>
    <w:rsid w:val="0068438C"/>
    <w:rsid w:val="00686CAF"/>
    <w:rsid w:val="00694B7C"/>
    <w:rsid w:val="006961E0"/>
    <w:rsid w:val="006A105B"/>
    <w:rsid w:val="006A6987"/>
    <w:rsid w:val="006A7ECC"/>
    <w:rsid w:val="006B08AD"/>
    <w:rsid w:val="006B45C4"/>
    <w:rsid w:val="006B537C"/>
    <w:rsid w:val="006B6101"/>
    <w:rsid w:val="006B6304"/>
    <w:rsid w:val="006B6B4C"/>
    <w:rsid w:val="006B7691"/>
    <w:rsid w:val="006C00D6"/>
    <w:rsid w:val="006C4774"/>
    <w:rsid w:val="006C4B7B"/>
    <w:rsid w:val="006C4EFC"/>
    <w:rsid w:val="006C4F44"/>
    <w:rsid w:val="006C7DD1"/>
    <w:rsid w:val="006D47CF"/>
    <w:rsid w:val="006D47D2"/>
    <w:rsid w:val="006D4BEC"/>
    <w:rsid w:val="006D5B74"/>
    <w:rsid w:val="006E0129"/>
    <w:rsid w:val="006E2A4A"/>
    <w:rsid w:val="006E31A7"/>
    <w:rsid w:val="006E3E69"/>
    <w:rsid w:val="006E422B"/>
    <w:rsid w:val="006F2468"/>
    <w:rsid w:val="006F43FE"/>
    <w:rsid w:val="006F5F3C"/>
    <w:rsid w:val="006F7E26"/>
    <w:rsid w:val="00702A5A"/>
    <w:rsid w:val="00705DBC"/>
    <w:rsid w:val="00710FF0"/>
    <w:rsid w:val="00713601"/>
    <w:rsid w:val="00713E4C"/>
    <w:rsid w:val="00714584"/>
    <w:rsid w:val="0071576B"/>
    <w:rsid w:val="007176B1"/>
    <w:rsid w:val="007259FB"/>
    <w:rsid w:val="007263A0"/>
    <w:rsid w:val="007312F4"/>
    <w:rsid w:val="00735A6E"/>
    <w:rsid w:val="00736D50"/>
    <w:rsid w:val="00737094"/>
    <w:rsid w:val="00737D5A"/>
    <w:rsid w:val="00745430"/>
    <w:rsid w:val="0074696B"/>
    <w:rsid w:val="0074703B"/>
    <w:rsid w:val="00747419"/>
    <w:rsid w:val="00750B79"/>
    <w:rsid w:val="007515FD"/>
    <w:rsid w:val="00751A87"/>
    <w:rsid w:val="00753D03"/>
    <w:rsid w:val="00755873"/>
    <w:rsid w:val="00757BDE"/>
    <w:rsid w:val="00757F3C"/>
    <w:rsid w:val="00761790"/>
    <w:rsid w:val="00761E5D"/>
    <w:rsid w:val="007623B7"/>
    <w:rsid w:val="007623F2"/>
    <w:rsid w:val="007629BA"/>
    <w:rsid w:val="00764869"/>
    <w:rsid w:val="00764E14"/>
    <w:rsid w:val="00765323"/>
    <w:rsid w:val="00770FA7"/>
    <w:rsid w:val="007724EE"/>
    <w:rsid w:val="00774FCB"/>
    <w:rsid w:val="00775E0F"/>
    <w:rsid w:val="00777367"/>
    <w:rsid w:val="00777972"/>
    <w:rsid w:val="00781662"/>
    <w:rsid w:val="00783E97"/>
    <w:rsid w:val="007859F4"/>
    <w:rsid w:val="007861C5"/>
    <w:rsid w:val="00793509"/>
    <w:rsid w:val="00793E47"/>
    <w:rsid w:val="00797E04"/>
    <w:rsid w:val="007A058A"/>
    <w:rsid w:val="007A2CC1"/>
    <w:rsid w:val="007A3537"/>
    <w:rsid w:val="007A39B7"/>
    <w:rsid w:val="007A4D90"/>
    <w:rsid w:val="007A5A36"/>
    <w:rsid w:val="007A6EBF"/>
    <w:rsid w:val="007A7DCD"/>
    <w:rsid w:val="007B0696"/>
    <w:rsid w:val="007B5BA9"/>
    <w:rsid w:val="007C01A2"/>
    <w:rsid w:val="007C1EC8"/>
    <w:rsid w:val="007C2DBC"/>
    <w:rsid w:val="007C323F"/>
    <w:rsid w:val="007C4CD2"/>
    <w:rsid w:val="007D4322"/>
    <w:rsid w:val="007D473A"/>
    <w:rsid w:val="007E404B"/>
    <w:rsid w:val="007F2A40"/>
    <w:rsid w:val="00804FBB"/>
    <w:rsid w:val="00805C15"/>
    <w:rsid w:val="00805E8B"/>
    <w:rsid w:val="00813356"/>
    <w:rsid w:val="0081502A"/>
    <w:rsid w:val="008154D6"/>
    <w:rsid w:val="00816643"/>
    <w:rsid w:val="00820856"/>
    <w:rsid w:val="00821B2A"/>
    <w:rsid w:val="0082274D"/>
    <w:rsid w:val="00826A1D"/>
    <w:rsid w:val="00832CC2"/>
    <w:rsid w:val="00836E0B"/>
    <w:rsid w:val="008374C5"/>
    <w:rsid w:val="008402E4"/>
    <w:rsid w:val="008410F9"/>
    <w:rsid w:val="00844336"/>
    <w:rsid w:val="0084560C"/>
    <w:rsid w:val="008464F6"/>
    <w:rsid w:val="00846DA2"/>
    <w:rsid w:val="008475E2"/>
    <w:rsid w:val="008504A2"/>
    <w:rsid w:val="00853EB9"/>
    <w:rsid w:val="008553A4"/>
    <w:rsid w:val="00862F52"/>
    <w:rsid w:val="0086323D"/>
    <w:rsid w:val="00870FD4"/>
    <w:rsid w:val="00872623"/>
    <w:rsid w:val="008743D1"/>
    <w:rsid w:val="00876540"/>
    <w:rsid w:val="0087672A"/>
    <w:rsid w:val="008804E4"/>
    <w:rsid w:val="0088211F"/>
    <w:rsid w:val="0088254B"/>
    <w:rsid w:val="00882EF0"/>
    <w:rsid w:val="00886DC5"/>
    <w:rsid w:val="008918F6"/>
    <w:rsid w:val="008921A9"/>
    <w:rsid w:val="00893F80"/>
    <w:rsid w:val="00894E1C"/>
    <w:rsid w:val="0089683F"/>
    <w:rsid w:val="00896DAD"/>
    <w:rsid w:val="00897D2E"/>
    <w:rsid w:val="008A112A"/>
    <w:rsid w:val="008A119C"/>
    <w:rsid w:val="008A2527"/>
    <w:rsid w:val="008A50AA"/>
    <w:rsid w:val="008A73A1"/>
    <w:rsid w:val="008B0A8D"/>
    <w:rsid w:val="008B1178"/>
    <w:rsid w:val="008B2D15"/>
    <w:rsid w:val="008C1194"/>
    <w:rsid w:val="008C58CB"/>
    <w:rsid w:val="008C7BE9"/>
    <w:rsid w:val="008D0512"/>
    <w:rsid w:val="008D1992"/>
    <w:rsid w:val="008D1E09"/>
    <w:rsid w:val="008D457B"/>
    <w:rsid w:val="008E036E"/>
    <w:rsid w:val="008E0C49"/>
    <w:rsid w:val="008E21C8"/>
    <w:rsid w:val="008E2CD0"/>
    <w:rsid w:val="008E4EE9"/>
    <w:rsid w:val="008E5DC5"/>
    <w:rsid w:val="008F2F11"/>
    <w:rsid w:val="008F3F4E"/>
    <w:rsid w:val="008F57EB"/>
    <w:rsid w:val="008F7369"/>
    <w:rsid w:val="008F7627"/>
    <w:rsid w:val="008F768D"/>
    <w:rsid w:val="008F7915"/>
    <w:rsid w:val="009005B4"/>
    <w:rsid w:val="0090512B"/>
    <w:rsid w:val="00911104"/>
    <w:rsid w:val="00912EEE"/>
    <w:rsid w:val="00920DDE"/>
    <w:rsid w:val="00922570"/>
    <w:rsid w:val="00922FAD"/>
    <w:rsid w:val="009240BA"/>
    <w:rsid w:val="00925317"/>
    <w:rsid w:val="00926C92"/>
    <w:rsid w:val="00927AAF"/>
    <w:rsid w:val="00930C27"/>
    <w:rsid w:val="0094193B"/>
    <w:rsid w:val="00943F36"/>
    <w:rsid w:val="0094586E"/>
    <w:rsid w:val="00946028"/>
    <w:rsid w:val="00950176"/>
    <w:rsid w:val="009507FB"/>
    <w:rsid w:val="00950E04"/>
    <w:rsid w:val="0095213A"/>
    <w:rsid w:val="0095393B"/>
    <w:rsid w:val="00954CDA"/>
    <w:rsid w:val="00956210"/>
    <w:rsid w:val="00961EA0"/>
    <w:rsid w:val="00962675"/>
    <w:rsid w:val="00962F04"/>
    <w:rsid w:val="009702C7"/>
    <w:rsid w:val="009750A3"/>
    <w:rsid w:val="00975497"/>
    <w:rsid w:val="009755DA"/>
    <w:rsid w:val="009842DD"/>
    <w:rsid w:val="00985092"/>
    <w:rsid w:val="00985DAA"/>
    <w:rsid w:val="00986452"/>
    <w:rsid w:val="009908ED"/>
    <w:rsid w:val="009911D0"/>
    <w:rsid w:val="0099193C"/>
    <w:rsid w:val="009922D3"/>
    <w:rsid w:val="00992876"/>
    <w:rsid w:val="00992FEC"/>
    <w:rsid w:val="00994615"/>
    <w:rsid w:val="00994DDF"/>
    <w:rsid w:val="00996394"/>
    <w:rsid w:val="00997DE6"/>
    <w:rsid w:val="009A112B"/>
    <w:rsid w:val="009A39AC"/>
    <w:rsid w:val="009A3E5E"/>
    <w:rsid w:val="009A4A2E"/>
    <w:rsid w:val="009A4C65"/>
    <w:rsid w:val="009A4E5D"/>
    <w:rsid w:val="009A53BC"/>
    <w:rsid w:val="009A5EB5"/>
    <w:rsid w:val="009B7BCF"/>
    <w:rsid w:val="009C26DD"/>
    <w:rsid w:val="009C2EDC"/>
    <w:rsid w:val="009C3163"/>
    <w:rsid w:val="009C3D98"/>
    <w:rsid w:val="009C4840"/>
    <w:rsid w:val="009C7735"/>
    <w:rsid w:val="009D13C7"/>
    <w:rsid w:val="009D64A6"/>
    <w:rsid w:val="009D77C8"/>
    <w:rsid w:val="009E3F3A"/>
    <w:rsid w:val="009E4134"/>
    <w:rsid w:val="009E442D"/>
    <w:rsid w:val="009E4E0B"/>
    <w:rsid w:val="009E78C1"/>
    <w:rsid w:val="009F32DC"/>
    <w:rsid w:val="009F6E71"/>
    <w:rsid w:val="009F6F7B"/>
    <w:rsid w:val="00A01482"/>
    <w:rsid w:val="00A07160"/>
    <w:rsid w:val="00A10CAA"/>
    <w:rsid w:val="00A11CC9"/>
    <w:rsid w:val="00A12A21"/>
    <w:rsid w:val="00A12CFA"/>
    <w:rsid w:val="00A14309"/>
    <w:rsid w:val="00A21A3B"/>
    <w:rsid w:val="00A22ECA"/>
    <w:rsid w:val="00A240ED"/>
    <w:rsid w:val="00A24D81"/>
    <w:rsid w:val="00A270FF"/>
    <w:rsid w:val="00A30F6F"/>
    <w:rsid w:val="00A32B6A"/>
    <w:rsid w:val="00A33085"/>
    <w:rsid w:val="00A33A70"/>
    <w:rsid w:val="00A3485D"/>
    <w:rsid w:val="00A422B1"/>
    <w:rsid w:val="00A427ED"/>
    <w:rsid w:val="00A438FF"/>
    <w:rsid w:val="00A4454E"/>
    <w:rsid w:val="00A449A5"/>
    <w:rsid w:val="00A47522"/>
    <w:rsid w:val="00A50ED2"/>
    <w:rsid w:val="00A50FC8"/>
    <w:rsid w:val="00A52378"/>
    <w:rsid w:val="00A5775F"/>
    <w:rsid w:val="00A607E9"/>
    <w:rsid w:val="00A64F3F"/>
    <w:rsid w:val="00A677D4"/>
    <w:rsid w:val="00A739DB"/>
    <w:rsid w:val="00A740A7"/>
    <w:rsid w:val="00A75C68"/>
    <w:rsid w:val="00A76CBA"/>
    <w:rsid w:val="00A77144"/>
    <w:rsid w:val="00A84DDA"/>
    <w:rsid w:val="00A854F6"/>
    <w:rsid w:val="00A93F3D"/>
    <w:rsid w:val="00A9617D"/>
    <w:rsid w:val="00AA1478"/>
    <w:rsid w:val="00AA2DEF"/>
    <w:rsid w:val="00AA305E"/>
    <w:rsid w:val="00AB1BD3"/>
    <w:rsid w:val="00AB3548"/>
    <w:rsid w:val="00AB65D6"/>
    <w:rsid w:val="00AB7D24"/>
    <w:rsid w:val="00AC0E78"/>
    <w:rsid w:val="00AC3344"/>
    <w:rsid w:val="00AC5D89"/>
    <w:rsid w:val="00AC69D7"/>
    <w:rsid w:val="00AC7DE5"/>
    <w:rsid w:val="00AD36A5"/>
    <w:rsid w:val="00AD583A"/>
    <w:rsid w:val="00AE05A1"/>
    <w:rsid w:val="00AE2D9D"/>
    <w:rsid w:val="00AE2DB0"/>
    <w:rsid w:val="00AE3793"/>
    <w:rsid w:val="00AE5560"/>
    <w:rsid w:val="00AE62D0"/>
    <w:rsid w:val="00AF03AA"/>
    <w:rsid w:val="00AF3656"/>
    <w:rsid w:val="00AF5148"/>
    <w:rsid w:val="00AF622B"/>
    <w:rsid w:val="00AF74B0"/>
    <w:rsid w:val="00B01DE2"/>
    <w:rsid w:val="00B0376E"/>
    <w:rsid w:val="00B0379C"/>
    <w:rsid w:val="00B13761"/>
    <w:rsid w:val="00B13D51"/>
    <w:rsid w:val="00B140F7"/>
    <w:rsid w:val="00B14517"/>
    <w:rsid w:val="00B15982"/>
    <w:rsid w:val="00B165F0"/>
    <w:rsid w:val="00B213AF"/>
    <w:rsid w:val="00B21FDD"/>
    <w:rsid w:val="00B31F93"/>
    <w:rsid w:val="00B32BBE"/>
    <w:rsid w:val="00B32C56"/>
    <w:rsid w:val="00B37543"/>
    <w:rsid w:val="00B40038"/>
    <w:rsid w:val="00B40A61"/>
    <w:rsid w:val="00B40AE4"/>
    <w:rsid w:val="00B437E5"/>
    <w:rsid w:val="00B507AB"/>
    <w:rsid w:val="00B52FD9"/>
    <w:rsid w:val="00B568D1"/>
    <w:rsid w:val="00B61735"/>
    <w:rsid w:val="00B62518"/>
    <w:rsid w:val="00B63312"/>
    <w:rsid w:val="00B64C07"/>
    <w:rsid w:val="00B66185"/>
    <w:rsid w:val="00B709EA"/>
    <w:rsid w:val="00B71399"/>
    <w:rsid w:val="00B752A5"/>
    <w:rsid w:val="00B75B74"/>
    <w:rsid w:val="00B76C4C"/>
    <w:rsid w:val="00B77439"/>
    <w:rsid w:val="00B77F53"/>
    <w:rsid w:val="00B810EA"/>
    <w:rsid w:val="00B8143F"/>
    <w:rsid w:val="00B82B0E"/>
    <w:rsid w:val="00B82EDD"/>
    <w:rsid w:val="00B85691"/>
    <w:rsid w:val="00B87D8C"/>
    <w:rsid w:val="00B902CF"/>
    <w:rsid w:val="00B91C4E"/>
    <w:rsid w:val="00B94646"/>
    <w:rsid w:val="00B94684"/>
    <w:rsid w:val="00B9525D"/>
    <w:rsid w:val="00B95331"/>
    <w:rsid w:val="00B96303"/>
    <w:rsid w:val="00B977B2"/>
    <w:rsid w:val="00BA2CD4"/>
    <w:rsid w:val="00BA3B72"/>
    <w:rsid w:val="00BA6A37"/>
    <w:rsid w:val="00BB1170"/>
    <w:rsid w:val="00BB306F"/>
    <w:rsid w:val="00BB4A14"/>
    <w:rsid w:val="00BB5935"/>
    <w:rsid w:val="00BB7133"/>
    <w:rsid w:val="00BB7F00"/>
    <w:rsid w:val="00BC4781"/>
    <w:rsid w:val="00BC74BC"/>
    <w:rsid w:val="00BD0EA8"/>
    <w:rsid w:val="00BD1533"/>
    <w:rsid w:val="00BD2DE8"/>
    <w:rsid w:val="00BD3C8E"/>
    <w:rsid w:val="00BD4901"/>
    <w:rsid w:val="00BD7DA3"/>
    <w:rsid w:val="00BE151E"/>
    <w:rsid w:val="00BE3B31"/>
    <w:rsid w:val="00BE3C59"/>
    <w:rsid w:val="00BE47E8"/>
    <w:rsid w:val="00BE7813"/>
    <w:rsid w:val="00BF1EB8"/>
    <w:rsid w:val="00BF4CE9"/>
    <w:rsid w:val="00BF5CC3"/>
    <w:rsid w:val="00BF702B"/>
    <w:rsid w:val="00C01934"/>
    <w:rsid w:val="00C02A19"/>
    <w:rsid w:val="00C073EE"/>
    <w:rsid w:val="00C0768C"/>
    <w:rsid w:val="00C112D2"/>
    <w:rsid w:val="00C14F89"/>
    <w:rsid w:val="00C232C1"/>
    <w:rsid w:val="00C24869"/>
    <w:rsid w:val="00C25F7E"/>
    <w:rsid w:val="00C301B5"/>
    <w:rsid w:val="00C31E02"/>
    <w:rsid w:val="00C33D2C"/>
    <w:rsid w:val="00C42ACC"/>
    <w:rsid w:val="00C44BC6"/>
    <w:rsid w:val="00C44F7C"/>
    <w:rsid w:val="00C47AA7"/>
    <w:rsid w:val="00C50794"/>
    <w:rsid w:val="00C5082C"/>
    <w:rsid w:val="00C52309"/>
    <w:rsid w:val="00C550C4"/>
    <w:rsid w:val="00C60E27"/>
    <w:rsid w:val="00C66483"/>
    <w:rsid w:val="00C67CBD"/>
    <w:rsid w:val="00C7071C"/>
    <w:rsid w:val="00C73C2A"/>
    <w:rsid w:val="00C758A1"/>
    <w:rsid w:val="00C81E69"/>
    <w:rsid w:val="00C82BB6"/>
    <w:rsid w:val="00C8494D"/>
    <w:rsid w:val="00C868CC"/>
    <w:rsid w:val="00C9030D"/>
    <w:rsid w:val="00C95CE1"/>
    <w:rsid w:val="00CA4A9B"/>
    <w:rsid w:val="00CA7999"/>
    <w:rsid w:val="00CB1DEC"/>
    <w:rsid w:val="00CB35F0"/>
    <w:rsid w:val="00CB4688"/>
    <w:rsid w:val="00CB5186"/>
    <w:rsid w:val="00CB7658"/>
    <w:rsid w:val="00CC4282"/>
    <w:rsid w:val="00CC6277"/>
    <w:rsid w:val="00CD541B"/>
    <w:rsid w:val="00CE13C3"/>
    <w:rsid w:val="00CE3C5D"/>
    <w:rsid w:val="00CE407C"/>
    <w:rsid w:val="00CE4218"/>
    <w:rsid w:val="00CE5FBB"/>
    <w:rsid w:val="00CE74D2"/>
    <w:rsid w:val="00CF2854"/>
    <w:rsid w:val="00CF403D"/>
    <w:rsid w:val="00D009DF"/>
    <w:rsid w:val="00D0247B"/>
    <w:rsid w:val="00D0326B"/>
    <w:rsid w:val="00D042E0"/>
    <w:rsid w:val="00D0454D"/>
    <w:rsid w:val="00D0721C"/>
    <w:rsid w:val="00D0725B"/>
    <w:rsid w:val="00D07534"/>
    <w:rsid w:val="00D10966"/>
    <w:rsid w:val="00D122A6"/>
    <w:rsid w:val="00D1502C"/>
    <w:rsid w:val="00D1635A"/>
    <w:rsid w:val="00D16FB7"/>
    <w:rsid w:val="00D20476"/>
    <w:rsid w:val="00D21EF3"/>
    <w:rsid w:val="00D22306"/>
    <w:rsid w:val="00D23B57"/>
    <w:rsid w:val="00D249C3"/>
    <w:rsid w:val="00D25645"/>
    <w:rsid w:val="00D25F05"/>
    <w:rsid w:val="00D26263"/>
    <w:rsid w:val="00D26A29"/>
    <w:rsid w:val="00D27C5E"/>
    <w:rsid w:val="00D3308B"/>
    <w:rsid w:val="00D33253"/>
    <w:rsid w:val="00D356BA"/>
    <w:rsid w:val="00D37486"/>
    <w:rsid w:val="00D40FF8"/>
    <w:rsid w:val="00D418D6"/>
    <w:rsid w:val="00D4507D"/>
    <w:rsid w:val="00D50A40"/>
    <w:rsid w:val="00D56D20"/>
    <w:rsid w:val="00D57783"/>
    <w:rsid w:val="00D61E14"/>
    <w:rsid w:val="00D62F34"/>
    <w:rsid w:val="00D67784"/>
    <w:rsid w:val="00D7059B"/>
    <w:rsid w:val="00D72F17"/>
    <w:rsid w:val="00D767D9"/>
    <w:rsid w:val="00D76DE6"/>
    <w:rsid w:val="00D778F1"/>
    <w:rsid w:val="00D81BEC"/>
    <w:rsid w:val="00D83CDB"/>
    <w:rsid w:val="00D85B31"/>
    <w:rsid w:val="00D90125"/>
    <w:rsid w:val="00D901B5"/>
    <w:rsid w:val="00D91CAE"/>
    <w:rsid w:val="00D9352E"/>
    <w:rsid w:val="00D9430E"/>
    <w:rsid w:val="00D94419"/>
    <w:rsid w:val="00D953B0"/>
    <w:rsid w:val="00D957D0"/>
    <w:rsid w:val="00D9695F"/>
    <w:rsid w:val="00D9781A"/>
    <w:rsid w:val="00DA0FD7"/>
    <w:rsid w:val="00DA6E40"/>
    <w:rsid w:val="00DA710E"/>
    <w:rsid w:val="00DB4EE7"/>
    <w:rsid w:val="00DB6F2D"/>
    <w:rsid w:val="00DB7E69"/>
    <w:rsid w:val="00DC065A"/>
    <w:rsid w:val="00DC07B9"/>
    <w:rsid w:val="00DC1552"/>
    <w:rsid w:val="00DC255D"/>
    <w:rsid w:val="00DC2814"/>
    <w:rsid w:val="00DC2F22"/>
    <w:rsid w:val="00DC3F75"/>
    <w:rsid w:val="00DC5285"/>
    <w:rsid w:val="00DC56BC"/>
    <w:rsid w:val="00DD57FD"/>
    <w:rsid w:val="00DD6F32"/>
    <w:rsid w:val="00DE08D8"/>
    <w:rsid w:val="00DE3AEB"/>
    <w:rsid w:val="00DE3FED"/>
    <w:rsid w:val="00DE4185"/>
    <w:rsid w:val="00DE64F4"/>
    <w:rsid w:val="00DE78C1"/>
    <w:rsid w:val="00DF04BE"/>
    <w:rsid w:val="00DF1907"/>
    <w:rsid w:val="00DF2234"/>
    <w:rsid w:val="00DF247E"/>
    <w:rsid w:val="00DF293E"/>
    <w:rsid w:val="00DF5654"/>
    <w:rsid w:val="00DF5B37"/>
    <w:rsid w:val="00DF6405"/>
    <w:rsid w:val="00E048D4"/>
    <w:rsid w:val="00E04C14"/>
    <w:rsid w:val="00E0689B"/>
    <w:rsid w:val="00E06B18"/>
    <w:rsid w:val="00E07B5B"/>
    <w:rsid w:val="00E13094"/>
    <w:rsid w:val="00E14703"/>
    <w:rsid w:val="00E17617"/>
    <w:rsid w:val="00E17B57"/>
    <w:rsid w:val="00E23862"/>
    <w:rsid w:val="00E30E6B"/>
    <w:rsid w:val="00E326B2"/>
    <w:rsid w:val="00E36345"/>
    <w:rsid w:val="00E37250"/>
    <w:rsid w:val="00E40AB6"/>
    <w:rsid w:val="00E44D20"/>
    <w:rsid w:val="00E526DE"/>
    <w:rsid w:val="00E53BB8"/>
    <w:rsid w:val="00E53BE3"/>
    <w:rsid w:val="00E54C22"/>
    <w:rsid w:val="00E559DF"/>
    <w:rsid w:val="00E56818"/>
    <w:rsid w:val="00E60C05"/>
    <w:rsid w:val="00E6141F"/>
    <w:rsid w:val="00E64BDA"/>
    <w:rsid w:val="00E668E8"/>
    <w:rsid w:val="00E71056"/>
    <w:rsid w:val="00E721C5"/>
    <w:rsid w:val="00E739B1"/>
    <w:rsid w:val="00E75C13"/>
    <w:rsid w:val="00E76BF4"/>
    <w:rsid w:val="00E76CD7"/>
    <w:rsid w:val="00E80D6B"/>
    <w:rsid w:val="00E81D01"/>
    <w:rsid w:val="00E863BB"/>
    <w:rsid w:val="00E86971"/>
    <w:rsid w:val="00E930EC"/>
    <w:rsid w:val="00EA38AF"/>
    <w:rsid w:val="00EB1996"/>
    <w:rsid w:val="00EB4B65"/>
    <w:rsid w:val="00EB61ED"/>
    <w:rsid w:val="00EB7D2E"/>
    <w:rsid w:val="00EC00BE"/>
    <w:rsid w:val="00EC012C"/>
    <w:rsid w:val="00EC1444"/>
    <w:rsid w:val="00EC57AB"/>
    <w:rsid w:val="00ED0BEE"/>
    <w:rsid w:val="00ED22A4"/>
    <w:rsid w:val="00ED2E36"/>
    <w:rsid w:val="00EE2F62"/>
    <w:rsid w:val="00EE3849"/>
    <w:rsid w:val="00EE50AA"/>
    <w:rsid w:val="00EE5CCA"/>
    <w:rsid w:val="00EE732C"/>
    <w:rsid w:val="00EE7391"/>
    <w:rsid w:val="00EF2A90"/>
    <w:rsid w:val="00EF4813"/>
    <w:rsid w:val="00EF5C50"/>
    <w:rsid w:val="00EF5DD8"/>
    <w:rsid w:val="00EF72A0"/>
    <w:rsid w:val="00F00CC3"/>
    <w:rsid w:val="00F07907"/>
    <w:rsid w:val="00F14338"/>
    <w:rsid w:val="00F17A54"/>
    <w:rsid w:val="00F24125"/>
    <w:rsid w:val="00F2465F"/>
    <w:rsid w:val="00F2500F"/>
    <w:rsid w:val="00F2534E"/>
    <w:rsid w:val="00F26480"/>
    <w:rsid w:val="00F27979"/>
    <w:rsid w:val="00F27ED4"/>
    <w:rsid w:val="00F30051"/>
    <w:rsid w:val="00F310B2"/>
    <w:rsid w:val="00F317F0"/>
    <w:rsid w:val="00F365DF"/>
    <w:rsid w:val="00F47EB3"/>
    <w:rsid w:val="00F50C80"/>
    <w:rsid w:val="00F51CAA"/>
    <w:rsid w:val="00F5278B"/>
    <w:rsid w:val="00F52F50"/>
    <w:rsid w:val="00F54750"/>
    <w:rsid w:val="00F6000A"/>
    <w:rsid w:val="00F65E08"/>
    <w:rsid w:val="00F66840"/>
    <w:rsid w:val="00F66966"/>
    <w:rsid w:val="00F66E74"/>
    <w:rsid w:val="00F70239"/>
    <w:rsid w:val="00F705D5"/>
    <w:rsid w:val="00F733D3"/>
    <w:rsid w:val="00F752BA"/>
    <w:rsid w:val="00F77D86"/>
    <w:rsid w:val="00F77F2D"/>
    <w:rsid w:val="00F833EE"/>
    <w:rsid w:val="00F841E6"/>
    <w:rsid w:val="00F90A0E"/>
    <w:rsid w:val="00F911A7"/>
    <w:rsid w:val="00F923C0"/>
    <w:rsid w:val="00F927D8"/>
    <w:rsid w:val="00F92DA3"/>
    <w:rsid w:val="00FA17C9"/>
    <w:rsid w:val="00FA1D12"/>
    <w:rsid w:val="00FA1E10"/>
    <w:rsid w:val="00FA3009"/>
    <w:rsid w:val="00FA385E"/>
    <w:rsid w:val="00FA3AAD"/>
    <w:rsid w:val="00FA60FF"/>
    <w:rsid w:val="00FA6517"/>
    <w:rsid w:val="00FB15E4"/>
    <w:rsid w:val="00FB5B67"/>
    <w:rsid w:val="00FB6EE6"/>
    <w:rsid w:val="00FB7246"/>
    <w:rsid w:val="00FC12AC"/>
    <w:rsid w:val="00FC7FDC"/>
    <w:rsid w:val="00FD14D5"/>
    <w:rsid w:val="00FD1FC5"/>
    <w:rsid w:val="00FD3648"/>
    <w:rsid w:val="00FE3881"/>
    <w:rsid w:val="00FE51C0"/>
    <w:rsid w:val="00FF18E9"/>
    <w:rsid w:val="00FF3088"/>
    <w:rsid w:val="00FF4BD0"/>
    <w:rsid w:val="00FF5998"/>
    <w:rsid w:val="00FF7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DA2E72"/>
  <w15:docId w15:val="{140A71CF-B814-4152-8A23-0BB8FA11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01DE2"/>
    <w:rPr>
      <w:rFonts w:ascii="Times New Roman" w:eastAsia="Arial" w:hAnsi="Times New Roman" w:cs="Arial"/>
      <w:sz w:val="24"/>
    </w:rPr>
  </w:style>
  <w:style w:type="paragraph" w:styleId="Heading1">
    <w:name w:val="heading 1"/>
    <w:basedOn w:val="Normal"/>
    <w:link w:val="Heading1Char"/>
    <w:uiPriority w:val="9"/>
    <w:qFormat/>
    <w:rsid w:val="00D10966"/>
    <w:pPr>
      <w:widowControl/>
      <w:autoSpaceDE/>
      <w:autoSpaceDN/>
      <w:outlineLvl w:val="0"/>
    </w:pPr>
    <w:rPr>
      <w:rFonts w:cs="Times New Roman"/>
      <w:b/>
      <w:bCs/>
      <w:sz w:val="28"/>
      <w:szCs w:val="28"/>
    </w:rPr>
  </w:style>
  <w:style w:type="paragraph" w:styleId="Heading2">
    <w:name w:val="heading 2"/>
    <w:basedOn w:val="Normal"/>
    <w:link w:val="Heading2Char"/>
    <w:autoRedefine/>
    <w:uiPriority w:val="9"/>
    <w:qFormat/>
    <w:rsid w:val="00FD1FC5"/>
    <w:pPr>
      <w:spacing w:line="360" w:lineRule="auto"/>
      <w:ind w:left="720"/>
      <w:outlineLvl w:val="1"/>
    </w:pPr>
    <w:rPr>
      <w:rFonts w:cs="Times New Roman"/>
      <w:b/>
      <w:bCs/>
      <w:i/>
      <w:szCs w:val="24"/>
      <w:shd w:val="clear" w:color="auto" w:fill="FFFFFF"/>
    </w:rPr>
  </w:style>
  <w:style w:type="paragraph" w:styleId="Heading3">
    <w:name w:val="heading 3"/>
    <w:basedOn w:val="Normal"/>
    <w:link w:val="Heading3Char"/>
    <w:autoRedefine/>
    <w:uiPriority w:val="1"/>
    <w:qFormat/>
    <w:rsid w:val="00D122A6"/>
    <w:pPr>
      <w:spacing w:line="360" w:lineRule="auto"/>
      <w:ind w:firstLine="720"/>
      <w:outlineLvl w:val="2"/>
    </w:pPr>
    <w:rPr>
      <w:rFonts w:cs="Times New Roman"/>
      <w:b/>
      <w:bCs/>
      <w:i/>
      <w:szCs w:val="24"/>
      <w:shd w:val="clear" w:color="auto" w:fill="FFFFFF"/>
    </w:rPr>
  </w:style>
  <w:style w:type="paragraph" w:styleId="Heading4">
    <w:name w:val="heading 4"/>
    <w:basedOn w:val="Normal"/>
    <w:link w:val="Heading4Char"/>
    <w:uiPriority w:val="1"/>
    <w:qFormat/>
    <w:rsid w:val="001F760E"/>
    <w:pPr>
      <w:numPr>
        <w:ilvl w:val="3"/>
        <w:numId w:val="3"/>
      </w:numPr>
      <w:outlineLvl w:val="3"/>
    </w:pPr>
    <w:rPr>
      <w:b/>
      <w:bCs/>
      <w:i/>
      <w:iCs/>
      <w:szCs w:val="24"/>
    </w:rPr>
  </w:style>
  <w:style w:type="paragraph" w:styleId="Heading5">
    <w:name w:val="heading 5"/>
    <w:basedOn w:val="Normal"/>
    <w:next w:val="Normal"/>
    <w:link w:val="Heading5Char"/>
    <w:uiPriority w:val="9"/>
    <w:semiHidden/>
    <w:unhideWhenUsed/>
    <w:qFormat/>
    <w:rsid w:val="003C484D"/>
    <w:pPr>
      <w:keepNext/>
      <w:keepLines/>
      <w:numPr>
        <w:ilvl w:val="4"/>
        <w:numId w:val="3"/>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C484D"/>
    <w:pPr>
      <w:keepNext/>
      <w:keepLines/>
      <w:numPr>
        <w:ilvl w:val="5"/>
        <w:numId w:val="3"/>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C484D"/>
    <w:pPr>
      <w:keepNext/>
      <w:keepLines/>
      <w:numPr>
        <w:ilvl w:val="6"/>
        <w:numId w:val="3"/>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C484D"/>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C484D"/>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Heading1"/>
    <w:next w:val="Heading1"/>
    <w:link w:val="TOC1Char"/>
    <w:autoRedefine/>
    <w:uiPriority w:val="39"/>
    <w:qFormat/>
    <w:rsid w:val="00897D2E"/>
    <w:pPr>
      <w:tabs>
        <w:tab w:val="right" w:leader="dot" w:pos="9350"/>
      </w:tabs>
      <w:spacing w:before="120" w:after="120"/>
    </w:pPr>
    <w:rPr>
      <w:rFonts w:cstheme="minorHAnsi"/>
      <w:b w:val="0"/>
      <w:bCs w:val="0"/>
      <w:noProof/>
      <w:sz w:val="24"/>
      <w:szCs w:val="20"/>
    </w:rPr>
  </w:style>
  <w:style w:type="paragraph" w:styleId="TOC2">
    <w:name w:val="toc 2"/>
    <w:basedOn w:val="Normal"/>
    <w:autoRedefine/>
    <w:uiPriority w:val="39"/>
    <w:qFormat/>
    <w:rsid w:val="001E3FC7"/>
    <w:pPr>
      <w:tabs>
        <w:tab w:val="right" w:leader="dot" w:pos="9350"/>
      </w:tabs>
      <w:ind w:left="180"/>
    </w:pPr>
    <w:rPr>
      <w:rFonts w:cstheme="minorHAnsi"/>
      <w:b/>
      <w:iCs/>
      <w:noProof/>
      <w:szCs w:val="20"/>
    </w:rPr>
  </w:style>
  <w:style w:type="paragraph" w:styleId="TOC3">
    <w:name w:val="toc 3"/>
    <w:basedOn w:val="Normal"/>
    <w:autoRedefine/>
    <w:uiPriority w:val="39"/>
    <w:qFormat/>
    <w:rsid w:val="0095213A"/>
    <w:pPr>
      <w:ind w:left="720"/>
    </w:pPr>
    <w:rPr>
      <w:rFonts w:cstheme="minorHAnsi"/>
      <w:szCs w:val="20"/>
    </w:rPr>
  </w:style>
  <w:style w:type="paragraph" w:styleId="TOC4">
    <w:name w:val="toc 4"/>
    <w:basedOn w:val="Normal"/>
    <w:uiPriority w:val="39"/>
    <w:qFormat/>
    <w:pPr>
      <w:ind w:left="660"/>
    </w:pPr>
    <w:rPr>
      <w:rFonts w:asciiTheme="minorHAnsi" w:hAnsiTheme="minorHAnsi" w:cstheme="minorHAnsi"/>
      <w:sz w:val="20"/>
      <w:szCs w:val="20"/>
    </w:rPr>
  </w:style>
  <w:style w:type="paragraph" w:styleId="BodyText">
    <w:name w:val="Body Text"/>
    <w:basedOn w:val="Normal"/>
    <w:link w:val="BodyTextChar"/>
    <w:uiPriority w:val="1"/>
    <w:qFormat/>
    <w:rPr>
      <w:szCs w:val="24"/>
    </w:rPr>
  </w:style>
  <w:style w:type="paragraph" w:styleId="Title">
    <w:name w:val="Title"/>
    <w:basedOn w:val="Normal"/>
    <w:link w:val="TitleChar"/>
    <w:uiPriority w:val="1"/>
    <w:qFormat/>
    <w:pPr>
      <w:spacing w:before="60"/>
      <w:ind w:left="698" w:right="539"/>
      <w:jc w:val="center"/>
    </w:pPr>
    <w:rPr>
      <w:b/>
      <w:bCs/>
      <w:sz w:val="32"/>
      <w:szCs w:val="32"/>
    </w:rPr>
  </w:style>
  <w:style w:type="paragraph" w:styleId="ListParagraph">
    <w:name w:val="List Paragraph"/>
    <w:basedOn w:val="Normal"/>
    <w:uiPriority w:val="34"/>
    <w:qFormat/>
    <w:pPr>
      <w:ind w:left="820" w:right="696"/>
    </w:pPr>
  </w:style>
  <w:style w:type="paragraph" w:customStyle="1" w:styleId="TableParagraph">
    <w:name w:val="Table Paragraph"/>
    <w:basedOn w:val="Normal"/>
    <w:uiPriority w:val="1"/>
    <w:qFormat/>
    <w:pPr>
      <w:spacing w:before="20"/>
      <w:ind w:left="44"/>
    </w:pPr>
    <w:rPr>
      <w:rFonts w:eastAsia="Times New Roman" w:cs="Times New Roman"/>
    </w:rPr>
  </w:style>
  <w:style w:type="paragraph" w:styleId="NoSpacing">
    <w:name w:val="No Spacing"/>
    <w:uiPriority w:val="1"/>
    <w:qFormat/>
    <w:rsid w:val="00F927D8"/>
    <w:pPr>
      <w:widowControl/>
      <w:autoSpaceDE/>
      <w:autoSpaceDN/>
    </w:pPr>
  </w:style>
  <w:style w:type="paragraph" w:styleId="NormalWeb">
    <w:name w:val="Normal (Web)"/>
    <w:basedOn w:val="Normal"/>
    <w:uiPriority w:val="99"/>
    <w:unhideWhenUsed/>
    <w:rsid w:val="00F927D8"/>
    <w:pPr>
      <w:widowControl/>
      <w:autoSpaceDE/>
      <w:autoSpaceDN/>
      <w:spacing w:before="100" w:beforeAutospacing="1" w:after="100" w:afterAutospacing="1"/>
    </w:pPr>
    <w:rPr>
      <w:rFonts w:eastAsia="Times New Roman" w:cs="Times New Roman"/>
      <w:szCs w:val="24"/>
    </w:rPr>
  </w:style>
  <w:style w:type="paragraph" w:styleId="CommentText">
    <w:name w:val="annotation text"/>
    <w:basedOn w:val="Normal"/>
    <w:link w:val="CommentTextChar"/>
    <w:uiPriority w:val="99"/>
    <w:unhideWhenUsed/>
    <w:rsid w:val="00B568D1"/>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B568D1"/>
    <w:rPr>
      <w:sz w:val="20"/>
      <w:szCs w:val="20"/>
    </w:rPr>
  </w:style>
  <w:style w:type="table" w:styleId="TableGrid">
    <w:name w:val="Table Grid"/>
    <w:basedOn w:val="TableNormal"/>
    <w:uiPriority w:val="39"/>
    <w:rsid w:val="007623B7"/>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39B1"/>
    <w:rPr>
      <w:color w:val="0000FF"/>
      <w:u w:val="single"/>
    </w:rPr>
  </w:style>
  <w:style w:type="table" w:customStyle="1" w:styleId="TableGrid1">
    <w:name w:val="Table Grid1"/>
    <w:basedOn w:val="TableNormal"/>
    <w:next w:val="TableGrid"/>
    <w:uiPriority w:val="59"/>
    <w:rsid w:val="00E739B1"/>
    <w:pPr>
      <w:widowControl/>
      <w:autoSpaceDE/>
      <w:autoSpaceDN/>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553A4"/>
    <w:rPr>
      <w:rFonts w:ascii="Times New Roman" w:eastAsia="Arial" w:hAnsi="Times New Roman" w:cs="Times New Roman"/>
      <w:b/>
      <w:bCs/>
      <w:sz w:val="28"/>
      <w:szCs w:val="28"/>
    </w:rPr>
  </w:style>
  <w:style w:type="character" w:customStyle="1" w:styleId="Heading2Char">
    <w:name w:val="Heading 2 Char"/>
    <w:basedOn w:val="DefaultParagraphFont"/>
    <w:link w:val="Heading2"/>
    <w:uiPriority w:val="9"/>
    <w:rsid w:val="00FD1FC5"/>
    <w:rPr>
      <w:rFonts w:ascii="Times New Roman" w:eastAsia="Arial" w:hAnsi="Times New Roman" w:cs="Times New Roman"/>
      <w:b/>
      <w:bCs/>
      <w:i/>
      <w:sz w:val="24"/>
      <w:szCs w:val="24"/>
    </w:rPr>
  </w:style>
  <w:style w:type="character" w:styleId="Strong">
    <w:name w:val="Strong"/>
    <w:basedOn w:val="DefaultParagraphFont"/>
    <w:uiPriority w:val="22"/>
    <w:qFormat/>
    <w:rsid w:val="00CA4A9B"/>
    <w:rPr>
      <w:b/>
      <w:bCs/>
    </w:rPr>
  </w:style>
  <w:style w:type="character" w:styleId="Emphasis">
    <w:name w:val="Emphasis"/>
    <w:basedOn w:val="DefaultParagraphFont"/>
    <w:uiPriority w:val="20"/>
    <w:qFormat/>
    <w:rsid w:val="00CA4A9B"/>
    <w:rPr>
      <w:i/>
      <w:iCs/>
    </w:rPr>
  </w:style>
  <w:style w:type="character" w:styleId="CommentReference">
    <w:name w:val="annotation reference"/>
    <w:basedOn w:val="DefaultParagraphFont"/>
    <w:uiPriority w:val="99"/>
    <w:semiHidden/>
    <w:unhideWhenUsed/>
    <w:rsid w:val="00CA4A9B"/>
    <w:rPr>
      <w:sz w:val="16"/>
      <w:szCs w:val="16"/>
    </w:rPr>
  </w:style>
  <w:style w:type="paragraph" w:styleId="CommentSubject">
    <w:name w:val="annotation subject"/>
    <w:basedOn w:val="CommentText"/>
    <w:next w:val="CommentText"/>
    <w:link w:val="CommentSubjectChar"/>
    <w:uiPriority w:val="99"/>
    <w:semiHidden/>
    <w:unhideWhenUsed/>
    <w:rsid w:val="00CA4A9B"/>
    <w:rPr>
      <w:b/>
      <w:bCs/>
    </w:rPr>
  </w:style>
  <w:style w:type="character" w:customStyle="1" w:styleId="CommentSubjectChar">
    <w:name w:val="Comment Subject Char"/>
    <w:basedOn w:val="CommentTextChar"/>
    <w:link w:val="CommentSubject"/>
    <w:uiPriority w:val="99"/>
    <w:semiHidden/>
    <w:rsid w:val="00CA4A9B"/>
    <w:rPr>
      <w:b/>
      <w:bCs/>
      <w:sz w:val="20"/>
      <w:szCs w:val="20"/>
    </w:rPr>
  </w:style>
  <w:style w:type="paragraph" w:styleId="BalloonText">
    <w:name w:val="Balloon Text"/>
    <w:basedOn w:val="Normal"/>
    <w:link w:val="BalloonTextChar"/>
    <w:uiPriority w:val="99"/>
    <w:semiHidden/>
    <w:unhideWhenUsed/>
    <w:rsid w:val="00CA4A9B"/>
    <w:pPr>
      <w:widowControl/>
      <w:autoSpaceDE/>
      <w:autoSpaceDN/>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CA4A9B"/>
    <w:rPr>
      <w:rFonts w:ascii="Segoe UI" w:hAnsi="Segoe UI" w:cs="Segoe UI"/>
      <w:sz w:val="18"/>
      <w:szCs w:val="18"/>
    </w:rPr>
  </w:style>
  <w:style w:type="paragraph" w:customStyle="1" w:styleId="Default">
    <w:name w:val="Default"/>
    <w:rsid w:val="00CA4A9B"/>
    <w:pPr>
      <w:widowControl/>
      <w:adjustRightInd w:val="0"/>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CA4A9B"/>
    <w:rPr>
      <w:color w:val="800080" w:themeColor="followedHyperlink"/>
      <w:u w:val="single"/>
    </w:rPr>
  </w:style>
  <w:style w:type="character" w:styleId="LineNumber">
    <w:name w:val="line number"/>
    <w:basedOn w:val="DefaultParagraphFont"/>
    <w:uiPriority w:val="99"/>
    <w:semiHidden/>
    <w:unhideWhenUsed/>
    <w:rsid w:val="00CA4A9B"/>
  </w:style>
  <w:style w:type="paragraph" w:customStyle="1" w:styleId="Abstract">
    <w:name w:val="Abstract"/>
    <w:basedOn w:val="Normal"/>
    <w:next w:val="Keywords"/>
    <w:qFormat/>
    <w:rsid w:val="00CA4A9B"/>
    <w:pPr>
      <w:widowControl/>
      <w:autoSpaceDE/>
      <w:autoSpaceDN/>
      <w:spacing w:before="360" w:after="300" w:line="360" w:lineRule="auto"/>
      <w:ind w:left="720" w:right="567"/>
      <w:contextualSpacing/>
    </w:pPr>
    <w:rPr>
      <w:rFonts w:eastAsia="Times New Roman" w:cs="Times New Roman"/>
      <w:szCs w:val="24"/>
      <w:lang w:val="en-GB" w:eastAsia="en-GB"/>
    </w:rPr>
  </w:style>
  <w:style w:type="paragraph" w:customStyle="1" w:styleId="Keywords">
    <w:name w:val="Keywords"/>
    <w:basedOn w:val="Normal"/>
    <w:next w:val="Normal"/>
    <w:qFormat/>
    <w:rsid w:val="00CA4A9B"/>
    <w:pPr>
      <w:widowControl/>
      <w:autoSpaceDE/>
      <w:autoSpaceDN/>
      <w:spacing w:before="240" w:after="240" w:line="360" w:lineRule="auto"/>
      <w:ind w:left="720" w:right="567"/>
    </w:pPr>
    <w:rPr>
      <w:rFonts w:eastAsia="Times New Roman" w:cs="Times New Roman"/>
      <w:szCs w:val="24"/>
      <w:lang w:val="en-GB" w:eastAsia="en-GB"/>
    </w:rPr>
  </w:style>
  <w:style w:type="paragraph" w:customStyle="1" w:styleId="Correspondencedetails">
    <w:name w:val="Correspondence details"/>
    <w:basedOn w:val="Normal"/>
    <w:qFormat/>
    <w:rsid w:val="00CA4A9B"/>
    <w:pPr>
      <w:widowControl/>
      <w:autoSpaceDE/>
      <w:autoSpaceDN/>
      <w:spacing w:before="240" w:line="360" w:lineRule="auto"/>
    </w:pPr>
    <w:rPr>
      <w:rFonts w:eastAsia="Times New Roman" w:cs="Times New Roman"/>
      <w:szCs w:val="24"/>
      <w:lang w:val="en-GB" w:eastAsia="en-GB"/>
    </w:rPr>
  </w:style>
  <w:style w:type="paragraph" w:customStyle="1" w:styleId="Notesoncontributors">
    <w:name w:val="Notes on contributors"/>
    <w:basedOn w:val="Normal"/>
    <w:qFormat/>
    <w:rsid w:val="00CA4A9B"/>
    <w:pPr>
      <w:widowControl/>
      <w:autoSpaceDE/>
      <w:autoSpaceDN/>
      <w:spacing w:before="240" w:line="360" w:lineRule="auto"/>
    </w:pPr>
    <w:rPr>
      <w:rFonts w:eastAsia="Times New Roman" w:cs="Times New Roman"/>
      <w:szCs w:val="24"/>
      <w:lang w:val="en-GB" w:eastAsia="en-GB"/>
    </w:rPr>
  </w:style>
  <w:style w:type="paragraph" w:customStyle="1" w:styleId="Authornames">
    <w:name w:val="Author names"/>
    <w:basedOn w:val="Normal"/>
    <w:next w:val="Normal"/>
    <w:qFormat/>
    <w:rsid w:val="00CA4A9B"/>
    <w:pPr>
      <w:widowControl/>
      <w:autoSpaceDE/>
      <w:autoSpaceDN/>
      <w:spacing w:before="240" w:line="360" w:lineRule="auto"/>
    </w:pPr>
    <w:rPr>
      <w:rFonts w:eastAsia="Times New Roman" w:cs="Times New Roman"/>
      <w:sz w:val="28"/>
      <w:szCs w:val="24"/>
      <w:lang w:val="en-GB" w:eastAsia="en-GB"/>
    </w:rPr>
  </w:style>
  <w:style w:type="paragraph" w:customStyle="1" w:styleId="Affiliation">
    <w:name w:val="Affiliation"/>
    <w:basedOn w:val="Normal"/>
    <w:qFormat/>
    <w:rsid w:val="00CA4A9B"/>
    <w:pPr>
      <w:widowControl/>
      <w:autoSpaceDE/>
      <w:autoSpaceDN/>
      <w:spacing w:before="240" w:line="360" w:lineRule="auto"/>
    </w:pPr>
    <w:rPr>
      <w:rFonts w:eastAsia="Times New Roman" w:cs="Times New Roman"/>
      <w:i/>
      <w:szCs w:val="24"/>
      <w:lang w:val="en-GB" w:eastAsia="en-GB"/>
    </w:rPr>
  </w:style>
  <w:style w:type="paragraph" w:customStyle="1" w:styleId="Acknowledgements">
    <w:name w:val="Acknowledgements"/>
    <w:basedOn w:val="Normal"/>
    <w:next w:val="Normal"/>
    <w:qFormat/>
    <w:rsid w:val="00CA4A9B"/>
    <w:pPr>
      <w:widowControl/>
      <w:autoSpaceDE/>
      <w:autoSpaceDN/>
      <w:spacing w:before="120" w:line="360" w:lineRule="auto"/>
    </w:pPr>
    <w:rPr>
      <w:rFonts w:eastAsia="Times New Roman" w:cs="Times New Roman"/>
      <w:szCs w:val="24"/>
      <w:lang w:val="en-GB" w:eastAsia="en-GB"/>
    </w:rPr>
  </w:style>
  <w:style w:type="paragraph" w:customStyle="1" w:styleId="Heading4Paragraph">
    <w:name w:val="Heading 4 + Paragraph"/>
    <w:basedOn w:val="Normal"/>
    <w:next w:val="Normal"/>
    <w:link w:val="Heading4ParagraphChar"/>
    <w:qFormat/>
    <w:rsid w:val="00066D86"/>
    <w:pPr>
      <w:widowControl/>
      <w:autoSpaceDE/>
      <w:autoSpaceDN/>
      <w:spacing w:before="240" w:after="240" w:line="480" w:lineRule="auto"/>
    </w:pPr>
    <w:rPr>
      <w:rFonts w:eastAsia="Times New Roman" w:cs="Times New Roman"/>
      <w:b/>
      <w:i/>
      <w:szCs w:val="24"/>
      <w:lang w:val="en-GB" w:eastAsia="en-GB"/>
    </w:rPr>
  </w:style>
  <w:style w:type="paragraph" w:styleId="Revision">
    <w:name w:val="Revision"/>
    <w:hidden/>
    <w:uiPriority w:val="99"/>
    <w:semiHidden/>
    <w:rsid w:val="00CA4A9B"/>
    <w:pPr>
      <w:widowControl/>
      <w:autoSpaceDE/>
      <w:autoSpaceDN/>
    </w:pPr>
  </w:style>
  <w:style w:type="numbering" w:customStyle="1" w:styleId="Style1">
    <w:name w:val="Style1"/>
    <w:uiPriority w:val="99"/>
    <w:rsid w:val="00CA4A9B"/>
    <w:pPr>
      <w:numPr>
        <w:numId w:val="1"/>
      </w:numPr>
    </w:pPr>
  </w:style>
  <w:style w:type="character" w:customStyle="1" w:styleId="BodyTextChar">
    <w:name w:val="Body Text Char"/>
    <w:basedOn w:val="DefaultParagraphFont"/>
    <w:link w:val="BodyText"/>
    <w:uiPriority w:val="1"/>
    <w:rsid w:val="00BD7DA3"/>
    <w:rPr>
      <w:rFonts w:ascii="Arial" w:eastAsia="Arial" w:hAnsi="Arial" w:cs="Arial"/>
      <w:sz w:val="24"/>
      <w:szCs w:val="24"/>
    </w:rPr>
  </w:style>
  <w:style w:type="character" w:customStyle="1" w:styleId="TitleChar">
    <w:name w:val="Title Char"/>
    <w:basedOn w:val="DefaultParagraphFont"/>
    <w:link w:val="Title"/>
    <w:uiPriority w:val="1"/>
    <w:rsid w:val="00AC7DE5"/>
    <w:rPr>
      <w:rFonts w:ascii="Arial" w:eastAsia="Arial" w:hAnsi="Arial" w:cs="Arial"/>
      <w:b/>
      <w:bCs/>
      <w:sz w:val="32"/>
      <w:szCs w:val="32"/>
    </w:rPr>
  </w:style>
  <w:style w:type="character" w:customStyle="1" w:styleId="il">
    <w:name w:val="il"/>
    <w:basedOn w:val="DefaultParagraphFont"/>
    <w:rsid w:val="00911104"/>
  </w:style>
  <w:style w:type="paragraph" w:styleId="Header">
    <w:name w:val="header"/>
    <w:basedOn w:val="Normal"/>
    <w:link w:val="HeaderChar"/>
    <w:uiPriority w:val="99"/>
    <w:unhideWhenUsed/>
    <w:rsid w:val="00911104"/>
    <w:pPr>
      <w:widowControl/>
      <w:tabs>
        <w:tab w:val="center" w:pos="4680"/>
        <w:tab w:val="right" w:pos="9360"/>
      </w:tabs>
      <w:autoSpaceDE/>
      <w:autoSpaceDN/>
    </w:pPr>
    <w:rPr>
      <w:rFonts w:asciiTheme="minorHAnsi" w:eastAsiaTheme="minorHAnsi" w:hAnsiTheme="minorHAnsi" w:cstheme="minorBidi"/>
    </w:rPr>
  </w:style>
  <w:style w:type="character" w:customStyle="1" w:styleId="HeaderChar">
    <w:name w:val="Header Char"/>
    <w:basedOn w:val="DefaultParagraphFont"/>
    <w:link w:val="Header"/>
    <w:uiPriority w:val="99"/>
    <w:rsid w:val="00911104"/>
  </w:style>
  <w:style w:type="paragraph" w:styleId="Footer">
    <w:name w:val="footer"/>
    <w:basedOn w:val="Normal"/>
    <w:link w:val="FooterChar"/>
    <w:uiPriority w:val="99"/>
    <w:unhideWhenUsed/>
    <w:rsid w:val="00911104"/>
    <w:pPr>
      <w:widowControl/>
      <w:tabs>
        <w:tab w:val="center" w:pos="4680"/>
        <w:tab w:val="right" w:pos="9360"/>
      </w:tabs>
      <w:autoSpaceDE/>
      <w:autoSpaceDN/>
    </w:pPr>
    <w:rPr>
      <w:rFonts w:asciiTheme="minorHAnsi" w:eastAsiaTheme="minorHAnsi" w:hAnsiTheme="minorHAnsi" w:cstheme="minorBidi"/>
    </w:rPr>
  </w:style>
  <w:style w:type="character" w:customStyle="1" w:styleId="FooterChar">
    <w:name w:val="Footer Char"/>
    <w:basedOn w:val="DefaultParagraphFont"/>
    <w:link w:val="Footer"/>
    <w:uiPriority w:val="99"/>
    <w:rsid w:val="00911104"/>
  </w:style>
  <w:style w:type="table" w:styleId="GridTable2-Accent5">
    <w:name w:val="Grid Table 2 Accent 5"/>
    <w:basedOn w:val="TableNormal"/>
    <w:uiPriority w:val="47"/>
    <w:rsid w:val="00911104"/>
    <w:pPr>
      <w:widowControl/>
      <w:autoSpaceDE/>
      <w:autoSpaceDN/>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1">
    <w:name w:val="Grid Table 2 Accent 1"/>
    <w:basedOn w:val="TableNormal"/>
    <w:uiPriority w:val="47"/>
    <w:rsid w:val="00911104"/>
    <w:pPr>
      <w:widowControl/>
      <w:autoSpaceDE/>
      <w:autoSpaceDN/>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
    <w:name w:val="List Table 1 Light"/>
    <w:basedOn w:val="TableNormal"/>
    <w:uiPriority w:val="46"/>
    <w:rsid w:val="00911104"/>
    <w:pPr>
      <w:widowControl/>
      <w:autoSpaceDE/>
      <w:autoSpaceDN/>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911104"/>
    <w:pPr>
      <w:widowControl/>
      <w:autoSpaceDE/>
      <w:autoSpaceDN/>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3">
    <w:name w:val="Plain Table 3"/>
    <w:basedOn w:val="TableNormal"/>
    <w:uiPriority w:val="43"/>
    <w:rsid w:val="00911104"/>
    <w:pPr>
      <w:widowControl/>
      <w:autoSpaceDE/>
      <w:autoSpaceDN/>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ListTable2-Accent5">
    <w:name w:val="List Table 2 Accent 5"/>
    <w:basedOn w:val="TableNormal"/>
    <w:uiPriority w:val="47"/>
    <w:rsid w:val="00911104"/>
    <w:pPr>
      <w:widowControl/>
      <w:autoSpaceDE/>
      <w:autoSpaceDN/>
    </w:p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5">
    <w:name w:val="Plain Table 5"/>
    <w:basedOn w:val="TableNormal"/>
    <w:uiPriority w:val="45"/>
    <w:rsid w:val="00911104"/>
    <w:pPr>
      <w:widowControl/>
      <w:autoSpaceDE/>
      <w:autoSpaceDN/>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2">
    <w:name w:val="Style2"/>
    <w:basedOn w:val="Heading4Paragraph"/>
    <w:link w:val="Style2Char"/>
    <w:uiPriority w:val="1"/>
    <w:qFormat/>
    <w:rsid w:val="006B08AD"/>
    <w:pPr>
      <w:spacing w:line="360" w:lineRule="auto"/>
      <w:ind w:left="720" w:firstLine="720"/>
    </w:pPr>
    <w:rPr>
      <w:b w:val="0"/>
      <w:i w:val="0"/>
    </w:rPr>
  </w:style>
  <w:style w:type="paragraph" w:styleId="TOC5">
    <w:name w:val="toc 5"/>
    <w:basedOn w:val="Normal"/>
    <w:next w:val="Normal"/>
    <w:autoRedefine/>
    <w:uiPriority w:val="39"/>
    <w:unhideWhenUsed/>
    <w:rsid w:val="0095213A"/>
    <w:pPr>
      <w:ind w:left="880"/>
    </w:pPr>
    <w:rPr>
      <w:rFonts w:asciiTheme="minorHAnsi" w:hAnsiTheme="minorHAnsi" w:cstheme="minorHAnsi"/>
      <w:sz w:val="20"/>
      <w:szCs w:val="20"/>
    </w:rPr>
  </w:style>
  <w:style w:type="character" w:customStyle="1" w:styleId="Heading4ParagraphChar">
    <w:name w:val="Heading 4 + Paragraph Char"/>
    <w:basedOn w:val="DefaultParagraphFont"/>
    <w:link w:val="Heading4Paragraph"/>
    <w:rsid w:val="00066D86"/>
    <w:rPr>
      <w:rFonts w:ascii="Times New Roman" w:eastAsia="Times New Roman" w:hAnsi="Times New Roman" w:cs="Times New Roman"/>
      <w:b/>
      <w:i/>
      <w:sz w:val="24"/>
      <w:szCs w:val="24"/>
      <w:lang w:val="en-GB" w:eastAsia="en-GB"/>
    </w:rPr>
  </w:style>
  <w:style w:type="character" w:customStyle="1" w:styleId="Style2Char">
    <w:name w:val="Style2 Char"/>
    <w:basedOn w:val="Heading4ParagraphChar"/>
    <w:link w:val="Style2"/>
    <w:uiPriority w:val="1"/>
    <w:rsid w:val="006B08AD"/>
    <w:rPr>
      <w:rFonts w:ascii="Times New Roman" w:eastAsia="Times New Roman" w:hAnsi="Times New Roman" w:cs="Times New Roman"/>
      <w:b w:val="0"/>
      <w:i w:val="0"/>
      <w:sz w:val="24"/>
      <w:szCs w:val="24"/>
      <w:lang w:val="en-GB" w:eastAsia="en-GB"/>
    </w:rPr>
  </w:style>
  <w:style w:type="paragraph" w:styleId="TOC6">
    <w:name w:val="toc 6"/>
    <w:basedOn w:val="Normal"/>
    <w:next w:val="Normal"/>
    <w:autoRedefine/>
    <w:uiPriority w:val="39"/>
    <w:unhideWhenUsed/>
    <w:rsid w:val="0095213A"/>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95213A"/>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95213A"/>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95213A"/>
    <w:pPr>
      <w:ind w:left="1760"/>
    </w:pPr>
    <w:rPr>
      <w:rFonts w:asciiTheme="minorHAnsi" w:hAnsiTheme="minorHAnsi" w:cstheme="minorHAnsi"/>
      <w:sz w:val="20"/>
      <w:szCs w:val="20"/>
    </w:rPr>
  </w:style>
  <w:style w:type="character" w:customStyle="1" w:styleId="TOC1Char">
    <w:name w:val="TOC 1 Char"/>
    <w:basedOn w:val="DefaultParagraphFont"/>
    <w:link w:val="TOC1"/>
    <w:uiPriority w:val="39"/>
    <w:rsid w:val="00897D2E"/>
    <w:rPr>
      <w:rFonts w:ascii="Times New Roman" w:eastAsia="Arial" w:hAnsi="Times New Roman" w:cstheme="minorHAnsi"/>
      <w:noProof/>
      <w:sz w:val="24"/>
      <w:szCs w:val="20"/>
    </w:rPr>
  </w:style>
  <w:style w:type="character" w:customStyle="1" w:styleId="Heading3Char">
    <w:name w:val="Heading 3 Char"/>
    <w:basedOn w:val="DefaultParagraphFont"/>
    <w:link w:val="Heading3"/>
    <w:uiPriority w:val="1"/>
    <w:rsid w:val="00D122A6"/>
    <w:rPr>
      <w:rFonts w:ascii="Times New Roman" w:eastAsia="Arial" w:hAnsi="Times New Roman" w:cs="Times New Roman"/>
      <w:b/>
      <w:bCs/>
      <w:i/>
      <w:sz w:val="24"/>
      <w:szCs w:val="24"/>
    </w:rPr>
  </w:style>
  <w:style w:type="character" w:customStyle="1" w:styleId="Heading4Char">
    <w:name w:val="Heading 4 Char"/>
    <w:basedOn w:val="DefaultParagraphFont"/>
    <w:link w:val="Heading4"/>
    <w:uiPriority w:val="1"/>
    <w:rsid w:val="001F760E"/>
    <w:rPr>
      <w:rFonts w:ascii="Times New Roman" w:eastAsia="Arial" w:hAnsi="Times New Roman" w:cs="Arial"/>
      <w:b/>
      <w:bCs/>
      <w:i/>
      <w:iCs/>
      <w:sz w:val="24"/>
      <w:szCs w:val="24"/>
    </w:rPr>
  </w:style>
  <w:style w:type="paragraph" w:styleId="Index1">
    <w:name w:val="index 1"/>
    <w:basedOn w:val="Normal"/>
    <w:next w:val="Normal"/>
    <w:autoRedefine/>
    <w:uiPriority w:val="99"/>
    <w:unhideWhenUsed/>
    <w:rsid w:val="00BB306F"/>
    <w:pPr>
      <w:ind w:left="220" w:hanging="220"/>
    </w:pPr>
    <w:rPr>
      <w:rFonts w:asciiTheme="minorHAnsi" w:hAnsiTheme="minorHAnsi" w:cstheme="minorHAnsi"/>
      <w:sz w:val="18"/>
      <w:szCs w:val="18"/>
    </w:rPr>
  </w:style>
  <w:style w:type="character" w:customStyle="1" w:styleId="indexed-hide">
    <w:name w:val="indexed-hide"/>
    <w:basedOn w:val="DefaultParagraphFont"/>
    <w:rsid w:val="008F57EB"/>
  </w:style>
  <w:style w:type="paragraph" w:styleId="Index2">
    <w:name w:val="index 2"/>
    <w:basedOn w:val="Normal"/>
    <w:next w:val="Normal"/>
    <w:autoRedefine/>
    <w:uiPriority w:val="99"/>
    <w:unhideWhenUsed/>
    <w:rsid w:val="0003029D"/>
    <w:pPr>
      <w:ind w:left="440" w:hanging="220"/>
    </w:pPr>
    <w:rPr>
      <w:rFonts w:asciiTheme="minorHAnsi" w:hAnsiTheme="minorHAnsi" w:cstheme="minorHAnsi"/>
      <w:sz w:val="18"/>
      <w:szCs w:val="18"/>
    </w:rPr>
  </w:style>
  <w:style w:type="paragraph" w:styleId="Index3">
    <w:name w:val="index 3"/>
    <w:basedOn w:val="Normal"/>
    <w:next w:val="Normal"/>
    <w:autoRedefine/>
    <w:uiPriority w:val="99"/>
    <w:unhideWhenUsed/>
    <w:rsid w:val="0003029D"/>
    <w:pPr>
      <w:ind w:left="660" w:hanging="220"/>
    </w:pPr>
    <w:rPr>
      <w:rFonts w:asciiTheme="minorHAnsi" w:hAnsiTheme="minorHAnsi" w:cstheme="minorHAnsi"/>
      <w:sz w:val="18"/>
      <w:szCs w:val="18"/>
    </w:rPr>
  </w:style>
  <w:style w:type="paragraph" w:styleId="Index4">
    <w:name w:val="index 4"/>
    <w:basedOn w:val="Normal"/>
    <w:next w:val="Normal"/>
    <w:autoRedefine/>
    <w:uiPriority w:val="99"/>
    <w:unhideWhenUsed/>
    <w:rsid w:val="0003029D"/>
    <w:pPr>
      <w:ind w:left="880" w:hanging="220"/>
    </w:pPr>
    <w:rPr>
      <w:rFonts w:asciiTheme="minorHAnsi" w:hAnsiTheme="minorHAnsi" w:cstheme="minorHAnsi"/>
      <w:sz w:val="18"/>
      <w:szCs w:val="18"/>
    </w:rPr>
  </w:style>
  <w:style w:type="paragraph" w:styleId="Index5">
    <w:name w:val="index 5"/>
    <w:basedOn w:val="Normal"/>
    <w:next w:val="Normal"/>
    <w:autoRedefine/>
    <w:uiPriority w:val="99"/>
    <w:unhideWhenUsed/>
    <w:rsid w:val="0003029D"/>
    <w:pPr>
      <w:ind w:left="1100" w:hanging="220"/>
    </w:pPr>
    <w:rPr>
      <w:rFonts w:asciiTheme="minorHAnsi" w:hAnsiTheme="minorHAnsi" w:cstheme="minorHAnsi"/>
      <w:sz w:val="18"/>
      <w:szCs w:val="18"/>
    </w:rPr>
  </w:style>
  <w:style w:type="paragraph" w:styleId="Index6">
    <w:name w:val="index 6"/>
    <w:basedOn w:val="Normal"/>
    <w:next w:val="Normal"/>
    <w:autoRedefine/>
    <w:uiPriority w:val="99"/>
    <w:unhideWhenUsed/>
    <w:rsid w:val="0003029D"/>
    <w:pPr>
      <w:ind w:left="1320" w:hanging="220"/>
    </w:pPr>
    <w:rPr>
      <w:rFonts w:asciiTheme="minorHAnsi" w:hAnsiTheme="minorHAnsi" w:cstheme="minorHAnsi"/>
      <w:sz w:val="18"/>
      <w:szCs w:val="18"/>
    </w:rPr>
  </w:style>
  <w:style w:type="paragraph" w:styleId="Index7">
    <w:name w:val="index 7"/>
    <w:basedOn w:val="Normal"/>
    <w:next w:val="Normal"/>
    <w:autoRedefine/>
    <w:uiPriority w:val="99"/>
    <w:unhideWhenUsed/>
    <w:rsid w:val="0003029D"/>
    <w:pPr>
      <w:ind w:left="1540" w:hanging="220"/>
    </w:pPr>
    <w:rPr>
      <w:rFonts w:asciiTheme="minorHAnsi" w:hAnsiTheme="minorHAnsi" w:cstheme="minorHAnsi"/>
      <w:sz w:val="18"/>
      <w:szCs w:val="18"/>
    </w:rPr>
  </w:style>
  <w:style w:type="paragraph" w:styleId="Index8">
    <w:name w:val="index 8"/>
    <w:basedOn w:val="Normal"/>
    <w:next w:val="Normal"/>
    <w:autoRedefine/>
    <w:uiPriority w:val="99"/>
    <w:unhideWhenUsed/>
    <w:rsid w:val="0003029D"/>
    <w:pPr>
      <w:ind w:left="1760" w:hanging="220"/>
    </w:pPr>
    <w:rPr>
      <w:rFonts w:asciiTheme="minorHAnsi" w:hAnsiTheme="minorHAnsi" w:cstheme="minorHAnsi"/>
      <w:sz w:val="18"/>
      <w:szCs w:val="18"/>
    </w:rPr>
  </w:style>
  <w:style w:type="paragraph" w:styleId="Index9">
    <w:name w:val="index 9"/>
    <w:basedOn w:val="Normal"/>
    <w:next w:val="Normal"/>
    <w:autoRedefine/>
    <w:uiPriority w:val="99"/>
    <w:unhideWhenUsed/>
    <w:rsid w:val="0003029D"/>
    <w:pPr>
      <w:ind w:left="1980" w:hanging="220"/>
    </w:pPr>
    <w:rPr>
      <w:rFonts w:asciiTheme="minorHAnsi" w:hAnsiTheme="minorHAnsi" w:cstheme="minorHAnsi"/>
      <w:sz w:val="18"/>
      <w:szCs w:val="18"/>
    </w:rPr>
  </w:style>
  <w:style w:type="paragraph" w:styleId="IndexHeading">
    <w:name w:val="index heading"/>
    <w:basedOn w:val="Normal"/>
    <w:next w:val="Index1"/>
    <w:uiPriority w:val="99"/>
    <w:unhideWhenUsed/>
    <w:rsid w:val="0003029D"/>
    <w:pPr>
      <w:spacing w:before="240" w:after="120"/>
      <w:jc w:val="center"/>
    </w:pPr>
    <w:rPr>
      <w:rFonts w:asciiTheme="minorHAnsi" w:hAnsiTheme="minorHAnsi" w:cstheme="minorHAnsi"/>
      <w:b/>
      <w:bCs/>
      <w:sz w:val="26"/>
      <w:szCs w:val="26"/>
    </w:rPr>
  </w:style>
  <w:style w:type="character" w:customStyle="1" w:styleId="thinyear">
    <w:name w:val="thinyear"/>
    <w:basedOn w:val="DefaultParagraphFont"/>
    <w:rsid w:val="000F7BCA"/>
  </w:style>
  <w:style w:type="paragraph" w:customStyle="1" w:styleId="Paragraph">
    <w:name w:val="Paragraph"/>
    <w:basedOn w:val="Normal"/>
    <w:next w:val="Newparagraph"/>
    <w:qFormat/>
    <w:rsid w:val="003C484D"/>
    <w:pPr>
      <w:autoSpaceDE/>
      <w:autoSpaceDN/>
      <w:spacing w:before="240" w:line="480" w:lineRule="auto"/>
    </w:pPr>
    <w:rPr>
      <w:rFonts w:eastAsia="Times New Roman" w:cs="Times New Roman"/>
      <w:szCs w:val="24"/>
      <w:lang w:val="en-GB" w:eastAsia="en-GB"/>
    </w:rPr>
  </w:style>
  <w:style w:type="paragraph" w:customStyle="1" w:styleId="Newparagraph">
    <w:name w:val="New paragraph"/>
    <w:basedOn w:val="Normal"/>
    <w:qFormat/>
    <w:rsid w:val="003C484D"/>
    <w:pPr>
      <w:widowControl/>
      <w:autoSpaceDE/>
      <w:autoSpaceDN/>
      <w:spacing w:line="480" w:lineRule="auto"/>
      <w:ind w:firstLine="720"/>
    </w:pPr>
    <w:rPr>
      <w:rFonts w:eastAsia="Times New Roman" w:cs="Times New Roman"/>
      <w:szCs w:val="24"/>
      <w:lang w:val="en-GB" w:eastAsia="en-GB"/>
    </w:rPr>
  </w:style>
  <w:style w:type="paragraph" w:customStyle="1" w:styleId="Displayedequation">
    <w:name w:val="Displayed equation"/>
    <w:basedOn w:val="Normal"/>
    <w:next w:val="Paragraph"/>
    <w:qFormat/>
    <w:rsid w:val="003C484D"/>
    <w:pPr>
      <w:widowControl/>
      <w:tabs>
        <w:tab w:val="center" w:pos="4253"/>
        <w:tab w:val="right" w:pos="8222"/>
      </w:tabs>
      <w:autoSpaceDE/>
      <w:autoSpaceDN/>
      <w:spacing w:before="240" w:after="240" w:line="480" w:lineRule="auto"/>
      <w:jc w:val="center"/>
    </w:pPr>
    <w:rPr>
      <w:rFonts w:eastAsia="Times New Roman" w:cs="Times New Roman"/>
      <w:szCs w:val="24"/>
      <w:lang w:val="en-GB" w:eastAsia="en-GB"/>
    </w:rPr>
  </w:style>
  <w:style w:type="paragraph" w:customStyle="1" w:styleId="References">
    <w:name w:val="References"/>
    <w:basedOn w:val="Normal"/>
    <w:qFormat/>
    <w:rsid w:val="003C484D"/>
    <w:pPr>
      <w:widowControl/>
      <w:autoSpaceDE/>
      <w:autoSpaceDN/>
      <w:spacing w:before="120" w:line="360" w:lineRule="auto"/>
      <w:ind w:left="720" w:hanging="720"/>
      <w:contextualSpacing/>
    </w:pPr>
    <w:rPr>
      <w:rFonts w:eastAsia="Times New Roman" w:cs="Times New Roman"/>
      <w:szCs w:val="24"/>
      <w:lang w:val="en-GB" w:eastAsia="en-GB"/>
    </w:rPr>
  </w:style>
  <w:style w:type="paragraph" w:customStyle="1" w:styleId="Bulletedlist">
    <w:name w:val="Bulleted list"/>
    <w:basedOn w:val="Paragraph"/>
    <w:next w:val="Paragraph"/>
    <w:qFormat/>
    <w:rsid w:val="003C484D"/>
    <w:pPr>
      <w:widowControl/>
      <w:numPr>
        <w:numId w:val="2"/>
      </w:numPr>
      <w:spacing w:after="240"/>
      <w:contextualSpacing/>
    </w:pPr>
  </w:style>
  <w:style w:type="paragraph" w:styleId="Caption">
    <w:name w:val="caption"/>
    <w:basedOn w:val="Normal"/>
    <w:next w:val="Normal"/>
    <w:uiPriority w:val="35"/>
    <w:unhideWhenUsed/>
    <w:qFormat/>
    <w:rsid w:val="00372E7F"/>
    <w:pPr>
      <w:keepNext/>
      <w:framePr w:hSpace="180" w:wrap="around" w:vAnchor="text" w:hAnchor="margin" w:y="250"/>
      <w:widowControl/>
      <w:autoSpaceDE/>
      <w:autoSpaceDN/>
    </w:pPr>
    <w:rPr>
      <w:b/>
      <w:iCs/>
      <w:szCs w:val="24"/>
    </w:rPr>
  </w:style>
  <w:style w:type="character" w:customStyle="1" w:styleId="Heading5Char">
    <w:name w:val="Heading 5 Char"/>
    <w:basedOn w:val="DefaultParagraphFont"/>
    <w:link w:val="Heading5"/>
    <w:uiPriority w:val="9"/>
    <w:semiHidden/>
    <w:rsid w:val="003C484D"/>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3C484D"/>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3C484D"/>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3C484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C484D"/>
    <w:rPr>
      <w:rFonts w:asciiTheme="majorHAnsi" w:eastAsiaTheme="majorEastAsia" w:hAnsiTheme="majorHAnsi" w:cstheme="majorBidi"/>
      <w:i/>
      <w:iCs/>
      <w:color w:val="272727" w:themeColor="text1" w:themeTint="D8"/>
      <w:sz w:val="21"/>
      <w:szCs w:val="21"/>
    </w:rPr>
  </w:style>
  <w:style w:type="paragraph" w:styleId="TableofFigures">
    <w:name w:val="table of figures"/>
    <w:basedOn w:val="Normal"/>
    <w:next w:val="Normal"/>
    <w:uiPriority w:val="99"/>
    <w:unhideWhenUsed/>
    <w:rsid w:val="00E07B5B"/>
  </w:style>
  <w:style w:type="paragraph" w:customStyle="1" w:styleId="Articletitle">
    <w:name w:val="Article title"/>
    <w:basedOn w:val="Normal"/>
    <w:next w:val="Normal"/>
    <w:qFormat/>
    <w:rsid w:val="00357685"/>
    <w:pPr>
      <w:widowControl/>
      <w:autoSpaceDE/>
      <w:autoSpaceDN/>
      <w:spacing w:after="120" w:line="360" w:lineRule="auto"/>
    </w:pPr>
    <w:rPr>
      <w:rFonts w:eastAsia="Times New Roman" w:cs="Times New Roman"/>
      <w:b/>
      <w:sz w:val="28"/>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183390">
      <w:bodyDiv w:val="1"/>
      <w:marLeft w:val="0"/>
      <w:marRight w:val="0"/>
      <w:marTop w:val="0"/>
      <w:marBottom w:val="0"/>
      <w:divBdr>
        <w:top w:val="none" w:sz="0" w:space="0" w:color="auto"/>
        <w:left w:val="none" w:sz="0" w:space="0" w:color="auto"/>
        <w:bottom w:val="none" w:sz="0" w:space="0" w:color="auto"/>
        <w:right w:val="none" w:sz="0" w:space="0" w:color="auto"/>
      </w:divBdr>
    </w:div>
    <w:div w:id="1150099751">
      <w:bodyDiv w:val="1"/>
      <w:marLeft w:val="0"/>
      <w:marRight w:val="0"/>
      <w:marTop w:val="0"/>
      <w:marBottom w:val="0"/>
      <w:divBdr>
        <w:top w:val="none" w:sz="0" w:space="0" w:color="auto"/>
        <w:left w:val="none" w:sz="0" w:space="0" w:color="auto"/>
        <w:bottom w:val="none" w:sz="0" w:space="0" w:color="auto"/>
        <w:right w:val="none" w:sz="0" w:space="0" w:color="auto"/>
      </w:divBdr>
      <w:divsChild>
        <w:div w:id="73617342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46429/jaupr.v48i2.12985" TargetMode="External"/><Relationship Id="rId117" Type="http://schemas.openxmlformats.org/officeDocument/2006/relationships/hyperlink" Target="https://doi.org/10.1094/PHYTO.2002.92.10.1095" TargetMode="External"/><Relationship Id="rId21"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42" Type="http://schemas.openxmlformats.org/officeDocument/2006/relationships/hyperlink" Target="https://doi.org/10.5053/ekoloji.2009.724" TargetMode="External"/><Relationship Id="rId47" Type="http://schemas.openxmlformats.org/officeDocument/2006/relationships/hyperlink" Target="https://doi.org/10.1094/phi-i-2002-1218-01" TargetMode="External"/><Relationship Id="rId63" Type="http://schemas.openxmlformats.org/officeDocument/2006/relationships/hyperlink" Target="https://doi.org/10.1016/j.cropro.2006.09.009" TargetMode="External"/><Relationship Id="rId68" Type="http://schemas.openxmlformats.org/officeDocument/2006/relationships/hyperlink" Target="https://arec.tennessee.edu/wp-content/uploads/sites/17/2021/05/2021-Hemp-Outlook_Policy-TDA.pdf" TargetMode="External"/><Relationship Id="rId84" Type="http://schemas.openxmlformats.org/officeDocument/2006/relationships/hyperlink" Target="https://doi.org/10.1094/php-2011-1205-01-rs" TargetMode="External"/><Relationship Id="rId89" Type="http://schemas.openxmlformats.org/officeDocument/2006/relationships/image" Target="media/image3.png"/><Relationship Id="rId112" Type="http://schemas.openxmlformats.org/officeDocument/2006/relationships/hyperlink" Target="https://doi.org/10.1002/ps.1846" TargetMode="External"/><Relationship Id="rId133" Type="http://schemas.openxmlformats.org/officeDocument/2006/relationships/image" Target="media/image14.png"/><Relationship Id="rId16"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107" Type="http://schemas.openxmlformats.org/officeDocument/2006/relationships/hyperlink" Target="https://doi.org/10.1111/j.1365-3059.2011.02518.x" TargetMode="External"/><Relationship Id="rId11"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32" Type="http://schemas.openxmlformats.org/officeDocument/2006/relationships/hyperlink" Target="https://doi.org/10.1038/s41598-020-58546-x" TargetMode="External"/><Relationship Id="rId37" Type="http://schemas.openxmlformats.org/officeDocument/2006/relationships/hyperlink" Target="https://doi.org/10.1111/j.1439-0434.2012.01884.x" TargetMode="External"/><Relationship Id="rId53" Type="http://schemas.openxmlformats.org/officeDocument/2006/relationships/hyperlink" Target="https://doi.org/10.1080/09583150801952143" TargetMode="External"/><Relationship Id="rId58" Type="http://schemas.openxmlformats.org/officeDocument/2006/relationships/hyperlink" Target="https://doi.org/10.1079/9781845934927.0001" TargetMode="External"/><Relationship Id="rId74" Type="http://schemas.openxmlformats.org/officeDocument/2006/relationships/hyperlink" Target="https://doi.org/10.1094/PHP-01-20-0004-BR" TargetMode="External"/><Relationship Id="rId79" Type="http://schemas.openxmlformats.org/officeDocument/2006/relationships/hyperlink" Target="https://www.canr.msu.edu/resources/nematodes-and-cover-crops" TargetMode="External"/><Relationship Id="rId102" Type="http://schemas.openxmlformats.org/officeDocument/2006/relationships/footer" Target="footer5.xml"/><Relationship Id="rId123" Type="http://schemas.openxmlformats.org/officeDocument/2006/relationships/hyperlink" Target="https://doi.org/10.1080/07060661.2020.1836026" TargetMode="External"/><Relationship Id="rId128" Type="http://schemas.openxmlformats.org/officeDocument/2006/relationships/hyperlink" Target="https://doi.org/10.17660/actahortic.2001.547.7" TargetMode="External"/><Relationship Id="rId5" Type="http://schemas.openxmlformats.org/officeDocument/2006/relationships/webSettings" Target="webSettings.xml"/><Relationship Id="rId90" Type="http://schemas.openxmlformats.org/officeDocument/2006/relationships/image" Target="media/image4.png"/><Relationship Id="rId95" Type="http://schemas.openxmlformats.org/officeDocument/2006/relationships/hyperlink" Target="https://doi.org/10.1094/phi-i-2002-1218-01" TargetMode="External"/><Relationship Id="rId14"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22" Type="http://schemas.openxmlformats.org/officeDocument/2006/relationships/hyperlink" Target="https://cropwatch.unl.edu/potato/lesion" TargetMode="External"/><Relationship Id="rId27" Type="http://schemas.openxmlformats.org/officeDocument/2006/relationships/hyperlink" Target="https://doi.org/10.1094/PDIS.2003.87.5.563" TargetMode="External"/><Relationship Id="rId30" Type="http://schemas.openxmlformats.org/officeDocument/2006/relationships/hyperlink" Target="https://wiki.bugwood.org" TargetMode="External"/><Relationship Id="rId35" Type="http://schemas.openxmlformats.org/officeDocument/2006/relationships/hyperlink" Target="https://doi.org/10.3389/fpls.2019.00945" TargetMode="External"/><Relationship Id="rId43" Type="http://schemas.openxmlformats.org/officeDocument/2006/relationships/hyperlink" Target="https://ag.tennessee.edu/EPP/Redbook/11-COTTON" TargetMode="External"/><Relationship Id="rId48" Type="http://schemas.openxmlformats.org/officeDocument/2006/relationships/hyperlink" Target="https://doi.org/10.1094/PDIS-11-19-2287-PDN" TargetMode="External"/><Relationship Id="rId56" Type="http://schemas.openxmlformats.org/officeDocument/2006/relationships/hyperlink" Target="https://doi.org/10.1094/PDIS-91-11-1473" TargetMode="External"/><Relationship Id="rId64" Type="http://schemas.openxmlformats.org/officeDocument/2006/relationships/hyperlink" Target="https://doi.org/10.3389/fmicb.2020.00992" TargetMode="External"/><Relationship Id="rId69" Type="http://schemas.openxmlformats.org/officeDocument/2006/relationships/hyperlink" Target="https://arec.tennessee.edu/wp-content/uploads/sites/17/2021/05/2021-Hemp-Outlook_Policy-TDA.pdf" TargetMode="External"/><Relationship Id="rId77" Type="http://schemas.openxmlformats.org/officeDocument/2006/relationships/hyperlink" Target="https://doi.org/10.1016/j.biocontrol.2008.03.014" TargetMode="External"/><Relationship Id="rId100" Type="http://schemas.openxmlformats.org/officeDocument/2006/relationships/image" Target="media/image11.jpeg"/><Relationship Id="rId105" Type="http://schemas.openxmlformats.org/officeDocument/2006/relationships/hyperlink" Target="https://doi.org/10.1080/02571862.2006.10634750" TargetMode="External"/><Relationship Id="rId113" Type="http://schemas.openxmlformats.org/officeDocument/2006/relationships/hyperlink" Target="https://extension.tennessee" TargetMode="External"/><Relationship Id="rId118" Type="http://schemas.openxmlformats.org/officeDocument/2006/relationships/hyperlink" Target="https://doi.org/10.1038/s41598-020-60148-6" TargetMode="External"/><Relationship Id="rId126" Type="http://schemas.openxmlformats.org/officeDocument/2006/relationships/hyperlink" Target="https://doi.org/10.1111/gcbb.12793" TargetMode="External"/><Relationship Id="rId134" Type="http://schemas.openxmlformats.org/officeDocument/2006/relationships/image" Target="media/image15.png"/><Relationship Id="rId8" Type="http://schemas.openxmlformats.org/officeDocument/2006/relationships/footer" Target="footer1.xml"/><Relationship Id="rId51" Type="http://schemas.openxmlformats.org/officeDocument/2006/relationships/hyperlink" Target="https://doi.org/10.1300/j237v09n02_07" TargetMode="External"/><Relationship Id="rId72" Type="http://schemas.openxmlformats.org/officeDocument/2006/relationships/hyperlink" Target="https://doi.org/10.1080/09583150310001606282" TargetMode="External"/><Relationship Id="rId80" Type="http://schemas.openxmlformats.org/officeDocument/2006/relationships/hyperlink" Target="https://doi.org/10.1163/15685411-00002756" TargetMode="External"/><Relationship Id="rId85" Type="http://schemas.openxmlformats.org/officeDocument/2006/relationships/hyperlink" Target="https://www.nass.usda.gov/Quick_Stats/Ag_Overview/stateOverview.php?state=TENNESSEE" TargetMode="External"/><Relationship Id="rId93" Type="http://schemas.openxmlformats.org/officeDocument/2006/relationships/image" Target="media/image7.png"/><Relationship Id="rId98" Type="http://schemas.openxmlformats.org/officeDocument/2006/relationships/image" Target="media/image9.jpeg"/><Relationship Id="rId121" Type="http://schemas.openxmlformats.org/officeDocument/2006/relationships/hyperlink" Target="https://doi.org/10.1094/PDIS.1998.82.2.213" TargetMode="External"/><Relationship Id="rId3" Type="http://schemas.openxmlformats.org/officeDocument/2006/relationships/styles" Target="styles.xml"/><Relationship Id="rId12"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17"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25" Type="http://schemas.openxmlformats.org/officeDocument/2006/relationships/hyperlink" Target="https://doi.org/10.1007/BF00444275" TargetMode="External"/><Relationship Id="rId33" Type="http://schemas.openxmlformats.org/officeDocument/2006/relationships/hyperlink" Target="https://doi.org/10.1534/g3.116.035964" TargetMode="External"/><Relationship Id="rId38" Type="http://schemas.openxmlformats.org/officeDocument/2006/relationships/hyperlink" Target="https://doi.org/10.3389/fagro.2021.796062" TargetMode="External"/><Relationship Id="rId46" Type="http://schemas.openxmlformats.org/officeDocument/2006/relationships/hyperlink" Target="https://doi.org/10.1007/s00425-013-1923-z" TargetMode="External"/><Relationship Id="rId59" Type="http://schemas.openxmlformats.org/officeDocument/2006/relationships/hyperlink" Target="https://cottoncultivated.cottoninc.com/wp-content/uploads/2015/03/Managing-Nematodes.pdf" TargetMode="External"/><Relationship Id="rId67" Type="http://schemas.openxmlformats.org/officeDocument/2006/relationships/hyperlink" Target="https://doi.org/10.1007/BF02852973" TargetMode="External"/><Relationship Id="rId103" Type="http://schemas.openxmlformats.org/officeDocument/2006/relationships/hyperlink" Target="https://doi.org/10.1155/2018/5686874" TargetMode="External"/><Relationship Id="rId108" Type="http://schemas.openxmlformats.org/officeDocument/2006/relationships/hyperlink" Target="http://ipm.ucanr.edu/PMG/PESTNOTES/pn7406.html" TargetMode="External"/><Relationship Id="rId116" Type="http://schemas.openxmlformats.org/officeDocument/2006/relationships/hyperlink" Target="https://doi.org/10.1007/s10327-006-0311-y" TargetMode="External"/><Relationship Id="rId124" Type="http://schemas.openxmlformats.org/officeDocument/2006/relationships/hyperlink" Target="https://arec.tennessee.edu/wp-content/uploads/sites/17/2021/05/2021-Hemp-Outlook_Policy-TDA.pdf" TargetMode="External"/><Relationship Id="rId129" Type="http://schemas.openxmlformats.org/officeDocument/2006/relationships/hyperlink" Target="https://doi.org/10.1002/jsfa.10542" TargetMode="External"/><Relationship Id="rId137" Type="http://schemas.openxmlformats.org/officeDocument/2006/relationships/theme" Target="theme/theme1.xml"/><Relationship Id="rId20"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41" Type="http://schemas.openxmlformats.org/officeDocument/2006/relationships/hyperlink" Target="https://doi.org/10.1094/PDIS-11-12-1060-RE" TargetMode="External"/><Relationship Id="rId54" Type="http://schemas.openxmlformats.org/officeDocument/2006/relationships/hyperlink" Target="https://doi.org/10.1094/php-2009-0130-01-rs" TargetMode="External"/><Relationship Id="rId62" Type="http://schemas.openxmlformats.org/officeDocument/2006/relationships/hyperlink" Target="http://www.cotton.org/tech/pest/nematode/survey/tennessee.cfm" TargetMode="External"/><Relationship Id="rId70" Type="http://schemas.openxmlformats.org/officeDocument/2006/relationships/hyperlink" Target="https://doi.org/10.1094/phyto-68-736" TargetMode="External"/><Relationship Id="rId75" Type="http://schemas.openxmlformats.org/officeDocument/2006/relationships/hyperlink" Target="https://www.tn.gov/agriculture/farms/hemp-industry/hemp/getting-started.html" TargetMode="External"/><Relationship Id="rId83" Type="http://schemas.openxmlformats.org/officeDocument/2006/relationships/hyperlink" Target="https://doi.org/10.1016/j.biocontrol.2014.01.009" TargetMode="External"/><Relationship Id="rId88" Type="http://schemas.openxmlformats.org/officeDocument/2006/relationships/image" Target="media/image2.png"/><Relationship Id="rId91" Type="http://schemas.openxmlformats.org/officeDocument/2006/relationships/image" Target="media/image5.png"/><Relationship Id="rId96" Type="http://schemas.openxmlformats.org/officeDocument/2006/relationships/hyperlink" Target="https://doi.org/10.1094/phyto-61-1239" TargetMode="External"/><Relationship Id="rId111" Type="http://schemas.openxmlformats.org/officeDocument/2006/relationships/hyperlink" Target="https://doi.org/10.1016/j.pmpp.2004.07.005" TargetMode="External"/><Relationship Id="rId13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23" Type="http://schemas.openxmlformats.org/officeDocument/2006/relationships/hyperlink" Target="https://cropwatch.unl.edu/potato/lesion" TargetMode="External"/><Relationship Id="rId28" Type="http://schemas.openxmlformats.org/officeDocument/2006/relationships/hyperlink" Target="https://doi.org/10.1016/j.pmpp.2009.12.003" TargetMode="External"/><Relationship Id="rId36" Type="http://schemas.openxmlformats.org/officeDocument/2006/relationships/hyperlink" Target="https://doi.org/10.1080/03601230701771164" TargetMode="External"/><Relationship Id="rId49" Type="http://schemas.openxmlformats.org/officeDocument/2006/relationships/hyperlink" Target="https://doi.org/10.1094/PDIS-03-20-0546-PDN" TargetMode="External"/><Relationship Id="rId57" Type="http://schemas.openxmlformats.org/officeDocument/2006/relationships/hyperlink" Target="https://doi.org/10.1094/PHI-I-2003-0917-01" TargetMode="External"/><Relationship Id="rId106" Type="http://schemas.openxmlformats.org/officeDocument/2006/relationships/hyperlink" Target="https://www.pubs.ext.vt.edu/content/dam/pubs_ext_vt_edu/ENTO/ento-349/ENTO-349.pdf" TargetMode="External"/><Relationship Id="rId114" Type="http://schemas.openxmlformats.org/officeDocument/2006/relationships/hyperlink" Target="https://doi.org/10.37855/jah.2010.v12i01.17" TargetMode="External"/><Relationship Id="rId119" Type="http://schemas.openxmlformats.org/officeDocument/2006/relationships/hyperlink" Target="https://doi.org/10.1016/j.biocontrol.2019.104067" TargetMode="External"/><Relationship Id="rId127" Type="http://schemas.openxmlformats.org/officeDocument/2006/relationships/hyperlink" Target="https://www.tn.gov/agriculture/farms/hemp-industry/hemp/getting-started.html" TargetMode="External"/><Relationship Id="rId10"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31" Type="http://schemas.openxmlformats.org/officeDocument/2006/relationships/hyperlink" Target="https://doi.org/10.1094/phi-i-2000-1030-02" TargetMode="External"/><Relationship Id="rId44" Type="http://schemas.openxmlformats.org/officeDocument/2006/relationships/hyperlink" Target="https://www.tennessean.com/story/news/health/2019/04/11/tennessee-hemp-cbd-farming-increases/3399678002/" TargetMode="External"/><Relationship Id="rId52" Type="http://schemas.openxmlformats.org/officeDocument/2006/relationships/hyperlink" Target="https://content.ces.ncsu.edu/southern-blight-of-vegetable-crops" TargetMode="External"/><Relationship Id="rId60" Type="http://schemas.openxmlformats.org/officeDocument/2006/relationships/hyperlink" Target="https://doi.org/10.1007/s11540-020-09452-2" TargetMode="External"/><Relationship Id="rId65" Type="http://schemas.openxmlformats.org/officeDocument/2006/relationships/hyperlink" Target="https://doi.org/10.3389/fpls.2019.01120" TargetMode="External"/><Relationship Id="rId73" Type="http://schemas.openxmlformats.org/officeDocument/2006/relationships/hyperlink" Target="https://doi.org/10.1094/PDIS-10-19-2216-PDN" TargetMode="External"/><Relationship Id="rId78" Type="http://schemas.openxmlformats.org/officeDocument/2006/relationships/hyperlink" Target="https://www.tn.gov/content/dam/tn/agriculture/documents/planthealth/StatusOfIndustrialHempinTN_102218_W777.pdf" TargetMode="External"/><Relationship Id="rId81" Type="http://schemas.openxmlformats.org/officeDocument/2006/relationships/hyperlink" Target="https://doi.org/10.1094/php-2007-0917-03-rs" TargetMode="External"/><Relationship Id="rId86" Type="http://schemas.openxmlformats.org/officeDocument/2006/relationships/footer" Target="footer3.xml"/><Relationship Id="rId94" Type="http://schemas.openxmlformats.org/officeDocument/2006/relationships/footer" Target="footer4.xml"/><Relationship Id="rId99" Type="http://schemas.openxmlformats.org/officeDocument/2006/relationships/image" Target="media/image10.jpeg"/><Relationship Id="rId101" Type="http://schemas.openxmlformats.org/officeDocument/2006/relationships/image" Target="media/image12.jpeg"/><Relationship Id="rId122" Type="http://schemas.openxmlformats.org/officeDocument/2006/relationships/hyperlink" Target="https://doi.org/10.1111/ijfs.12991" TargetMode="External"/><Relationship Id="rId130" Type="http://schemas.openxmlformats.org/officeDocument/2006/relationships/hyperlink" Target="https://doi.org/10.1046/j.1439-0434.2003.00713.x" TargetMode="External"/><Relationship Id="rId135" Type="http://schemas.openxmlformats.org/officeDocument/2006/relationships/footer" Target="footer7.xml"/><Relationship Id="rId15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2.xml"/><Relationship Id="rId13"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18"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 Id="rId39" Type="http://schemas.openxmlformats.org/officeDocument/2006/relationships/hyperlink" Target="https://doi.org/10.1002/ps.472" TargetMode="External"/><Relationship Id="rId109" Type="http://schemas.openxmlformats.org/officeDocument/2006/relationships/hyperlink" Target="https://www.epa.gov/pesticide-registration/pesticide-products-registered-use-hemp" TargetMode="External"/><Relationship Id="rId34" Type="http://schemas.openxmlformats.org/officeDocument/2006/relationships/hyperlink" Target="http://www.kyhempdisease.com/powdery-mildew-of-hemp.html" TargetMode="External"/><Relationship Id="rId50" Type="http://schemas.openxmlformats.org/officeDocument/2006/relationships/hyperlink" Target="https://doi.org/10.1094/PHP-RS-16-0062" TargetMode="External"/><Relationship Id="rId55" Type="http://schemas.openxmlformats.org/officeDocument/2006/relationships/hyperlink" Target="https://doi.org/10.1094/phyto-64-845" TargetMode="External"/><Relationship Id="rId76" Type="http://schemas.openxmlformats.org/officeDocument/2006/relationships/hyperlink" Target="https://doi.org/10.1094/PHP-03-20-0017-RS" TargetMode="External"/><Relationship Id="rId97" Type="http://schemas.openxmlformats.org/officeDocument/2006/relationships/image" Target="media/image8.png"/><Relationship Id="rId104" Type="http://schemas.openxmlformats.org/officeDocument/2006/relationships/hyperlink" Target="https://www.extension.purdue.edu/extmedia/BP/BP-69-W.pdf" TargetMode="External"/><Relationship Id="rId120" Type="http://schemas.openxmlformats.org/officeDocument/2006/relationships/hyperlink" Target="https://doi.org/10.1016/S0261-2194(99)00048-4" TargetMode="External"/><Relationship Id="rId125" Type="http://schemas.openxmlformats.org/officeDocument/2006/relationships/hyperlink" Target="https://doi.org/10.1111/j.1365-3059.2011.02493.x" TargetMode="External"/><Relationship Id="rId7" Type="http://schemas.openxmlformats.org/officeDocument/2006/relationships/endnotes" Target="endnotes.xml"/><Relationship Id="rId71" Type="http://schemas.openxmlformats.org/officeDocument/2006/relationships/hyperlink" Target="https://doi.org/10.1094/PDIS.1997.81.4.363" TargetMode="External"/><Relationship Id="rId92" Type="http://schemas.openxmlformats.org/officeDocument/2006/relationships/image" Target="media/image6.png"/><Relationship Id="rId2" Type="http://schemas.openxmlformats.org/officeDocument/2006/relationships/numbering" Target="numbering.xml"/><Relationship Id="rId29" Type="http://schemas.openxmlformats.org/officeDocument/2006/relationships/hyperlink" Target="https://www.pubs.ext.vt.edu/content/dam/pubs_ext_vt_edu/ENTO/ento-349/ENTO-349.pdf" TargetMode="External"/><Relationship Id="rId24" Type="http://schemas.openxmlformats.org/officeDocument/2006/relationships/hyperlink" Target="https://doi.org/10.1016/0048-4059(74)90038-1" TargetMode="External"/><Relationship Id="rId40" Type="http://schemas.openxmlformats.org/officeDocument/2006/relationships/hyperlink" Target="https://doi.org/10.1111/mpp.12057" TargetMode="External"/><Relationship Id="rId45" Type="http://schemas.openxmlformats.org/officeDocument/2006/relationships/hyperlink" Target="http://dx.doi.org/10.1016/j.jaci.2012.05.050" TargetMode="External"/><Relationship Id="rId66" Type="http://schemas.openxmlformats.org/officeDocument/2006/relationships/hyperlink" Target="https://doi.org/10.1094/PDIS-12-20-2620-SC" TargetMode="External"/><Relationship Id="rId87" Type="http://schemas.openxmlformats.org/officeDocument/2006/relationships/image" Target="media/image1.png"/><Relationship Id="rId110" Type="http://schemas.openxmlformats.org/officeDocument/2006/relationships/hyperlink" Target="http://www.kyhempdisease.com/powdery-mildew-of-hemp.html" TargetMode="External"/><Relationship Id="rId115" Type="http://schemas.openxmlformats.org/officeDocument/2006/relationships/hyperlink" Target="https://doi.org/10.1016/j.biocontrol.2019.104160" TargetMode="External"/><Relationship Id="rId131" Type="http://schemas.openxmlformats.org/officeDocument/2006/relationships/image" Target="media/image13.png"/><Relationship Id="rId136" Type="http://schemas.openxmlformats.org/officeDocument/2006/relationships/fontTable" Target="fontTable.xml"/><Relationship Id="rId61" Type="http://schemas.openxmlformats.org/officeDocument/2006/relationships/hyperlink" Target="http://library.wur.nl/WebQuery/wdab/1844369" TargetMode="External"/><Relationship Id="rId82" Type="http://schemas.openxmlformats.org/officeDocument/2006/relationships/hyperlink" Target="https://doi.org/10.2135/cropsci1982.0011183x002200020043x" TargetMode="External"/><Relationship Id="rId19" Type="http://schemas.openxmlformats.org/officeDocument/2006/relationships/hyperlink" Target="file:///C:\Users\Rufus%20Akinrinlola\OneDrive%20-%20University%20of%20Tennessee\UTK%20FILES\1.%20My%20PhD%20research\3.%20Dissertation%20document\2022\Edits\Committee\Final\Akinrinlola_May2022_final_04_14.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2D789-65B2-44A1-BBAC-5F0057D19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168</Pages>
  <Words>133496</Words>
  <Characters>760931</Characters>
  <Application>Microsoft Office Word</Application>
  <DocSecurity>0</DocSecurity>
  <Lines>6341</Lines>
  <Paragraphs>1785</Paragraphs>
  <ScaleCrop>false</ScaleCrop>
  <HeadingPairs>
    <vt:vector size="4" baseType="variant">
      <vt:variant>
        <vt:lpstr>Title</vt:lpstr>
      </vt:variant>
      <vt:variant>
        <vt:i4>1</vt:i4>
      </vt:variant>
      <vt:variant>
        <vt:lpstr>Headings</vt:lpstr>
      </vt:variant>
      <vt:variant>
        <vt:i4>53</vt:i4>
      </vt:variant>
    </vt:vector>
  </HeadingPairs>
  <TitlesOfParts>
    <vt:vector size="54" baseType="lpstr">
      <vt:lpstr>Fungicide sensitivity screening of Corynespora cassiicola in US soybean and cotton</vt:lpstr>
      <vt:lpstr>IMPROVED AND SUSTAINABLE MANAGEMENT OF ECONOMICALLY IMPORTANT PLANT-PARASITIC NE</vt:lpstr>
      <vt:lpstr/>
      <vt:lpstr>CHAPTER I. REVIEW OF LITERATURE	1</vt:lpstr>
      <vt:lpstr>References	24</vt:lpstr>
      <vt:lpstr>CHAPTER II. NEMATODE POPULATION DYNAMICS AND HETERODERA GLYCINES HG TYPES IN TEN</vt:lpstr>
      <vt:lpstr>Abstract	38</vt:lpstr>
      <vt:lpstr>Introduction	39</vt:lpstr>
      <vt:lpstr>Materials and methods	41</vt:lpstr>
      <vt:lpstr>Results	44</vt:lpstr>
      <vt:lpstr>Discussion	48</vt:lpstr>
      <vt:lpstr>References	59</vt:lpstr>
      <vt:lpstr>Appendix	65</vt:lpstr>
      <vt:lpstr>CHAPTER III. IMPACT OF HETERODERA GLYCINES HG TYPE 1.2.5.7 ON SOYBEAN NITROGEN F</vt:lpstr>
      <vt:lpstr>Abstract	74</vt:lpstr>
      <vt:lpstr>Introduction	75</vt:lpstr>
      <vt:lpstr>Materials and Methods	76</vt:lpstr>
      <vt:lpstr>Results	81</vt:lpstr>
      <vt:lpstr>Discussion	83</vt:lpstr>
      <vt:lpstr>References	87</vt:lpstr>
      <vt:lpstr>Appendix	91</vt:lpstr>
      <vt:lpstr>CHAPTER IV. MACROPHOMINA PHASEOLINA MICROSCLEROTIAL PATHOGENICITY ON SOYBEAN, AN</vt:lpstr>
      <vt:lpstr>Abstract	100</vt:lpstr>
      <vt:lpstr>Introduction	101</vt:lpstr>
      <vt:lpstr>Materials and methods	103</vt:lpstr>
      <vt:lpstr>Results	106</vt:lpstr>
      <vt:lpstr>Discussion	107</vt:lpstr>
      <vt:lpstr>References	110</vt:lpstr>
      <vt:lpstr>Appendix	112</vt:lpstr>
      <vt:lpstr/>
      <vt:lpstr>CHAPTER V. EFFICACY OF ORGANIC FUNGICIDES AGAINST HEMP POWDERY MILDEW CAUSED BY </vt:lpstr>
      <vt:lpstr>Abstract	118</vt:lpstr>
      <vt:lpstr>Introduction	119</vt:lpstr>
      <vt:lpstr>Materials and methods	121</vt:lpstr>
      <vt:lpstr>Results	125</vt:lpstr>
      <vt:lpstr>Discussion	128</vt:lpstr>
      <vt:lpstr>References	136</vt:lpstr>
      <vt:lpstr>Appendix	141</vt:lpstr>
      <vt:lpstr>VITA	153</vt:lpstr>
      <vt:lpstr>CHAPTER I. REVIEW OF LITERATURE</vt:lpstr>
      <vt:lpstr/>
      <vt:lpstr>    Part 1: Plant-parasitic nematodes of field crops and biological control agents o</vt:lpstr>
      <vt:lpstr>    Major plant-parasitic nematodes </vt:lpstr>
      <vt:lpstr>        </vt:lpstr>
      <vt:lpstr>        Migratory ectoparasites. </vt:lpstr>
      <vt:lpstr>        </vt:lpstr>
      <vt:lpstr>        Migratory endo-parasites. </vt:lpstr>
      <vt:lpstr>        Semi-endoparasites</vt:lpstr>
      <vt:lpstr>        Sedentary endoparasites. </vt:lpstr>
      <vt:lpstr>    Typical features and life cycle</vt:lpstr>
      <vt:lpstr>    Management </vt:lpstr>
      <vt:lpstr>        Soybean cyst nematode </vt:lpstr>
      <vt:lpstr>        Root-knot nematode </vt:lpstr>
      <vt:lpstr>        Lesion nematode </vt:lpstr>
    </vt:vector>
  </TitlesOfParts>
  <Company>University of Tennessee</Company>
  <LinksUpToDate>false</LinksUpToDate>
  <CharactersWithSpaces>892642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Fungicide sensitivity screening of Corynespora cassiicola in US soybean and cotton</dc:title>
  <dc:subject/>
  <dc:creator>Tyler Miles Smith</dc:creator>
  <cp:keywords/>
  <dc:description/>
  <cp:lastModifiedBy>Akinrinlola, Rufus</cp:lastModifiedBy>
  <cp:revision>9</cp:revision>
  <cp:lastPrinted>2022-04-21T20:49:00Z</cp:lastPrinted>
  <dcterms:created xsi:type="dcterms:W3CDTF">2022-04-23T00:04:00Z</dcterms:created>
  <dcterms:modified xsi:type="dcterms:W3CDTF">2022-04-23T00:32:00Z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2021-10-22T00:00:00Z</vt:filetime>
  </property>
  <property fmtid="{D5CDD505-2E9C-101B-9397-08002B2CF9AE}" pid="3" name="Creator">
    <vt:lpwstr>Appligent AppendPDF Pro 6.3</vt:lpwstr>
  </property>
  <property fmtid="{D5CDD505-2E9C-101B-9397-08002B2CF9AE}" pid="4" name="LastSaved">
    <vt:filetime>2021-11-04T00:00:00Z</vt:filetime>
  </property>
  <property fmtid="{D5CDD505-2E9C-101B-9397-08002B2CF9AE}" pid="5" name="Mendeley Document_1">
    <vt:lpwstr>True</vt:lpwstr>
  </property>
  <property fmtid="{D5CDD505-2E9C-101B-9397-08002B2CF9AE}" pid="6" name="Mendeley Unique User Id_1">
    <vt:lpwstr>caa427cd-d463-3d23-8453-2dfc3b3be6ff</vt:lpwstr>
  </property>
  <property fmtid="{D5CDD505-2E9C-101B-9397-08002B2CF9AE}" pid="7" name="Mendeley Citation Style_1">
    <vt:lpwstr>http://www.zotero.org/styles/apa</vt:lpwstr>
  </property>
  <property fmtid="{D5CDD505-2E9C-101B-9397-08002B2CF9AE}" pid="8" name="Mendeley Recent Style Id 0_1">
    <vt:lpwstr>http://www.zotero.org/styles/american-medical-association</vt:lpwstr>
  </property>
  <property fmtid="{D5CDD505-2E9C-101B-9397-08002B2CF9AE}" pid="9" name="Mendeley Recent Style Name 0_1">
    <vt:lpwstr>American Medical Association</vt:lpwstr>
  </property>
  <property fmtid="{D5CDD505-2E9C-101B-9397-08002B2CF9AE}" pid="10" name="Mendeley Recent Style Id 1_1">
    <vt:lpwstr>http://www.zotero.org/styles/american-political-science-association</vt:lpwstr>
  </property>
  <property fmtid="{D5CDD505-2E9C-101B-9397-08002B2CF9AE}" pid="11" name="Mendeley Recent Style Name 1_1">
    <vt:lpwstr>American Political Science Association</vt:lpwstr>
  </property>
  <property fmtid="{D5CDD505-2E9C-101B-9397-08002B2CF9AE}" pid="12" name="Mendeley Recent Style Id 2_1">
    <vt:lpwstr>http://www.zotero.org/styles/apa</vt:lpwstr>
  </property>
  <property fmtid="{D5CDD505-2E9C-101B-9397-08002B2CF9AE}" pid="13" name="Mendeley Recent Style Name 2_1">
    <vt:lpwstr>American Psychological Association 7th edition</vt:lpwstr>
  </property>
  <property fmtid="{D5CDD505-2E9C-101B-9397-08002B2CF9AE}" pid="14" name="Mendeley Recent Style Id 3_1">
    <vt:lpwstr>http://www.zotero.org/styles/american-sociological-association</vt:lpwstr>
  </property>
  <property fmtid="{D5CDD505-2E9C-101B-9397-08002B2CF9AE}" pid="15" name="Mendeley Recent Style Name 3_1">
    <vt:lpwstr>American Sociological Association</vt:lpwstr>
  </property>
  <property fmtid="{D5CDD505-2E9C-101B-9397-08002B2CF9AE}" pid="16" name="Mendeley Recent Style Id 4_1">
    <vt:lpwstr>http://www.zotero.org/styles/chicago-author-date</vt:lpwstr>
  </property>
  <property fmtid="{D5CDD505-2E9C-101B-9397-08002B2CF9AE}" pid="17" name="Mendeley Recent Style Name 4_1">
    <vt:lpwstr>Chicago Manual of Style 17th edition (author-date)</vt:lpwstr>
  </property>
  <property fmtid="{D5CDD505-2E9C-101B-9397-08002B2CF9AE}" pid="18" name="Mendeley Recent Style Id 5_1">
    <vt:lpwstr>http://www.zotero.org/styles/harvard-cite-them-right</vt:lpwstr>
  </property>
  <property fmtid="{D5CDD505-2E9C-101B-9397-08002B2CF9AE}" pid="19" name="Mendeley Recent Style Name 5_1">
    <vt:lpwstr>Cite Them Right 10th edition - Harvard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