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668F9" w14:textId="77777777" w:rsidR="00132420" w:rsidRPr="00132420" w:rsidRDefault="00132420" w:rsidP="00132420"/>
    <w:p w14:paraId="4725EF60" w14:textId="77777777" w:rsidR="00132420" w:rsidRPr="00585B95" w:rsidRDefault="00132420" w:rsidP="00585B95">
      <w:pPr>
        <w:jc w:val="center"/>
        <w:rPr>
          <w:b/>
          <w:bCs/>
        </w:rPr>
      </w:pPr>
    </w:p>
    <w:p w14:paraId="155D0454" w14:textId="32F69A65" w:rsidR="00132420" w:rsidRPr="00585B95" w:rsidRDefault="00585B95" w:rsidP="00585B95">
      <w:pPr>
        <w:jc w:val="center"/>
        <w:rPr>
          <w:b/>
          <w:bCs/>
        </w:rPr>
      </w:pPr>
      <w:r w:rsidRPr="00585B95">
        <w:rPr>
          <w:b/>
          <w:bCs/>
        </w:rPr>
        <w:t>DEVELOPMENT AND RECYCLING OF PAPER-FIBER REINFORCED COMPOSITES</w:t>
      </w:r>
    </w:p>
    <w:p w14:paraId="2C7BC4D0" w14:textId="77777777" w:rsidR="00132420" w:rsidRPr="00132420" w:rsidRDefault="00132420" w:rsidP="00132420"/>
    <w:p w14:paraId="233A1F2E" w14:textId="77777777" w:rsidR="00132420" w:rsidRPr="00132420" w:rsidRDefault="00132420" w:rsidP="00132420"/>
    <w:p w14:paraId="07CAE35C" w14:textId="77777777" w:rsidR="00132420" w:rsidRPr="00132420" w:rsidRDefault="00132420" w:rsidP="00132420">
      <w:pPr>
        <w:jc w:val="center"/>
      </w:pPr>
    </w:p>
    <w:p w14:paraId="0D80E404" w14:textId="77777777" w:rsidR="00132420" w:rsidRPr="00132420" w:rsidRDefault="00132420" w:rsidP="00132420">
      <w:pPr>
        <w:pStyle w:val="Normal-Centered"/>
      </w:pPr>
      <w:r w:rsidRPr="00132420">
        <w:t>A Dissertation Presented for the</w:t>
      </w:r>
    </w:p>
    <w:p w14:paraId="24B82BA5" w14:textId="77777777" w:rsidR="00132420" w:rsidRPr="00132420" w:rsidRDefault="00132420" w:rsidP="00132420">
      <w:pPr>
        <w:pStyle w:val="Normal-Centered"/>
      </w:pPr>
      <w:r w:rsidRPr="00132420">
        <w:t>Doctor of Philosophy</w:t>
      </w:r>
    </w:p>
    <w:p w14:paraId="486F29A4" w14:textId="77777777" w:rsidR="00132420" w:rsidRPr="00132420" w:rsidRDefault="00132420" w:rsidP="00132420">
      <w:pPr>
        <w:pStyle w:val="Normal-Centered"/>
      </w:pPr>
      <w:r w:rsidRPr="00132420">
        <w:t>Degree</w:t>
      </w:r>
    </w:p>
    <w:p w14:paraId="6B9D441A" w14:textId="77777777" w:rsidR="00132420" w:rsidRPr="00132420" w:rsidRDefault="00132420" w:rsidP="00132420">
      <w:pPr>
        <w:pStyle w:val="Normal-Centered"/>
      </w:pPr>
      <w:r w:rsidRPr="00132420">
        <w:t>The University of Tennessee, Knoxville</w:t>
      </w:r>
    </w:p>
    <w:p w14:paraId="0B4A9D3F" w14:textId="77777777" w:rsidR="00132420" w:rsidRPr="00132420" w:rsidRDefault="00132420" w:rsidP="00132420">
      <w:pPr>
        <w:pStyle w:val="Normal-Centered"/>
      </w:pPr>
    </w:p>
    <w:p w14:paraId="487F40D8" w14:textId="77777777" w:rsidR="00132420" w:rsidRPr="00132420" w:rsidRDefault="00132420" w:rsidP="00132420">
      <w:pPr>
        <w:pStyle w:val="Normal-Centered"/>
      </w:pPr>
    </w:p>
    <w:p w14:paraId="54E778D5" w14:textId="77777777" w:rsidR="00132420" w:rsidRPr="00132420" w:rsidRDefault="00132420" w:rsidP="00132420">
      <w:pPr>
        <w:pStyle w:val="Normal-Centered"/>
      </w:pPr>
    </w:p>
    <w:p w14:paraId="4F135F77" w14:textId="77777777" w:rsidR="00132420" w:rsidRPr="00132420" w:rsidRDefault="00132420" w:rsidP="00132420">
      <w:pPr>
        <w:pStyle w:val="Normal-Centered"/>
      </w:pPr>
    </w:p>
    <w:p w14:paraId="35423B23" w14:textId="77777777" w:rsidR="00132420" w:rsidRPr="00132420" w:rsidRDefault="00132420" w:rsidP="00132420">
      <w:pPr>
        <w:pStyle w:val="Normal-Centered"/>
      </w:pPr>
    </w:p>
    <w:p w14:paraId="48E37E90" w14:textId="77777777" w:rsidR="00132420" w:rsidRPr="00132420" w:rsidRDefault="00132420" w:rsidP="00132420">
      <w:pPr>
        <w:pStyle w:val="Normal-Centered"/>
      </w:pPr>
    </w:p>
    <w:p w14:paraId="5A7B33C7" w14:textId="77777777" w:rsidR="00132420" w:rsidRPr="00132420" w:rsidRDefault="00132420" w:rsidP="00132420">
      <w:pPr>
        <w:pStyle w:val="Normal-Centered"/>
      </w:pPr>
      <w:r w:rsidRPr="00132420">
        <w:t>Cecile A. Grubb</w:t>
      </w:r>
    </w:p>
    <w:p w14:paraId="437E2E7D" w14:textId="77777777" w:rsidR="00132420" w:rsidRPr="00132420" w:rsidRDefault="00132420" w:rsidP="00132420">
      <w:pPr>
        <w:pStyle w:val="Normal-Centered"/>
      </w:pPr>
      <w:r w:rsidRPr="00132420">
        <w:t>May 2025</w:t>
      </w:r>
    </w:p>
    <w:p w14:paraId="574C6BAB" w14:textId="303FBE4E" w:rsidR="00132420" w:rsidRPr="000F0CD0" w:rsidRDefault="00132420" w:rsidP="000F0CD0">
      <w:pPr>
        <w:ind w:firstLine="0"/>
        <w:jc w:val="center"/>
      </w:pPr>
      <w:r>
        <w:br w:type="page"/>
      </w:r>
      <w:r w:rsidRPr="000F0CD0">
        <w:lastRenderedPageBreak/>
        <w:t>Copyright © 2025 by Cecile A. Grubb</w:t>
      </w:r>
    </w:p>
    <w:p w14:paraId="29CB6361" w14:textId="6848B119" w:rsidR="00132420" w:rsidRPr="000F0CD0" w:rsidRDefault="00132420" w:rsidP="000F0CD0">
      <w:pPr>
        <w:pStyle w:val="Normal-Centered"/>
        <w:ind w:firstLine="0"/>
      </w:pPr>
      <w:r w:rsidRPr="000F0CD0">
        <w:t>All rights reserved.</w:t>
      </w:r>
    </w:p>
    <w:p w14:paraId="47BEE7F2" w14:textId="77777777" w:rsidR="00132420" w:rsidRDefault="00132420" w:rsidP="00132420">
      <w:pPr>
        <w:pStyle w:val="Normal-Centered"/>
      </w:pPr>
      <w:r>
        <w:br w:type="page"/>
      </w:r>
    </w:p>
    <w:p w14:paraId="5293A742" w14:textId="52C60862" w:rsidR="00132420" w:rsidRPr="00970B86" w:rsidRDefault="00970B86" w:rsidP="00970B86">
      <w:pPr>
        <w:jc w:val="center"/>
        <w:rPr>
          <w:b/>
          <w:bCs/>
        </w:rPr>
      </w:pPr>
      <w:r w:rsidRPr="00970B86">
        <w:rPr>
          <w:b/>
          <w:bCs/>
        </w:rPr>
        <w:lastRenderedPageBreak/>
        <w:t>ACKNOWLEDGEMENTS</w:t>
      </w:r>
    </w:p>
    <w:p w14:paraId="5862FB1F" w14:textId="25A92B6F" w:rsidR="00132420" w:rsidRDefault="00132420" w:rsidP="00132420">
      <w:r>
        <w:t xml:space="preserve">Thank you </w:t>
      </w:r>
      <w:r w:rsidR="0043555C">
        <w:t xml:space="preserve">to Bode Dog Phillips. He is my only friend. </w:t>
      </w:r>
    </w:p>
    <w:p w14:paraId="26D300AC" w14:textId="07CD8607" w:rsidR="00132420" w:rsidRDefault="00132420" w:rsidP="00132420">
      <w:r>
        <w:br w:type="page"/>
      </w:r>
    </w:p>
    <w:p w14:paraId="6F760E3B" w14:textId="03BAB17A" w:rsidR="0017150C" w:rsidRPr="00585B95" w:rsidRDefault="00585B95" w:rsidP="00585B95">
      <w:pPr>
        <w:jc w:val="center"/>
        <w:rPr>
          <w:b/>
          <w:bCs/>
        </w:rPr>
      </w:pPr>
      <w:bookmarkStart w:id="0" w:name="_Hlk190961867"/>
      <w:r w:rsidRPr="00585B95">
        <w:rPr>
          <w:b/>
          <w:bCs/>
        </w:rPr>
        <w:lastRenderedPageBreak/>
        <w:t>ABSTRACT</w:t>
      </w:r>
    </w:p>
    <w:p w14:paraId="48EB1366" w14:textId="046D4829" w:rsidR="00132420" w:rsidRDefault="00132420" w:rsidP="00132420">
      <w:r w:rsidRPr="00132420">
        <w:t xml:space="preserve">The automotive industry is currently under significant pressure to curb its greenhouse gas emissions as it becomes increasingly apparent the negative impacts that carbon dioxide and other human-made gases have on the environment and global warming. All the major original equipment manufacturers (OEMs) have made commitments to reduce their carbon emissions to net-zero by 2040/2050, with intermediate milestones varying by individual company. One of the major initial pushes has been toward the electrification of vehicles, as most of the carbon footprint of internal combustion engine (ICE) vehicles results from tailpipe emissions. For electric vehicles, the carbon footprint burden is shifted away from the tailpipe emissions and towards the manufacturing and materials used within the car. In existing cars, only 18% of emissions are attributed to the materials, however it is predicted that portion of </w:t>
      </w:r>
      <w:r w:rsidR="00D9032B" w:rsidRPr="00132420">
        <w:t>emissions</w:t>
      </w:r>
      <w:r w:rsidRPr="00132420">
        <w:t xml:space="preserve"> will increase to 60% by 2040. As such, there is significant interest within the automotive industry to develop new low-carbon footprint materials, as this will be needed to achieve carbon neutrality. </w:t>
      </w:r>
    </w:p>
    <w:p w14:paraId="1A93E657" w14:textId="51CED706" w:rsidR="005304A1" w:rsidRDefault="00132420" w:rsidP="00132420">
      <w:r w:rsidRPr="00EC046B">
        <w:rPr>
          <w:highlight w:val="yellow"/>
        </w:rPr>
        <w:t>[Add more]</w:t>
      </w:r>
    </w:p>
    <w:bookmarkEnd w:id="0"/>
    <w:p w14:paraId="7E2FABCB" w14:textId="77777777" w:rsidR="00894444" w:rsidRDefault="00894444">
      <w:pPr>
        <w:spacing w:after="160" w:line="259" w:lineRule="auto"/>
        <w:ind w:firstLine="0"/>
        <w:jc w:val="left"/>
        <w:rPr>
          <w:b/>
          <w:bCs/>
        </w:rPr>
      </w:pPr>
      <w:r>
        <w:rPr>
          <w:b/>
          <w:bCs/>
        </w:rPr>
        <w:br w:type="page"/>
      </w:r>
    </w:p>
    <w:p w14:paraId="4B7D1FD7" w14:textId="6C6BC9F5" w:rsidR="0017150C" w:rsidRPr="00970B86" w:rsidRDefault="00970B86" w:rsidP="00970B86">
      <w:pPr>
        <w:spacing w:after="160" w:line="259" w:lineRule="auto"/>
        <w:ind w:firstLine="0"/>
        <w:jc w:val="center"/>
        <w:rPr>
          <w:b/>
          <w:bCs/>
        </w:rPr>
      </w:pPr>
      <w:r w:rsidRPr="00970B86">
        <w:rPr>
          <w:b/>
          <w:bCs/>
        </w:rPr>
        <w:lastRenderedPageBreak/>
        <w:t>TABLE OF CONTENTS</w:t>
      </w:r>
    </w:p>
    <w:sdt>
      <w:sdtPr>
        <w:id w:val="1330948154"/>
        <w:docPartObj>
          <w:docPartGallery w:val="Table of Contents"/>
          <w:docPartUnique/>
        </w:docPartObj>
      </w:sdtPr>
      <w:sdtEndPr>
        <w:rPr>
          <w:rFonts w:ascii="Times New Roman" w:eastAsia="Times New Roman" w:hAnsi="Times New Roman" w:cs="Times New Roman"/>
          <w:b/>
          <w:bCs/>
          <w:noProof/>
          <w:color w:val="auto"/>
          <w:sz w:val="24"/>
          <w:szCs w:val="24"/>
        </w:rPr>
      </w:sdtEndPr>
      <w:sdtContent>
        <w:p w14:paraId="1BB3F5F1" w14:textId="208AC857" w:rsidR="0017150C" w:rsidRPr="00970B86" w:rsidRDefault="0017150C">
          <w:pPr>
            <w:pStyle w:val="TOCHeading"/>
            <w:rPr>
              <w:sz w:val="16"/>
              <w:szCs w:val="16"/>
            </w:rPr>
          </w:pPr>
        </w:p>
        <w:p w14:paraId="6E716D6D" w14:textId="7B385B55"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0951765" w:history="1">
            <w:r w:rsidRPr="0050104A">
              <w:rPr>
                <w:rStyle w:val="Hyperlink"/>
                <w:noProof/>
              </w:rPr>
              <w:t>Chapter 1 Introduction</w:t>
            </w:r>
            <w:r>
              <w:rPr>
                <w:noProof/>
                <w:webHidden/>
              </w:rPr>
              <w:tab/>
            </w:r>
            <w:r>
              <w:rPr>
                <w:noProof/>
                <w:webHidden/>
              </w:rPr>
              <w:fldChar w:fldCharType="begin"/>
            </w:r>
            <w:r>
              <w:rPr>
                <w:noProof/>
                <w:webHidden/>
              </w:rPr>
              <w:instrText xml:space="preserve"> PAGEREF _Toc190951765 \h </w:instrText>
            </w:r>
            <w:r>
              <w:rPr>
                <w:noProof/>
                <w:webHidden/>
              </w:rPr>
            </w:r>
            <w:r>
              <w:rPr>
                <w:noProof/>
                <w:webHidden/>
              </w:rPr>
              <w:fldChar w:fldCharType="separate"/>
            </w:r>
            <w:r>
              <w:rPr>
                <w:noProof/>
                <w:webHidden/>
              </w:rPr>
              <w:t>1</w:t>
            </w:r>
            <w:r>
              <w:rPr>
                <w:noProof/>
                <w:webHidden/>
              </w:rPr>
              <w:fldChar w:fldCharType="end"/>
            </w:r>
          </w:hyperlink>
        </w:p>
        <w:p w14:paraId="107FE3F0" w14:textId="3B00418A"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66" w:history="1">
            <w:r w:rsidRPr="0050104A">
              <w:rPr>
                <w:rStyle w:val="Hyperlink"/>
                <w:noProof/>
              </w:rPr>
              <w:t>1.1 Current State of Automotive Materials</w:t>
            </w:r>
            <w:r>
              <w:rPr>
                <w:noProof/>
                <w:webHidden/>
              </w:rPr>
              <w:tab/>
            </w:r>
            <w:r>
              <w:rPr>
                <w:noProof/>
                <w:webHidden/>
              </w:rPr>
              <w:fldChar w:fldCharType="begin"/>
            </w:r>
            <w:r>
              <w:rPr>
                <w:noProof/>
                <w:webHidden/>
              </w:rPr>
              <w:instrText xml:space="preserve"> PAGEREF _Toc190951766 \h </w:instrText>
            </w:r>
            <w:r>
              <w:rPr>
                <w:noProof/>
                <w:webHidden/>
              </w:rPr>
            </w:r>
            <w:r>
              <w:rPr>
                <w:noProof/>
                <w:webHidden/>
              </w:rPr>
              <w:fldChar w:fldCharType="separate"/>
            </w:r>
            <w:r>
              <w:rPr>
                <w:noProof/>
                <w:webHidden/>
              </w:rPr>
              <w:t>2</w:t>
            </w:r>
            <w:r>
              <w:rPr>
                <w:noProof/>
                <w:webHidden/>
              </w:rPr>
              <w:fldChar w:fldCharType="end"/>
            </w:r>
          </w:hyperlink>
        </w:p>
        <w:p w14:paraId="1558330D" w14:textId="3FE90936"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767" w:history="1">
            <w:r w:rsidRPr="0050104A">
              <w:rPr>
                <w:rStyle w:val="Hyperlink"/>
                <w:noProof/>
              </w:rPr>
              <w:t>1.1.1 Steel</w:t>
            </w:r>
            <w:r>
              <w:rPr>
                <w:noProof/>
                <w:webHidden/>
              </w:rPr>
              <w:tab/>
            </w:r>
            <w:r>
              <w:rPr>
                <w:noProof/>
                <w:webHidden/>
              </w:rPr>
              <w:fldChar w:fldCharType="begin"/>
            </w:r>
            <w:r>
              <w:rPr>
                <w:noProof/>
                <w:webHidden/>
              </w:rPr>
              <w:instrText xml:space="preserve"> PAGEREF _Toc190951767 \h </w:instrText>
            </w:r>
            <w:r>
              <w:rPr>
                <w:noProof/>
                <w:webHidden/>
              </w:rPr>
            </w:r>
            <w:r>
              <w:rPr>
                <w:noProof/>
                <w:webHidden/>
              </w:rPr>
              <w:fldChar w:fldCharType="separate"/>
            </w:r>
            <w:r>
              <w:rPr>
                <w:noProof/>
                <w:webHidden/>
              </w:rPr>
              <w:t>2</w:t>
            </w:r>
            <w:r>
              <w:rPr>
                <w:noProof/>
                <w:webHidden/>
              </w:rPr>
              <w:fldChar w:fldCharType="end"/>
            </w:r>
          </w:hyperlink>
        </w:p>
        <w:p w14:paraId="73AB2A6C" w14:textId="094EF0ED"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768" w:history="1">
            <w:r w:rsidRPr="0050104A">
              <w:rPr>
                <w:rStyle w:val="Hyperlink"/>
                <w:noProof/>
              </w:rPr>
              <w:t>1.1.2 Aluminum</w:t>
            </w:r>
            <w:r>
              <w:rPr>
                <w:noProof/>
                <w:webHidden/>
              </w:rPr>
              <w:tab/>
            </w:r>
            <w:r>
              <w:rPr>
                <w:noProof/>
                <w:webHidden/>
              </w:rPr>
              <w:fldChar w:fldCharType="begin"/>
            </w:r>
            <w:r>
              <w:rPr>
                <w:noProof/>
                <w:webHidden/>
              </w:rPr>
              <w:instrText xml:space="preserve"> PAGEREF _Toc190951768 \h </w:instrText>
            </w:r>
            <w:r>
              <w:rPr>
                <w:noProof/>
                <w:webHidden/>
              </w:rPr>
            </w:r>
            <w:r>
              <w:rPr>
                <w:noProof/>
                <w:webHidden/>
              </w:rPr>
              <w:fldChar w:fldCharType="separate"/>
            </w:r>
            <w:r>
              <w:rPr>
                <w:noProof/>
                <w:webHidden/>
              </w:rPr>
              <w:t>2</w:t>
            </w:r>
            <w:r>
              <w:rPr>
                <w:noProof/>
                <w:webHidden/>
              </w:rPr>
              <w:fldChar w:fldCharType="end"/>
            </w:r>
          </w:hyperlink>
        </w:p>
        <w:p w14:paraId="088773FD" w14:textId="1261C113"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769" w:history="1">
            <w:r w:rsidRPr="0050104A">
              <w:rPr>
                <w:rStyle w:val="Hyperlink"/>
                <w:noProof/>
              </w:rPr>
              <w:t>1.1.3 Plastics and Composites</w:t>
            </w:r>
            <w:r>
              <w:rPr>
                <w:noProof/>
                <w:webHidden/>
              </w:rPr>
              <w:tab/>
            </w:r>
            <w:r>
              <w:rPr>
                <w:noProof/>
                <w:webHidden/>
              </w:rPr>
              <w:fldChar w:fldCharType="begin"/>
            </w:r>
            <w:r>
              <w:rPr>
                <w:noProof/>
                <w:webHidden/>
              </w:rPr>
              <w:instrText xml:space="preserve"> PAGEREF _Toc190951769 \h </w:instrText>
            </w:r>
            <w:r>
              <w:rPr>
                <w:noProof/>
                <w:webHidden/>
              </w:rPr>
            </w:r>
            <w:r>
              <w:rPr>
                <w:noProof/>
                <w:webHidden/>
              </w:rPr>
              <w:fldChar w:fldCharType="separate"/>
            </w:r>
            <w:r>
              <w:rPr>
                <w:noProof/>
                <w:webHidden/>
              </w:rPr>
              <w:t>3</w:t>
            </w:r>
            <w:r>
              <w:rPr>
                <w:noProof/>
                <w:webHidden/>
              </w:rPr>
              <w:fldChar w:fldCharType="end"/>
            </w:r>
          </w:hyperlink>
        </w:p>
        <w:p w14:paraId="4F796309" w14:textId="3DAA97E5"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770" w:history="1">
            <w:r w:rsidRPr="0050104A">
              <w:rPr>
                <w:rStyle w:val="Hyperlink"/>
                <w:noProof/>
              </w:rPr>
              <w:t>1.1.4 Other Materials</w:t>
            </w:r>
            <w:r>
              <w:rPr>
                <w:noProof/>
                <w:webHidden/>
              </w:rPr>
              <w:tab/>
            </w:r>
            <w:r>
              <w:rPr>
                <w:noProof/>
                <w:webHidden/>
              </w:rPr>
              <w:fldChar w:fldCharType="begin"/>
            </w:r>
            <w:r>
              <w:rPr>
                <w:noProof/>
                <w:webHidden/>
              </w:rPr>
              <w:instrText xml:space="preserve"> PAGEREF _Toc190951770 \h </w:instrText>
            </w:r>
            <w:r>
              <w:rPr>
                <w:noProof/>
                <w:webHidden/>
              </w:rPr>
            </w:r>
            <w:r>
              <w:rPr>
                <w:noProof/>
                <w:webHidden/>
              </w:rPr>
              <w:fldChar w:fldCharType="separate"/>
            </w:r>
            <w:r>
              <w:rPr>
                <w:noProof/>
                <w:webHidden/>
              </w:rPr>
              <w:t>3</w:t>
            </w:r>
            <w:r>
              <w:rPr>
                <w:noProof/>
                <w:webHidden/>
              </w:rPr>
              <w:fldChar w:fldCharType="end"/>
            </w:r>
          </w:hyperlink>
        </w:p>
        <w:p w14:paraId="7ED93DF6" w14:textId="28E84869"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1" w:history="1">
            <w:r w:rsidRPr="0050104A">
              <w:rPr>
                <w:rStyle w:val="Hyperlink"/>
                <w:noProof/>
              </w:rPr>
              <w:t>1.2 Current State of Automotive Materials</w:t>
            </w:r>
            <w:r>
              <w:rPr>
                <w:noProof/>
                <w:webHidden/>
              </w:rPr>
              <w:tab/>
            </w:r>
            <w:r>
              <w:rPr>
                <w:noProof/>
                <w:webHidden/>
              </w:rPr>
              <w:fldChar w:fldCharType="begin"/>
            </w:r>
            <w:r>
              <w:rPr>
                <w:noProof/>
                <w:webHidden/>
              </w:rPr>
              <w:instrText xml:space="preserve"> PAGEREF _Toc190951771 \h </w:instrText>
            </w:r>
            <w:r>
              <w:rPr>
                <w:noProof/>
                <w:webHidden/>
              </w:rPr>
            </w:r>
            <w:r>
              <w:rPr>
                <w:noProof/>
                <w:webHidden/>
              </w:rPr>
              <w:fldChar w:fldCharType="separate"/>
            </w:r>
            <w:r>
              <w:rPr>
                <w:noProof/>
                <w:webHidden/>
              </w:rPr>
              <w:t>5</w:t>
            </w:r>
            <w:r>
              <w:rPr>
                <w:noProof/>
                <w:webHidden/>
              </w:rPr>
              <w:fldChar w:fldCharType="end"/>
            </w:r>
          </w:hyperlink>
        </w:p>
        <w:p w14:paraId="6F2B0392" w14:textId="29D0CB60"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2" w:history="1">
            <w:r w:rsidRPr="0050104A">
              <w:rPr>
                <w:rStyle w:val="Hyperlink"/>
                <w:noProof/>
              </w:rPr>
              <w:t>1.3 Life Cycle Analysis in the Automotive Industry</w:t>
            </w:r>
            <w:r>
              <w:rPr>
                <w:noProof/>
                <w:webHidden/>
              </w:rPr>
              <w:tab/>
            </w:r>
            <w:r>
              <w:rPr>
                <w:noProof/>
                <w:webHidden/>
              </w:rPr>
              <w:fldChar w:fldCharType="begin"/>
            </w:r>
            <w:r>
              <w:rPr>
                <w:noProof/>
                <w:webHidden/>
              </w:rPr>
              <w:instrText xml:space="preserve"> PAGEREF _Toc190951772 \h </w:instrText>
            </w:r>
            <w:r>
              <w:rPr>
                <w:noProof/>
                <w:webHidden/>
              </w:rPr>
            </w:r>
            <w:r>
              <w:rPr>
                <w:noProof/>
                <w:webHidden/>
              </w:rPr>
              <w:fldChar w:fldCharType="separate"/>
            </w:r>
            <w:r>
              <w:rPr>
                <w:noProof/>
                <w:webHidden/>
              </w:rPr>
              <w:t>6</w:t>
            </w:r>
            <w:r>
              <w:rPr>
                <w:noProof/>
                <w:webHidden/>
              </w:rPr>
              <w:fldChar w:fldCharType="end"/>
            </w:r>
          </w:hyperlink>
        </w:p>
        <w:p w14:paraId="6034E5F5" w14:textId="7DB47E43"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3" w:history="1">
            <w:r w:rsidRPr="0050104A">
              <w:rPr>
                <w:rStyle w:val="Hyperlink"/>
                <w:noProof/>
              </w:rPr>
              <w:t>1.4 Sustainable Materials for the Automotive Industry</w:t>
            </w:r>
            <w:r>
              <w:rPr>
                <w:noProof/>
                <w:webHidden/>
              </w:rPr>
              <w:tab/>
            </w:r>
            <w:r>
              <w:rPr>
                <w:noProof/>
                <w:webHidden/>
              </w:rPr>
              <w:fldChar w:fldCharType="begin"/>
            </w:r>
            <w:r>
              <w:rPr>
                <w:noProof/>
                <w:webHidden/>
              </w:rPr>
              <w:instrText xml:space="preserve"> PAGEREF _Toc190951773 \h </w:instrText>
            </w:r>
            <w:r>
              <w:rPr>
                <w:noProof/>
                <w:webHidden/>
              </w:rPr>
            </w:r>
            <w:r>
              <w:rPr>
                <w:noProof/>
                <w:webHidden/>
              </w:rPr>
              <w:fldChar w:fldCharType="separate"/>
            </w:r>
            <w:r>
              <w:rPr>
                <w:noProof/>
                <w:webHidden/>
              </w:rPr>
              <w:t>7</w:t>
            </w:r>
            <w:r>
              <w:rPr>
                <w:noProof/>
                <w:webHidden/>
              </w:rPr>
              <w:fldChar w:fldCharType="end"/>
            </w:r>
          </w:hyperlink>
        </w:p>
        <w:p w14:paraId="6866D3D3" w14:textId="3096A3A2"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4" w:history="1">
            <w:r w:rsidRPr="0050104A">
              <w:rPr>
                <w:rStyle w:val="Hyperlink"/>
                <w:noProof/>
              </w:rPr>
              <w:t>1.4.1 Natural Fibers and their Automotive Applications</w:t>
            </w:r>
            <w:r>
              <w:rPr>
                <w:noProof/>
                <w:webHidden/>
              </w:rPr>
              <w:tab/>
            </w:r>
            <w:r>
              <w:rPr>
                <w:noProof/>
                <w:webHidden/>
              </w:rPr>
              <w:fldChar w:fldCharType="begin"/>
            </w:r>
            <w:r>
              <w:rPr>
                <w:noProof/>
                <w:webHidden/>
              </w:rPr>
              <w:instrText xml:space="preserve"> PAGEREF _Toc190951774 \h </w:instrText>
            </w:r>
            <w:r>
              <w:rPr>
                <w:noProof/>
                <w:webHidden/>
              </w:rPr>
            </w:r>
            <w:r>
              <w:rPr>
                <w:noProof/>
                <w:webHidden/>
              </w:rPr>
              <w:fldChar w:fldCharType="separate"/>
            </w:r>
            <w:r>
              <w:rPr>
                <w:noProof/>
                <w:webHidden/>
              </w:rPr>
              <w:t>8</w:t>
            </w:r>
            <w:r>
              <w:rPr>
                <w:noProof/>
                <w:webHidden/>
              </w:rPr>
              <w:fldChar w:fldCharType="end"/>
            </w:r>
          </w:hyperlink>
        </w:p>
        <w:p w14:paraId="4BD92E1A" w14:textId="4FB67C91"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5" w:history="1">
            <w:r w:rsidRPr="0050104A">
              <w:rPr>
                <w:rStyle w:val="Hyperlink"/>
                <w:noProof/>
              </w:rPr>
              <w:t>1.4.2 “Green” Matrix Materials</w:t>
            </w:r>
            <w:r>
              <w:rPr>
                <w:noProof/>
                <w:webHidden/>
              </w:rPr>
              <w:tab/>
            </w:r>
            <w:r>
              <w:rPr>
                <w:noProof/>
                <w:webHidden/>
              </w:rPr>
              <w:fldChar w:fldCharType="begin"/>
            </w:r>
            <w:r>
              <w:rPr>
                <w:noProof/>
                <w:webHidden/>
              </w:rPr>
              <w:instrText xml:space="preserve"> PAGEREF _Toc190951775 \h </w:instrText>
            </w:r>
            <w:r>
              <w:rPr>
                <w:noProof/>
                <w:webHidden/>
              </w:rPr>
            </w:r>
            <w:r>
              <w:rPr>
                <w:noProof/>
                <w:webHidden/>
              </w:rPr>
              <w:fldChar w:fldCharType="separate"/>
            </w:r>
            <w:r>
              <w:rPr>
                <w:noProof/>
                <w:webHidden/>
              </w:rPr>
              <w:t>10</w:t>
            </w:r>
            <w:r>
              <w:rPr>
                <w:noProof/>
                <w:webHidden/>
              </w:rPr>
              <w:fldChar w:fldCharType="end"/>
            </w:r>
          </w:hyperlink>
        </w:p>
        <w:p w14:paraId="65CA7D3A" w14:textId="287360F4"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6" w:history="1">
            <w:r w:rsidRPr="0050104A">
              <w:rPr>
                <w:rStyle w:val="Hyperlink"/>
                <w:noProof/>
              </w:rPr>
              <w:t>1.5 Paper Fibers and Associated Composites</w:t>
            </w:r>
            <w:r>
              <w:rPr>
                <w:noProof/>
                <w:webHidden/>
              </w:rPr>
              <w:tab/>
            </w:r>
            <w:r>
              <w:rPr>
                <w:noProof/>
                <w:webHidden/>
              </w:rPr>
              <w:fldChar w:fldCharType="begin"/>
            </w:r>
            <w:r>
              <w:rPr>
                <w:noProof/>
                <w:webHidden/>
              </w:rPr>
              <w:instrText xml:space="preserve"> PAGEREF _Toc190951776 \h </w:instrText>
            </w:r>
            <w:r>
              <w:rPr>
                <w:noProof/>
                <w:webHidden/>
              </w:rPr>
            </w:r>
            <w:r>
              <w:rPr>
                <w:noProof/>
                <w:webHidden/>
              </w:rPr>
              <w:fldChar w:fldCharType="separate"/>
            </w:r>
            <w:r>
              <w:rPr>
                <w:noProof/>
                <w:webHidden/>
              </w:rPr>
              <w:t>12</w:t>
            </w:r>
            <w:r>
              <w:rPr>
                <w:noProof/>
                <w:webHidden/>
              </w:rPr>
              <w:fldChar w:fldCharType="end"/>
            </w:r>
          </w:hyperlink>
        </w:p>
        <w:p w14:paraId="2432F57C" w14:textId="1D67DD7A"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77" w:history="1">
            <w:r w:rsidRPr="0050104A">
              <w:rPr>
                <w:rStyle w:val="Hyperlink"/>
                <w:noProof/>
              </w:rPr>
              <w:t>1.6 Research Objectives</w:t>
            </w:r>
            <w:r>
              <w:rPr>
                <w:noProof/>
                <w:webHidden/>
              </w:rPr>
              <w:tab/>
            </w:r>
            <w:r>
              <w:rPr>
                <w:noProof/>
                <w:webHidden/>
              </w:rPr>
              <w:fldChar w:fldCharType="begin"/>
            </w:r>
            <w:r>
              <w:rPr>
                <w:noProof/>
                <w:webHidden/>
              </w:rPr>
              <w:instrText xml:space="preserve"> PAGEREF _Toc190951777 \h </w:instrText>
            </w:r>
            <w:r>
              <w:rPr>
                <w:noProof/>
                <w:webHidden/>
              </w:rPr>
            </w:r>
            <w:r>
              <w:rPr>
                <w:noProof/>
                <w:webHidden/>
              </w:rPr>
              <w:fldChar w:fldCharType="separate"/>
            </w:r>
            <w:r>
              <w:rPr>
                <w:noProof/>
                <w:webHidden/>
              </w:rPr>
              <w:t>13</w:t>
            </w:r>
            <w:r>
              <w:rPr>
                <w:noProof/>
                <w:webHidden/>
              </w:rPr>
              <w:fldChar w:fldCharType="end"/>
            </w:r>
          </w:hyperlink>
        </w:p>
        <w:p w14:paraId="5200609A" w14:textId="4AAAC328"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78" w:history="1">
            <w:r w:rsidRPr="0050104A">
              <w:rPr>
                <w:rStyle w:val="Hyperlink"/>
                <w:noProof/>
              </w:rPr>
              <w:t>Chapter 2 Paper Fiber-Reinforced Polypropylene Composites from Nonwoven Preforms: A Study on Compression Molding Optimization from a Manufacturing Perspective</w:t>
            </w:r>
            <w:r>
              <w:rPr>
                <w:noProof/>
                <w:webHidden/>
              </w:rPr>
              <w:tab/>
            </w:r>
            <w:r>
              <w:rPr>
                <w:noProof/>
                <w:webHidden/>
              </w:rPr>
              <w:fldChar w:fldCharType="begin"/>
            </w:r>
            <w:r>
              <w:rPr>
                <w:noProof/>
                <w:webHidden/>
              </w:rPr>
              <w:instrText xml:space="preserve"> PAGEREF _Toc190951778 \h </w:instrText>
            </w:r>
            <w:r>
              <w:rPr>
                <w:noProof/>
                <w:webHidden/>
              </w:rPr>
            </w:r>
            <w:r>
              <w:rPr>
                <w:noProof/>
                <w:webHidden/>
              </w:rPr>
              <w:fldChar w:fldCharType="separate"/>
            </w:r>
            <w:r>
              <w:rPr>
                <w:noProof/>
                <w:webHidden/>
              </w:rPr>
              <w:t>14</w:t>
            </w:r>
            <w:r>
              <w:rPr>
                <w:noProof/>
                <w:webHidden/>
              </w:rPr>
              <w:fldChar w:fldCharType="end"/>
            </w:r>
          </w:hyperlink>
        </w:p>
        <w:p w14:paraId="7386C384" w14:textId="75EB32F4"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79" w:history="1">
            <w:r w:rsidRPr="0050104A">
              <w:rPr>
                <w:rStyle w:val="Hyperlink"/>
                <w:noProof/>
              </w:rPr>
              <w:t>Abstract</w:t>
            </w:r>
            <w:r>
              <w:rPr>
                <w:noProof/>
                <w:webHidden/>
              </w:rPr>
              <w:tab/>
            </w:r>
            <w:r>
              <w:rPr>
                <w:noProof/>
                <w:webHidden/>
              </w:rPr>
              <w:fldChar w:fldCharType="begin"/>
            </w:r>
            <w:r>
              <w:rPr>
                <w:noProof/>
                <w:webHidden/>
              </w:rPr>
              <w:instrText xml:space="preserve"> PAGEREF _Toc190951779 \h </w:instrText>
            </w:r>
            <w:r>
              <w:rPr>
                <w:noProof/>
                <w:webHidden/>
              </w:rPr>
            </w:r>
            <w:r>
              <w:rPr>
                <w:noProof/>
                <w:webHidden/>
              </w:rPr>
              <w:fldChar w:fldCharType="separate"/>
            </w:r>
            <w:r>
              <w:rPr>
                <w:noProof/>
                <w:webHidden/>
              </w:rPr>
              <w:t>15</w:t>
            </w:r>
            <w:r>
              <w:rPr>
                <w:noProof/>
                <w:webHidden/>
              </w:rPr>
              <w:fldChar w:fldCharType="end"/>
            </w:r>
          </w:hyperlink>
        </w:p>
        <w:p w14:paraId="14079B69" w14:textId="0C7942ED"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80" w:history="1">
            <w:r w:rsidRPr="0050104A">
              <w:rPr>
                <w:rStyle w:val="Hyperlink"/>
                <w:noProof/>
              </w:rPr>
              <w:t>2.1 Introduction</w:t>
            </w:r>
            <w:r>
              <w:rPr>
                <w:noProof/>
                <w:webHidden/>
              </w:rPr>
              <w:tab/>
            </w:r>
            <w:r>
              <w:rPr>
                <w:noProof/>
                <w:webHidden/>
              </w:rPr>
              <w:fldChar w:fldCharType="begin"/>
            </w:r>
            <w:r>
              <w:rPr>
                <w:noProof/>
                <w:webHidden/>
              </w:rPr>
              <w:instrText xml:space="preserve"> PAGEREF _Toc190951780 \h </w:instrText>
            </w:r>
            <w:r>
              <w:rPr>
                <w:noProof/>
                <w:webHidden/>
              </w:rPr>
            </w:r>
            <w:r>
              <w:rPr>
                <w:noProof/>
                <w:webHidden/>
              </w:rPr>
              <w:fldChar w:fldCharType="separate"/>
            </w:r>
            <w:r>
              <w:rPr>
                <w:noProof/>
                <w:webHidden/>
              </w:rPr>
              <w:t>15</w:t>
            </w:r>
            <w:r>
              <w:rPr>
                <w:noProof/>
                <w:webHidden/>
              </w:rPr>
              <w:fldChar w:fldCharType="end"/>
            </w:r>
          </w:hyperlink>
        </w:p>
        <w:p w14:paraId="02E1D9C0" w14:textId="55959784"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81" w:history="1">
            <w:r w:rsidRPr="0050104A">
              <w:rPr>
                <w:rStyle w:val="Hyperlink"/>
                <w:noProof/>
              </w:rPr>
              <w:t>2.2 Experimental</w:t>
            </w:r>
            <w:r>
              <w:rPr>
                <w:noProof/>
                <w:webHidden/>
              </w:rPr>
              <w:tab/>
            </w:r>
            <w:r>
              <w:rPr>
                <w:noProof/>
                <w:webHidden/>
              </w:rPr>
              <w:fldChar w:fldCharType="begin"/>
            </w:r>
            <w:r>
              <w:rPr>
                <w:noProof/>
                <w:webHidden/>
              </w:rPr>
              <w:instrText xml:space="preserve"> PAGEREF _Toc190951781 \h </w:instrText>
            </w:r>
            <w:r>
              <w:rPr>
                <w:noProof/>
                <w:webHidden/>
              </w:rPr>
            </w:r>
            <w:r>
              <w:rPr>
                <w:noProof/>
                <w:webHidden/>
              </w:rPr>
              <w:fldChar w:fldCharType="separate"/>
            </w:r>
            <w:r>
              <w:rPr>
                <w:noProof/>
                <w:webHidden/>
              </w:rPr>
              <w:t>18</w:t>
            </w:r>
            <w:r>
              <w:rPr>
                <w:noProof/>
                <w:webHidden/>
              </w:rPr>
              <w:fldChar w:fldCharType="end"/>
            </w:r>
          </w:hyperlink>
        </w:p>
        <w:p w14:paraId="2D6B3C9E" w14:textId="4E167651"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2" w:history="1">
            <w:r w:rsidRPr="0050104A">
              <w:rPr>
                <w:rStyle w:val="Hyperlink"/>
                <w:noProof/>
              </w:rPr>
              <w:t>2.2.1 Materials</w:t>
            </w:r>
            <w:r>
              <w:rPr>
                <w:noProof/>
                <w:webHidden/>
              </w:rPr>
              <w:tab/>
            </w:r>
            <w:r>
              <w:rPr>
                <w:noProof/>
                <w:webHidden/>
              </w:rPr>
              <w:fldChar w:fldCharType="begin"/>
            </w:r>
            <w:r>
              <w:rPr>
                <w:noProof/>
                <w:webHidden/>
              </w:rPr>
              <w:instrText xml:space="preserve"> PAGEREF _Toc190951782 \h </w:instrText>
            </w:r>
            <w:r>
              <w:rPr>
                <w:noProof/>
                <w:webHidden/>
              </w:rPr>
            </w:r>
            <w:r>
              <w:rPr>
                <w:noProof/>
                <w:webHidden/>
              </w:rPr>
              <w:fldChar w:fldCharType="separate"/>
            </w:r>
            <w:r>
              <w:rPr>
                <w:noProof/>
                <w:webHidden/>
              </w:rPr>
              <w:t>18</w:t>
            </w:r>
            <w:r>
              <w:rPr>
                <w:noProof/>
                <w:webHidden/>
              </w:rPr>
              <w:fldChar w:fldCharType="end"/>
            </w:r>
          </w:hyperlink>
        </w:p>
        <w:p w14:paraId="06015724" w14:textId="56B48776"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3" w:history="1">
            <w:r w:rsidRPr="0050104A">
              <w:rPr>
                <w:rStyle w:val="Hyperlink"/>
                <w:noProof/>
              </w:rPr>
              <w:t>2.2.2 Composite Specimen Manufacturing</w:t>
            </w:r>
            <w:r>
              <w:rPr>
                <w:noProof/>
                <w:webHidden/>
              </w:rPr>
              <w:tab/>
            </w:r>
            <w:r>
              <w:rPr>
                <w:noProof/>
                <w:webHidden/>
              </w:rPr>
              <w:fldChar w:fldCharType="begin"/>
            </w:r>
            <w:r>
              <w:rPr>
                <w:noProof/>
                <w:webHidden/>
              </w:rPr>
              <w:instrText xml:space="preserve"> PAGEREF _Toc190951783 \h </w:instrText>
            </w:r>
            <w:r>
              <w:rPr>
                <w:noProof/>
                <w:webHidden/>
              </w:rPr>
            </w:r>
            <w:r>
              <w:rPr>
                <w:noProof/>
                <w:webHidden/>
              </w:rPr>
              <w:fldChar w:fldCharType="separate"/>
            </w:r>
            <w:r>
              <w:rPr>
                <w:noProof/>
                <w:webHidden/>
              </w:rPr>
              <w:t>18</w:t>
            </w:r>
            <w:r>
              <w:rPr>
                <w:noProof/>
                <w:webHidden/>
              </w:rPr>
              <w:fldChar w:fldCharType="end"/>
            </w:r>
          </w:hyperlink>
        </w:p>
        <w:p w14:paraId="7C78AD1B" w14:textId="220B90E1"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4" w:history="1">
            <w:r w:rsidRPr="0050104A">
              <w:rPr>
                <w:rStyle w:val="Hyperlink"/>
                <w:noProof/>
              </w:rPr>
              <w:t>2.2.3 Density Measurement</w:t>
            </w:r>
            <w:r>
              <w:rPr>
                <w:noProof/>
                <w:webHidden/>
              </w:rPr>
              <w:tab/>
            </w:r>
            <w:r>
              <w:rPr>
                <w:noProof/>
                <w:webHidden/>
              </w:rPr>
              <w:fldChar w:fldCharType="begin"/>
            </w:r>
            <w:r>
              <w:rPr>
                <w:noProof/>
                <w:webHidden/>
              </w:rPr>
              <w:instrText xml:space="preserve"> PAGEREF _Toc190951784 \h </w:instrText>
            </w:r>
            <w:r>
              <w:rPr>
                <w:noProof/>
                <w:webHidden/>
              </w:rPr>
            </w:r>
            <w:r>
              <w:rPr>
                <w:noProof/>
                <w:webHidden/>
              </w:rPr>
              <w:fldChar w:fldCharType="separate"/>
            </w:r>
            <w:r>
              <w:rPr>
                <w:noProof/>
                <w:webHidden/>
              </w:rPr>
              <w:t>21</w:t>
            </w:r>
            <w:r>
              <w:rPr>
                <w:noProof/>
                <w:webHidden/>
              </w:rPr>
              <w:fldChar w:fldCharType="end"/>
            </w:r>
          </w:hyperlink>
        </w:p>
        <w:p w14:paraId="3C95EB61" w14:textId="55C2E27A"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5" w:history="1">
            <w:r w:rsidRPr="0050104A">
              <w:rPr>
                <w:rStyle w:val="Hyperlink"/>
                <w:noProof/>
              </w:rPr>
              <w:t>2.2.4 Water Uptake Measurement</w:t>
            </w:r>
            <w:r>
              <w:rPr>
                <w:noProof/>
                <w:webHidden/>
              </w:rPr>
              <w:tab/>
            </w:r>
            <w:r>
              <w:rPr>
                <w:noProof/>
                <w:webHidden/>
              </w:rPr>
              <w:fldChar w:fldCharType="begin"/>
            </w:r>
            <w:r>
              <w:rPr>
                <w:noProof/>
                <w:webHidden/>
              </w:rPr>
              <w:instrText xml:space="preserve"> PAGEREF _Toc190951785 \h </w:instrText>
            </w:r>
            <w:r>
              <w:rPr>
                <w:noProof/>
                <w:webHidden/>
              </w:rPr>
            </w:r>
            <w:r>
              <w:rPr>
                <w:noProof/>
                <w:webHidden/>
              </w:rPr>
              <w:fldChar w:fldCharType="separate"/>
            </w:r>
            <w:r>
              <w:rPr>
                <w:noProof/>
                <w:webHidden/>
              </w:rPr>
              <w:t>21</w:t>
            </w:r>
            <w:r>
              <w:rPr>
                <w:noProof/>
                <w:webHidden/>
              </w:rPr>
              <w:fldChar w:fldCharType="end"/>
            </w:r>
          </w:hyperlink>
        </w:p>
        <w:p w14:paraId="5E73CAC4" w14:textId="5D2F470D"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6" w:history="1">
            <w:r w:rsidRPr="0050104A">
              <w:rPr>
                <w:rStyle w:val="Hyperlink"/>
                <w:noProof/>
              </w:rPr>
              <w:t>2.2.5 Flexural Testing</w:t>
            </w:r>
            <w:r>
              <w:rPr>
                <w:noProof/>
                <w:webHidden/>
              </w:rPr>
              <w:tab/>
            </w:r>
            <w:r>
              <w:rPr>
                <w:noProof/>
                <w:webHidden/>
              </w:rPr>
              <w:fldChar w:fldCharType="begin"/>
            </w:r>
            <w:r>
              <w:rPr>
                <w:noProof/>
                <w:webHidden/>
              </w:rPr>
              <w:instrText xml:space="preserve"> PAGEREF _Toc190951786 \h </w:instrText>
            </w:r>
            <w:r>
              <w:rPr>
                <w:noProof/>
                <w:webHidden/>
              </w:rPr>
            </w:r>
            <w:r>
              <w:rPr>
                <w:noProof/>
                <w:webHidden/>
              </w:rPr>
              <w:fldChar w:fldCharType="separate"/>
            </w:r>
            <w:r>
              <w:rPr>
                <w:noProof/>
                <w:webHidden/>
              </w:rPr>
              <w:t>21</w:t>
            </w:r>
            <w:r>
              <w:rPr>
                <w:noProof/>
                <w:webHidden/>
              </w:rPr>
              <w:fldChar w:fldCharType="end"/>
            </w:r>
          </w:hyperlink>
        </w:p>
        <w:p w14:paraId="1B36BBF0" w14:textId="4053DCFA"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7" w:history="1">
            <w:r w:rsidRPr="0050104A">
              <w:rPr>
                <w:rStyle w:val="Hyperlink"/>
                <w:noProof/>
              </w:rPr>
              <w:t>2.2.6 Izod Impact Testing</w:t>
            </w:r>
            <w:r>
              <w:rPr>
                <w:noProof/>
                <w:webHidden/>
              </w:rPr>
              <w:tab/>
            </w:r>
            <w:r>
              <w:rPr>
                <w:noProof/>
                <w:webHidden/>
              </w:rPr>
              <w:fldChar w:fldCharType="begin"/>
            </w:r>
            <w:r>
              <w:rPr>
                <w:noProof/>
                <w:webHidden/>
              </w:rPr>
              <w:instrText xml:space="preserve"> PAGEREF _Toc190951787 \h </w:instrText>
            </w:r>
            <w:r>
              <w:rPr>
                <w:noProof/>
                <w:webHidden/>
              </w:rPr>
            </w:r>
            <w:r>
              <w:rPr>
                <w:noProof/>
                <w:webHidden/>
              </w:rPr>
              <w:fldChar w:fldCharType="separate"/>
            </w:r>
            <w:r>
              <w:rPr>
                <w:noProof/>
                <w:webHidden/>
              </w:rPr>
              <w:t>22</w:t>
            </w:r>
            <w:r>
              <w:rPr>
                <w:noProof/>
                <w:webHidden/>
              </w:rPr>
              <w:fldChar w:fldCharType="end"/>
            </w:r>
          </w:hyperlink>
        </w:p>
        <w:p w14:paraId="1DD4ADE5" w14:textId="3ED2A4A2"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88" w:history="1">
            <w:r w:rsidRPr="0050104A">
              <w:rPr>
                <w:rStyle w:val="Hyperlink"/>
                <w:noProof/>
              </w:rPr>
              <w:t>2.2.7 Experimental Design</w:t>
            </w:r>
            <w:r>
              <w:rPr>
                <w:noProof/>
                <w:webHidden/>
              </w:rPr>
              <w:tab/>
            </w:r>
            <w:r>
              <w:rPr>
                <w:noProof/>
                <w:webHidden/>
              </w:rPr>
              <w:fldChar w:fldCharType="begin"/>
            </w:r>
            <w:r>
              <w:rPr>
                <w:noProof/>
                <w:webHidden/>
              </w:rPr>
              <w:instrText xml:space="preserve"> PAGEREF _Toc190951788 \h </w:instrText>
            </w:r>
            <w:r>
              <w:rPr>
                <w:noProof/>
                <w:webHidden/>
              </w:rPr>
            </w:r>
            <w:r>
              <w:rPr>
                <w:noProof/>
                <w:webHidden/>
              </w:rPr>
              <w:fldChar w:fldCharType="separate"/>
            </w:r>
            <w:r>
              <w:rPr>
                <w:noProof/>
                <w:webHidden/>
              </w:rPr>
              <w:t>22</w:t>
            </w:r>
            <w:r>
              <w:rPr>
                <w:noProof/>
                <w:webHidden/>
              </w:rPr>
              <w:fldChar w:fldCharType="end"/>
            </w:r>
          </w:hyperlink>
        </w:p>
        <w:p w14:paraId="031FFD84" w14:textId="35615D8B"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89" w:history="1">
            <w:r w:rsidRPr="0050104A">
              <w:rPr>
                <w:rStyle w:val="Hyperlink"/>
                <w:noProof/>
              </w:rPr>
              <w:t>2.3 Results and Discussion</w:t>
            </w:r>
            <w:r>
              <w:rPr>
                <w:noProof/>
                <w:webHidden/>
              </w:rPr>
              <w:tab/>
            </w:r>
            <w:r>
              <w:rPr>
                <w:noProof/>
                <w:webHidden/>
              </w:rPr>
              <w:fldChar w:fldCharType="begin"/>
            </w:r>
            <w:r>
              <w:rPr>
                <w:noProof/>
                <w:webHidden/>
              </w:rPr>
              <w:instrText xml:space="preserve"> PAGEREF _Toc190951789 \h </w:instrText>
            </w:r>
            <w:r>
              <w:rPr>
                <w:noProof/>
                <w:webHidden/>
              </w:rPr>
            </w:r>
            <w:r>
              <w:rPr>
                <w:noProof/>
                <w:webHidden/>
              </w:rPr>
              <w:fldChar w:fldCharType="separate"/>
            </w:r>
            <w:r>
              <w:rPr>
                <w:noProof/>
                <w:webHidden/>
              </w:rPr>
              <w:t>22</w:t>
            </w:r>
            <w:r>
              <w:rPr>
                <w:noProof/>
                <w:webHidden/>
              </w:rPr>
              <w:fldChar w:fldCharType="end"/>
            </w:r>
          </w:hyperlink>
        </w:p>
        <w:p w14:paraId="7D4D63D3" w14:textId="0B8E87DF"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90" w:history="1">
            <w:r w:rsidRPr="0050104A">
              <w:rPr>
                <w:rStyle w:val="Hyperlink"/>
                <w:noProof/>
              </w:rPr>
              <w:t>2.3.1 Impact of Processing Parameters on Material Properties</w:t>
            </w:r>
            <w:r>
              <w:rPr>
                <w:noProof/>
                <w:webHidden/>
              </w:rPr>
              <w:tab/>
            </w:r>
            <w:r>
              <w:rPr>
                <w:noProof/>
                <w:webHidden/>
              </w:rPr>
              <w:fldChar w:fldCharType="begin"/>
            </w:r>
            <w:r>
              <w:rPr>
                <w:noProof/>
                <w:webHidden/>
              </w:rPr>
              <w:instrText xml:space="preserve"> PAGEREF _Toc190951790 \h </w:instrText>
            </w:r>
            <w:r>
              <w:rPr>
                <w:noProof/>
                <w:webHidden/>
              </w:rPr>
            </w:r>
            <w:r>
              <w:rPr>
                <w:noProof/>
                <w:webHidden/>
              </w:rPr>
              <w:fldChar w:fldCharType="separate"/>
            </w:r>
            <w:r>
              <w:rPr>
                <w:noProof/>
                <w:webHidden/>
              </w:rPr>
              <w:t>22</w:t>
            </w:r>
            <w:r>
              <w:rPr>
                <w:noProof/>
                <w:webHidden/>
              </w:rPr>
              <w:fldChar w:fldCharType="end"/>
            </w:r>
          </w:hyperlink>
        </w:p>
        <w:p w14:paraId="1CFBA2AC" w14:textId="24AF4064"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91" w:history="1">
            <w:r w:rsidRPr="0050104A">
              <w:rPr>
                <w:rStyle w:val="Hyperlink"/>
                <w:noProof/>
              </w:rPr>
              <w:t>2.3.2 Model Fit Comparison by Material Property</w:t>
            </w:r>
            <w:r>
              <w:rPr>
                <w:noProof/>
                <w:webHidden/>
              </w:rPr>
              <w:tab/>
            </w:r>
            <w:r>
              <w:rPr>
                <w:noProof/>
                <w:webHidden/>
              </w:rPr>
              <w:fldChar w:fldCharType="begin"/>
            </w:r>
            <w:r>
              <w:rPr>
                <w:noProof/>
                <w:webHidden/>
              </w:rPr>
              <w:instrText xml:space="preserve"> PAGEREF _Toc190951791 \h </w:instrText>
            </w:r>
            <w:r>
              <w:rPr>
                <w:noProof/>
                <w:webHidden/>
              </w:rPr>
            </w:r>
            <w:r>
              <w:rPr>
                <w:noProof/>
                <w:webHidden/>
              </w:rPr>
              <w:fldChar w:fldCharType="separate"/>
            </w:r>
            <w:r>
              <w:rPr>
                <w:noProof/>
                <w:webHidden/>
              </w:rPr>
              <w:t>27</w:t>
            </w:r>
            <w:r>
              <w:rPr>
                <w:noProof/>
                <w:webHidden/>
              </w:rPr>
              <w:fldChar w:fldCharType="end"/>
            </w:r>
          </w:hyperlink>
        </w:p>
        <w:p w14:paraId="7C9C6531" w14:textId="665B42F5"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92" w:history="1">
            <w:r w:rsidRPr="0050104A">
              <w:rPr>
                <w:rStyle w:val="Hyperlink"/>
                <w:noProof/>
              </w:rPr>
              <w:t>2.3.2 Manufacturing Cycle Optimization</w:t>
            </w:r>
            <w:r>
              <w:rPr>
                <w:noProof/>
                <w:webHidden/>
              </w:rPr>
              <w:tab/>
            </w:r>
            <w:r>
              <w:rPr>
                <w:noProof/>
                <w:webHidden/>
              </w:rPr>
              <w:fldChar w:fldCharType="begin"/>
            </w:r>
            <w:r>
              <w:rPr>
                <w:noProof/>
                <w:webHidden/>
              </w:rPr>
              <w:instrText xml:space="preserve"> PAGEREF _Toc190951792 \h </w:instrText>
            </w:r>
            <w:r>
              <w:rPr>
                <w:noProof/>
                <w:webHidden/>
              </w:rPr>
            </w:r>
            <w:r>
              <w:rPr>
                <w:noProof/>
                <w:webHidden/>
              </w:rPr>
              <w:fldChar w:fldCharType="separate"/>
            </w:r>
            <w:r>
              <w:rPr>
                <w:noProof/>
                <w:webHidden/>
              </w:rPr>
              <w:t>29</w:t>
            </w:r>
            <w:r>
              <w:rPr>
                <w:noProof/>
                <w:webHidden/>
              </w:rPr>
              <w:fldChar w:fldCharType="end"/>
            </w:r>
          </w:hyperlink>
        </w:p>
        <w:p w14:paraId="16E2F84C" w14:textId="67AAFEBF"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93" w:history="1">
            <w:r w:rsidRPr="0050104A">
              <w:rPr>
                <w:rStyle w:val="Hyperlink"/>
                <w:noProof/>
              </w:rPr>
              <w:t>2.4 Conclusions</w:t>
            </w:r>
            <w:r>
              <w:rPr>
                <w:noProof/>
                <w:webHidden/>
              </w:rPr>
              <w:tab/>
            </w:r>
            <w:r>
              <w:rPr>
                <w:noProof/>
                <w:webHidden/>
              </w:rPr>
              <w:fldChar w:fldCharType="begin"/>
            </w:r>
            <w:r>
              <w:rPr>
                <w:noProof/>
                <w:webHidden/>
              </w:rPr>
              <w:instrText xml:space="preserve"> PAGEREF _Toc190951793 \h </w:instrText>
            </w:r>
            <w:r>
              <w:rPr>
                <w:noProof/>
                <w:webHidden/>
              </w:rPr>
            </w:r>
            <w:r>
              <w:rPr>
                <w:noProof/>
                <w:webHidden/>
              </w:rPr>
              <w:fldChar w:fldCharType="separate"/>
            </w:r>
            <w:r>
              <w:rPr>
                <w:noProof/>
                <w:webHidden/>
              </w:rPr>
              <w:t>35</w:t>
            </w:r>
            <w:r>
              <w:rPr>
                <w:noProof/>
                <w:webHidden/>
              </w:rPr>
              <w:fldChar w:fldCharType="end"/>
            </w:r>
          </w:hyperlink>
        </w:p>
        <w:p w14:paraId="1C5C39E1" w14:textId="73C31CEC"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94" w:history="1">
            <w:r w:rsidRPr="0050104A">
              <w:rPr>
                <w:rStyle w:val="Hyperlink"/>
                <w:noProof/>
              </w:rPr>
              <w:t>Chapter 3 Development of an Automotive-Relevant Recycling Process for Paper Fiber-Reinforced Polypropylene Composites</w:t>
            </w:r>
            <w:r>
              <w:rPr>
                <w:noProof/>
                <w:webHidden/>
              </w:rPr>
              <w:tab/>
            </w:r>
            <w:r>
              <w:rPr>
                <w:noProof/>
                <w:webHidden/>
              </w:rPr>
              <w:fldChar w:fldCharType="begin"/>
            </w:r>
            <w:r>
              <w:rPr>
                <w:noProof/>
                <w:webHidden/>
              </w:rPr>
              <w:instrText xml:space="preserve"> PAGEREF _Toc190951794 \h </w:instrText>
            </w:r>
            <w:r>
              <w:rPr>
                <w:noProof/>
                <w:webHidden/>
              </w:rPr>
            </w:r>
            <w:r>
              <w:rPr>
                <w:noProof/>
                <w:webHidden/>
              </w:rPr>
              <w:fldChar w:fldCharType="separate"/>
            </w:r>
            <w:r>
              <w:rPr>
                <w:noProof/>
                <w:webHidden/>
              </w:rPr>
              <w:t>36</w:t>
            </w:r>
            <w:r>
              <w:rPr>
                <w:noProof/>
                <w:webHidden/>
              </w:rPr>
              <w:fldChar w:fldCharType="end"/>
            </w:r>
          </w:hyperlink>
        </w:p>
        <w:p w14:paraId="19251E0B" w14:textId="27E294C5"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95" w:history="1">
            <w:r w:rsidRPr="0050104A">
              <w:rPr>
                <w:rStyle w:val="Hyperlink"/>
                <w:noProof/>
              </w:rPr>
              <w:t>Abstract</w:t>
            </w:r>
            <w:r>
              <w:rPr>
                <w:noProof/>
                <w:webHidden/>
              </w:rPr>
              <w:tab/>
            </w:r>
            <w:r>
              <w:rPr>
                <w:noProof/>
                <w:webHidden/>
              </w:rPr>
              <w:fldChar w:fldCharType="begin"/>
            </w:r>
            <w:r>
              <w:rPr>
                <w:noProof/>
                <w:webHidden/>
              </w:rPr>
              <w:instrText xml:space="preserve"> PAGEREF _Toc190951795 \h </w:instrText>
            </w:r>
            <w:r>
              <w:rPr>
                <w:noProof/>
                <w:webHidden/>
              </w:rPr>
            </w:r>
            <w:r>
              <w:rPr>
                <w:noProof/>
                <w:webHidden/>
              </w:rPr>
              <w:fldChar w:fldCharType="separate"/>
            </w:r>
            <w:r>
              <w:rPr>
                <w:noProof/>
                <w:webHidden/>
              </w:rPr>
              <w:t>37</w:t>
            </w:r>
            <w:r>
              <w:rPr>
                <w:noProof/>
                <w:webHidden/>
              </w:rPr>
              <w:fldChar w:fldCharType="end"/>
            </w:r>
          </w:hyperlink>
        </w:p>
        <w:p w14:paraId="3FFE5367" w14:textId="1829C485"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96" w:history="1">
            <w:r w:rsidRPr="0050104A">
              <w:rPr>
                <w:rStyle w:val="Hyperlink"/>
                <w:noProof/>
              </w:rPr>
              <w:t>3.1 Introduction</w:t>
            </w:r>
            <w:r>
              <w:rPr>
                <w:noProof/>
                <w:webHidden/>
              </w:rPr>
              <w:tab/>
            </w:r>
            <w:r>
              <w:rPr>
                <w:noProof/>
                <w:webHidden/>
              </w:rPr>
              <w:fldChar w:fldCharType="begin"/>
            </w:r>
            <w:r>
              <w:rPr>
                <w:noProof/>
                <w:webHidden/>
              </w:rPr>
              <w:instrText xml:space="preserve"> PAGEREF _Toc190951796 \h </w:instrText>
            </w:r>
            <w:r>
              <w:rPr>
                <w:noProof/>
                <w:webHidden/>
              </w:rPr>
            </w:r>
            <w:r>
              <w:rPr>
                <w:noProof/>
                <w:webHidden/>
              </w:rPr>
              <w:fldChar w:fldCharType="separate"/>
            </w:r>
            <w:r>
              <w:rPr>
                <w:noProof/>
                <w:webHidden/>
              </w:rPr>
              <w:t>38</w:t>
            </w:r>
            <w:r>
              <w:rPr>
                <w:noProof/>
                <w:webHidden/>
              </w:rPr>
              <w:fldChar w:fldCharType="end"/>
            </w:r>
          </w:hyperlink>
        </w:p>
        <w:p w14:paraId="1AD2743B" w14:textId="13529C9C"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797" w:history="1">
            <w:r w:rsidRPr="0050104A">
              <w:rPr>
                <w:rStyle w:val="Hyperlink"/>
                <w:noProof/>
                <w:lang w:bidi="en-US"/>
              </w:rPr>
              <w:t>3.2 R</w:t>
            </w:r>
            <w:r w:rsidR="00585B95">
              <w:rPr>
                <w:rStyle w:val="Hyperlink"/>
                <w:noProof/>
                <w:lang w:bidi="en-US"/>
              </w:rPr>
              <w:t>e</w:t>
            </w:r>
            <w:r w:rsidRPr="0050104A">
              <w:rPr>
                <w:rStyle w:val="Hyperlink"/>
                <w:noProof/>
                <w:lang w:bidi="en-US"/>
              </w:rPr>
              <w:t>sults and discussion</w:t>
            </w:r>
            <w:r>
              <w:rPr>
                <w:noProof/>
                <w:webHidden/>
              </w:rPr>
              <w:tab/>
            </w:r>
            <w:r>
              <w:rPr>
                <w:noProof/>
                <w:webHidden/>
              </w:rPr>
              <w:fldChar w:fldCharType="begin"/>
            </w:r>
            <w:r>
              <w:rPr>
                <w:noProof/>
                <w:webHidden/>
              </w:rPr>
              <w:instrText xml:space="preserve"> PAGEREF _Toc190951797 \h </w:instrText>
            </w:r>
            <w:r>
              <w:rPr>
                <w:noProof/>
                <w:webHidden/>
              </w:rPr>
            </w:r>
            <w:r>
              <w:rPr>
                <w:noProof/>
                <w:webHidden/>
              </w:rPr>
              <w:fldChar w:fldCharType="separate"/>
            </w:r>
            <w:r>
              <w:rPr>
                <w:noProof/>
                <w:webHidden/>
              </w:rPr>
              <w:t>42</w:t>
            </w:r>
            <w:r>
              <w:rPr>
                <w:noProof/>
                <w:webHidden/>
              </w:rPr>
              <w:fldChar w:fldCharType="end"/>
            </w:r>
          </w:hyperlink>
        </w:p>
        <w:p w14:paraId="16C1BECC" w14:textId="70BB8986"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98" w:history="1">
            <w:r w:rsidRPr="0050104A">
              <w:rPr>
                <w:rStyle w:val="Hyperlink"/>
                <w:noProof/>
                <w:lang w:bidi="en-US"/>
              </w:rPr>
              <w:t>3.2.1 Recycling Process Development</w:t>
            </w:r>
            <w:r>
              <w:rPr>
                <w:noProof/>
                <w:webHidden/>
              </w:rPr>
              <w:tab/>
            </w:r>
            <w:r>
              <w:rPr>
                <w:noProof/>
                <w:webHidden/>
              </w:rPr>
              <w:fldChar w:fldCharType="begin"/>
            </w:r>
            <w:r>
              <w:rPr>
                <w:noProof/>
                <w:webHidden/>
              </w:rPr>
              <w:instrText xml:space="preserve"> PAGEREF _Toc190951798 \h </w:instrText>
            </w:r>
            <w:r>
              <w:rPr>
                <w:noProof/>
                <w:webHidden/>
              </w:rPr>
            </w:r>
            <w:r>
              <w:rPr>
                <w:noProof/>
                <w:webHidden/>
              </w:rPr>
              <w:fldChar w:fldCharType="separate"/>
            </w:r>
            <w:r>
              <w:rPr>
                <w:noProof/>
                <w:webHidden/>
              </w:rPr>
              <w:t>42</w:t>
            </w:r>
            <w:r>
              <w:rPr>
                <w:noProof/>
                <w:webHidden/>
              </w:rPr>
              <w:fldChar w:fldCharType="end"/>
            </w:r>
          </w:hyperlink>
        </w:p>
        <w:p w14:paraId="21C156E7" w14:textId="41C44399"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799" w:history="1">
            <w:r w:rsidRPr="0050104A">
              <w:rPr>
                <w:rStyle w:val="Hyperlink"/>
                <w:noProof/>
              </w:rPr>
              <w:t>3.2.2 Impact of Injection Molding Parameters on Composite Thermal Behavior</w:t>
            </w:r>
            <w:r>
              <w:rPr>
                <w:noProof/>
                <w:webHidden/>
              </w:rPr>
              <w:tab/>
            </w:r>
            <w:r>
              <w:rPr>
                <w:noProof/>
                <w:webHidden/>
              </w:rPr>
              <w:fldChar w:fldCharType="begin"/>
            </w:r>
            <w:r>
              <w:rPr>
                <w:noProof/>
                <w:webHidden/>
              </w:rPr>
              <w:instrText xml:space="preserve"> PAGEREF _Toc190951799 \h </w:instrText>
            </w:r>
            <w:r>
              <w:rPr>
                <w:noProof/>
                <w:webHidden/>
              </w:rPr>
            </w:r>
            <w:r>
              <w:rPr>
                <w:noProof/>
                <w:webHidden/>
              </w:rPr>
              <w:fldChar w:fldCharType="separate"/>
            </w:r>
            <w:r>
              <w:rPr>
                <w:noProof/>
                <w:webHidden/>
              </w:rPr>
              <w:t>43</w:t>
            </w:r>
            <w:r>
              <w:rPr>
                <w:noProof/>
                <w:webHidden/>
              </w:rPr>
              <w:fldChar w:fldCharType="end"/>
            </w:r>
          </w:hyperlink>
        </w:p>
        <w:p w14:paraId="112F97A4" w14:textId="258E1B64"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0" w:history="1">
            <w:r w:rsidRPr="0050104A">
              <w:rPr>
                <w:rStyle w:val="Hyperlink"/>
                <w:noProof/>
              </w:rPr>
              <w:t>3.2.3</w:t>
            </w:r>
            <w:r w:rsidRPr="0050104A">
              <w:rPr>
                <w:rStyle w:val="Hyperlink"/>
                <w:rFonts w:ascii="Arial" w:hAnsi="Arial" w:cs="Arial"/>
                <w:noProof/>
              </w:rPr>
              <w:t xml:space="preserve"> </w:t>
            </w:r>
            <w:r w:rsidRPr="0050104A">
              <w:rPr>
                <w:rStyle w:val="Hyperlink"/>
                <w:noProof/>
              </w:rPr>
              <w:t>Impact of Injection Molding Parameters on Chemical Composition of Composites</w:t>
            </w:r>
            <w:r>
              <w:rPr>
                <w:noProof/>
                <w:webHidden/>
              </w:rPr>
              <w:tab/>
            </w:r>
            <w:r>
              <w:rPr>
                <w:noProof/>
                <w:webHidden/>
              </w:rPr>
              <w:fldChar w:fldCharType="begin"/>
            </w:r>
            <w:r>
              <w:rPr>
                <w:noProof/>
                <w:webHidden/>
              </w:rPr>
              <w:instrText xml:space="preserve"> PAGEREF _Toc190951800 \h </w:instrText>
            </w:r>
            <w:r>
              <w:rPr>
                <w:noProof/>
                <w:webHidden/>
              </w:rPr>
            </w:r>
            <w:r>
              <w:rPr>
                <w:noProof/>
                <w:webHidden/>
              </w:rPr>
              <w:fldChar w:fldCharType="separate"/>
            </w:r>
            <w:r>
              <w:rPr>
                <w:noProof/>
                <w:webHidden/>
              </w:rPr>
              <w:t>48</w:t>
            </w:r>
            <w:r>
              <w:rPr>
                <w:noProof/>
                <w:webHidden/>
              </w:rPr>
              <w:fldChar w:fldCharType="end"/>
            </w:r>
          </w:hyperlink>
        </w:p>
        <w:p w14:paraId="69D91923" w14:textId="4F5C8C2B"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1" w:history="1">
            <w:r w:rsidRPr="0050104A">
              <w:rPr>
                <w:rStyle w:val="Hyperlink"/>
                <w:noProof/>
                <w:lang w:bidi="en-US"/>
              </w:rPr>
              <w:t>3.2.4</w:t>
            </w:r>
            <w:r w:rsidRPr="0050104A">
              <w:rPr>
                <w:rStyle w:val="Hyperlink"/>
                <w:noProof/>
              </w:rPr>
              <w:t xml:space="preserve"> Impact of Injection Molding Parameters on Composite Mechanical Behavior</w:t>
            </w:r>
            <w:r>
              <w:rPr>
                <w:noProof/>
                <w:webHidden/>
              </w:rPr>
              <w:tab/>
            </w:r>
            <w:r>
              <w:rPr>
                <w:noProof/>
                <w:webHidden/>
              </w:rPr>
              <w:fldChar w:fldCharType="begin"/>
            </w:r>
            <w:r>
              <w:rPr>
                <w:noProof/>
                <w:webHidden/>
              </w:rPr>
              <w:instrText xml:space="preserve"> PAGEREF _Toc190951801 \h </w:instrText>
            </w:r>
            <w:r>
              <w:rPr>
                <w:noProof/>
                <w:webHidden/>
              </w:rPr>
            </w:r>
            <w:r>
              <w:rPr>
                <w:noProof/>
                <w:webHidden/>
              </w:rPr>
              <w:fldChar w:fldCharType="separate"/>
            </w:r>
            <w:r>
              <w:rPr>
                <w:noProof/>
                <w:webHidden/>
              </w:rPr>
              <w:t>51</w:t>
            </w:r>
            <w:r>
              <w:rPr>
                <w:noProof/>
                <w:webHidden/>
              </w:rPr>
              <w:fldChar w:fldCharType="end"/>
            </w:r>
          </w:hyperlink>
        </w:p>
        <w:p w14:paraId="48A63426" w14:textId="21A08139"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2" w:history="1">
            <w:r w:rsidRPr="0050104A">
              <w:rPr>
                <w:rStyle w:val="Hyperlink"/>
                <w:noProof/>
              </w:rPr>
              <w:t>3.2.5</w:t>
            </w:r>
            <w:r w:rsidRPr="0050104A">
              <w:rPr>
                <w:rStyle w:val="Hyperlink"/>
                <w:rFonts w:ascii="Arial" w:hAnsi="Arial" w:cs="Arial"/>
                <w:noProof/>
              </w:rPr>
              <w:t xml:space="preserve"> </w:t>
            </w:r>
            <w:r w:rsidRPr="0050104A">
              <w:rPr>
                <w:rStyle w:val="Hyperlink"/>
                <w:noProof/>
              </w:rPr>
              <w:t>Impact of Injection Molding Parameters on Composite Water Uptake Behavior</w:t>
            </w:r>
            <w:r>
              <w:rPr>
                <w:noProof/>
                <w:webHidden/>
              </w:rPr>
              <w:tab/>
            </w:r>
            <w:r>
              <w:rPr>
                <w:noProof/>
                <w:webHidden/>
              </w:rPr>
              <w:fldChar w:fldCharType="begin"/>
            </w:r>
            <w:r>
              <w:rPr>
                <w:noProof/>
                <w:webHidden/>
              </w:rPr>
              <w:instrText xml:space="preserve"> PAGEREF _Toc190951802 \h </w:instrText>
            </w:r>
            <w:r>
              <w:rPr>
                <w:noProof/>
                <w:webHidden/>
              </w:rPr>
            </w:r>
            <w:r>
              <w:rPr>
                <w:noProof/>
                <w:webHidden/>
              </w:rPr>
              <w:fldChar w:fldCharType="separate"/>
            </w:r>
            <w:r>
              <w:rPr>
                <w:noProof/>
                <w:webHidden/>
              </w:rPr>
              <w:t>55</w:t>
            </w:r>
            <w:r>
              <w:rPr>
                <w:noProof/>
                <w:webHidden/>
              </w:rPr>
              <w:fldChar w:fldCharType="end"/>
            </w:r>
          </w:hyperlink>
        </w:p>
        <w:p w14:paraId="2B2B66E1" w14:textId="52AF302C"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3" w:history="1">
            <w:r w:rsidRPr="0050104A">
              <w:rPr>
                <w:rStyle w:val="Hyperlink"/>
                <w:noProof/>
                <w:lang w:bidi="en-US"/>
              </w:rPr>
              <w:t>3.2.6 Correlation between Crystallinity and Mechanical Properties</w:t>
            </w:r>
            <w:r>
              <w:rPr>
                <w:noProof/>
                <w:webHidden/>
              </w:rPr>
              <w:tab/>
            </w:r>
            <w:r>
              <w:rPr>
                <w:noProof/>
                <w:webHidden/>
              </w:rPr>
              <w:fldChar w:fldCharType="begin"/>
            </w:r>
            <w:r>
              <w:rPr>
                <w:noProof/>
                <w:webHidden/>
              </w:rPr>
              <w:instrText xml:space="preserve"> PAGEREF _Toc190951803 \h </w:instrText>
            </w:r>
            <w:r>
              <w:rPr>
                <w:noProof/>
                <w:webHidden/>
              </w:rPr>
            </w:r>
            <w:r>
              <w:rPr>
                <w:noProof/>
                <w:webHidden/>
              </w:rPr>
              <w:fldChar w:fldCharType="separate"/>
            </w:r>
            <w:r>
              <w:rPr>
                <w:noProof/>
                <w:webHidden/>
              </w:rPr>
              <w:t>57</w:t>
            </w:r>
            <w:r>
              <w:rPr>
                <w:noProof/>
                <w:webHidden/>
              </w:rPr>
              <w:fldChar w:fldCharType="end"/>
            </w:r>
          </w:hyperlink>
        </w:p>
        <w:p w14:paraId="3B168DBF" w14:textId="7B6FB773"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4" w:history="1">
            <w:r w:rsidRPr="0050104A">
              <w:rPr>
                <w:rStyle w:val="Hyperlink"/>
                <w:noProof/>
                <w:lang w:bidi="en-US"/>
              </w:rPr>
              <w:t>3.2.7</w:t>
            </w:r>
            <w:r w:rsidRPr="0050104A">
              <w:rPr>
                <w:rStyle w:val="Hyperlink"/>
                <w:rFonts w:ascii="Arial" w:hAnsi="Arial" w:cs="Arial"/>
                <w:noProof/>
              </w:rPr>
              <w:t xml:space="preserve"> </w:t>
            </w:r>
            <w:r w:rsidRPr="0050104A">
              <w:rPr>
                <w:rStyle w:val="Hyperlink"/>
                <w:noProof/>
                <w:lang w:bidi="en-US"/>
              </w:rPr>
              <w:t>Identification of Optimal Injection Molding Processing Conditions</w:t>
            </w:r>
            <w:r>
              <w:rPr>
                <w:noProof/>
                <w:webHidden/>
              </w:rPr>
              <w:tab/>
            </w:r>
            <w:r>
              <w:rPr>
                <w:noProof/>
                <w:webHidden/>
              </w:rPr>
              <w:fldChar w:fldCharType="begin"/>
            </w:r>
            <w:r>
              <w:rPr>
                <w:noProof/>
                <w:webHidden/>
              </w:rPr>
              <w:instrText xml:space="preserve"> PAGEREF _Toc190951804 \h </w:instrText>
            </w:r>
            <w:r>
              <w:rPr>
                <w:noProof/>
                <w:webHidden/>
              </w:rPr>
            </w:r>
            <w:r>
              <w:rPr>
                <w:noProof/>
                <w:webHidden/>
              </w:rPr>
              <w:fldChar w:fldCharType="separate"/>
            </w:r>
            <w:r>
              <w:rPr>
                <w:noProof/>
                <w:webHidden/>
              </w:rPr>
              <w:t>59</w:t>
            </w:r>
            <w:r>
              <w:rPr>
                <w:noProof/>
                <w:webHidden/>
              </w:rPr>
              <w:fldChar w:fldCharType="end"/>
            </w:r>
          </w:hyperlink>
        </w:p>
        <w:p w14:paraId="6B48A137" w14:textId="079ECA2E"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05" w:history="1">
            <w:r w:rsidRPr="0050104A">
              <w:rPr>
                <w:rStyle w:val="Hyperlink"/>
                <w:noProof/>
                <w:lang w:bidi="en-US"/>
              </w:rPr>
              <w:t>3.3 Materials and Methods</w:t>
            </w:r>
            <w:r>
              <w:rPr>
                <w:noProof/>
                <w:webHidden/>
              </w:rPr>
              <w:tab/>
            </w:r>
            <w:r>
              <w:rPr>
                <w:noProof/>
                <w:webHidden/>
              </w:rPr>
              <w:fldChar w:fldCharType="begin"/>
            </w:r>
            <w:r>
              <w:rPr>
                <w:noProof/>
                <w:webHidden/>
              </w:rPr>
              <w:instrText xml:space="preserve"> PAGEREF _Toc190951805 \h </w:instrText>
            </w:r>
            <w:r>
              <w:rPr>
                <w:noProof/>
                <w:webHidden/>
              </w:rPr>
            </w:r>
            <w:r>
              <w:rPr>
                <w:noProof/>
                <w:webHidden/>
              </w:rPr>
              <w:fldChar w:fldCharType="separate"/>
            </w:r>
            <w:r>
              <w:rPr>
                <w:noProof/>
                <w:webHidden/>
              </w:rPr>
              <w:t>61</w:t>
            </w:r>
            <w:r>
              <w:rPr>
                <w:noProof/>
                <w:webHidden/>
              </w:rPr>
              <w:fldChar w:fldCharType="end"/>
            </w:r>
          </w:hyperlink>
        </w:p>
        <w:p w14:paraId="5C5DAA19" w14:textId="200A60F7"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6" w:history="1">
            <w:r w:rsidRPr="0050104A">
              <w:rPr>
                <w:rStyle w:val="Hyperlink"/>
                <w:noProof/>
                <w:lang w:bidi="en-US"/>
              </w:rPr>
              <w:t>3.3.1 Materials</w:t>
            </w:r>
            <w:r>
              <w:rPr>
                <w:noProof/>
                <w:webHidden/>
              </w:rPr>
              <w:tab/>
            </w:r>
            <w:r>
              <w:rPr>
                <w:noProof/>
                <w:webHidden/>
              </w:rPr>
              <w:fldChar w:fldCharType="begin"/>
            </w:r>
            <w:r>
              <w:rPr>
                <w:noProof/>
                <w:webHidden/>
              </w:rPr>
              <w:instrText xml:space="preserve"> PAGEREF _Toc190951806 \h </w:instrText>
            </w:r>
            <w:r>
              <w:rPr>
                <w:noProof/>
                <w:webHidden/>
              </w:rPr>
            </w:r>
            <w:r>
              <w:rPr>
                <w:noProof/>
                <w:webHidden/>
              </w:rPr>
              <w:fldChar w:fldCharType="separate"/>
            </w:r>
            <w:r>
              <w:rPr>
                <w:noProof/>
                <w:webHidden/>
              </w:rPr>
              <w:t>61</w:t>
            </w:r>
            <w:r>
              <w:rPr>
                <w:noProof/>
                <w:webHidden/>
              </w:rPr>
              <w:fldChar w:fldCharType="end"/>
            </w:r>
          </w:hyperlink>
        </w:p>
        <w:p w14:paraId="1053694F" w14:textId="3B999F7A"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7" w:history="1">
            <w:r w:rsidRPr="0050104A">
              <w:rPr>
                <w:rStyle w:val="Hyperlink"/>
                <w:noProof/>
                <w:lang w:bidi="en-US"/>
              </w:rPr>
              <w:t>3.3.2 Recyclate Manufacturing</w:t>
            </w:r>
            <w:r>
              <w:rPr>
                <w:noProof/>
                <w:webHidden/>
              </w:rPr>
              <w:tab/>
            </w:r>
            <w:r>
              <w:rPr>
                <w:noProof/>
                <w:webHidden/>
              </w:rPr>
              <w:fldChar w:fldCharType="begin"/>
            </w:r>
            <w:r>
              <w:rPr>
                <w:noProof/>
                <w:webHidden/>
              </w:rPr>
              <w:instrText xml:space="preserve"> PAGEREF _Toc190951807 \h </w:instrText>
            </w:r>
            <w:r>
              <w:rPr>
                <w:noProof/>
                <w:webHidden/>
              </w:rPr>
            </w:r>
            <w:r>
              <w:rPr>
                <w:noProof/>
                <w:webHidden/>
              </w:rPr>
              <w:fldChar w:fldCharType="separate"/>
            </w:r>
            <w:r>
              <w:rPr>
                <w:noProof/>
                <w:webHidden/>
              </w:rPr>
              <w:t>61</w:t>
            </w:r>
            <w:r>
              <w:rPr>
                <w:noProof/>
                <w:webHidden/>
              </w:rPr>
              <w:fldChar w:fldCharType="end"/>
            </w:r>
          </w:hyperlink>
        </w:p>
        <w:p w14:paraId="6AFBC893" w14:textId="1E7FF6F1"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8" w:history="1">
            <w:r w:rsidRPr="0050104A">
              <w:rPr>
                <w:rStyle w:val="Hyperlink"/>
                <w:noProof/>
                <w:lang w:bidi="en-US"/>
              </w:rPr>
              <w:t>3.3.4 Differential Scanning Calorimetry</w:t>
            </w:r>
            <w:r>
              <w:rPr>
                <w:noProof/>
                <w:webHidden/>
              </w:rPr>
              <w:tab/>
            </w:r>
            <w:r>
              <w:rPr>
                <w:noProof/>
                <w:webHidden/>
              </w:rPr>
              <w:fldChar w:fldCharType="begin"/>
            </w:r>
            <w:r>
              <w:rPr>
                <w:noProof/>
                <w:webHidden/>
              </w:rPr>
              <w:instrText xml:space="preserve"> PAGEREF _Toc190951808 \h </w:instrText>
            </w:r>
            <w:r>
              <w:rPr>
                <w:noProof/>
                <w:webHidden/>
              </w:rPr>
            </w:r>
            <w:r>
              <w:rPr>
                <w:noProof/>
                <w:webHidden/>
              </w:rPr>
              <w:fldChar w:fldCharType="separate"/>
            </w:r>
            <w:r>
              <w:rPr>
                <w:noProof/>
                <w:webHidden/>
              </w:rPr>
              <w:t>62</w:t>
            </w:r>
            <w:r>
              <w:rPr>
                <w:noProof/>
                <w:webHidden/>
              </w:rPr>
              <w:fldChar w:fldCharType="end"/>
            </w:r>
          </w:hyperlink>
        </w:p>
        <w:p w14:paraId="584A972D" w14:textId="589066B2"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09" w:history="1">
            <w:r w:rsidRPr="0050104A">
              <w:rPr>
                <w:rStyle w:val="Hyperlink"/>
                <w:noProof/>
                <w:lang w:bidi="en-US"/>
              </w:rPr>
              <w:t>3.3.5 Thermogravimetric Analysis</w:t>
            </w:r>
            <w:r>
              <w:rPr>
                <w:noProof/>
                <w:webHidden/>
              </w:rPr>
              <w:tab/>
            </w:r>
            <w:r>
              <w:rPr>
                <w:noProof/>
                <w:webHidden/>
              </w:rPr>
              <w:fldChar w:fldCharType="begin"/>
            </w:r>
            <w:r>
              <w:rPr>
                <w:noProof/>
                <w:webHidden/>
              </w:rPr>
              <w:instrText xml:space="preserve"> PAGEREF _Toc190951809 \h </w:instrText>
            </w:r>
            <w:r>
              <w:rPr>
                <w:noProof/>
                <w:webHidden/>
              </w:rPr>
            </w:r>
            <w:r>
              <w:rPr>
                <w:noProof/>
                <w:webHidden/>
              </w:rPr>
              <w:fldChar w:fldCharType="separate"/>
            </w:r>
            <w:r>
              <w:rPr>
                <w:noProof/>
                <w:webHidden/>
              </w:rPr>
              <w:t>64</w:t>
            </w:r>
            <w:r>
              <w:rPr>
                <w:noProof/>
                <w:webHidden/>
              </w:rPr>
              <w:fldChar w:fldCharType="end"/>
            </w:r>
          </w:hyperlink>
        </w:p>
        <w:p w14:paraId="40968937" w14:textId="23FCD9C5"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10" w:history="1">
            <w:r w:rsidRPr="0050104A">
              <w:rPr>
                <w:rStyle w:val="Hyperlink"/>
                <w:noProof/>
                <w:lang w:bidi="en-US"/>
              </w:rPr>
              <w:t>3.3.6 Fourier Transform Infrared Spectroscopy</w:t>
            </w:r>
            <w:r>
              <w:rPr>
                <w:noProof/>
                <w:webHidden/>
              </w:rPr>
              <w:tab/>
            </w:r>
            <w:r>
              <w:rPr>
                <w:noProof/>
                <w:webHidden/>
              </w:rPr>
              <w:fldChar w:fldCharType="begin"/>
            </w:r>
            <w:r>
              <w:rPr>
                <w:noProof/>
                <w:webHidden/>
              </w:rPr>
              <w:instrText xml:space="preserve"> PAGEREF _Toc190951810 \h </w:instrText>
            </w:r>
            <w:r>
              <w:rPr>
                <w:noProof/>
                <w:webHidden/>
              </w:rPr>
            </w:r>
            <w:r>
              <w:rPr>
                <w:noProof/>
                <w:webHidden/>
              </w:rPr>
              <w:fldChar w:fldCharType="separate"/>
            </w:r>
            <w:r>
              <w:rPr>
                <w:noProof/>
                <w:webHidden/>
              </w:rPr>
              <w:t>64</w:t>
            </w:r>
            <w:r>
              <w:rPr>
                <w:noProof/>
                <w:webHidden/>
              </w:rPr>
              <w:fldChar w:fldCharType="end"/>
            </w:r>
          </w:hyperlink>
        </w:p>
        <w:p w14:paraId="6A1AE416" w14:textId="63FF8E6E"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11" w:history="1">
            <w:r w:rsidRPr="0050104A">
              <w:rPr>
                <w:rStyle w:val="Hyperlink"/>
                <w:noProof/>
                <w:lang w:bidi="en-US"/>
              </w:rPr>
              <w:t>3.3.7 Tensile Testing</w:t>
            </w:r>
            <w:r>
              <w:rPr>
                <w:noProof/>
                <w:webHidden/>
              </w:rPr>
              <w:tab/>
            </w:r>
            <w:r>
              <w:rPr>
                <w:noProof/>
                <w:webHidden/>
              </w:rPr>
              <w:fldChar w:fldCharType="begin"/>
            </w:r>
            <w:r>
              <w:rPr>
                <w:noProof/>
                <w:webHidden/>
              </w:rPr>
              <w:instrText xml:space="preserve"> PAGEREF _Toc190951811 \h </w:instrText>
            </w:r>
            <w:r>
              <w:rPr>
                <w:noProof/>
                <w:webHidden/>
              </w:rPr>
            </w:r>
            <w:r>
              <w:rPr>
                <w:noProof/>
                <w:webHidden/>
              </w:rPr>
              <w:fldChar w:fldCharType="separate"/>
            </w:r>
            <w:r>
              <w:rPr>
                <w:noProof/>
                <w:webHidden/>
              </w:rPr>
              <w:t>64</w:t>
            </w:r>
            <w:r>
              <w:rPr>
                <w:noProof/>
                <w:webHidden/>
              </w:rPr>
              <w:fldChar w:fldCharType="end"/>
            </w:r>
          </w:hyperlink>
        </w:p>
        <w:p w14:paraId="24AD096B" w14:textId="2669006A"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12" w:history="1">
            <w:r w:rsidRPr="0050104A">
              <w:rPr>
                <w:rStyle w:val="Hyperlink"/>
                <w:noProof/>
                <w:lang w:bidi="en-US"/>
              </w:rPr>
              <w:t>3.3.8 Flexural Testing</w:t>
            </w:r>
            <w:r>
              <w:rPr>
                <w:noProof/>
                <w:webHidden/>
              </w:rPr>
              <w:tab/>
            </w:r>
            <w:r>
              <w:rPr>
                <w:noProof/>
                <w:webHidden/>
              </w:rPr>
              <w:fldChar w:fldCharType="begin"/>
            </w:r>
            <w:r>
              <w:rPr>
                <w:noProof/>
                <w:webHidden/>
              </w:rPr>
              <w:instrText xml:space="preserve"> PAGEREF _Toc190951812 \h </w:instrText>
            </w:r>
            <w:r>
              <w:rPr>
                <w:noProof/>
                <w:webHidden/>
              </w:rPr>
            </w:r>
            <w:r>
              <w:rPr>
                <w:noProof/>
                <w:webHidden/>
              </w:rPr>
              <w:fldChar w:fldCharType="separate"/>
            </w:r>
            <w:r>
              <w:rPr>
                <w:noProof/>
                <w:webHidden/>
              </w:rPr>
              <w:t>64</w:t>
            </w:r>
            <w:r>
              <w:rPr>
                <w:noProof/>
                <w:webHidden/>
              </w:rPr>
              <w:fldChar w:fldCharType="end"/>
            </w:r>
          </w:hyperlink>
        </w:p>
        <w:p w14:paraId="1D4F1727" w14:textId="51065964"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13" w:history="1">
            <w:r w:rsidRPr="0050104A">
              <w:rPr>
                <w:rStyle w:val="Hyperlink"/>
                <w:noProof/>
                <w:lang w:bidi="en-US"/>
              </w:rPr>
              <w:t>3.3.9 Water Uptake Testing</w:t>
            </w:r>
            <w:r>
              <w:rPr>
                <w:noProof/>
                <w:webHidden/>
              </w:rPr>
              <w:tab/>
            </w:r>
            <w:r>
              <w:rPr>
                <w:noProof/>
                <w:webHidden/>
              </w:rPr>
              <w:fldChar w:fldCharType="begin"/>
            </w:r>
            <w:r>
              <w:rPr>
                <w:noProof/>
                <w:webHidden/>
              </w:rPr>
              <w:instrText xml:space="preserve"> PAGEREF _Toc190951813 \h </w:instrText>
            </w:r>
            <w:r>
              <w:rPr>
                <w:noProof/>
                <w:webHidden/>
              </w:rPr>
            </w:r>
            <w:r>
              <w:rPr>
                <w:noProof/>
                <w:webHidden/>
              </w:rPr>
              <w:fldChar w:fldCharType="separate"/>
            </w:r>
            <w:r>
              <w:rPr>
                <w:noProof/>
                <w:webHidden/>
              </w:rPr>
              <w:t>66</w:t>
            </w:r>
            <w:r>
              <w:rPr>
                <w:noProof/>
                <w:webHidden/>
              </w:rPr>
              <w:fldChar w:fldCharType="end"/>
            </w:r>
          </w:hyperlink>
        </w:p>
        <w:p w14:paraId="7E37FF5E" w14:textId="59AC07F3"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14" w:history="1">
            <w:r w:rsidRPr="0050104A">
              <w:rPr>
                <w:rStyle w:val="Hyperlink"/>
                <w:noProof/>
                <w:lang w:bidi="en-US"/>
              </w:rPr>
              <w:t>3.3.10 Statistical Analysis</w:t>
            </w:r>
            <w:r>
              <w:rPr>
                <w:noProof/>
                <w:webHidden/>
              </w:rPr>
              <w:tab/>
            </w:r>
            <w:r>
              <w:rPr>
                <w:noProof/>
                <w:webHidden/>
              </w:rPr>
              <w:fldChar w:fldCharType="begin"/>
            </w:r>
            <w:r>
              <w:rPr>
                <w:noProof/>
                <w:webHidden/>
              </w:rPr>
              <w:instrText xml:space="preserve"> PAGEREF _Toc190951814 \h </w:instrText>
            </w:r>
            <w:r>
              <w:rPr>
                <w:noProof/>
                <w:webHidden/>
              </w:rPr>
            </w:r>
            <w:r>
              <w:rPr>
                <w:noProof/>
                <w:webHidden/>
              </w:rPr>
              <w:fldChar w:fldCharType="separate"/>
            </w:r>
            <w:r>
              <w:rPr>
                <w:noProof/>
                <w:webHidden/>
              </w:rPr>
              <w:t>66</w:t>
            </w:r>
            <w:r>
              <w:rPr>
                <w:noProof/>
                <w:webHidden/>
              </w:rPr>
              <w:fldChar w:fldCharType="end"/>
            </w:r>
          </w:hyperlink>
        </w:p>
        <w:p w14:paraId="454CAEF0" w14:textId="63CB1862"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15" w:history="1">
            <w:r w:rsidRPr="0050104A">
              <w:rPr>
                <w:rStyle w:val="Hyperlink"/>
                <w:noProof/>
                <w:lang w:bidi="en-US"/>
              </w:rPr>
              <w:t>3.4 Conclusions</w:t>
            </w:r>
            <w:r>
              <w:rPr>
                <w:noProof/>
                <w:webHidden/>
              </w:rPr>
              <w:tab/>
            </w:r>
            <w:r>
              <w:rPr>
                <w:noProof/>
                <w:webHidden/>
              </w:rPr>
              <w:fldChar w:fldCharType="begin"/>
            </w:r>
            <w:r>
              <w:rPr>
                <w:noProof/>
                <w:webHidden/>
              </w:rPr>
              <w:instrText xml:space="preserve"> PAGEREF _Toc190951815 \h </w:instrText>
            </w:r>
            <w:r>
              <w:rPr>
                <w:noProof/>
                <w:webHidden/>
              </w:rPr>
            </w:r>
            <w:r>
              <w:rPr>
                <w:noProof/>
                <w:webHidden/>
              </w:rPr>
              <w:fldChar w:fldCharType="separate"/>
            </w:r>
            <w:r>
              <w:rPr>
                <w:noProof/>
                <w:webHidden/>
              </w:rPr>
              <w:t>66</w:t>
            </w:r>
            <w:r>
              <w:rPr>
                <w:noProof/>
                <w:webHidden/>
              </w:rPr>
              <w:fldChar w:fldCharType="end"/>
            </w:r>
          </w:hyperlink>
        </w:p>
        <w:p w14:paraId="29DFF558" w14:textId="39C3F51D"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16" w:history="1">
            <w:r w:rsidRPr="0050104A">
              <w:rPr>
                <w:rStyle w:val="Hyperlink"/>
                <w:noProof/>
                <w:lang w:bidi="en-US"/>
              </w:rPr>
              <w:t>Chapter 4 Life Cycle Assessment of Paper-Based Composites as Replacement for an Injection Molded Polypropylene Automotive Door Component</w:t>
            </w:r>
            <w:r>
              <w:rPr>
                <w:noProof/>
                <w:webHidden/>
              </w:rPr>
              <w:tab/>
            </w:r>
            <w:r>
              <w:rPr>
                <w:noProof/>
                <w:webHidden/>
              </w:rPr>
              <w:fldChar w:fldCharType="begin"/>
            </w:r>
            <w:r>
              <w:rPr>
                <w:noProof/>
                <w:webHidden/>
              </w:rPr>
              <w:instrText xml:space="preserve"> PAGEREF _Toc190951816 \h </w:instrText>
            </w:r>
            <w:r>
              <w:rPr>
                <w:noProof/>
                <w:webHidden/>
              </w:rPr>
            </w:r>
            <w:r>
              <w:rPr>
                <w:noProof/>
                <w:webHidden/>
              </w:rPr>
              <w:fldChar w:fldCharType="separate"/>
            </w:r>
            <w:r>
              <w:rPr>
                <w:noProof/>
                <w:webHidden/>
              </w:rPr>
              <w:t>68</w:t>
            </w:r>
            <w:r>
              <w:rPr>
                <w:noProof/>
                <w:webHidden/>
              </w:rPr>
              <w:fldChar w:fldCharType="end"/>
            </w:r>
          </w:hyperlink>
        </w:p>
        <w:p w14:paraId="0FD407BD" w14:textId="799DCEF4"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17" w:history="1">
            <w:r w:rsidRPr="0050104A">
              <w:rPr>
                <w:rStyle w:val="Hyperlink"/>
                <w:noProof/>
                <w:lang w:bidi="en-US"/>
              </w:rPr>
              <w:t>Abstract</w:t>
            </w:r>
            <w:r>
              <w:rPr>
                <w:noProof/>
                <w:webHidden/>
              </w:rPr>
              <w:tab/>
            </w:r>
            <w:r>
              <w:rPr>
                <w:noProof/>
                <w:webHidden/>
              </w:rPr>
              <w:fldChar w:fldCharType="begin"/>
            </w:r>
            <w:r>
              <w:rPr>
                <w:noProof/>
                <w:webHidden/>
              </w:rPr>
              <w:instrText xml:space="preserve"> PAGEREF _Toc190951817 \h </w:instrText>
            </w:r>
            <w:r>
              <w:rPr>
                <w:noProof/>
                <w:webHidden/>
              </w:rPr>
            </w:r>
            <w:r>
              <w:rPr>
                <w:noProof/>
                <w:webHidden/>
              </w:rPr>
              <w:fldChar w:fldCharType="separate"/>
            </w:r>
            <w:r>
              <w:rPr>
                <w:noProof/>
                <w:webHidden/>
              </w:rPr>
              <w:t>69</w:t>
            </w:r>
            <w:r>
              <w:rPr>
                <w:noProof/>
                <w:webHidden/>
              </w:rPr>
              <w:fldChar w:fldCharType="end"/>
            </w:r>
          </w:hyperlink>
        </w:p>
        <w:p w14:paraId="54399E2C" w14:textId="4AE6F9C1" w:rsidR="00970B86" w:rsidRDefault="00970B86">
          <w:pPr>
            <w:pStyle w:val="TOC1"/>
            <w:tabs>
              <w:tab w:val="left" w:pos="720"/>
              <w:tab w:val="right" w:leader="dot" w:pos="8630"/>
            </w:tabs>
            <w:rPr>
              <w:rFonts w:asciiTheme="minorHAnsi" w:eastAsiaTheme="minorEastAsia" w:hAnsiTheme="minorHAnsi" w:cstheme="minorBidi"/>
              <w:noProof/>
              <w:kern w:val="2"/>
              <w14:ligatures w14:val="standardContextual"/>
            </w:rPr>
          </w:pPr>
          <w:hyperlink w:anchor="_Toc190951818" w:history="1">
            <w:r w:rsidRPr="0050104A">
              <w:rPr>
                <w:rStyle w:val="Hyperlink"/>
                <w:noProof/>
              </w:rPr>
              <w:t>4.1</w:t>
            </w:r>
            <w:r>
              <w:rPr>
                <w:rFonts w:asciiTheme="minorHAnsi" w:eastAsiaTheme="minorEastAsia" w:hAnsiTheme="minorHAnsi" w:cstheme="minorBidi"/>
                <w:noProof/>
                <w:kern w:val="2"/>
                <w14:ligatures w14:val="standardContextual"/>
              </w:rPr>
              <w:tab/>
            </w:r>
            <w:r w:rsidRPr="0050104A">
              <w:rPr>
                <w:rStyle w:val="Hyperlink"/>
                <w:noProof/>
              </w:rPr>
              <w:t>Introduction</w:t>
            </w:r>
            <w:r>
              <w:rPr>
                <w:noProof/>
                <w:webHidden/>
              </w:rPr>
              <w:tab/>
            </w:r>
            <w:r>
              <w:rPr>
                <w:noProof/>
                <w:webHidden/>
              </w:rPr>
              <w:fldChar w:fldCharType="begin"/>
            </w:r>
            <w:r>
              <w:rPr>
                <w:noProof/>
                <w:webHidden/>
              </w:rPr>
              <w:instrText xml:space="preserve"> PAGEREF _Toc190951818 \h </w:instrText>
            </w:r>
            <w:r>
              <w:rPr>
                <w:noProof/>
                <w:webHidden/>
              </w:rPr>
            </w:r>
            <w:r>
              <w:rPr>
                <w:noProof/>
                <w:webHidden/>
              </w:rPr>
              <w:fldChar w:fldCharType="separate"/>
            </w:r>
            <w:r>
              <w:rPr>
                <w:noProof/>
                <w:webHidden/>
              </w:rPr>
              <w:t>69</w:t>
            </w:r>
            <w:r>
              <w:rPr>
                <w:noProof/>
                <w:webHidden/>
              </w:rPr>
              <w:fldChar w:fldCharType="end"/>
            </w:r>
          </w:hyperlink>
        </w:p>
        <w:p w14:paraId="4175E6E2" w14:textId="62E8712A"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19" w:history="1">
            <w:r w:rsidRPr="0050104A">
              <w:rPr>
                <w:rStyle w:val="Hyperlink"/>
                <w:noProof/>
              </w:rPr>
              <w:t>4.2 Methodology</w:t>
            </w:r>
            <w:r>
              <w:rPr>
                <w:noProof/>
                <w:webHidden/>
              </w:rPr>
              <w:tab/>
            </w:r>
            <w:r>
              <w:rPr>
                <w:noProof/>
                <w:webHidden/>
              </w:rPr>
              <w:fldChar w:fldCharType="begin"/>
            </w:r>
            <w:r>
              <w:rPr>
                <w:noProof/>
                <w:webHidden/>
              </w:rPr>
              <w:instrText xml:space="preserve"> PAGEREF _Toc190951819 \h </w:instrText>
            </w:r>
            <w:r>
              <w:rPr>
                <w:noProof/>
                <w:webHidden/>
              </w:rPr>
            </w:r>
            <w:r>
              <w:rPr>
                <w:noProof/>
                <w:webHidden/>
              </w:rPr>
              <w:fldChar w:fldCharType="separate"/>
            </w:r>
            <w:r>
              <w:rPr>
                <w:noProof/>
                <w:webHidden/>
              </w:rPr>
              <w:t>72</w:t>
            </w:r>
            <w:r>
              <w:rPr>
                <w:noProof/>
                <w:webHidden/>
              </w:rPr>
              <w:fldChar w:fldCharType="end"/>
            </w:r>
          </w:hyperlink>
        </w:p>
        <w:p w14:paraId="63275154" w14:textId="50F81C10"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20" w:history="1">
            <w:r w:rsidRPr="0050104A">
              <w:rPr>
                <w:rStyle w:val="Hyperlink"/>
                <w:noProof/>
              </w:rPr>
              <w:t>4.2.1 Goal and Scope of Study</w:t>
            </w:r>
            <w:r>
              <w:rPr>
                <w:noProof/>
                <w:webHidden/>
              </w:rPr>
              <w:tab/>
            </w:r>
            <w:r>
              <w:rPr>
                <w:noProof/>
                <w:webHidden/>
              </w:rPr>
              <w:fldChar w:fldCharType="begin"/>
            </w:r>
            <w:r>
              <w:rPr>
                <w:noProof/>
                <w:webHidden/>
              </w:rPr>
              <w:instrText xml:space="preserve"> PAGEREF _Toc190951820 \h </w:instrText>
            </w:r>
            <w:r>
              <w:rPr>
                <w:noProof/>
                <w:webHidden/>
              </w:rPr>
            </w:r>
            <w:r>
              <w:rPr>
                <w:noProof/>
                <w:webHidden/>
              </w:rPr>
              <w:fldChar w:fldCharType="separate"/>
            </w:r>
            <w:r>
              <w:rPr>
                <w:noProof/>
                <w:webHidden/>
              </w:rPr>
              <w:t>72</w:t>
            </w:r>
            <w:r>
              <w:rPr>
                <w:noProof/>
                <w:webHidden/>
              </w:rPr>
              <w:fldChar w:fldCharType="end"/>
            </w:r>
          </w:hyperlink>
        </w:p>
        <w:p w14:paraId="7667EC90" w14:textId="7639BFB0"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21" w:history="1">
            <w:r w:rsidRPr="0050104A">
              <w:rPr>
                <w:rStyle w:val="Hyperlink"/>
                <w:noProof/>
              </w:rPr>
              <w:t>4.2.2 Functional Unit</w:t>
            </w:r>
            <w:r>
              <w:rPr>
                <w:noProof/>
                <w:webHidden/>
              </w:rPr>
              <w:tab/>
            </w:r>
            <w:r>
              <w:rPr>
                <w:noProof/>
                <w:webHidden/>
              </w:rPr>
              <w:fldChar w:fldCharType="begin"/>
            </w:r>
            <w:r>
              <w:rPr>
                <w:noProof/>
                <w:webHidden/>
              </w:rPr>
              <w:instrText xml:space="preserve"> PAGEREF _Toc190951821 \h </w:instrText>
            </w:r>
            <w:r>
              <w:rPr>
                <w:noProof/>
                <w:webHidden/>
              </w:rPr>
            </w:r>
            <w:r>
              <w:rPr>
                <w:noProof/>
                <w:webHidden/>
              </w:rPr>
              <w:fldChar w:fldCharType="separate"/>
            </w:r>
            <w:r>
              <w:rPr>
                <w:noProof/>
                <w:webHidden/>
              </w:rPr>
              <w:t>72</w:t>
            </w:r>
            <w:r>
              <w:rPr>
                <w:noProof/>
                <w:webHidden/>
              </w:rPr>
              <w:fldChar w:fldCharType="end"/>
            </w:r>
          </w:hyperlink>
        </w:p>
        <w:p w14:paraId="0BEB437B" w14:textId="04329387"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22" w:history="1">
            <w:r w:rsidRPr="0050104A">
              <w:rPr>
                <w:rStyle w:val="Hyperlink"/>
                <w:noProof/>
              </w:rPr>
              <w:t>4.2.3 Scenario Analysis</w:t>
            </w:r>
            <w:r>
              <w:rPr>
                <w:noProof/>
                <w:webHidden/>
              </w:rPr>
              <w:tab/>
            </w:r>
            <w:r>
              <w:rPr>
                <w:noProof/>
                <w:webHidden/>
              </w:rPr>
              <w:fldChar w:fldCharType="begin"/>
            </w:r>
            <w:r>
              <w:rPr>
                <w:noProof/>
                <w:webHidden/>
              </w:rPr>
              <w:instrText xml:space="preserve"> PAGEREF _Toc190951822 \h </w:instrText>
            </w:r>
            <w:r>
              <w:rPr>
                <w:noProof/>
                <w:webHidden/>
              </w:rPr>
            </w:r>
            <w:r>
              <w:rPr>
                <w:noProof/>
                <w:webHidden/>
              </w:rPr>
              <w:fldChar w:fldCharType="separate"/>
            </w:r>
            <w:r>
              <w:rPr>
                <w:noProof/>
                <w:webHidden/>
              </w:rPr>
              <w:t>74</w:t>
            </w:r>
            <w:r>
              <w:rPr>
                <w:noProof/>
                <w:webHidden/>
              </w:rPr>
              <w:fldChar w:fldCharType="end"/>
            </w:r>
          </w:hyperlink>
        </w:p>
        <w:p w14:paraId="5B888034" w14:textId="22327F36"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23" w:history="1">
            <w:r w:rsidRPr="0050104A">
              <w:rPr>
                <w:rStyle w:val="Hyperlink"/>
                <w:noProof/>
              </w:rPr>
              <w:t>4.2.3.1 Baseline, Green Energy, and Recycled Feedstock Scenarios</w:t>
            </w:r>
            <w:r>
              <w:rPr>
                <w:noProof/>
                <w:webHidden/>
              </w:rPr>
              <w:tab/>
            </w:r>
            <w:r>
              <w:rPr>
                <w:noProof/>
                <w:webHidden/>
              </w:rPr>
              <w:fldChar w:fldCharType="begin"/>
            </w:r>
            <w:r>
              <w:rPr>
                <w:noProof/>
                <w:webHidden/>
              </w:rPr>
              <w:instrText xml:space="preserve"> PAGEREF _Toc190951823 \h </w:instrText>
            </w:r>
            <w:r>
              <w:rPr>
                <w:noProof/>
                <w:webHidden/>
              </w:rPr>
            </w:r>
            <w:r>
              <w:rPr>
                <w:noProof/>
                <w:webHidden/>
              </w:rPr>
              <w:fldChar w:fldCharType="separate"/>
            </w:r>
            <w:r>
              <w:rPr>
                <w:noProof/>
                <w:webHidden/>
              </w:rPr>
              <w:t>74</w:t>
            </w:r>
            <w:r>
              <w:rPr>
                <w:noProof/>
                <w:webHidden/>
              </w:rPr>
              <w:fldChar w:fldCharType="end"/>
            </w:r>
          </w:hyperlink>
        </w:p>
        <w:p w14:paraId="1EAB1F69" w14:textId="5A582435"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24" w:history="1">
            <w:r w:rsidRPr="0050104A">
              <w:rPr>
                <w:rStyle w:val="Hyperlink"/>
                <w:noProof/>
              </w:rPr>
              <w:t>4.2.3.2 GHG Emissions and Associated Savings Through Lightweighting for Different Vehicle Types</w:t>
            </w:r>
            <w:r>
              <w:rPr>
                <w:noProof/>
                <w:webHidden/>
              </w:rPr>
              <w:tab/>
            </w:r>
            <w:r>
              <w:rPr>
                <w:noProof/>
                <w:webHidden/>
              </w:rPr>
              <w:fldChar w:fldCharType="begin"/>
            </w:r>
            <w:r>
              <w:rPr>
                <w:noProof/>
                <w:webHidden/>
              </w:rPr>
              <w:instrText xml:space="preserve"> PAGEREF _Toc190951824 \h </w:instrText>
            </w:r>
            <w:r>
              <w:rPr>
                <w:noProof/>
                <w:webHidden/>
              </w:rPr>
            </w:r>
            <w:r>
              <w:rPr>
                <w:noProof/>
                <w:webHidden/>
              </w:rPr>
              <w:fldChar w:fldCharType="separate"/>
            </w:r>
            <w:r>
              <w:rPr>
                <w:noProof/>
                <w:webHidden/>
              </w:rPr>
              <w:t>75</w:t>
            </w:r>
            <w:r>
              <w:rPr>
                <w:noProof/>
                <w:webHidden/>
              </w:rPr>
              <w:fldChar w:fldCharType="end"/>
            </w:r>
          </w:hyperlink>
        </w:p>
        <w:p w14:paraId="25E0D4CA" w14:textId="7E12321B"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25" w:history="1">
            <w:r w:rsidRPr="0050104A">
              <w:rPr>
                <w:rStyle w:val="Hyperlink"/>
                <w:noProof/>
              </w:rPr>
              <w:t>4.2.4 Life Cycle Inventory Data</w:t>
            </w:r>
            <w:r>
              <w:rPr>
                <w:noProof/>
                <w:webHidden/>
              </w:rPr>
              <w:tab/>
            </w:r>
            <w:r>
              <w:rPr>
                <w:noProof/>
                <w:webHidden/>
              </w:rPr>
              <w:fldChar w:fldCharType="begin"/>
            </w:r>
            <w:r>
              <w:rPr>
                <w:noProof/>
                <w:webHidden/>
              </w:rPr>
              <w:instrText xml:space="preserve"> PAGEREF _Toc190951825 \h </w:instrText>
            </w:r>
            <w:r>
              <w:rPr>
                <w:noProof/>
                <w:webHidden/>
              </w:rPr>
            </w:r>
            <w:r>
              <w:rPr>
                <w:noProof/>
                <w:webHidden/>
              </w:rPr>
              <w:fldChar w:fldCharType="separate"/>
            </w:r>
            <w:r>
              <w:rPr>
                <w:noProof/>
                <w:webHidden/>
              </w:rPr>
              <w:t>75</w:t>
            </w:r>
            <w:r>
              <w:rPr>
                <w:noProof/>
                <w:webHidden/>
              </w:rPr>
              <w:fldChar w:fldCharType="end"/>
            </w:r>
          </w:hyperlink>
        </w:p>
        <w:p w14:paraId="3D501476" w14:textId="1C5B9C5C"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26" w:history="1">
            <w:r w:rsidRPr="0050104A">
              <w:rPr>
                <w:rStyle w:val="Hyperlink"/>
                <w:noProof/>
              </w:rPr>
              <w:t>4.2.4.1 Raw Materials</w:t>
            </w:r>
            <w:r>
              <w:rPr>
                <w:noProof/>
                <w:webHidden/>
              </w:rPr>
              <w:tab/>
            </w:r>
            <w:r>
              <w:rPr>
                <w:noProof/>
                <w:webHidden/>
              </w:rPr>
              <w:fldChar w:fldCharType="begin"/>
            </w:r>
            <w:r>
              <w:rPr>
                <w:noProof/>
                <w:webHidden/>
              </w:rPr>
              <w:instrText xml:space="preserve"> PAGEREF _Toc190951826 \h </w:instrText>
            </w:r>
            <w:r>
              <w:rPr>
                <w:noProof/>
                <w:webHidden/>
              </w:rPr>
            </w:r>
            <w:r>
              <w:rPr>
                <w:noProof/>
                <w:webHidden/>
              </w:rPr>
              <w:fldChar w:fldCharType="separate"/>
            </w:r>
            <w:r>
              <w:rPr>
                <w:noProof/>
                <w:webHidden/>
              </w:rPr>
              <w:t>75</w:t>
            </w:r>
            <w:r>
              <w:rPr>
                <w:noProof/>
                <w:webHidden/>
              </w:rPr>
              <w:fldChar w:fldCharType="end"/>
            </w:r>
          </w:hyperlink>
        </w:p>
        <w:p w14:paraId="442DCCDB" w14:textId="308DA3AE"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27" w:history="1">
            <w:r w:rsidRPr="0050104A">
              <w:rPr>
                <w:rStyle w:val="Hyperlink"/>
                <w:noProof/>
              </w:rPr>
              <w:t>4.2.4.2 PP-TD5 Door Panel Manufacturing</w:t>
            </w:r>
            <w:r>
              <w:rPr>
                <w:noProof/>
                <w:webHidden/>
              </w:rPr>
              <w:tab/>
            </w:r>
            <w:r>
              <w:rPr>
                <w:noProof/>
                <w:webHidden/>
              </w:rPr>
              <w:fldChar w:fldCharType="begin"/>
            </w:r>
            <w:r>
              <w:rPr>
                <w:noProof/>
                <w:webHidden/>
              </w:rPr>
              <w:instrText xml:space="preserve"> PAGEREF _Toc190951827 \h </w:instrText>
            </w:r>
            <w:r>
              <w:rPr>
                <w:noProof/>
                <w:webHidden/>
              </w:rPr>
            </w:r>
            <w:r>
              <w:rPr>
                <w:noProof/>
                <w:webHidden/>
              </w:rPr>
              <w:fldChar w:fldCharType="separate"/>
            </w:r>
            <w:r>
              <w:rPr>
                <w:noProof/>
                <w:webHidden/>
              </w:rPr>
              <w:t>76</w:t>
            </w:r>
            <w:r>
              <w:rPr>
                <w:noProof/>
                <w:webHidden/>
              </w:rPr>
              <w:fldChar w:fldCharType="end"/>
            </w:r>
          </w:hyperlink>
        </w:p>
        <w:p w14:paraId="2C18CD2B" w14:textId="010CB261"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28" w:history="1">
            <w:r w:rsidRPr="0050104A">
              <w:rPr>
                <w:rStyle w:val="Hyperlink"/>
                <w:noProof/>
              </w:rPr>
              <w:t>4.2.4.3 Paper Composite Panel Manufacturing</w:t>
            </w:r>
            <w:r>
              <w:rPr>
                <w:noProof/>
                <w:webHidden/>
              </w:rPr>
              <w:tab/>
            </w:r>
            <w:r>
              <w:rPr>
                <w:noProof/>
                <w:webHidden/>
              </w:rPr>
              <w:fldChar w:fldCharType="begin"/>
            </w:r>
            <w:r>
              <w:rPr>
                <w:noProof/>
                <w:webHidden/>
              </w:rPr>
              <w:instrText xml:space="preserve"> PAGEREF _Toc190951828 \h </w:instrText>
            </w:r>
            <w:r>
              <w:rPr>
                <w:noProof/>
                <w:webHidden/>
              </w:rPr>
            </w:r>
            <w:r>
              <w:rPr>
                <w:noProof/>
                <w:webHidden/>
              </w:rPr>
              <w:fldChar w:fldCharType="separate"/>
            </w:r>
            <w:r>
              <w:rPr>
                <w:noProof/>
                <w:webHidden/>
              </w:rPr>
              <w:t>77</w:t>
            </w:r>
            <w:r>
              <w:rPr>
                <w:noProof/>
                <w:webHidden/>
              </w:rPr>
              <w:fldChar w:fldCharType="end"/>
            </w:r>
          </w:hyperlink>
        </w:p>
        <w:p w14:paraId="4E83BBC5" w14:textId="04A4132F"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29" w:history="1">
            <w:r w:rsidRPr="0050104A">
              <w:rPr>
                <w:rStyle w:val="Hyperlink"/>
                <w:noProof/>
              </w:rPr>
              <w:t>4.2.4.4 Energy Mixes</w:t>
            </w:r>
            <w:r>
              <w:rPr>
                <w:noProof/>
                <w:webHidden/>
              </w:rPr>
              <w:tab/>
            </w:r>
            <w:r>
              <w:rPr>
                <w:noProof/>
                <w:webHidden/>
              </w:rPr>
              <w:fldChar w:fldCharType="begin"/>
            </w:r>
            <w:r>
              <w:rPr>
                <w:noProof/>
                <w:webHidden/>
              </w:rPr>
              <w:instrText xml:space="preserve"> PAGEREF _Toc190951829 \h </w:instrText>
            </w:r>
            <w:r>
              <w:rPr>
                <w:noProof/>
                <w:webHidden/>
              </w:rPr>
            </w:r>
            <w:r>
              <w:rPr>
                <w:noProof/>
                <w:webHidden/>
              </w:rPr>
              <w:fldChar w:fldCharType="separate"/>
            </w:r>
            <w:r>
              <w:rPr>
                <w:noProof/>
                <w:webHidden/>
              </w:rPr>
              <w:t>78</w:t>
            </w:r>
            <w:r>
              <w:rPr>
                <w:noProof/>
                <w:webHidden/>
              </w:rPr>
              <w:fldChar w:fldCharType="end"/>
            </w:r>
          </w:hyperlink>
        </w:p>
        <w:p w14:paraId="2EC7438B" w14:textId="051FC238"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30" w:history="1">
            <w:r w:rsidRPr="0050104A">
              <w:rPr>
                <w:rStyle w:val="Hyperlink"/>
                <w:noProof/>
              </w:rPr>
              <w:t>4.2.4.5 Transportation</w:t>
            </w:r>
            <w:r>
              <w:rPr>
                <w:noProof/>
                <w:webHidden/>
              </w:rPr>
              <w:tab/>
            </w:r>
            <w:r>
              <w:rPr>
                <w:noProof/>
                <w:webHidden/>
              </w:rPr>
              <w:fldChar w:fldCharType="begin"/>
            </w:r>
            <w:r>
              <w:rPr>
                <w:noProof/>
                <w:webHidden/>
              </w:rPr>
              <w:instrText xml:space="preserve"> PAGEREF _Toc190951830 \h </w:instrText>
            </w:r>
            <w:r>
              <w:rPr>
                <w:noProof/>
                <w:webHidden/>
              </w:rPr>
            </w:r>
            <w:r>
              <w:rPr>
                <w:noProof/>
                <w:webHidden/>
              </w:rPr>
              <w:fldChar w:fldCharType="separate"/>
            </w:r>
            <w:r>
              <w:rPr>
                <w:noProof/>
                <w:webHidden/>
              </w:rPr>
              <w:t>78</w:t>
            </w:r>
            <w:r>
              <w:rPr>
                <w:noProof/>
                <w:webHidden/>
              </w:rPr>
              <w:fldChar w:fldCharType="end"/>
            </w:r>
          </w:hyperlink>
        </w:p>
        <w:p w14:paraId="2D76F035" w14:textId="55034B75" w:rsidR="00970B86" w:rsidRDefault="00970B86">
          <w:pPr>
            <w:pStyle w:val="TOC3"/>
            <w:tabs>
              <w:tab w:val="right" w:leader="dot" w:pos="8630"/>
            </w:tabs>
            <w:rPr>
              <w:rFonts w:asciiTheme="minorHAnsi" w:eastAsiaTheme="minorEastAsia" w:hAnsiTheme="minorHAnsi" w:cstheme="minorBidi"/>
              <w:noProof/>
              <w:kern w:val="2"/>
              <w14:ligatures w14:val="standardContextual"/>
            </w:rPr>
          </w:pPr>
          <w:hyperlink w:anchor="_Toc190951831" w:history="1">
            <w:r w:rsidRPr="0050104A">
              <w:rPr>
                <w:rStyle w:val="Hyperlink"/>
                <w:noProof/>
              </w:rPr>
              <w:t>4.2.4.6 Use-Phase</w:t>
            </w:r>
            <w:r>
              <w:rPr>
                <w:noProof/>
                <w:webHidden/>
              </w:rPr>
              <w:tab/>
            </w:r>
            <w:r>
              <w:rPr>
                <w:noProof/>
                <w:webHidden/>
              </w:rPr>
              <w:fldChar w:fldCharType="begin"/>
            </w:r>
            <w:r>
              <w:rPr>
                <w:noProof/>
                <w:webHidden/>
              </w:rPr>
              <w:instrText xml:space="preserve"> PAGEREF _Toc190951831 \h </w:instrText>
            </w:r>
            <w:r>
              <w:rPr>
                <w:noProof/>
                <w:webHidden/>
              </w:rPr>
            </w:r>
            <w:r>
              <w:rPr>
                <w:noProof/>
                <w:webHidden/>
              </w:rPr>
              <w:fldChar w:fldCharType="separate"/>
            </w:r>
            <w:r>
              <w:rPr>
                <w:noProof/>
                <w:webHidden/>
              </w:rPr>
              <w:t>79</w:t>
            </w:r>
            <w:r>
              <w:rPr>
                <w:noProof/>
                <w:webHidden/>
              </w:rPr>
              <w:fldChar w:fldCharType="end"/>
            </w:r>
          </w:hyperlink>
        </w:p>
        <w:p w14:paraId="46E9EA62" w14:textId="5EA9EF71"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32" w:history="1">
            <w:r w:rsidRPr="0050104A">
              <w:rPr>
                <w:rStyle w:val="Hyperlink"/>
                <w:noProof/>
              </w:rPr>
              <w:t>4.3 Results and Discussion</w:t>
            </w:r>
            <w:r>
              <w:rPr>
                <w:noProof/>
                <w:webHidden/>
              </w:rPr>
              <w:tab/>
            </w:r>
            <w:r>
              <w:rPr>
                <w:noProof/>
                <w:webHidden/>
              </w:rPr>
              <w:fldChar w:fldCharType="begin"/>
            </w:r>
            <w:r>
              <w:rPr>
                <w:noProof/>
                <w:webHidden/>
              </w:rPr>
              <w:instrText xml:space="preserve"> PAGEREF _Toc190951832 \h </w:instrText>
            </w:r>
            <w:r>
              <w:rPr>
                <w:noProof/>
                <w:webHidden/>
              </w:rPr>
            </w:r>
            <w:r>
              <w:rPr>
                <w:noProof/>
                <w:webHidden/>
              </w:rPr>
              <w:fldChar w:fldCharType="separate"/>
            </w:r>
            <w:r>
              <w:rPr>
                <w:noProof/>
                <w:webHidden/>
              </w:rPr>
              <w:t>80</w:t>
            </w:r>
            <w:r>
              <w:rPr>
                <w:noProof/>
                <w:webHidden/>
              </w:rPr>
              <w:fldChar w:fldCharType="end"/>
            </w:r>
          </w:hyperlink>
        </w:p>
        <w:p w14:paraId="16D1963C" w14:textId="12811031"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33" w:history="1">
            <w:r w:rsidRPr="0050104A">
              <w:rPr>
                <w:rStyle w:val="Hyperlink"/>
                <w:noProof/>
              </w:rPr>
              <w:t>4.3.1 Cradle-to-gate GHG Emissions</w:t>
            </w:r>
            <w:r>
              <w:rPr>
                <w:noProof/>
                <w:webHidden/>
              </w:rPr>
              <w:tab/>
            </w:r>
            <w:r>
              <w:rPr>
                <w:noProof/>
                <w:webHidden/>
              </w:rPr>
              <w:fldChar w:fldCharType="begin"/>
            </w:r>
            <w:r>
              <w:rPr>
                <w:noProof/>
                <w:webHidden/>
              </w:rPr>
              <w:instrText xml:space="preserve"> PAGEREF _Toc190951833 \h </w:instrText>
            </w:r>
            <w:r>
              <w:rPr>
                <w:noProof/>
                <w:webHidden/>
              </w:rPr>
            </w:r>
            <w:r>
              <w:rPr>
                <w:noProof/>
                <w:webHidden/>
              </w:rPr>
              <w:fldChar w:fldCharType="separate"/>
            </w:r>
            <w:r>
              <w:rPr>
                <w:noProof/>
                <w:webHidden/>
              </w:rPr>
              <w:t>80</w:t>
            </w:r>
            <w:r>
              <w:rPr>
                <w:noProof/>
                <w:webHidden/>
              </w:rPr>
              <w:fldChar w:fldCharType="end"/>
            </w:r>
          </w:hyperlink>
        </w:p>
        <w:p w14:paraId="017D2D1B" w14:textId="6B63F435"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34" w:history="1">
            <w:r w:rsidRPr="0050104A">
              <w:rPr>
                <w:rStyle w:val="Hyperlink"/>
                <w:noProof/>
              </w:rPr>
              <w:t>4.3.2 Use-Phase GHG Emissions</w:t>
            </w:r>
            <w:r>
              <w:rPr>
                <w:noProof/>
                <w:webHidden/>
              </w:rPr>
              <w:tab/>
            </w:r>
            <w:r>
              <w:rPr>
                <w:noProof/>
                <w:webHidden/>
              </w:rPr>
              <w:fldChar w:fldCharType="begin"/>
            </w:r>
            <w:r>
              <w:rPr>
                <w:noProof/>
                <w:webHidden/>
              </w:rPr>
              <w:instrText xml:space="preserve"> PAGEREF _Toc190951834 \h </w:instrText>
            </w:r>
            <w:r>
              <w:rPr>
                <w:noProof/>
                <w:webHidden/>
              </w:rPr>
            </w:r>
            <w:r>
              <w:rPr>
                <w:noProof/>
                <w:webHidden/>
              </w:rPr>
              <w:fldChar w:fldCharType="separate"/>
            </w:r>
            <w:r>
              <w:rPr>
                <w:noProof/>
                <w:webHidden/>
              </w:rPr>
              <w:t>85</w:t>
            </w:r>
            <w:r>
              <w:rPr>
                <w:noProof/>
                <w:webHidden/>
              </w:rPr>
              <w:fldChar w:fldCharType="end"/>
            </w:r>
          </w:hyperlink>
        </w:p>
        <w:p w14:paraId="3A3805DA" w14:textId="52A52858" w:rsidR="00970B86" w:rsidRDefault="00970B86">
          <w:pPr>
            <w:pStyle w:val="TOC2"/>
            <w:tabs>
              <w:tab w:val="right" w:leader="dot" w:pos="8630"/>
            </w:tabs>
            <w:rPr>
              <w:rFonts w:asciiTheme="minorHAnsi" w:eastAsiaTheme="minorEastAsia" w:hAnsiTheme="minorHAnsi" w:cstheme="minorBidi"/>
              <w:noProof/>
              <w:kern w:val="2"/>
              <w14:ligatures w14:val="standardContextual"/>
            </w:rPr>
          </w:pPr>
          <w:hyperlink w:anchor="_Toc190951835" w:history="1">
            <w:r w:rsidRPr="0050104A">
              <w:rPr>
                <w:rStyle w:val="Hyperlink"/>
                <w:noProof/>
              </w:rPr>
              <w:t>4.3.3 Total Life-Cycle GHG Emissions</w:t>
            </w:r>
            <w:r>
              <w:rPr>
                <w:noProof/>
                <w:webHidden/>
              </w:rPr>
              <w:tab/>
            </w:r>
            <w:r>
              <w:rPr>
                <w:noProof/>
                <w:webHidden/>
              </w:rPr>
              <w:fldChar w:fldCharType="begin"/>
            </w:r>
            <w:r>
              <w:rPr>
                <w:noProof/>
                <w:webHidden/>
              </w:rPr>
              <w:instrText xml:space="preserve"> PAGEREF _Toc190951835 \h </w:instrText>
            </w:r>
            <w:r>
              <w:rPr>
                <w:noProof/>
                <w:webHidden/>
              </w:rPr>
            </w:r>
            <w:r>
              <w:rPr>
                <w:noProof/>
                <w:webHidden/>
              </w:rPr>
              <w:fldChar w:fldCharType="separate"/>
            </w:r>
            <w:r>
              <w:rPr>
                <w:noProof/>
                <w:webHidden/>
              </w:rPr>
              <w:t>88</w:t>
            </w:r>
            <w:r>
              <w:rPr>
                <w:noProof/>
                <w:webHidden/>
              </w:rPr>
              <w:fldChar w:fldCharType="end"/>
            </w:r>
          </w:hyperlink>
        </w:p>
        <w:p w14:paraId="12455A03" w14:textId="7ADAEF31"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36" w:history="1">
            <w:r w:rsidRPr="0050104A">
              <w:rPr>
                <w:rStyle w:val="Hyperlink"/>
                <w:noProof/>
              </w:rPr>
              <w:t>4.4 Conclusions</w:t>
            </w:r>
            <w:r>
              <w:rPr>
                <w:noProof/>
                <w:webHidden/>
              </w:rPr>
              <w:tab/>
            </w:r>
            <w:r>
              <w:rPr>
                <w:noProof/>
                <w:webHidden/>
              </w:rPr>
              <w:fldChar w:fldCharType="begin"/>
            </w:r>
            <w:r>
              <w:rPr>
                <w:noProof/>
                <w:webHidden/>
              </w:rPr>
              <w:instrText xml:space="preserve"> PAGEREF _Toc190951836 \h </w:instrText>
            </w:r>
            <w:r>
              <w:rPr>
                <w:noProof/>
                <w:webHidden/>
              </w:rPr>
            </w:r>
            <w:r>
              <w:rPr>
                <w:noProof/>
                <w:webHidden/>
              </w:rPr>
              <w:fldChar w:fldCharType="separate"/>
            </w:r>
            <w:r>
              <w:rPr>
                <w:noProof/>
                <w:webHidden/>
              </w:rPr>
              <w:t>91</w:t>
            </w:r>
            <w:r>
              <w:rPr>
                <w:noProof/>
                <w:webHidden/>
              </w:rPr>
              <w:fldChar w:fldCharType="end"/>
            </w:r>
          </w:hyperlink>
        </w:p>
        <w:p w14:paraId="099ACD8E" w14:textId="5AD4FB78" w:rsidR="00970B86" w:rsidRDefault="00970B86">
          <w:pPr>
            <w:pStyle w:val="TOC1"/>
            <w:tabs>
              <w:tab w:val="right" w:leader="dot" w:pos="8630"/>
            </w:tabs>
            <w:rPr>
              <w:rFonts w:asciiTheme="minorHAnsi" w:eastAsiaTheme="minorEastAsia" w:hAnsiTheme="minorHAnsi" w:cstheme="minorBidi"/>
              <w:noProof/>
              <w:kern w:val="2"/>
              <w14:ligatures w14:val="standardContextual"/>
            </w:rPr>
          </w:pPr>
          <w:hyperlink w:anchor="_Toc190951837" w:history="1">
            <w:r w:rsidRPr="0050104A">
              <w:rPr>
                <w:rStyle w:val="Hyperlink"/>
                <w:noProof/>
              </w:rPr>
              <w:t>Refernces</w:t>
            </w:r>
            <w:r>
              <w:rPr>
                <w:noProof/>
                <w:webHidden/>
              </w:rPr>
              <w:tab/>
            </w:r>
            <w:r>
              <w:rPr>
                <w:noProof/>
                <w:webHidden/>
              </w:rPr>
              <w:fldChar w:fldCharType="begin"/>
            </w:r>
            <w:r>
              <w:rPr>
                <w:noProof/>
                <w:webHidden/>
              </w:rPr>
              <w:instrText xml:space="preserve"> PAGEREF _Toc190951837 \h </w:instrText>
            </w:r>
            <w:r>
              <w:rPr>
                <w:noProof/>
                <w:webHidden/>
              </w:rPr>
            </w:r>
            <w:r>
              <w:rPr>
                <w:noProof/>
                <w:webHidden/>
              </w:rPr>
              <w:fldChar w:fldCharType="separate"/>
            </w:r>
            <w:r>
              <w:rPr>
                <w:noProof/>
                <w:webHidden/>
              </w:rPr>
              <w:t>94</w:t>
            </w:r>
            <w:r>
              <w:rPr>
                <w:noProof/>
                <w:webHidden/>
              </w:rPr>
              <w:fldChar w:fldCharType="end"/>
            </w:r>
          </w:hyperlink>
        </w:p>
        <w:p w14:paraId="61EED4F2" w14:textId="12CC775D" w:rsidR="0017150C" w:rsidRDefault="00970B86">
          <w:r>
            <w:fldChar w:fldCharType="end"/>
          </w:r>
        </w:p>
      </w:sdtContent>
    </w:sdt>
    <w:p w14:paraId="0E61F766" w14:textId="77777777" w:rsidR="0017150C" w:rsidRDefault="0017150C">
      <w:pPr>
        <w:spacing w:after="160" w:line="259" w:lineRule="auto"/>
        <w:ind w:firstLine="0"/>
        <w:jc w:val="left"/>
      </w:pPr>
    </w:p>
    <w:p w14:paraId="7586A084" w14:textId="77777777" w:rsidR="0017150C" w:rsidRDefault="0017150C">
      <w:pPr>
        <w:spacing w:after="160" w:line="259" w:lineRule="auto"/>
        <w:ind w:firstLine="0"/>
        <w:jc w:val="left"/>
      </w:pPr>
      <w:r>
        <w:br w:type="page"/>
      </w:r>
    </w:p>
    <w:p w14:paraId="2685519B" w14:textId="7DBADFE4" w:rsidR="00970B86" w:rsidRDefault="00970B86" w:rsidP="00970B86">
      <w:pPr>
        <w:spacing w:after="160" w:line="259" w:lineRule="auto"/>
        <w:ind w:firstLine="0"/>
        <w:jc w:val="center"/>
        <w:rPr>
          <w:b/>
          <w:bCs/>
        </w:rPr>
      </w:pPr>
      <w:r>
        <w:rPr>
          <w:b/>
          <w:bCs/>
        </w:rPr>
        <w:lastRenderedPageBreak/>
        <w:t>LIST OF TABLES</w:t>
      </w:r>
    </w:p>
    <w:p w14:paraId="052C33CE" w14:textId="77777777" w:rsidR="00970B86" w:rsidRDefault="00970B86">
      <w:pPr>
        <w:spacing w:after="160" w:line="259" w:lineRule="auto"/>
        <w:ind w:firstLine="0"/>
        <w:jc w:val="left"/>
        <w:rPr>
          <w:b/>
          <w:bCs/>
        </w:rPr>
      </w:pPr>
      <w:r>
        <w:rPr>
          <w:b/>
          <w:bCs/>
        </w:rPr>
        <w:br w:type="page"/>
      </w:r>
    </w:p>
    <w:p w14:paraId="148CEF09" w14:textId="217D66A2" w:rsidR="0017150C" w:rsidRPr="00970B86" w:rsidRDefault="00970B86" w:rsidP="00970B86">
      <w:pPr>
        <w:spacing w:after="160" w:line="259" w:lineRule="auto"/>
        <w:ind w:firstLine="0"/>
        <w:jc w:val="center"/>
        <w:rPr>
          <w:b/>
          <w:bCs/>
        </w:rPr>
      </w:pPr>
      <w:r w:rsidRPr="00970B86">
        <w:rPr>
          <w:b/>
          <w:bCs/>
        </w:rPr>
        <w:lastRenderedPageBreak/>
        <w:t>LIST OF FIGURES</w:t>
      </w:r>
    </w:p>
    <w:p w14:paraId="6E0266C0" w14:textId="77777777" w:rsidR="00970B86" w:rsidRDefault="0017150C">
      <w:pPr>
        <w:spacing w:after="160" w:line="259" w:lineRule="auto"/>
        <w:ind w:firstLine="0"/>
        <w:jc w:val="left"/>
        <w:sectPr w:rsidR="00970B86" w:rsidSect="00970B86">
          <w:footerReference w:type="default" r:id="rId8"/>
          <w:pgSz w:w="12240" w:h="15840"/>
          <w:pgMar w:top="1440" w:right="1800" w:bottom="1872" w:left="1800" w:header="720" w:footer="720" w:gutter="0"/>
          <w:pgNumType w:fmt="lowerRoman" w:start="1"/>
          <w:cols w:space="720"/>
          <w:titlePg/>
          <w:docGrid w:linePitch="360"/>
        </w:sectPr>
      </w:pPr>
      <w:r>
        <w:br w:type="page"/>
      </w:r>
    </w:p>
    <w:p w14:paraId="5406E94C" w14:textId="77777777" w:rsidR="0017150C" w:rsidRDefault="0017150C">
      <w:pPr>
        <w:spacing w:after="160" w:line="259" w:lineRule="auto"/>
        <w:ind w:firstLine="0"/>
        <w:jc w:val="left"/>
      </w:pPr>
    </w:p>
    <w:p w14:paraId="584E5912" w14:textId="77777777" w:rsidR="00132420" w:rsidRDefault="00132420">
      <w:pPr>
        <w:spacing w:after="160" w:line="259" w:lineRule="auto"/>
        <w:ind w:firstLine="0"/>
        <w:jc w:val="left"/>
      </w:pPr>
    </w:p>
    <w:p w14:paraId="592B589D" w14:textId="77777777" w:rsidR="0017150C" w:rsidRDefault="0017150C">
      <w:pPr>
        <w:spacing w:after="160" w:line="259" w:lineRule="auto"/>
        <w:ind w:firstLine="0"/>
        <w:jc w:val="left"/>
      </w:pPr>
    </w:p>
    <w:p w14:paraId="529BDC78" w14:textId="49FE99D6" w:rsidR="00132420" w:rsidRDefault="00132420" w:rsidP="00F037FF">
      <w:pPr>
        <w:pStyle w:val="Heading1"/>
        <w:ind w:firstLine="0"/>
      </w:pPr>
      <w:bookmarkStart w:id="1" w:name="_Toc190951765"/>
      <w:r w:rsidRPr="00132420">
        <w:t>Chapter 1</w:t>
      </w:r>
      <w:r w:rsidR="00F037FF">
        <w:br/>
      </w:r>
      <w:r w:rsidRPr="00132420">
        <w:t>Introduction</w:t>
      </w:r>
      <w:bookmarkEnd w:id="1"/>
    </w:p>
    <w:p w14:paraId="03457150" w14:textId="77777777" w:rsidR="00132420" w:rsidRDefault="00132420">
      <w:pPr>
        <w:spacing w:after="160" w:line="259" w:lineRule="auto"/>
        <w:ind w:firstLine="0"/>
        <w:jc w:val="left"/>
        <w:rPr>
          <w:rFonts w:eastAsiaTheme="majorEastAsia"/>
          <w:b/>
          <w:bCs/>
          <w:sz w:val="56"/>
          <w:szCs w:val="56"/>
        </w:rPr>
      </w:pPr>
      <w:r>
        <w:br w:type="page"/>
      </w:r>
    </w:p>
    <w:p w14:paraId="729B6F37" w14:textId="4BFE8D2D" w:rsidR="00132420" w:rsidRPr="004E55F3" w:rsidRDefault="00132420" w:rsidP="005304A1">
      <w:pPr>
        <w:pStyle w:val="Heading2"/>
      </w:pPr>
      <w:bookmarkStart w:id="2" w:name="_Toc190951766"/>
      <w:bookmarkStart w:id="3" w:name="_Hlk190961935"/>
      <w:r w:rsidRPr="004E55F3">
        <w:lastRenderedPageBreak/>
        <w:t>1.1 Current State of Automotive Materials</w:t>
      </w:r>
      <w:bookmarkEnd w:id="2"/>
    </w:p>
    <w:p w14:paraId="11F26711" w14:textId="77777777" w:rsidR="00132420" w:rsidRDefault="00132420" w:rsidP="00132420">
      <w:bookmarkStart w:id="4" w:name="_Hlk190962001"/>
      <w:bookmarkEnd w:id="3"/>
      <w:r w:rsidRPr="00132420">
        <w:t xml:space="preserve">Modern cars are made of a wide variety of materials, ranging from the steel and aluminum used in the vehicle body and engine, to glass used in the windshield and windows, and plastics and composites used throughout the interior and exterior of the car. By weight, steel and ferrous materials make up 55-65% of a car's composition, aluminum 9%, plastics 10-15%, rubber 7%, glass 3%, with miscellaneous materials (varnishes, paints, wires, </w:t>
      </w:r>
      <w:proofErr w:type="spellStart"/>
      <w:r w:rsidRPr="00132420">
        <w:t>etc</w:t>
      </w:r>
      <w:proofErr w:type="spellEnd"/>
      <w:r w:rsidRPr="00132420">
        <w:t xml:space="preserve">) making up the balance </w:t>
      </w:r>
      <w:r w:rsidRPr="00132420">
        <w:fldChar w:fldCharType="begin"/>
      </w:r>
      <w:r w:rsidRPr="00132420">
        <w:instrText xml:space="preserve"> ADDIN ZOTERO_ITEM CSL_CITATION {"citationID":"8s5CNbtE","properties":{"formattedCitation":"[1]","plainCitation":"[1]","noteIndex":0},"citationItems":[{"id":1095,"uris":["http://zotero.org/users/3415649/items/M5UIJ5CB"],"itemData":{"id":1095,"type":"article-journal","abstract":"The car industry uses a tremendous number of materials to build cars, including iron, aluminum, steel, glass, rubber, petroleum products, copper, steel and others. These materials have evolved greatly over the decades, becoming more sophisticated, better built, and safer. They've changed as new automotive manufacturing technologies have emerged over the years, and they're used in increasingly innovative ways. This article is devoted to systematization information on the introduction and application of modern materials in the automotive industry.","container-title":"Journal of Engineering Sciences","DOI":"10.21272/jes.2017.4(2).f8","ISSN":"23122498, 24149381","issue":"2","journalAbbreviation":"JES","language":"en","page":"f8-f18","source":"DOI.org (Crossref)","title":"Modern materials for automotive industry","volume":"4","author":[{"family":"Hovorun","given":"T. P."},{"family":"Berladir","given":"K. V."},{"family":"Pererva","given":"V. I."},{"family":"Rudenko","given":"S. G."},{"family":"Martynov","given":"A. I."}],"issued":{"date-parts":[["2017"]]}}}],"schema":"https://github.com/citation-style-language/schema/raw/master/csl-citation.json"} </w:instrText>
      </w:r>
      <w:r w:rsidRPr="00132420">
        <w:fldChar w:fldCharType="separate"/>
      </w:r>
      <w:r w:rsidRPr="00132420">
        <w:t>[1]</w:t>
      </w:r>
      <w:r w:rsidRPr="00132420">
        <w:fldChar w:fldCharType="end"/>
      </w:r>
      <w:r w:rsidRPr="00132420">
        <w:t xml:space="preserve">. This composition has changed significantly over the past 50 years as car manufacturers have targeted improved fuel economy, with a focus on reducing the weight of the car by replacing steel components with other lighter materials </w:t>
      </w:r>
      <w:r w:rsidRPr="00132420">
        <w:fldChar w:fldCharType="begin"/>
      </w:r>
      <w:r w:rsidRPr="00132420">
        <w:instrText xml:space="preserve"> ADDIN ZOTERO_ITEM CSL_CITATION {"citationID":"iEzK10lu","properties":{"formattedCitation":"[2]","plainCitation":"[2]","noteIndex":0},"citationItems":[{"id":1092,"uris":["http://zotero.org/users/3415649/items/WFHCFBI4"],"itemData":{"id":1092,"type":"article-journal","issue":"08","language":"en","page":"6","source":"Zotero","title":"Automotive Materials: An Overview","volume":"07","author":[{"family":"Mishra","given":"Adit"}],"issued":{"date-parts":[["2020"]]}}}],"schema":"https://github.com/citation-style-language/schema/raw/master/csl-citation.json"} </w:instrText>
      </w:r>
      <w:r w:rsidRPr="00132420">
        <w:fldChar w:fldCharType="separate"/>
      </w:r>
      <w:r w:rsidRPr="00132420">
        <w:t>[2]</w:t>
      </w:r>
      <w:r w:rsidRPr="00132420">
        <w:fldChar w:fldCharType="end"/>
      </w:r>
      <w:r w:rsidRPr="00132420">
        <w:t>.</w:t>
      </w:r>
    </w:p>
    <w:p w14:paraId="6963F3AD" w14:textId="2079C415" w:rsidR="00132420" w:rsidRPr="00132420" w:rsidRDefault="00767F36" w:rsidP="009165A6">
      <w:pPr>
        <w:pStyle w:val="Heading3"/>
      </w:pPr>
      <w:bookmarkStart w:id="5" w:name="_Toc190951767"/>
      <w:bookmarkStart w:id="6" w:name="_Hlk190962082"/>
      <w:bookmarkEnd w:id="4"/>
      <w:r>
        <w:t xml:space="preserve">1.1.1 </w:t>
      </w:r>
      <w:r w:rsidR="00132420" w:rsidRPr="00132420">
        <w:t>Steel</w:t>
      </w:r>
      <w:bookmarkEnd w:id="5"/>
    </w:p>
    <w:p w14:paraId="5E6FF58D" w14:textId="77777777" w:rsidR="00132420" w:rsidRPr="00132420" w:rsidRDefault="00132420" w:rsidP="00132420">
      <w:r w:rsidRPr="00132420">
        <w:t>Steel represents a significant portion of the weight of a car, due to its high density (7.86 g/cm</w:t>
      </w:r>
      <w:r w:rsidRPr="00132420">
        <w:rPr>
          <w:vertAlign w:val="superscript"/>
        </w:rPr>
        <w:t>3</w:t>
      </w:r>
      <w:r w:rsidRPr="00132420">
        <w:t xml:space="preserve">). The automotive industry has long targeted reducing the amount of steel in cars for this reason, however it remains the industry standard for the vehicle body due to its well understood crash performance and ability to absorb impact. It is also significantly less expensive than other viable materials (composites, aluminum). Beyond its use in vehicle bodies, steel is used in other applications requiring high strength and temperature resistance, such as the engine, chassis, and wheels. The major disadvantages of steel are its previously mentioned high density, as well as low corrosion resistance and limited service life </w:t>
      </w:r>
      <w:r w:rsidRPr="00132420">
        <w:fldChar w:fldCharType="begin"/>
      </w:r>
      <w:r w:rsidRPr="00132420">
        <w:instrText xml:space="preserve"> ADDIN ZOTERO_ITEM CSL_CITATION {"citationID":"ka92Nbdn","properties":{"formattedCitation":"[3]","plainCitation":"[3]","noteIndex":0},"citationItems":[{"id":1093,"uris":["http://zotero.org/users/3415649/items/69WRECGJ"],"itemData":{"id":1093,"type":"chapter","container-title":"New Trends and Developments in Automotive Industry","ISBN":"978-953-307-999-8","language":"en","note":"DOI: 10.5772/13286","publisher":"InTech","source":"DOI.org (Crossref)","title":"Materials in Automotive Application, State of the Art and Prospects","URL":"http://www.intechopen.com/books/new-trends-and-developments-in-automotive-industry/materials-in-automotive-application-state-of-the-art-and-prospects","editor":[{"family":"Chiaberge","given":"Marcello"}],"author":[{"family":"Ghassemieh","given":"Elaheh"}],"accessed":{"date-parts":[["2022",1,27]]},"issued":{"date-parts":[["2011",1,8]]}}}],"schema":"https://github.com/citation-style-language/schema/raw/master/csl-citation.json"} </w:instrText>
      </w:r>
      <w:r w:rsidRPr="00132420">
        <w:fldChar w:fldCharType="separate"/>
      </w:r>
      <w:r w:rsidRPr="00132420">
        <w:t>[3]</w:t>
      </w:r>
      <w:r w:rsidRPr="00132420">
        <w:fldChar w:fldCharType="end"/>
      </w:r>
      <w:r w:rsidRPr="00132420">
        <w:t xml:space="preserve">. Steel also has a relatively high carbon footprint, with an estimated 1.85 tons of CO2 produced for every ton of steel, accounting for approximately 8% of global CO2 emissions as of 2018 </w:t>
      </w:r>
      <w:r w:rsidRPr="00132420">
        <w:fldChar w:fldCharType="begin"/>
      </w:r>
      <w:r w:rsidRPr="00132420">
        <w:instrText xml:space="preserve"> ADDIN ZOTERO_ITEM CSL_CITATION {"citationID":"tbh1HVYA","properties":{"formattedCitation":"[4]","plainCitation":"[4]","noteIndex":0},"citationItems":[{"id":1500,"uris":["http://zotero.org/users/3415649/items/VRDNW22F"],"itemData":{"id":1500,"type":"article-magazine","container-title":"McKinsey Company","title":"Decarbonization challenge for steel","URL":"https://www.mckinsey.com/industries/metals-and-mining/our-insights/decarbonization-challenge-for-steel","author":[{"family":"Hoffmann","given":"Christian"},{"family":"Van Hoey","given":"Michael"},{"family":"Zeumer","given":"Benedikt"}],"issued":{"date-parts":[["2020",6,3]]}}}],"schema":"https://github.com/citation-style-language/schema/raw/master/csl-citation.json"} </w:instrText>
      </w:r>
      <w:r w:rsidRPr="00132420">
        <w:fldChar w:fldCharType="separate"/>
      </w:r>
      <w:r w:rsidRPr="00132420">
        <w:t>[4]</w:t>
      </w:r>
      <w:r w:rsidRPr="00132420">
        <w:fldChar w:fldCharType="end"/>
      </w:r>
      <w:r w:rsidRPr="00132420">
        <w:t xml:space="preserve">. This can be significantly reduced through recycling, with an estimated reduction in CO2 by 1.5 tons for every ton of scrap steel used as feedstock rather than virgin </w:t>
      </w:r>
      <w:r w:rsidRPr="00132420">
        <w:fldChar w:fldCharType="begin"/>
      </w:r>
      <w:r w:rsidRPr="00132420">
        <w:instrText xml:space="preserve"> ADDIN ZOTERO_ITEM CSL_CITATION {"citationID":"1wWy5PUs","properties":{"formattedCitation":"[5]","plainCitation":"[5]","noteIndex":0},"citationItems":[{"id":1501,"uris":["http://zotero.org/users/3415649/items/XYLQEY3U"],"itemData":{"id":1501,"type":"article-magazine","container-title":"recycling today","title":"World Steel Association releases paper on CO2 emission reduction","URL":"https://www.recyclingtoday.com/article/worldsteel-co2-report/","author":[{"family":"Kamczyc","given":"Alex"}],"issued":{"date-parts":[["2021",5,17]]}}}],"schema":"https://github.com/citation-style-language/schema/raw/master/csl-citation.json"} </w:instrText>
      </w:r>
      <w:r w:rsidRPr="00132420">
        <w:fldChar w:fldCharType="separate"/>
      </w:r>
      <w:r w:rsidRPr="00132420">
        <w:t>[5]</w:t>
      </w:r>
      <w:r w:rsidRPr="00132420">
        <w:fldChar w:fldCharType="end"/>
      </w:r>
      <w:r w:rsidRPr="00132420">
        <w:t>.</w:t>
      </w:r>
    </w:p>
    <w:p w14:paraId="237EAF1F" w14:textId="5068101B" w:rsidR="00132420" w:rsidRPr="00132420" w:rsidRDefault="00767F36" w:rsidP="009165A6">
      <w:pPr>
        <w:pStyle w:val="Heading3"/>
      </w:pPr>
      <w:bookmarkStart w:id="7" w:name="_Toc190951768"/>
      <w:bookmarkStart w:id="8" w:name="_Hlk190962244"/>
      <w:bookmarkEnd w:id="6"/>
      <w:r>
        <w:t xml:space="preserve">1.1.2 </w:t>
      </w:r>
      <w:r w:rsidR="00132420" w:rsidRPr="00132420">
        <w:t>Aluminum</w:t>
      </w:r>
      <w:bookmarkEnd w:id="7"/>
    </w:p>
    <w:p w14:paraId="15A664FC" w14:textId="77777777" w:rsidR="00132420" w:rsidRPr="00132420" w:rsidRDefault="00132420" w:rsidP="00132420">
      <w:r w:rsidRPr="00132420">
        <w:t>Aluminum has increasingly been used as a replacement for steel because of its significantly lower density (2.70 g/cm</w:t>
      </w:r>
      <w:r w:rsidRPr="00132420">
        <w:rPr>
          <w:vertAlign w:val="superscript"/>
        </w:rPr>
        <w:t>3</w:t>
      </w:r>
      <w:r w:rsidRPr="00132420">
        <w:t xml:space="preserve">) and the associated weight savings. It is sometimes used in body-in-white applications, as its substitution for steel can produce up to a 50% weight savings for those components. However, due to the higher cost, its use is generally limited to more expensive car models. Aluminum has seen use in other automotive </w:t>
      </w:r>
      <w:r w:rsidRPr="00132420">
        <w:lastRenderedPageBreak/>
        <w:t xml:space="preserve">applications such as the powertrain, where it is used in the pistons, cylinder heads and intake manifolds, as well as the chassis (wheels, brackets, brake components, suspension), steering components, hoods, doors, and engine blocks. The disadvantages of using aluminum include its low reparability, higher cost than steel and the need for special equipment when manufacturing in place of steel </w:t>
      </w:r>
      <w:r w:rsidRPr="00132420">
        <w:fldChar w:fldCharType="begin"/>
      </w:r>
      <w:r w:rsidRPr="00132420">
        <w:instrText xml:space="preserve"> ADDIN ZOTERO_ITEM CSL_CITATION {"citationID":"oUo7tnUR","properties":{"formattedCitation":"[3]","plainCitation":"[3]","noteIndex":0},"citationItems":[{"id":1093,"uris":["http://zotero.org/users/3415649/items/69WRECGJ"],"itemData":{"id":1093,"type":"chapter","container-title":"New Trends and Developments in Automotive Industry","ISBN":"978-953-307-999-8","language":"en","note":"DOI: 10.5772/13286","publisher":"InTech","source":"DOI.org (Crossref)","title":"Materials in Automotive Application, State of the Art and Prospects","URL":"http://www.intechopen.com/books/new-trends-and-developments-in-automotive-industry/materials-in-automotive-application-state-of-the-art-and-prospects","editor":[{"family":"Chiaberge","given":"Marcello"}],"author":[{"family":"Ghassemieh","given":"Elaheh"}],"accessed":{"date-parts":[["2022",1,27]]},"issued":{"date-parts":[["2011",1,8]]}}}],"schema":"https://github.com/citation-style-language/schema/raw/master/csl-citation.json"} </w:instrText>
      </w:r>
      <w:r w:rsidRPr="00132420">
        <w:fldChar w:fldCharType="separate"/>
      </w:r>
      <w:r w:rsidRPr="00132420">
        <w:t>[3]</w:t>
      </w:r>
      <w:r w:rsidRPr="00132420">
        <w:fldChar w:fldCharType="end"/>
      </w:r>
      <w:r w:rsidRPr="00132420">
        <w:t xml:space="preserve">. Aluminum production also has a significantly higher carbon footprint than steel, with estimates of 7 – 14 ton CO2 produced for every ton of aluminum </w:t>
      </w:r>
      <w:r w:rsidRPr="00132420">
        <w:fldChar w:fldCharType="begin"/>
      </w:r>
      <w:r w:rsidRPr="00132420">
        <w:instrText xml:space="preserve"> ADDIN ZOTERO_ITEM CSL_CITATION {"citationID":"cZOVtS6V","properties":{"formattedCitation":"[6]","plainCitation":"[6]","noteIndex":0},"citationItems":[{"id":1503,"uris":["http://zotero.org/users/3415649/items/ABRACQ2Y"],"itemData":{"id":1503,"type":"article-journal","container-title":"Energy Procedia","DOI":"10.1016/j.egypro.2019.01.849","ISSN":"18766102","journalAbbreviation":"Energy Procedia","language":"en","page":"3937-3943","source":"DOI.org (Crossref)","title":"Life-cycle analysis of energy consumption and GHG emissions of aluminium production in China","volume":"158","author":[{"family":"Peng","given":"Tianduo"},{"family":"Ou","given":"Xunmin"},{"family":"Yan","given":"Xiaoyu"},{"family":"Wang","given":"Gehua"}],"issued":{"date-parts":[["2019",2]]}}}],"schema":"https://github.com/citation-style-language/schema/raw/master/csl-citation.json"} </w:instrText>
      </w:r>
      <w:r w:rsidRPr="00132420">
        <w:fldChar w:fldCharType="separate"/>
      </w:r>
      <w:r w:rsidRPr="00132420">
        <w:t>[6]</w:t>
      </w:r>
      <w:r w:rsidRPr="00132420">
        <w:fldChar w:fldCharType="end"/>
      </w:r>
      <w:r w:rsidRPr="00132420">
        <w:t xml:space="preserve">. This can be significantly reduced by using end of life aluminum scrap as a feedstock and renewable energy during manufacturing. One aluminum supplier estimates that the carbon footprint can be reduced by as much as 33x by using 100% end of life scrap in conjunction with green energy </w:t>
      </w:r>
      <w:r w:rsidRPr="00132420">
        <w:fldChar w:fldCharType="begin"/>
      </w:r>
      <w:r w:rsidRPr="00132420">
        <w:instrText xml:space="preserve"> ADDIN ZOTERO_ITEM CSL_CITATION {"citationID":"IgJ5fTC4","properties":{"formattedCitation":"[7]","plainCitation":"[7]","noteIndex":0},"citationItems":[{"id":1574,"uris":["http://zotero.org/users/3415649/items/RZ59PQFZ"],"itemData":{"id":1574,"type":"speech","event-title":"Carbon Neutral Vehicles &amp; LCA Virtual Congress 2022","title":"Decarbonizing the Aluminum Value Chain","author":[{"family":"Tjotta","given":"Stig"}],"issued":{"date-parts":[["2022",1,20]]}}}],"schema":"https://github.com/citation-style-language/schema/raw/master/csl-citation.json"} </w:instrText>
      </w:r>
      <w:r w:rsidRPr="00132420">
        <w:fldChar w:fldCharType="separate"/>
      </w:r>
      <w:r w:rsidRPr="00132420">
        <w:t>[7]</w:t>
      </w:r>
      <w:r w:rsidRPr="00132420">
        <w:fldChar w:fldCharType="end"/>
      </w:r>
      <w:r w:rsidRPr="00132420">
        <w:t>.</w:t>
      </w:r>
    </w:p>
    <w:p w14:paraId="367766F6" w14:textId="367B213C" w:rsidR="00132420" w:rsidRDefault="00767F36" w:rsidP="009165A6">
      <w:pPr>
        <w:pStyle w:val="Heading3"/>
      </w:pPr>
      <w:bookmarkStart w:id="9" w:name="_Toc190951769"/>
      <w:bookmarkStart w:id="10" w:name="_Hlk190962265"/>
      <w:bookmarkEnd w:id="8"/>
      <w:r>
        <w:t xml:space="preserve">1.1.3 </w:t>
      </w:r>
      <w:r w:rsidR="00246DDC">
        <w:t>Plastics and Composites</w:t>
      </w:r>
      <w:bookmarkEnd w:id="9"/>
    </w:p>
    <w:p w14:paraId="38E310B8" w14:textId="4BF46D90" w:rsidR="00246DDC" w:rsidRDefault="00246DDC" w:rsidP="00246DDC">
      <w:r>
        <w:t xml:space="preserve"> </w:t>
      </w:r>
      <w:r w:rsidRPr="004A56DE">
        <w:t xml:space="preserve">The use of plastics and composites in cars has significantly increased in the last 50 years from ~50 kg/car (1970) to ~160 kg/car (2010). By volume this increase is even more dramatic, with plastic materials making up ~50% of a modern car by volume </w:t>
      </w:r>
      <w:r w:rsidRPr="004A56DE">
        <w:fldChar w:fldCharType="begin"/>
      </w:r>
      <w:r w:rsidRPr="004A56DE">
        <w:instrText xml:space="preserve"> ADDIN ZOTERO_ITEM CSL_CITATION {"citationID":"CkCANesx","properties":{"formattedCitation":"[8]","plainCitation":"[8]","noteIndex":0},"citationItems":[{"id":1103,"uris":["http://zotero.org/users/3415649/items/398J27DG"],"itemData":{"id":1103,"type":"chapter","container-title":"Applied Plastics Engineering Handbook","ISBN":"978-0-323-39040-8","language":"en","note":"DOI: 10.1016/B978-0-323-39040-8.00031-6","page":"651-673","publisher":"Elsevier","source":"DOI.org (Crossref)","title":"Automotive Applications of Plastics: Past, Present, and Future","title-short":"Automotive Applications of Plastics","URL":"https://linkinghub.elsevier.com/retrieve/pii/B9780323390408000316","author":[{"family":"Pradeep","given":"Sai Aditya"},{"family":"Iyer","given":"Rakesh K."},{"family":"Kazan","given":"Hakan"},{"family":"Pilla","given":"Srikanth"}],"accessed":{"date-parts":[["2022",1,27]]},"issued":{"date-parts":[["2017"]]}}}],"schema":"https://github.com/citation-style-language/schema/raw/master/csl-citation.json"} </w:instrText>
      </w:r>
      <w:r w:rsidRPr="004A56DE">
        <w:fldChar w:fldCharType="separate"/>
      </w:r>
      <w:r w:rsidRPr="004A56DE">
        <w:t>[8]</w:t>
      </w:r>
      <w:r w:rsidRPr="004A56DE">
        <w:fldChar w:fldCharType="end"/>
      </w:r>
      <w:r w:rsidRPr="004A56DE">
        <w:t xml:space="preserve">. Plastic materials have seen this drastic increase in use as they provide a number of advantages over traditional automotive materials including reduced weight from low densities, design flexibility, corrosion resistance, and wide variety of material properties based on composition. Because of this, plastics are used in a broad range of applications including exterior, interior and under the hood components.  Although a wide variety of plastics are used in automotive applications, three polymers make up two thirds of the plastics used in cars: polypropylene (32%), polyurethane (17%), and polyvinyl chloride (16%) </w:t>
      </w:r>
      <w:r w:rsidRPr="004A56DE">
        <w:fldChar w:fldCharType="begin"/>
      </w:r>
      <w:r w:rsidRPr="004A56DE">
        <w:instrText xml:space="preserve"> ADDIN ZOTERO_ITEM CSL_CITATION {"citationID":"uZIiMipn","properties":{"formattedCitation":"[9]","plainCitation":"[9]","noteIndex":0},"citationItems":[{"id":1102,"uris":["http://zotero.org/users/3415649/items/EZXMHXUW"],"itemData":{"id":1102,"type":"article-journal","abstract":"Mechanical components and structures are designed and developed for carrying out certain tasks and are subjected to high stresses, high temperature and corrosive environment. This can ultimately lead to its failure. Over the past few decades, high performance plastic materials in automobiles have experienced a real boom and their applications are increasing with a tendency of further growth. The polymers are finding their way deep inside most of the applications primarily because of light weight and relatively better properties. The average global plastic penetration is 120 kg/vehicle and average Indian plastic penetration is 60 kg/ vehicle. A wide variety of plastic are used in vehicles. The basic functions of such wide use of high performance plastic materials in vehicles dictate the appearance of the automobiles, their functionality, economy and low fuel consumption. The application of polymeric materials allows more freedom in design and approximately 82 percent of an average vehicle’s Weight gets recycled. The focus of present study is to give comprehensive review of high performance plastic materials and their applications in the area of automotive comfort and safety.","container-title":"Materials Today: Proceedings","DOI":"10.1016/j.matpr.2017.02.278","ISSN":"22147853","issue":"2","journalAbbreviation":"Materials Today: Proceedings","language":"en","page":"3807-3815","source":"DOI.org (Crossref)","title":"An overview of Polymeric Materials for Automotive Applications","volume":"4","author":[{"family":"Patil","given":"Akshat"},{"family":"Patel","given":"Arun"},{"family":"Purohit","given":"Rajesh"}],"issued":{"date-parts":[["2017"]]}}}],"schema":"https://github.com/citation-style-language/schema/raw/master/csl-citation.json"} </w:instrText>
      </w:r>
      <w:r w:rsidRPr="004A56DE">
        <w:fldChar w:fldCharType="separate"/>
      </w:r>
      <w:r w:rsidRPr="004A56DE">
        <w:t>[9]</w:t>
      </w:r>
      <w:r w:rsidRPr="004A56DE">
        <w:fldChar w:fldCharType="end"/>
      </w:r>
      <w:r w:rsidRPr="004A56DE">
        <w:t xml:space="preserve">. </w:t>
      </w:r>
      <w:r w:rsidRPr="004E55F3">
        <w:rPr>
          <w:b/>
          <w:bCs/>
        </w:rPr>
        <w:t>Table 1.1</w:t>
      </w:r>
      <w:r w:rsidRPr="004A56DE">
        <w:t xml:space="preserve"> details the types of plastics which are used in different applications. </w:t>
      </w:r>
    </w:p>
    <w:p w14:paraId="143CFE97" w14:textId="1540A80C" w:rsidR="00246DDC" w:rsidRDefault="00767F36" w:rsidP="009165A6">
      <w:pPr>
        <w:pStyle w:val="Heading3"/>
      </w:pPr>
      <w:bookmarkStart w:id="11" w:name="_Toc190951770"/>
      <w:bookmarkStart w:id="12" w:name="_Hlk190962290"/>
      <w:bookmarkEnd w:id="10"/>
      <w:r>
        <w:t xml:space="preserve">1.1.4 </w:t>
      </w:r>
      <w:r w:rsidR="004E55F3">
        <w:t>Other Materials</w:t>
      </w:r>
      <w:bookmarkEnd w:id="11"/>
    </w:p>
    <w:p w14:paraId="3717EE67" w14:textId="77777777" w:rsidR="001A3AB6" w:rsidRDefault="004E55F3" w:rsidP="004E55F3">
      <w:r w:rsidRPr="004E55F3">
        <w:t xml:space="preserve">Other materials used by the automotive industry include glass, rubber, magnesium, titanium, and copper. Glass is still used for the windshields and windows of passenger automobiles for safety reasons, as glass can more easily be broken for escape during emergencies than transparent plastics, such as PMMA or PC. Windshields are made of laminated glass, which contain a layer of </w:t>
      </w:r>
      <w:proofErr w:type="spellStart"/>
      <w:r w:rsidRPr="004E55F3">
        <w:t>polyvinylbutyral</w:t>
      </w:r>
      <w:proofErr w:type="spellEnd"/>
      <w:r w:rsidRPr="004E55F3">
        <w:t xml:space="preserve"> (PVB) sandwiched between two</w:t>
      </w:r>
      <w:r>
        <w:t xml:space="preserve"> </w:t>
      </w:r>
      <w:r w:rsidRPr="004E55F3">
        <w:t xml:space="preserve">sheets of glass, while side windows are composed of tempered glass. Rubber is used for </w:t>
      </w:r>
    </w:p>
    <w:bookmarkEnd w:id="12"/>
    <w:p w14:paraId="23D5EE1E" w14:textId="77777777" w:rsidR="001A3AB6" w:rsidRDefault="001A3AB6">
      <w:pPr>
        <w:spacing w:after="160" w:line="259" w:lineRule="auto"/>
        <w:ind w:firstLine="0"/>
        <w:jc w:val="left"/>
      </w:pPr>
      <w:r>
        <w:br w:type="page"/>
      </w:r>
    </w:p>
    <w:p w14:paraId="497A2315" w14:textId="6DB5F262" w:rsidR="001A3AB6" w:rsidRPr="001A3AB6" w:rsidRDefault="001A3AB6" w:rsidP="00894444">
      <w:pPr>
        <w:pStyle w:val="TableDescription"/>
      </w:pPr>
      <w:r w:rsidRPr="00894444">
        <w:rPr>
          <w:b/>
          <w:bCs/>
        </w:rPr>
        <w:lastRenderedPageBreak/>
        <w:t>Table 1.1</w:t>
      </w:r>
      <w:r w:rsidRPr="001A3AB6">
        <w:t xml:space="preserve"> </w:t>
      </w:r>
      <w:r w:rsidRPr="001A3AB6">
        <w:rPr>
          <w:rStyle w:val="TableDescriptionChar"/>
        </w:rPr>
        <w:t>Automotive applications of commonly used plastic materials</w:t>
      </w:r>
      <w:r w:rsidRPr="001A3AB6">
        <w:t xml:space="preserve"> </w:t>
      </w:r>
    </w:p>
    <w:tbl>
      <w:tblPr>
        <w:tblStyle w:val="TableGrid"/>
        <w:tblW w:w="8640" w:type="dxa"/>
        <w:tblInd w:w="-5" w:type="dxa"/>
        <w:tblLook w:val="04A0" w:firstRow="1" w:lastRow="0" w:firstColumn="1" w:lastColumn="0" w:noHBand="0" w:noVBand="1"/>
      </w:tblPr>
      <w:tblGrid>
        <w:gridCol w:w="2595"/>
        <w:gridCol w:w="6045"/>
      </w:tblGrid>
      <w:tr w:rsidR="001A3AB6" w:rsidRPr="001A3AB6" w14:paraId="57080DFB" w14:textId="77777777" w:rsidTr="001A3AB6">
        <w:tc>
          <w:tcPr>
            <w:tcW w:w="2595" w:type="dxa"/>
            <w:tcBorders>
              <w:top w:val="single" w:sz="4" w:space="0" w:color="auto"/>
            </w:tcBorders>
            <w:vAlign w:val="center"/>
            <w:hideMark/>
          </w:tcPr>
          <w:p w14:paraId="73197839" w14:textId="77777777" w:rsidR="001A3AB6" w:rsidRPr="001A3AB6" w:rsidRDefault="001A3AB6" w:rsidP="001A3AB6">
            <w:pPr>
              <w:spacing w:after="160" w:line="259" w:lineRule="auto"/>
              <w:ind w:firstLine="0"/>
              <w:jc w:val="left"/>
            </w:pPr>
            <w:r w:rsidRPr="001A3AB6">
              <w:rPr>
                <w:b/>
                <w:bCs/>
              </w:rPr>
              <w:t>Polymer</w:t>
            </w:r>
          </w:p>
        </w:tc>
        <w:tc>
          <w:tcPr>
            <w:tcW w:w="6045" w:type="dxa"/>
            <w:tcBorders>
              <w:top w:val="single" w:sz="4" w:space="0" w:color="auto"/>
            </w:tcBorders>
            <w:vAlign w:val="center"/>
            <w:hideMark/>
          </w:tcPr>
          <w:p w14:paraId="33261533" w14:textId="1214928D" w:rsidR="001A3AB6" w:rsidRPr="001A3AB6" w:rsidRDefault="001A3AB6" w:rsidP="001A3AB6">
            <w:pPr>
              <w:spacing w:after="160" w:line="259" w:lineRule="auto"/>
              <w:ind w:firstLine="0"/>
              <w:jc w:val="left"/>
            </w:pPr>
            <w:r w:rsidRPr="001A3AB6">
              <w:rPr>
                <w:b/>
                <w:bCs/>
              </w:rPr>
              <w:t>Automotive Applications</w:t>
            </w:r>
            <w:r w:rsidR="00894444">
              <w:rPr>
                <w:b/>
                <w:bCs/>
              </w:rPr>
              <w:t xml:space="preserve"> </w:t>
            </w:r>
            <w:r w:rsidRPr="001A3AB6">
              <w:rPr>
                <w:b/>
                <w:bCs/>
              </w:rPr>
              <w:fldChar w:fldCharType="begin"/>
            </w:r>
            <w:r w:rsidRPr="001A3AB6">
              <w:rPr>
                <w:b/>
                <w:bCs/>
              </w:rPr>
              <w:instrText xml:space="preserve"> ADDIN ZOTERO_ITEM CSL_CITATION {"citationID":"Uj6Ybm7k","properties":{"formattedCitation":"[8,9]","plainCitation":"[8,9]","noteIndex":0},"citationItems":[{"id":1103,"uris":["http://zotero.org/users/3415649/items/398J27DG"],"itemData":{"id":1103,"type":"chapter","container-title":"Applied Plastics Engineering Handbook","ISBN":"978-0-323-39040-8","language":"en","note":"DOI: 10.1016/B978-0-323-39040-8.00031-6","page":"651-673","publisher":"Elsevier","source":"DOI.org (Crossref)","title":"Automotive Applications of Plastics: Past, Present, and Future","title-short":"Automotive Applications of Plastics","URL":"https://linkinghub.elsevier.com/retrieve/pii/B9780323390408000316","author":[{"family":"Pradeep","given":"Sai Aditya"},{"family":"Iyer","given":"Rakesh K."},{"family":"Kazan","given":"Hakan"},{"family":"Pilla","given":"Srikanth"}],"accessed":{"date-parts":[["2022",1,27]]},"issued":{"date-parts":[["2017"]]}}},{"id":1102,"uris":["http://zotero.org/users/3415649/items/EZXMHXUW"],"itemData":{"id":1102,"type":"article-journal","abstract":"Mechanical components and structures are designed and developed for carrying out certain tasks and are subjected to high stresses, high temperature and corrosive environment. This can ultimately lead to its failure. Over the past few decades, high performance plastic materials in automobiles have experienced a real boom and their applications are increasing with a tendency of further growth. The polymers are finding their way deep inside most of the applications primarily because of light weight and relatively better properties. The average global plastic penetration is 120 kg/vehicle and average Indian plastic penetration is 60 kg/ vehicle. A wide variety of plastic are used in vehicles. The basic functions of such wide use of high performance plastic materials in vehicles dictate the appearance of the automobiles, their functionality, economy and low fuel consumption. The application of polymeric materials allows more freedom in design and approximately 82 percent of an average vehicle’s Weight gets recycled. The focus of present study is to give comprehensive review of high performance plastic materials and their applications in the area of automotive comfort and safety.","container-title":"Materials Today: Proceedings","DOI":"10.1016/j.matpr.2017.02.278","ISSN":"22147853","issue":"2","journalAbbreviation":"Materials Today: Proceedings","language":"en","page":"3807-3815","source":"DOI.org (Crossref)","title":"An overview of Polymeric Materials for Automotive Applications","volume":"4","author":[{"family":"Patil","given":"Akshat"},{"family":"Patel","given":"Arun"},{"family":"Purohit","given":"Rajesh"}],"issued":{"date-parts":[["2017"]]}}}],"schema":"https://github.com/citation-style-language/schema/raw/master/csl-citation.json"} </w:instrText>
            </w:r>
            <w:r w:rsidRPr="001A3AB6">
              <w:rPr>
                <w:b/>
                <w:bCs/>
              </w:rPr>
              <w:fldChar w:fldCharType="separate"/>
            </w:r>
            <w:r w:rsidRPr="001A3AB6">
              <w:t>[8,9]</w:t>
            </w:r>
            <w:r w:rsidRPr="001A3AB6">
              <w:fldChar w:fldCharType="end"/>
            </w:r>
          </w:p>
        </w:tc>
      </w:tr>
      <w:tr w:rsidR="001A3AB6" w:rsidRPr="001A3AB6" w14:paraId="27289979" w14:textId="77777777" w:rsidTr="001A3AB6">
        <w:tc>
          <w:tcPr>
            <w:tcW w:w="2595" w:type="dxa"/>
            <w:vAlign w:val="center"/>
            <w:hideMark/>
          </w:tcPr>
          <w:p w14:paraId="6B0D48D2" w14:textId="77777777" w:rsidR="001A3AB6" w:rsidRPr="001A3AB6" w:rsidRDefault="001A3AB6" w:rsidP="001A3AB6">
            <w:pPr>
              <w:spacing w:after="160" w:line="259" w:lineRule="auto"/>
              <w:ind w:firstLine="0"/>
              <w:jc w:val="left"/>
            </w:pPr>
            <w:r w:rsidRPr="001A3AB6">
              <w:t>Polypropylene (PP)</w:t>
            </w:r>
          </w:p>
        </w:tc>
        <w:tc>
          <w:tcPr>
            <w:tcW w:w="6045" w:type="dxa"/>
            <w:vAlign w:val="center"/>
            <w:hideMark/>
          </w:tcPr>
          <w:p w14:paraId="77AF9D0B" w14:textId="77777777" w:rsidR="001A3AB6" w:rsidRPr="001A3AB6" w:rsidRDefault="001A3AB6" w:rsidP="001A3AB6">
            <w:pPr>
              <w:spacing w:after="160" w:line="259" w:lineRule="auto"/>
              <w:ind w:firstLine="0"/>
              <w:jc w:val="left"/>
            </w:pPr>
            <w:r w:rsidRPr="001A3AB6">
              <w:t>Bumper, dashboard, fuel system, body, under the hood, interior trim, electrical components, exterior trim, upholstery, liquid reservoirs</w:t>
            </w:r>
          </w:p>
        </w:tc>
      </w:tr>
      <w:tr w:rsidR="001A3AB6" w:rsidRPr="001A3AB6" w14:paraId="5FB50EAF" w14:textId="77777777" w:rsidTr="001A3AB6">
        <w:tc>
          <w:tcPr>
            <w:tcW w:w="2595" w:type="dxa"/>
            <w:vAlign w:val="center"/>
            <w:hideMark/>
          </w:tcPr>
          <w:p w14:paraId="5B946EC7" w14:textId="77777777" w:rsidR="001A3AB6" w:rsidRPr="001A3AB6" w:rsidRDefault="001A3AB6" w:rsidP="001A3AB6">
            <w:pPr>
              <w:spacing w:after="160" w:line="259" w:lineRule="auto"/>
              <w:ind w:firstLine="0"/>
              <w:jc w:val="left"/>
            </w:pPr>
            <w:r w:rsidRPr="001A3AB6">
              <w:t>Polyurethane (PUR)</w:t>
            </w:r>
          </w:p>
        </w:tc>
        <w:tc>
          <w:tcPr>
            <w:tcW w:w="6045" w:type="dxa"/>
            <w:vAlign w:val="center"/>
            <w:hideMark/>
          </w:tcPr>
          <w:p w14:paraId="686AAE7E" w14:textId="77777777" w:rsidR="001A3AB6" w:rsidRPr="001A3AB6" w:rsidRDefault="001A3AB6" w:rsidP="001A3AB6">
            <w:pPr>
              <w:spacing w:after="160" w:line="259" w:lineRule="auto"/>
              <w:ind w:firstLine="0"/>
              <w:jc w:val="left"/>
            </w:pPr>
            <w:r w:rsidRPr="001A3AB6">
              <w:t>Foam seating, foam insulation panels, suspension bushings, cushions, upholstery</w:t>
            </w:r>
          </w:p>
        </w:tc>
      </w:tr>
      <w:tr w:rsidR="001A3AB6" w:rsidRPr="001A3AB6" w14:paraId="11892A58" w14:textId="77777777" w:rsidTr="001A3AB6">
        <w:tc>
          <w:tcPr>
            <w:tcW w:w="2595" w:type="dxa"/>
            <w:vAlign w:val="center"/>
            <w:hideMark/>
          </w:tcPr>
          <w:p w14:paraId="40013387" w14:textId="77777777" w:rsidR="001A3AB6" w:rsidRPr="001A3AB6" w:rsidRDefault="001A3AB6" w:rsidP="001A3AB6">
            <w:pPr>
              <w:spacing w:after="160" w:line="259" w:lineRule="auto"/>
              <w:ind w:firstLine="0"/>
              <w:jc w:val="left"/>
            </w:pPr>
            <w:r w:rsidRPr="001A3AB6">
              <w:t>Polyvinyl Chloride (PVC)</w:t>
            </w:r>
          </w:p>
        </w:tc>
        <w:tc>
          <w:tcPr>
            <w:tcW w:w="6045" w:type="dxa"/>
            <w:vAlign w:val="center"/>
            <w:hideMark/>
          </w:tcPr>
          <w:p w14:paraId="0922A7B9" w14:textId="77777777" w:rsidR="001A3AB6" w:rsidRPr="001A3AB6" w:rsidRDefault="001A3AB6" w:rsidP="001A3AB6">
            <w:pPr>
              <w:spacing w:after="160" w:line="259" w:lineRule="auto"/>
              <w:ind w:firstLine="0"/>
              <w:jc w:val="left"/>
            </w:pPr>
            <w:r w:rsidRPr="001A3AB6">
              <w:t>Instrument panels, sheathing of electrical cables, floor protection, seating, interior trim, upholstery</w:t>
            </w:r>
          </w:p>
        </w:tc>
      </w:tr>
      <w:tr w:rsidR="001A3AB6" w:rsidRPr="001A3AB6" w14:paraId="36D26C82" w14:textId="77777777" w:rsidTr="001A3AB6">
        <w:tc>
          <w:tcPr>
            <w:tcW w:w="2595" w:type="dxa"/>
            <w:vAlign w:val="center"/>
            <w:hideMark/>
          </w:tcPr>
          <w:p w14:paraId="562A260B" w14:textId="77777777" w:rsidR="001A3AB6" w:rsidRPr="001A3AB6" w:rsidRDefault="001A3AB6" w:rsidP="001A3AB6">
            <w:pPr>
              <w:spacing w:after="160" w:line="259" w:lineRule="auto"/>
              <w:ind w:firstLine="0"/>
              <w:jc w:val="left"/>
            </w:pPr>
            <w:r w:rsidRPr="001A3AB6">
              <w:t>Polycarbonate (PC)</w:t>
            </w:r>
          </w:p>
        </w:tc>
        <w:tc>
          <w:tcPr>
            <w:tcW w:w="6045" w:type="dxa"/>
            <w:vAlign w:val="center"/>
            <w:hideMark/>
          </w:tcPr>
          <w:p w14:paraId="2A02570E" w14:textId="77777777" w:rsidR="001A3AB6" w:rsidRPr="001A3AB6" w:rsidRDefault="001A3AB6" w:rsidP="001A3AB6">
            <w:pPr>
              <w:spacing w:after="160" w:line="259" w:lineRule="auto"/>
              <w:ind w:firstLine="0"/>
              <w:jc w:val="left"/>
            </w:pPr>
            <w:r w:rsidRPr="001A3AB6">
              <w:t>Bumpers, headlamp lenses, dashboard, lighting</w:t>
            </w:r>
          </w:p>
        </w:tc>
      </w:tr>
      <w:tr w:rsidR="001A3AB6" w:rsidRPr="001A3AB6" w14:paraId="3E8E6ECC" w14:textId="77777777" w:rsidTr="001A3AB6">
        <w:tc>
          <w:tcPr>
            <w:tcW w:w="2595" w:type="dxa"/>
            <w:vAlign w:val="center"/>
            <w:hideMark/>
          </w:tcPr>
          <w:p w14:paraId="41998873" w14:textId="77777777" w:rsidR="001A3AB6" w:rsidRPr="001A3AB6" w:rsidRDefault="001A3AB6" w:rsidP="001A3AB6">
            <w:pPr>
              <w:spacing w:after="160" w:line="259" w:lineRule="auto"/>
              <w:ind w:firstLine="0"/>
              <w:jc w:val="left"/>
            </w:pPr>
            <w:r w:rsidRPr="001A3AB6">
              <w:t>Acrylonitrile Butadiene Styrene (ABS)</w:t>
            </w:r>
          </w:p>
        </w:tc>
        <w:tc>
          <w:tcPr>
            <w:tcW w:w="6045" w:type="dxa"/>
            <w:vAlign w:val="center"/>
            <w:hideMark/>
          </w:tcPr>
          <w:p w14:paraId="3A1479B9" w14:textId="77777777" w:rsidR="001A3AB6" w:rsidRPr="001A3AB6" w:rsidRDefault="001A3AB6" w:rsidP="001A3AB6">
            <w:pPr>
              <w:spacing w:after="160" w:line="259" w:lineRule="auto"/>
              <w:ind w:firstLine="0"/>
              <w:jc w:val="left"/>
            </w:pPr>
            <w:r w:rsidRPr="001A3AB6">
              <w:t>Body parts, dashboards, wheel covers, seating, exterior trim, interior trim, bumpers</w:t>
            </w:r>
          </w:p>
        </w:tc>
      </w:tr>
      <w:tr w:rsidR="001A3AB6" w:rsidRPr="001A3AB6" w14:paraId="43ADAF81" w14:textId="77777777" w:rsidTr="001A3AB6">
        <w:tc>
          <w:tcPr>
            <w:tcW w:w="2595" w:type="dxa"/>
            <w:vAlign w:val="center"/>
            <w:hideMark/>
          </w:tcPr>
          <w:p w14:paraId="793D519C" w14:textId="77777777" w:rsidR="001A3AB6" w:rsidRPr="001A3AB6" w:rsidRDefault="001A3AB6" w:rsidP="001A3AB6">
            <w:pPr>
              <w:spacing w:after="160" w:line="259" w:lineRule="auto"/>
              <w:ind w:firstLine="0"/>
              <w:jc w:val="left"/>
            </w:pPr>
            <w:r w:rsidRPr="001A3AB6">
              <w:t>Nylon</w:t>
            </w:r>
          </w:p>
        </w:tc>
        <w:tc>
          <w:tcPr>
            <w:tcW w:w="6045" w:type="dxa"/>
            <w:vAlign w:val="center"/>
            <w:hideMark/>
          </w:tcPr>
          <w:p w14:paraId="4070D524" w14:textId="77777777" w:rsidR="001A3AB6" w:rsidRPr="001A3AB6" w:rsidRDefault="001A3AB6" w:rsidP="001A3AB6">
            <w:pPr>
              <w:spacing w:after="160" w:line="259" w:lineRule="auto"/>
              <w:ind w:firstLine="0"/>
              <w:jc w:val="left"/>
            </w:pPr>
            <w:r w:rsidRPr="001A3AB6">
              <w:t>Parts under the engine hood (typically reinforced with glass fiber), seating, electrical components, exterior trim, liquid reservoirs</w:t>
            </w:r>
          </w:p>
        </w:tc>
      </w:tr>
      <w:tr w:rsidR="001A3AB6" w:rsidRPr="001A3AB6" w14:paraId="4E331D71" w14:textId="77777777" w:rsidTr="001A3AB6">
        <w:tc>
          <w:tcPr>
            <w:tcW w:w="2595" w:type="dxa"/>
            <w:vAlign w:val="center"/>
            <w:hideMark/>
          </w:tcPr>
          <w:p w14:paraId="7932B124" w14:textId="77777777" w:rsidR="001A3AB6" w:rsidRPr="001A3AB6" w:rsidRDefault="001A3AB6" w:rsidP="001A3AB6">
            <w:pPr>
              <w:spacing w:after="160" w:line="259" w:lineRule="auto"/>
              <w:ind w:firstLine="0"/>
              <w:jc w:val="left"/>
            </w:pPr>
            <w:r w:rsidRPr="001A3AB6">
              <w:t>Polystyrene (PS)</w:t>
            </w:r>
          </w:p>
        </w:tc>
        <w:tc>
          <w:tcPr>
            <w:tcW w:w="6045" w:type="dxa"/>
            <w:vAlign w:val="center"/>
            <w:hideMark/>
          </w:tcPr>
          <w:p w14:paraId="28C2A4A5" w14:textId="77777777" w:rsidR="001A3AB6" w:rsidRPr="001A3AB6" w:rsidRDefault="001A3AB6" w:rsidP="001A3AB6">
            <w:pPr>
              <w:spacing w:after="160" w:line="259" w:lineRule="auto"/>
              <w:ind w:firstLine="0"/>
              <w:jc w:val="left"/>
            </w:pPr>
            <w:r w:rsidRPr="001A3AB6">
              <w:t>Bumpers, equipment housings, buttons, car fittings, display bases</w:t>
            </w:r>
          </w:p>
        </w:tc>
      </w:tr>
      <w:tr w:rsidR="001A3AB6" w:rsidRPr="001A3AB6" w14:paraId="36F60687" w14:textId="77777777" w:rsidTr="001A3AB6">
        <w:tc>
          <w:tcPr>
            <w:tcW w:w="2595" w:type="dxa"/>
            <w:vAlign w:val="center"/>
            <w:hideMark/>
          </w:tcPr>
          <w:p w14:paraId="19FD472D" w14:textId="77777777" w:rsidR="001A3AB6" w:rsidRPr="001A3AB6" w:rsidRDefault="001A3AB6" w:rsidP="001A3AB6">
            <w:pPr>
              <w:spacing w:after="160" w:line="259" w:lineRule="auto"/>
              <w:ind w:firstLine="0"/>
              <w:jc w:val="left"/>
            </w:pPr>
            <w:r w:rsidRPr="001A3AB6">
              <w:t>Polyethylene (PE)</w:t>
            </w:r>
          </w:p>
        </w:tc>
        <w:tc>
          <w:tcPr>
            <w:tcW w:w="6045" w:type="dxa"/>
            <w:vAlign w:val="center"/>
            <w:hideMark/>
          </w:tcPr>
          <w:p w14:paraId="24A05BFF" w14:textId="77777777" w:rsidR="001A3AB6" w:rsidRPr="001A3AB6" w:rsidRDefault="001A3AB6" w:rsidP="001A3AB6">
            <w:pPr>
              <w:spacing w:after="160" w:line="259" w:lineRule="auto"/>
              <w:ind w:firstLine="0"/>
              <w:jc w:val="left"/>
            </w:pPr>
            <w:r w:rsidRPr="001A3AB6">
              <w:t>Car body (reinforced with glass fiber)</w:t>
            </w:r>
          </w:p>
        </w:tc>
      </w:tr>
      <w:tr w:rsidR="001A3AB6" w:rsidRPr="001A3AB6" w14:paraId="10DCD577" w14:textId="77777777" w:rsidTr="001A3AB6">
        <w:tc>
          <w:tcPr>
            <w:tcW w:w="2595" w:type="dxa"/>
            <w:vAlign w:val="center"/>
            <w:hideMark/>
          </w:tcPr>
          <w:p w14:paraId="1765280F" w14:textId="77777777" w:rsidR="001A3AB6" w:rsidRPr="001A3AB6" w:rsidRDefault="001A3AB6" w:rsidP="001A3AB6">
            <w:pPr>
              <w:spacing w:after="160" w:line="259" w:lineRule="auto"/>
              <w:ind w:firstLine="0"/>
              <w:jc w:val="left"/>
            </w:pPr>
            <w:r w:rsidRPr="001A3AB6">
              <w:t>Polyoxymethylene (POM)</w:t>
            </w:r>
          </w:p>
        </w:tc>
        <w:tc>
          <w:tcPr>
            <w:tcW w:w="6045" w:type="dxa"/>
            <w:vAlign w:val="center"/>
            <w:hideMark/>
          </w:tcPr>
          <w:p w14:paraId="1EBE9813" w14:textId="77777777" w:rsidR="001A3AB6" w:rsidRPr="001A3AB6" w:rsidRDefault="001A3AB6" w:rsidP="001A3AB6">
            <w:pPr>
              <w:spacing w:after="160" w:line="259" w:lineRule="auto"/>
              <w:ind w:firstLine="0"/>
              <w:jc w:val="left"/>
            </w:pPr>
            <w:r w:rsidRPr="001A3AB6">
              <w:t>Interior and exterior trims, fuel systems</w:t>
            </w:r>
          </w:p>
        </w:tc>
      </w:tr>
      <w:tr w:rsidR="001A3AB6" w:rsidRPr="001A3AB6" w14:paraId="7BD347B9" w14:textId="77777777" w:rsidTr="001A3AB6">
        <w:tc>
          <w:tcPr>
            <w:tcW w:w="2595" w:type="dxa"/>
            <w:vAlign w:val="center"/>
            <w:hideMark/>
          </w:tcPr>
          <w:p w14:paraId="02F5F16E" w14:textId="77777777" w:rsidR="001A3AB6" w:rsidRPr="001A3AB6" w:rsidRDefault="001A3AB6" w:rsidP="001A3AB6">
            <w:pPr>
              <w:spacing w:after="160" w:line="259" w:lineRule="auto"/>
              <w:ind w:firstLine="0"/>
              <w:jc w:val="left"/>
            </w:pPr>
            <w:r w:rsidRPr="001A3AB6">
              <w:t>Polymethyl methacrylate (PMMA)</w:t>
            </w:r>
          </w:p>
        </w:tc>
        <w:tc>
          <w:tcPr>
            <w:tcW w:w="6045" w:type="dxa"/>
            <w:vAlign w:val="center"/>
            <w:hideMark/>
          </w:tcPr>
          <w:p w14:paraId="303BA91B" w14:textId="77777777" w:rsidR="001A3AB6" w:rsidRPr="001A3AB6" w:rsidRDefault="001A3AB6" w:rsidP="001A3AB6">
            <w:pPr>
              <w:spacing w:after="160" w:line="259" w:lineRule="auto"/>
              <w:ind w:firstLine="0"/>
              <w:jc w:val="left"/>
            </w:pPr>
            <w:r w:rsidRPr="001A3AB6">
              <w:t>Displays, screens, lighting</w:t>
            </w:r>
          </w:p>
        </w:tc>
      </w:tr>
      <w:tr w:rsidR="001A3AB6" w:rsidRPr="001A3AB6" w14:paraId="6047E52F" w14:textId="77777777" w:rsidTr="001A3AB6">
        <w:tc>
          <w:tcPr>
            <w:tcW w:w="2595" w:type="dxa"/>
            <w:vAlign w:val="center"/>
            <w:hideMark/>
          </w:tcPr>
          <w:p w14:paraId="73739005" w14:textId="77777777" w:rsidR="001A3AB6" w:rsidRPr="001A3AB6" w:rsidRDefault="001A3AB6" w:rsidP="001A3AB6">
            <w:pPr>
              <w:spacing w:after="160" w:line="259" w:lineRule="auto"/>
              <w:ind w:firstLine="0"/>
              <w:jc w:val="left"/>
            </w:pPr>
            <w:r w:rsidRPr="001A3AB6">
              <w:t>Polybutylene Terephthalate (PBT)</w:t>
            </w:r>
          </w:p>
        </w:tc>
        <w:tc>
          <w:tcPr>
            <w:tcW w:w="6045" w:type="dxa"/>
            <w:vAlign w:val="center"/>
            <w:hideMark/>
          </w:tcPr>
          <w:p w14:paraId="33690DEC" w14:textId="77777777" w:rsidR="001A3AB6" w:rsidRPr="001A3AB6" w:rsidRDefault="001A3AB6" w:rsidP="001A3AB6">
            <w:pPr>
              <w:spacing w:after="160" w:line="259" w:lineRule="auto"/>
              <w:ind w:firstLine="0"/>
              <w:jc w:val="left"/>
            </w:pPr>
            <w:r w:rsidRPr="001A3AB6">
              <w:t>Fog lamp housings and bezels, sunroof front parts, locking system housings, door handles, bumpers</w:t>
            </w:r>
          </w:p>
        </w:tc>
      </w:tr>
      <w:tr w:rsidR="001A3AB6" w:rsidRPr="001A3AB6" w14:paraId="236127A7" w14:textId="77777777" w:rsidTr="001A3AB6">
        <w:tc>
          <w:tcPr>
            <w:tcW w:w="2595" w:type="dxa"/>
            <w:vAlign w:val="center"/>
            <w:hideMark/>
          </w:tcPr>
          <w:p w14:paraId="41301CBB" w14:textId="77777777" w:rsidR="001A3AB6" w:rsidRPr="001A3AB6" w:rsidRDefault="001A3AB6" w:rsidP="001A3AB6">
            <w:pPr>
              <w:spacing w:after="160" w:line="259" w:lineRule="auto"/>
              <w:ind w:firstLine="0"/>
              <w:jc w:val="left"/>
            </w:pPr>
            <w:r w:rsidRPr="001A3AB6">
              <w:t>Polyethylene Terephthalate (PET)</w:t>
            </w:r>
          </w:p>
        </w:tc>
        <w:tc>
          <w:tcPr>
            <w:tcW w:w="6045" w:type="dxa"/>
            <w:vAlign w:val="center"/>
            <w:hideMark/>
          </w:tcPr>
          <w:p w14:paraId="6DCB17E9" w14:textId="77777777" w:rsidR="001A3AB6" w:rsidRPr="001A3AB6" w:rsidRDefault="001A3AB6" w:rsidP="001A3AB6">
            <w:pPr>
              <w:spacing w:after="160" w:line="259" w:lineRule="auto"/>
              <w:ind w:firstLine="0"/>
              <w:jc w:val="left"/>
            </w:pPr>
            <w:r w:rsidRPr="001A3AB6">
              <w:t>Wiper arm and gear housings, headlamp retainer, engine cover, connector housings</w:t>
            </w:r>
          </w:p>
        </w:tc>
      </w:tr>
      <w:tr w:rsidR="001A3AB6" w:rsidRPr="001A3AB6" w14:paraId="125DDF20" w14:textId="77777777" w:rsidTr="001A3AB6">
        <w:tc>
          <w:tcPr>
            <w:tcW w:w="2595" w:type="dxa"/>
            <w:vAlign w:val="center"/>
            <w:hideMark/>
          </w:tcPr>
          <w:p w14:paraId="613AFB9F" w14:textId="77777777" w:rsidR="001A3AB6" w:rsidRPr="001A3AB6" w:rsidRDefault="001A3AB6" w:rsidP="001A3AB6">
            <w:pPr>
              <w:spacing w:after="160" w:line="259" w:lineRule="auto"/>
              <w:ind w:firstLine="0"/>
              <w:jc w:val="left"/>
            </w:pPr>
            <w:r w:rsidRPr="001A3AB6">
              <w:t>Acrylonitrile Styrene Acrylate (ASA)</w:t>
            </w:r>
          </w:p>
        </w:tc>
        <w:tc>
          <w:tcPr>
            <w:tcW w:w="6045" w:type="dxa"/>
            <w:vAlign w:val="center"/>
            <w:hideMark/>
          </w:tcPr>
          <w:p w14:paraId="2ED3E751" w14:textId="77777777" w:rsidR="001A3AB6" w:rsidRPr="001A3AB6" w:rsidRDefault="001A3AB6" w:rsidP="001A3AB6">
            <w:pPr>
              <w:spacing w:after="160" w:line="259" w:lineRule="auto"/>
              <w:ind w:firstLine="0"/>
              <w:jc w:val="left"/>
            </w:pPr>
            <w:r w:rsidRPr="001A3AB6">
              <w:t>Housings, profiles, interior parts, exterior trim</w:t>
            </w:r>
          </w:p>
        </w:tc>
      </w:tr>
    </w:tbl>
    <w:p w14:paraId="282B863B" w14:textId="18888C46" w:rsidR="001A3AB6" w:rsidRDefault="001A3AB6">
      <w:pPr>
        <w:spacing w:after="160" w:line="259" w:lineRule="auto"/>
        <w:ind w:firstLine="0"/>
        <w:jc w:val="left"/>
      </w:pPr>
      <w:r>
        <w:br w:type="page"/>
      </w:r>
    </w:p>
    <w:p w14:paraId="4001D773" w14:textId="611CC7D8" w:rsidR="004E55F3" w:rsidRPr="004E55F3" w:rsidRDefault="004E55F3" w:rsidP="001A3AB6">
      <w:pPr>
        <w:ind w:firstLine="0"/>
      </w:pPr>
      <w:bookmarkStart w:id="13" w:name="_Hlk190962304"/>
      <w:r w:rsidRPr="004E55F3">
        <w:lastRenderedPageBreak/>
        <w:t xml:space="preserve">manufacturing automotive tires, as it has appropriate strength, modulus, and durability for continual rolling contact with the road during vehicle operation </w:t>
      </w:r>
      <w:r w:rsidRPr="004E55F3">
        <w:fldChar w:fldCharType="begin"/>
      </w:r>
      <w:r w:rsidRPr="004E55F3">
        <w:instrText xml:space="preserve"> ADDIN ZOTERO_ITEM CSL_CITATION {"citationID":"qz9tg3XL","properties":{"formattedCitation":"[2]","plainCitation":"[2]","noteIndex":0},"citationItems":[{"id":1092,"uris":["http://zotero.org/users/3415649/items/WFHCFBI4"],"itemData":{"id":1092,"type":"article-journal","issue":"08","language":"en","page":"6","source":"Zotero","title":"Automotive Materials: An Overview","volume":"07","author":[{"family":"Mishra","given":"Adit"}],"issued":{"date-parts":[["2020"]]}}}],"schema":"https://github.com/citation-style-language/schema/raw/master/csl-citation.json"} </w:instrText>
      </w:r>
      <w:r w:rsidRPr="004E55F3">
        <w:fldChar w:fldCharType="separate"/>
      </w:r>
      <w:r w:rsidRPr="004E55F3">
        <w:t>[2]</w:t>
      </w:r>
      <w:r w:rsidRPr="004E55F3">
        <w:fldChar w:fldCharType="end"/>
      </w:r>
      <w:r w:rsidRPr="004E55F3">
        <w:t xml:space="preserve">. </w:t>
      </w:r>
    </w:p>
    <w:p w14:paraId="21B337F6" w14:textId="77777777" w:rsidR="004E55F3" w:rsidRPr="004E55F3" w:rsidRDefault="004E55F3" w:rsidP="004E55F3">
      <w:pPr>
        <w:rPr>
          <w:iCs/>
        </w:rPr>
      </w:pPr>
      <w:r w:rsidRPr="004E55F3">
        <w:t>Magnesium is sometimes used in the automotive industry, as it offers significant weight savings over both aluminum and steel, with a density of 1.74 g/cm</w:t>
      </w:r>
      <w:r w:rsidRPr="004E55F3">
        <w:rPr>
          <w:vertAlign w:val="superscript"/>
        </w:rPr>
        <w:t>3</w:t>
      </w:r>
      <w:r w:rsidRPr="004E55F3">
        <w:t xml:space="preserve">. It has seen use in applications such as the gearbox, steering column, airbag housings, steering wheels, seat frames and fuel tank covers. However, the use of magnesium remains limited as it has reduced ultimate tensile strength, fatigue strength and creep strength when compared to aluminum, as well as a higher price than both steel and aluminum. Titanium also sees some limited use in the automotive industry in applications where both high temperature resistance and high strength are required, such as engine components and exhaust systems </w:t>
      </w:r>
      <w:r w:rsidRPr="004E55F3">
        <w:rPr>
          <w:iCs/>
        </w:rPr>
        <w:fldChar w:fldCharType="begin"/>
      </w:r>
      <w:r w:rsidRPr="004E55F3">
        <w:rPr>
          <w:iCs/>
        </w:rPr>
        <w:instrText xml:space="preserve"> ADDIN ZOTERO_ITEM CSL_CITATION {"citationID":"hcVPt6Fh","properties":{"formattedCitation":"[3]","plainCitation":"[3]","noteIndex":0},"citationItems":[{"id":1093,"uris":["http://zotero.org/users/3415649/items/69WRECGJ"],"itemData":{"id":1093,"type":"chapter","container-title":"New Trends and Developments in Automotive Industry","ISBN":"978-953-307-999-8","language":"en","note":"DOI: 10.5772/13286","publisher":"InTech","source":"DOI.org (Crossref)","title":"Materials in Automotive Application, State of the Art and Prospects","URL":"http://www.intechopen.com/books/new-trends-and-developments-in-automotive-industry/materials-in-automotive-application-state-of-the-art-and-prospects","editor":[{"family":"Chiaberge","given":"Marcello"}],"author":[{"family":"Ghassemieh","given":"Elaheh"}],"accessed":{"date-parts":[["2022",1,27]]},"issued":{"date-parts":[["2011",1,8]]}}}],"schema":"https://github.com/citation-style-language/schema/raw/master/csl-citation.json"} </w:instrText>
      </w:r>
      <w:r w:rsidRPr="004E55F3">
        <w:rPr>
          <w:iCs/>
        </w:rPr>
        <w:fldChar w:fldCharType="separate"/>
      </w:r>
      <w:r w:rsidRPr="004E55F3">
        <w:rPr>
          <w:iCs/>
        </w:rPr>
        <w:t>[3]</w:t>
      </w:r>
      <w:r w:rsidRPr="004E55F3">
        <w:fldChar w:fldCharType="end"/>
      </w:r>
      <w:r w:rsidRPr="004E55F3">
        <w:rPr>
          <w:iCs/>
        </w:rPr>
        <w:t>.</w:t>
      </w:r>
    </w:p>
    <w:p w14:paraId="048E798D" w14:textId="6EA9A093" w:rsidR="004E55F3" w:rsidRPr="005304A1" w:rsidRDefault="004E55F3" w:rsidP="005304A1">
      <w:pPr>
        <w:pStyle w:val="Heading2"/>
      </w:pPr>
      <w:bookmarkStart w:id="14" w:name="_Toc190951771"/>
      <w:bookmarkStart w:id="15" w:name="_Hlk190962349"/>
      <w:bookmarkEnd w:id="13"/>
      <w:r w:rsidRPr="005304A1">
        <w:t>1.2 Current State of Automotive Materials</w:t>
      </w:r>
      <w:bookmarkEnd w:id="14"/>
    </w:p>
    <w:p w14:paraId="04109957" w14:textId="77777777" w:rsidR="004E55F3" w:rsidRPr="004E55F3" w:rsidRDefault="004E55F3" w:rsidP="004E55F3">
      <w:r w:rsidRPr="004E55F3">
        <w:t xml:space="preserve">The automotive recycling industry is well-established in the United States, with estimates that 95% of cars within the US enter the recycling stream at the end of their lifecycle </w:t>
      </w:r>
      <w:r w:rsidRPr="004E55F3">
        <w:fldChar w:fldCharType="begin"/>
      </w:r>
      <w:r w:rsidRPr="004E55F3">
        <w:instrText xml:space="preserve"> ADDIN ZOTERO_ITEM CSL_CITATION {"citationID":"8npTUhL0","properties":{"formattedCitation":"[10]","plainCitation":"[10]","noteIndex":0},"citationItems":[{"id":1206,"uris":["http://zotero.org/users/3415649/items/W3MZRVKM"],"itemData":{"id":1206,"type":"document","publisher":"SPI: The Plastics Industry Trade Association","title":"Automotive Recycling - Devalued is now Revalued","author":[{"family":"Mashek","given":"William"}],"issued":{"date-parts":[["2016"]]}}}],"schema":"https://github.com/citation-style-language/schema/raw/master/csl-citation.json"} </w:instrText>
      </w:r>
      <w:r w:rsidRPr="004E55F3">
        <w:fldChar w:fldCharType="separate"/>
      </w:r>
      <w:r w:rsidRPr="004E55F3">
        <w:t>[10]</w:t>
      </w:r>
      <w:r w:rsidRPr="004E55F3">
        <w:fldChar w:fldCharType="end"/>
      </w:r>
      <w:r w:rsidRPr="004E55F3">
        <w:t xml:space="preserve">. Within this, between 45 and 84% of a car (by mass) can either be recovered or recycled, rather than landfilled. Recovery of usable parts represents a major component of the automotive recycling industry, as most cars retain a large quantity of usable parts, even at the end of the vehicles useful life. These can include automotive fluids, batteries, wheels and tires, steering columns, radios, engines, transmissions, fenders, and other long-lasting components </w:t>
      </w:r>
      <w:r w:rsidRPr="004E55F3">
        <w:fldChar w:fldCharType="begin"/>
      </w:r>
      <w:r w:rsidRPr="004E55F3">
        <w:instrText xml:space="preserve"> ADDIN ZOTERO_ITEM CSL_CITATION {"citationID":"etdjJeWG","properties":{"formattedCitation":"[10,11]","plainCitation":"[10,11]","noteIndex":0},"citationItems":[{"id":1206,"uris":["http://zotero.org/users/3415649/items/W3MZRVKM"],"itemData":{"id":1206,"type":"document","publisher":"SPI: The Plastics Industry Trade Association","title":"Automotive Recycling - Devalued is now Revalued","author":[{"family":"Mashek","given":"William"}],"issued":{"date-parts":[["2016"]]}}},{"id":1105,"uris":["http://zotero.org/users/3415649/items/YY38U4J7"],"itemData":{"id":1105,"type":"article-journal","abstract":"Plastics are increasingly a preferred material choice in designing and developing complex, consumer products, such as automobiles, because they are mouldable, lightweight, and are often perceived to be highly recyclable materials. However, actually recycling the heterogeneous plastics used in such durable items is challenging, and presents very different scenarios to how simple products, such as water bottles, are recovered via curbside or container recycling initiatives. While the technology exists to recycle plastics, their feasibility to do so from high level consumer or industrial applications is bounded by technological and economical restraints. Obstacles include the lack of market for recyclates, and the lack of cost efficient recovery infrastructures or processes. Furthermore, there is a knowledge gap between manufacturers, consumers, and end-of-life facility operators. For these reasons, end-of-life plastics are more likely to end up down-cycled, or as shredder residue and then landfilled. This paper reviews these challenges and several alternatives to recycling plastics in order to broaden the mindset surrounding plastics recycling to improve their sustainability. The paper focuses on the automotive sector for examples, but discussion can be applied to a wide range of plastic components from similarly complex products.","container-title":"Materials","DOI":"10.3390/ma7085883","ISSN":"1996-1944","issue":"8","journalAbbreviation":"Materials","language":"en","page":"5883-5902","source":"DOI.org (Crossref)","title":"Challenges and Alternatives to Plastics Recycling in the Automotive Sector","volume":"7","author":[{"family":"Miller","given":"Lindsay"},{"family":"Soulliere","given":"Katie"},{"family":"Sawyer-Beaulieu","given":"Susan"},{"family":"Tseng","given":"Simon"},{"family":"Tam","given":"Edwin"}],"issued":{"date-parts":[["2014",8,15]]}}}],"schema":"https://github.com/citation-style-language/schema/raw/master/csl-citation.json"} </w:instrText>
      </w:r>
      <w:r w:rsidRPr="004E55F3">
        <w:fldChar w:fldCharType="separate"/>
      </w:r>
      <w:r w:rsidRPr="004E55F3">
        <w:t>[10,11]</w:t>
      </w:r>
      <w:r w:rsidRPr="004E55F3">
        <w:fldChar w:fldCharType="end"/>
      </w:r>
      <w:r w:rsidRPr="004E55F3">
        <w:t xml:space="preserve">. </w:t>
      </w:r>
    </w:p>
    <w:bookmarkEnd w:id="15"/>
    <w:p w14:paraId="0BD7407A" w14:textId="77777777" w:rsidR="004E55F3" w:rsidRPr="004E55F3" w:rsidRDefault="004E55F3" w:rsidP="004E55F3">
      <w:r w:rsidRPr="004E55F3">
        <w:t xml:space="preserve">The end-of-life recycling process for cars is made up of four main steps: dismantling, crushing, shredding, and material separation and recovery. Usable parts are recovered during the dismantling stage of the recycling process. Some recyclable parts are also removed from the car at this stage, such as bumpers which can be directly recycled into new automotive components. Following this, the car is crushed and shredded into fist-sized pieces of material (shredder residue), during which it is decontaminated to remove hazardous materials. Finally, during the last stage of the recycling process, the shredder residue is separated using a number of technologies (magnetic, eddy current, laser and IR systems) to obtain high value materials. The majority of the focus of this step is on the </w:t>
      </w:r>
      <w:r w:rsidRPr="004E55F3">
        <w:lastRenderedPageBreak/>
        <w:t xml:space="preserve">recovery of metallic materials, as they can be more easily separated than plastics, which are often too heterogeneous for re-use </w:t>
      </w:r>
      <w:r w:rsidRPr="004E55F3">
        <w:fldChar w:fldCharType="begin"/>
      </w:r>
      <w:r w:rsidRPr="004E55F3">
        <w:instrText xml:space="preserve"> ADDIN ZOTERO_ITEM CSL_CITATION {"citationID":"P2xkEI1G","properties":{"formattedCitation":"[10,11]","plainCitation":"[10,11]","noteIndex":0},"citationItems":[{"id":1206,"uris":["http://zotero.org/users/3415649/items/W3MZRVKM"],"itemData":{"id":1206,"type":"document","publisher":"SPI: The Plastics Industry Trade Association","title":"Automotive Recycling - Devalued is now Revalued","author":[{"family":"Mashek","given":"William"}],"issued":{"date-parts":[["2016"]]}}},{"id":1105,"uris":["http://zotero.org/users/3415649/items/YY38U4J7"],"itemData":{"id":1105,"type":"article-journal","abstract":"Plastics are increasingly a preferred material choice in designing and developing complex, consumer products, such as automobiles, because they are mouldable, lightweight, and are often perceived to be highly recyclable materials. However, actually recycling the heterogeneous plastics used in such durable items is challenging, and presents very different scenarios to how simple products, such as water bottles, are recovered via curbside or container recycling initiatives. While the technology exists to recycle plastics, their feasibility to do so from high level consumer or industrial applications is bounded by technological and economical restraints. Obstacles include the lack of market for recyclates, and the lack of cost efficient recovery infrastructures or processes. Furthermore, there is a knowledge gap between manufacturers, consumers, and end-of-life facility operators. For these reasons, end-of-life plastics are more likely to end up down-cycled, or as shredder residue and then landfilled. This paper reviews these challenges and several alternatives to recycling plastics in order to broaden the mindset surrounding plastics recycling to improve their sustainability. The paper focuses on the automotive sector for examples, but discussion can be applied to a wide range of plastic components from similarly complex products.","container-title":"Materials","DOI":"10.3390/ma7085883","ISSN":"1996-1944","issue":"8","journalAbbreviation":"Materials","language":"en","page":"5883-5902","source":"DOI.org (Crossref)","title":"Challenges and Alternatives to Plastics Recycling in the Automotive Sector","volume":"7","author":[{"family":"Miller","given":"Lindsay"},{"family":"Soulliere","given":"Katie"},{"family":"Sawyer-Beaulieu","given":"Susan"},{"family":"Tseng","given":"Simon"},{"family":"Tam","given":"Edwin"}],"issued":{"date-parts":[["2014",8,15]]}}}],"schema":"https://github.com/citation-style-language/schema/raw/master/csl-citation.json"} </w:instrText>
      </w:r>
      <w:r w:rsidRPr="004E55F3">
        <w:fldChar w:fldCharType="separate"/>
      </w:r>
      <w:r w:rsidRPr="004E55F3">
        <w:t>[10,11]</w:t>
      </w:r>
      <w:r w:rsidRPr="004E55F3">
        <w:fldChar w:fldCharType="end"/>
      </w:r>
      <w:r w:rsidRPr="004E55F3">
        <w:t xml:space="preserve">. </w:t>
      </w:r>
    </w:p>
    <w:p w14:paraId="5BD13FB1" w14:textId="77777777" w:rsidR="004E55F3" w:rsidRPr="004E55F3" w:rsidRDefault="004E55F3" w:rsidP="004E55F3">
      <w:r w:rsidRPr="004E55F3">
        <w:t xml:space="preserve">The major obstacles to recycling plastic automotive components include a lack of market for the recyclates, lack of infrastructure to properly recover plastic materials, and heterogeneity of plastic automotive components. The heterogeneity of plastic automotive components and the lack of market for these materials are directly related. Many plastic parts contain two or more polymers that are integrated in such a fashion that they are not easily separated during recycling. Beyond this, essentially all commercially available plastic products contain one or more additives, further decreasing homogeneity, even in a seemingly uniform waste stream </w:t>
      </w:r>
      <w:r w:rsidRPr="004E55F3">
        <w:fldChar w:fldCharType="begin"/>
      </w:r>
      <w:r w:rsidRPr="004E55F3">
        <w:instrText xml:space="preserve"> ADDIN ZOTERO_ITEM CSL_CITATION {"citationID":"lILzDGPa","properties":{"formattedCitation":"[12]","plainCitation":"[12]","noteIndex":0},"citationItems":[{"id":1505,"uris":["http://zotero.org/users/3415649/items/W76FLWL9"],"itemData":{"id":1505,"type":"article-journal","language":"en","page":"8","source":"Zotero","title":"Waste Plastic: Challenges and Opportunities for the Chemical Industry","author":[{"family":"Seay","given":"Jeffrey R"}],"issued":{"date-parts":[["2020"]]}}}],"schema":"https://github.com/citation-style-language/schema/raw/master/csl-citation.json"} </w:instrText>
      </w:r>
      <w:r w:rsidRPr="004E55F3">
        <w:fldChar w:fldCharType="separate"/>
      </w:r>
      <w:r w:rsidRPr="004E55F3">
        <w:t>[12]</w:t>
      </w:r>
      <w:r w:rsidRPr="004E55F3">
        <w:fldChar w:fldCharType="end"/>
      </w:r>
      <w:r w:rsidRPr="004E55F3">
        <w:t xml:space="preserve">. This lack of uniformity diminishes the value of the recyclate, as desirable material properties (mechanical, thermal performance) are decreased by contamination due to material incompatibilities. Most plastic materials used in vehicles are inexpensive even as virgin materials, which further reduces the economic viability of recycling at the end of the vehicle’s life cycle. The lack of infrastructure dedicated to separating and decontaminating plastics in the shredder residue further exacerbates this problem, as most automotive shredders do not have any equipment for separating plastics from other materials. This virtually guarantees plastic waste is sent to the landfill or incinerated at the end of life </w:t>
      </w:r>
      <w:r w:rsidRPr="004E55F3">
        <w:fldChar w:fldCharType="begin"/>
      </w:r>
      <w:r w:rsidRPr="004E55F3">
        <w:instrText xml:space="preserve"> ADDIN ZOTERO_ITEM CSL_CITATION {"citationID":"QpyXsRA2","properties":{"formattedCitation":"[11]","plainCitation":"[11]","noteIndex":0},"citationItems":[{"id":1105,"uris":["http://zotero.org/users/3415649/items/YY38U4J7"],"itemData":{"id":1105,"type":"article-journal","abstract":"Plastics are increasingly a preferred material choice in designing and developing complex, consumer products, such as automobiles, because they are mouldable, lightweight, and are often perceived to be highly recyclable materials. However, actually recycling the heterogeneous plastics used in such durable items is challenging, and presents very different scenarios to how simple products, such as water bottles, are recovered via curbside or container recycling initiatives. While the technology exists to recycle plastics, their feasibility to do so from high level consumer or industrial applications is bounded by technological and economical restraints. Obstacles include the lack of market for recyclates, and the lack of cost efficient recovery infrastructures or processes. Furthermore, there is a knowledge gap between manufacturers, consumers, and end-of-life facility operators. For these reasons, end-of-life plastics are more likely to end up down-cycled, or as shredder residue and then landfilled. This paper reviews these challenges and several alternatives to recycling plastics in order to broaden the mindset surrounding plastics recycling to improve their sustainability. The paper focuses on the automotive sector for examples, but discussion can be applied to a wide range of plastic components from similarly complex products.","container-title":"Materials","DOI":"10.3390/ma7085883","ISSN":"1996-1944","issue":"8","journalAbbreviation":"Materials","language":"en","page":"5883-5902","source":"DOI.org (Crossref)","title":"Challenges and Alternatives to Plastics Recycling in the Automotive Sector","volume":"7","author":[{"family":"Miller","given":"Lindsay"},{"family":"Soulliere","given":"Katie"},{"family":"Sawyer-Beaulieu","given":"Susan"},{"family":"Tseng","given":"Simon"},{"family":"Tam","given":"Edwin"}],"issued":{"date-parts":[["2014",8,15]]}}}],"schema":"https://github.com/citation-style-language/schema/raw/master/csl-citation.json"} </w:instrText>
      </w:r>
      <w:r w:rsidRPr="004E55F3">
        <w:fldChar w:fldCharType="separate"/>
      </w:r>
      <w:r w:rsidRPr="004E55F3">
        <w:t>[11]</w:t>
      </w:r>
      <w:r w:rsidRPr="004E55F3">
        <w:fldChar w:fldCharType="end"/>
      </w:r>
      <w:r w:rsidRPr="004E55F3">
        <w:t>.</w:t>
      </w:r>
    </w:p>
    <w:p w14:paraId="23AA0B82" w14:textId="7CBF15E0" w:rsidR="004E55F3" w:rsidRDefault="004E55F3" w:rsidP="005304A1">
      <w:pPr>
        <w:pStyle w:val="Heading2"/>
      </w:pPr>
      <w:bookmarkStart w:id="16" w:name="_Toc190951772"/>
      <w:r>
        <w:t>1.3 Life Cycle Analysis in the Automotive Industry</w:t>
      </w:r>
      <w:bookmarkEnd w:id="16"/>
    </w:p>
    <w:p w14:paraId="2DCEB0DF" w14:textId="77777777" w:rsidR="005304A1" w:rsidRPr="005304A1" w:rsidRDefault="005304A1" w:rsidP="005304A1">
      <w:r w:rsidRPr="005304A1">
        <w:t xml:space="preserve">Life cycle analysis (LCA) can be used to quantify the environmental impacts of a product throughout the course of its life, starting with raw material extraction all the way through end of life disposal </w:t>
      </w:r>
      <w:r w:rsidRPr="005304A1">
        <w:fldChar w:fldCharType="begin"/>
      </w:r>
      <w:r w:rsidRPr="005304A1">
        <w:instrText xml:space="preserve"> ADDIN ZOTERO_ITEM CSL_CITATION {"citationID":"BDIytsns","properties":{"formattedCitation":"[13]","plainCitation":"[13]","noteIndex":0},"citationItems":[{"id":1363,"uris":["http://zotero.org/users/3415649/items/JDUKXW2B"],"itemData":{"id":1363,"type":"article-journal","abstract":"Increasing concerns regarding human-driven effects on the biosphere have led to the development and adoption of environmentally friendly “green” composites. Unlike conventional synthetic composites, green composites are made of natural materials in either the matrix or the fiber reinforcement (or both). They are claimed to have lower negative environmental effects due to their sustainability and easier recyclability. To assess the environmental impacts associated with any product, a life cycle assessment (LCA) is needed. This literature review summarizes the individual steps undertaken in an LCA study and discusses their relevance within the field of green composites. Similarly, an outline of life cycle costing (LCC), a type of study which determines the economic implications of a product, is incorporated. Since some phases of a product’s life cycle can have significant environmental effects, parameters affecting the time-dependant degradation of green composites and their significance in LCA studies were also explored. Finally, criteria for choosing natural fibers and biopolymers for green composites in engineering applications were considered, and case studies of hemp and flax as candidates for fiber cultivation in Alberta, Canada are provided throughout.","container-title":"Journal of Engineered Fibers and Fabrics","DOI":"10.1177/15589250211026940","ISSN":"1558-9250, 1558-9250","journalAbbreviation":"Journal of Engineered Fibers and Fabrics","language":"en","page":"155892502110269","source":"DOI.org (Crossref)","title":"Life cycle analysis for green composites: A review of literature including considerations for local and global agricultural use","title-short":"Life cycle analysis for green composites","volume":"16","author":[{"family":"Ead","given":"Ahmed Samir"},{"family":"Appel","given":"Raelynn"},{"family":"Alex","given":"Nibin"},{"family":"Ayranci","given":"Cagri"},{"family":"Carey","given":"Jason P"}],"issued":{"date-parts":[["2021",1]]}}}],"schema":"https://github.com/citation-style-language/schema/raw/master/csl-citation.json"} </w:instrText>
      </w:r>
      <w:r w:rsidRPr="005304A1">
        <w:fldChar w:fldCharType="separate"/>
      </w:r>
      <w:r w:rsidRPr="005304A1">
        <w:t>[13]</w:t>
      </w:r>
      <w:r w:rsidRPr="005304A1">
        <w:fldChar w:fldCharType="end"/>
      </w:r>
      <w:r w:rsidRPr="005304A1">
        <w:t xml:space="preserve">. The environmental impact categories that LCAs are often used to assess include climate change, ozone depletion, acidification, nutrient enrichment, human toxicity, ecotoxicity and other resources </w:t>
      </w:r>
      <w:r w:rsidRPr="005304A1">
        <w:fldChar w:fldCharType="begin"/>
      </w:r>
      <w:r w:rsidRPr="005304A1">
        <w:instrText xml:space="preserve"> ADDIN ZOTERO_ITEM CSL_CITATION {"citationID":"7L30htxK","properties":{"formattedCitation":"[14]","plainCitation":"[14]","noteIndex":0},"citationItems":[{"id":1563,"uris":["http://zotero.org/users/3415649/items/GFD85TR2"],"itemData":{"id":1563,"type":"document","language":"English","publisher":"European Commission Joint Research Center","title":"Analysis of Existing Envionmental Impact Assessment Metholdologies for use in Life Cycle Assessment","URL":"https://eplca.jrc.ec.europa.eu/uploads/ILCD-Handbook-LCIA-Background-analysis-online-12March2010.pdf","issued":{"date-parts":[["2010"]]}}}],"schema":"https://github.com/citation-style-language/schema/raw/master/csl-citation.json"} </w:instrText>
      </w:r>
      <w:r w:rsidRPr="005304A1">
        <w:fldChar w:fldCharType="separate"/>
      </w:r>
      <w:r w:rsidRPr="005304A1">
        <w:t>[14]</w:t>
      </w:r>
      <w:r w:rsidRPr="005304A1">
        <w:fldChar w:fldCharType="end"/>
      </w:r>
      <w:r w:rsidRPr="005304A1">
        <w:t xml:space="preserve">. Within the automotive industry, LCAs are often used for quantification of greenhouse gas (GHG) emissions and resource depletion, as these categories are significantly impacted by the manufacturing, use-phase and end-of-life of vehicles </w:t>
      </w:r>
      <w:r w:rsidRPr="005304A1">
        <w:fldChar w:fldCharType="begin"/>
      </w:r>
      <w:r w:rsidRPr="005304A1">
        <w:instrText xml:space="preserve"> ADDIN ZOTERO_ITEM CSL_CITATION {"citationID":"YLhdZupE","properties":{"formattedCitation":"[15]","plainCitation":"[15]","noteIndex":0},"citationItems":[{"id":1565,"uris":["http://zotero.org/users/3415649/items/Q7FDE862"],"itemData":{"id":1565,"type":"article-journal","abstract":"P. Brandãoa, V. Infanteb, A.M. Deusc* Transportation represents one of the major contributors to several environmental burdens such as Green-House-Gas (GHG) AeenmbeisrstgbsrIyiDaocMunatssDEeCaeapn,nadDdretrmpaeaiserorntteummorecfnieMstsdoeicfoehMpnalseen.ctiAcihoaasnln.EaicCnacglooiEnnnensseigedriqinenuergeei,nnrIigcnnegst,th,ittIeuhntseEotiunStureuotepopdeSerfuiaoopnrrerTUhiéoPincgroinhorTietcnéuroc,g,nfalUuiilcgenohli,/vteUednrnuseiirtvdygearydvseieedhfdafeidicceLlieiedssnebcaoLyraies, ibAnroevab.s,pRoAootvhnv.iscsRicoboonvleiPvseacfnooistr,Pio1rao,nis1ua,0gl14ha,9ln1y-d00401e910l-e%L0ci0st1robiofLcaits,cobatoarasl , TehpTmaorhastiienscsbCnsssetpieticouFoaondlErm.styMaaetpAinoru,denrDsgreeerenpensatpotsrrutaaemrnsccedeeonnttmdthoseepfpoaMelrnefaefettcoiiohvroantefsn. iLatCchciaoferleonEsmsCnsidgyaiiejcnnorldeeirenurAgcsiontsrtgnshi,aeterlIsinsEabsmnutuidtteruoonrtrpotesesoSaetfuonapIrnecUsrtheePPinovroopirneorrlraTttanauuléy,lggcCeaalneriolligsncmhovht,biarUduvousnentitmivypoerenrvonsepiEtdhoanailscgdelebidenudsearead(rLrIeaeCinnsbsErgeoe)ssauap,oncoAfhdnvi.nseaiRnlbseoolcvevGtiarsfrictoceiovrevPenreoa-shHiuosigc,lou1hluet,lissy1oe.0n-1T4Gs0h9a%w-e0sia0to(nh1GfaLgltHiyrosesGbtaaios)tla, hpefaimonnaolsedAtpleorabbgnEwcetysnticstadcroulaa-ams.otec“efetf-garLunooridrmfgieeeasncisrrtttaoaeadgmnbledeoiss-t.ttshhoiToe-hhgnueersmfa.fivanoAenvrs”tesaananaptcdcoporreronyocssoasiesc-qishnumydesaauntniescndmtelry,iitahtbhlceaeaaasplnntetdheud.errTedeossnhfeetoaphrrereccihmhowig-aphphrloreyaolryefdefiuaLlresteiafloh/eeafa-nnvCthedeyrecpgtdhlryeoiefep(fafeLofsrsiCseceen)idsetosnavmfcerytehahnniiectnglcetebaaookcrtofehssniunfcbiinongdontuiovvvraaieadttnciievtocdieonousnisnnaoitsltlouaaatpnsiosrwdoenisdedsslueeewccdtritiatraohinnncggd,ecruteahosareesft TfaimmiccmmonoohaaldmntDedppliiihsosvnneaapueEpwgeccsareeenntttrisrucscannnidciredidsvvagoa-eanoyaoiitnelrr“ectnlftpoopiyfe-ghLornnLoroeonteCbmmofihirms,frefiGeeeeeomhnnnesoHnhcasitlttprveittlseaaGgaoaeeiclloadohgartbefhhaglruecepoimtooserwoci-rt.ttotmheiisshoosTncssppis-pfha,schooigiuaurnohettHrmrrmssvnaiaeiisPveosstaaanitseTdnffvdwvuct”ffeieerereeagirebbtntaccnnLaeehilptttndtarpoiiiepmnntfdea.rhdeerggyieiAoec(rnsCfHcoacci.orerscym-ooePardsFhcsnnfmToyblultvvcesaid)olageeotnteetiAbesnnhnhndlnmlttssolaguiipyiisoodfidstdhernnneipoebasceneaasrrstpaaag.llaiemspulncSvtaaettlghoerhiuusnndoe.nmiercddoscuTteoheopfnssoeenhivrocnllfLettdeeeonpehiIrCscctenecrnaettcinhdAlrrtm(oweeiitniFccsutrl-asohiDenpsotrcclmouaearyoRnaaolrldgeserrp)fdCissiniehceaLlotfssaaeasatoiu.mamrrusforaeebeesbeanfje-aiietnudCetddhhtcdsleehyosetttehnneipecdctoddhettsletiinere(icffibFfiitcE(fpeerofaEeiLeiaddntscrMyaCrsgeitkaaennsi)a)snnsn-ctioetosddwerrovmvuecfa(eccearrutIescharrnshCniiefiidettdnctEpsii,elcceg.oct)evaaralpaiTgyeallnkcrrllnlhoooteyyosddesvnfpduddeoifeeibadmiiirfnldssgndfeetccte,auaidcohuuvrnlirteeynssraidabdnisssteiccoiyeeietnfocsrdddvfgtondeya..eiuseicsphTTnorntcieiitphhcstcotsvoooeeelameaeormpsbasddfemsrw.tepeeonetiTilppensdvamdershgeeuibtecerenneecliodedadd-ctranidaloeeaotnmnweonnnnnaapgccddeil,vpeteeynihiurnttsatehiooosadiotdaeesfifflenoincsntt, cci©TPmooehmnrnoc2epiesovreb0apc-emect1irtaasdntea8rpsieivnaineasTdonigennoehnudwconyfel.eop,LaoTuArerwCofnnhbutfeGdehlmtaroheeeHecdicrolcleaGkFreurectseaasEsst.segserhMpPtimdehacaoupraiintbtscstaeoisslacn,wiiiirslnboaioenhavlinbiylsesuestiosdtasngryidwitsddabnie,ogieetytthafrrethaheEtrttemrtheohlHhedsreeidebmePnfSCveorTeawtcieCrdlteisaeerbbuasrBcnloBnloeafttYtdseid.snhfVtd-esioamNcpi.fbidrsneCClpoecictrrs-oprohieNahumnavptlDgthnimshoeiiweocsuliiteaFnascmtvlesEeLteeondeMrsCdcsaoaceehAtlfaamlnn(,AushonofastIotlendueAotrpddedgSp:,liti/tehhe/aha2cssranen.0ersdneade1ean8wdtddieiitIiivlfstfnetfehhfectecceerttrhorreheibnemncenrmatietmtrtisyiaefocoikalmaninsl-glaoesu3hl.vuclDotaCerorctncgmoimeoy/npsplnec.ifooslcseeiThesrnwseinht.tonsieebfoIcerontneseaar/niborotanauhynrnelnde-yddSn,esetcrfifrmfsri-efrtoneoassimdcsstte/tcw3Airctrvih.oeina0eteamlah/t)elbeppynallrsavteosihditsipreeem.oedsnpr3ctmlwDiriefaeisitpmneh.dtwoaTaled3hreDeel ©TP©TPeehhe2om©2eiisrs0rv0-o-1ire21irseds8re08vaaevaT1inllTenil6hecwohewoapTexAnupehpunAneubeednntauecheAdcttaorchueeucrrerdossects.ehrsresbsfPpeosu.aesousrrlhpPnbstaiao.slucnirivPnsblbtehiistuilcohleiiubislbudetenhyliridblgeusioieydothnnfryaeEdbtttldhholeeyseoefrrebmEfSvCttyhhilpcsCeseeEirreeoeBlSnCvBfsdtYcieCi.ideVficv-ieriNct.isBnieBpnCCtYrlig.-oafVBN-imctNc..uDeVmrCCmbl.ii-oteictNnmeneeenDtmsobwelfilitaa(ActhsdeeIteeoAntpbsolS:iesf/f2e/e(Acr0,hrv1IgteeAt8iapdvtIS:,ien/v/int2cnee0rrcanep1oaasa8mtetriittoIvminnocetoaufcelnloFraCsnmDr.oaomanRtritfgooetd/nrnhlaeiasenctl.aceotC.renragosoie/lnnlisifnS/cebgterryenee-nssdnscegcseAe-/nbonodaynfl/-y3Sntsh.tci0res-e/.n)bsdsla/3Ad.en0.a/)Tlyhseisre. fore such a Peer-review under responsibility of the Scientific Committee of PCF 2016.","container-title":"Procedia Structural Integrity","DOI":"10.1016/j.prostr.2018.11.066","ISSN":"24523216","journalAbbreviation":"Procedia Structural Integrity","language":"en","page":"521-537","source":"DOI.org (Crossref)","title":"Life Cycle Assessment in the automotive sector: a comparative case study of Internal Combustion Engine (ICE) and electric car","title-short":"Life Cycle Assessment in the automotive sector","volume":"12","author":[{"family":"Pero","given":"Francesco Del"},{"family":"Delogu","given":"Massimo"},{"family":"Pierini","given":"Marco"}],"issued":{"date-parts":[["2018"]]}}}],"schema":"https://github.com/citation-style-language/schema/raw/master/csl-citation.json"} </w:instrText>
      </w:r>
      <w:r w:rsidRPr="005304A1">
        <w:fldChar w:fldCharType="separate"/>
      </w:r>
      <w:r w:rsidRPr="005304A1">
        <w:t>[15]</w:t>
      </w:r>
      <w:r w:rsidRPr="005304A1">
        <w:fldChar w:fldCharType="end"/>
      </w:r>
      <w:r w:rsidRPr="005304A1">
        <w:t>.</w:t>
      </w:r>
    </w:p>
    <w:p w14:paraId="6D6424F7" w14:textId="77777777" w:rsidR="005304A1" w:rsidRPr="005304A1" w:rsidRDefault="005304A1" w:rsidP="005304A1">
      <w:r w:rsidRPr="005304A1">
        <w:t xml:space="preserve">The standards that are most used to guide life cycle analysis are ISO standards 14040 and 14044. ISO 14040 outlines the principles and framework of life cycle analysis, </w:t>
      </w:r>
      <w:r w:rsidRPr="005304A1">
        <w:lastRenderedPageBreak/>
        <w:t xml:space="preserve">while ISO 14044 outlines requirements and guidelines for performing life cycle analyses . Together, these two standards define the four main steps required for an LCA </w:t>
      </w:r>
      <w:r w:rsidRPr="005304A1">
        <w:fldChar w:fldCharType="begin"/>
      </w:r>
      <w:r w:rsidRPr="005304A1">
        <w:instrText xml:space="preserve"> ADDIN ZOTERO_ITEM CSL_CITATION {"citationID":"AUNJOoWr","properties":{"formattedCitation":"[13]","plainCitation":"[13]","noteIndex":0},"citationItems":[{"id":1363,"uris":["http://zotero.org/users/3415649/items/JDUKXW2B"],"itemData":{"id":1363,"type":"article-journal","abstract":"Increasing concerns regarding human-driven effects on the biosphere have led to the development and adoption of environmentally friendly “green” composites. Unlike conventional synthetic composites, green composites are made of natural materials in either the matrix or the fiber reinforcement (or both). They are claimed to have lower negative environmental effects due to their sustainability and easier recyclability. To assess the environmental impacts associated with any product, a life cycle assessment (LCA) is needed. This literature review summarizes the individual steps undertaken in an LCA study and discusses their relevance within the field of green composites. Similarly, an outline of life cycle costing (LCC), a type of study which determines the economic implications of a product, is incorporated. Since some phases of a product’s life cycle can have significant environmental effects, parameters affecting the time-dependant degradation of green composites and their significance in LCA studies were also explored. Finally, criteria for choosing natural fibers and biopolymers for green composites in engineering applications were considered, and case studies of hemp and flax as candidates for fiber cultivation in Alberta, Canada are provided throughout.","container-title":"Journal of Engineered Fibers and Fabrics","DOI":"10.1177/15589250211026940","ISSN":"1558-9250, 1558-9250","journalAbbreviation":"Journal of Engineered Fibers and Fabrics","language":"en","page":"155892502110269","source":"DOI.org (Crossref)","title":"Life cycle analysis for green composites: A review of literature including considerations for local and global agricultural use","title-short":"Life cycle analysis for green composites","volume":"16","author":[{"family":"Ead","given":"Ahmed Samir"},{"family":"Appel","given":"Raelynn"},{"family":"Alex","given":"Nibin"},{"family":"Ayranci","given":"Cagri"},{"family":"Carey","given":"Jason P"}],"issued":{"date-parts":[["2021",1]]}}}],"schema":"https://github.com/citation-style-language/schema/raw/master/csl-citation.json"} </w:instrText>
      </w:r>
      <w:r w:rsidRPr="005304A1">
        <w:fldChar w:fldCharType="separate"/>
      </w:r>
      <w:r w:rsidRPr="005304A1">
        <w:t>[13]</w:t>
      </w:r>
      <w:r w:rsidRPr="005304A1">
        <w:fldChar w:fldCharType="end"/>
      </w:r>
      <w:r w:rsidRPr="005304A1">
        <w:t xml:space="preserve">: </w:t>
      </w:r>
    </w:p>
    <w:p w14:paraId="35EAFC49" w14:textId="77777777" w:rsidR="005304A1" w:rsidRPr="005304A1" w:rsidRDefault="005304A1" w:rsidP="005304A1">
      <w:pPr>
        <w:numPr>
          <w:ilvl w:val="0"/>
          <w:numId w:val="1"/>
        </w:numPr>
      </w:pPr>
      <w:r w:rsidRPr="005304A1">
        <w:t>Identifying the goal of the LCA and defining the scope of analysis, including defining functional units, system boundaries and study limits</w:t>
      </w:r>
    </w:p>
    <w:p w14:paraId="12DD4D5F" w14:textId="77777777" w:rsidR="005304A1" w:rsidRPr="005304A1" w:rsidRDefault="005304A1" w:rsidP="005304A1">
      <w:pPr>
        <w:numPr>
          <w:ilvl w:val="0"/>
          <w:numId w:val="1"/>
        </w:numPr>
      </w:pPr>
      <w:r w:rsidRPr="005304A1">
        <w:t xml:space="preserve">Compiling a life cycle inventory (LCI) by measuring and recording all of the inputs and outputs of the system under study, in accordance with the defined functional unit </w:t>
      </w:r>
    </w:p>
    <w:p w14:paraId="4EEDE89D" w14:textId="77777777" w:rsidR="005304A1" w:rsidRPr="005304A1" w:rsidRDefault="005304A1" w:rsidP="005304A1">
      <w:pPr>
        <w:numPr>
          <w:ilvl w:val="0"/>
          <w:numId w:val="1"/>
        </w:numPr>
      </w:pPr>
      <w:r w:rsidRPr="005304A1">
        <w:t>Completing a life cycle impact assessment (LCIA) by translating the data collected in step 2 into actual environmental impacts (such as conversion of all greenhouse gas emissions into kg CO</w:t>
      </w:r>
      <w:r w:rsidRPr="005304A1">
        <w:rPr>
          <w:vertAlign w:val="subscript"/>
        </w:rPr>
        <w:t>2</w:t>
      </w:r>
      <w:r w:rsidRPr="005304A1">
        <w:t xml:space="preserve"> equivalent) </w:t>
      </w:r>
    </w:p>
    <w:p w14:paraId="1801A43B" w14:textId="77777777" w:rsidR="005304A1" w:rsidRPr="005304A1" w:rsidRDefault="005304A1" w:rsidP="005304A1">
      <w:pPr>
        <w:numPr>
          <w:ilvl w:val="0"/>
          <w:numId w:val="1"/>
        </w:numPr>
      </w:pPr>
      <w:r w:rsidRPr="005304A1">
        <w:t>Interpreting the results of the study and determining conclusions, limitations, and study recommendations</w:t>
      </w:r>
    </w:p>
    <w:p w14:paraId="12063311" w14:textId="77777777" w:rsidR="005304A1" w:rsidRPr="005304A1" w:rsidRDefault="005304A1" w:rsidP="005304A1">
      <w:r w:rsidRPr="005304A1">
        <w:t xml:space="preserve">Automotive original equipment manufacturers (OEMs) are increasingly using life cycle analysis as a tool to analyze their carbon footprints and make progress towards carbon neutrality goals. This is critical for the industry as regulation moves away from solely measuring tailpipe emissions towards a more holistic analysis of lifetime vehicle emissions. While this approach is necessary to understand the true environmental impacts of any vehicle, it is particularly important for BEVs, as they do not create emissions in the same way as an ICE vehicle. The environmental burdens are shifted away from the use phase of the vehicle and towards the manufacturing phase due to the energy intensive nature of battery production </w:t>
      </w:r>
      <w:r w:rsidRPr="005304A1">
        <w:rPr>
          <w:bCs/>
        </w:rPr>
        <w:fldChar w:fldCharType="begin"/>
      </w:r>
      <w:r w:rsidRPr="005304A1">
        <w:rPr>
          <w:bCs/>
        </w:rPr>
        <w:instrText xml:space="preserve"> ADDIN ZOTERO_ITEM CSL_CITATION {"citationID":"SyZAWWu0","properties":{"formattedCitation":"[16]","plainCitation":"[16]","noteIndex":0},"citationItems":[{"id":1569,"uris":["http://zotero.org/users/3415649/items/RS2J3PWC"],"itemData":{"id":1569,"type":"chapter","container-title":"Engines and Fuels for Future Transport","event-place":"Singapore","ISBN":"9789811687167","language":"en","note":"collection-title: Energy, Environment, and Sustainability\nDOI: 10.1007/978-981-16-8717-4_6","page":"103-131","publisher":"Springer Singapore","publisher-place":"Singapore","source":"DOI.org (Crossref)","title":"Life-Cycle Analysis for the Automotive Sector","URL":"https://link.springer.com/10.1007/978-981-16-8717-4_6","editor":[{"family":"Kalghatgi","given":"Gautam"},{"family":"Agarwal","given":"Avinash Kumar"},{"family":"Leach","given":"Felix"},{"family":"Senecal","given":"Kelly"}],"author":[{"family":"Conway","given":"Graham"}],"accessed":{"date-parts":[["2022",8,8]]},"issued":{"date-parts":[["2022"]]}}}],"schema":"https://github.com/citation-style-language/schema/raw/master/csl-citation.json"} </w:instrText>
      </w:r>
      <w:r w:rsidRPr="005304A1">
        <w:rPr>
          <w:bCs/>
        </w:rPr>
        <w:fldChar w:fldCharType="separate"/>
      </w:r>
      <w:r w:rsidRPr="005304A1">
        <w:t>[16]</w:t>
      </w:r>
      <w:r w:rsidRPr="005304A1">
        <w:fldChar w:fldCharType="end"/>
      </w:r>
      <w:r w:rsidRPr="005304A1">
        <w:t xml:space="preserve">. </w:t>
      </w:r>
    </w:p>
    <w:p w14:paraId="14AEC2FF" w14:textId="1B642DA8" w:rsidR="004E55F3" w:rsidRDefault="005304A1" w:rsidP="005304A1">
      <w:pPr>
        <w:pStyle w:val="Heading2"/>
      </w:pPr>
      <w:bookmarkStart w:id="17" w:name="_Toc190951773"/>
      <w:r>
        <w:t>1.4 Sustainable Materials for the Automotive Industry</w:t>
      </w:r>
      <w:bookmarkEnd w:id="17"/>
    </w:p>
    <w:p w14:paraId="7C65C91C" w14:textId="77777777" w:rsidR="005304A1" w:rsidRPr="005304A1" w:rsidRDefault="005304A1" w:rsidP="005304A1">
      <w:r w:rsidRPr="005304A1">
        <w:t xml:space="preserve">The automotive industry on the whole is targeting net-zero carbon emissions by 2040/2050, with individual automotive manufacturers targeting a range of milestones in the interim </w:t>
      </w:r>
      <w:r w:rsidRPr="005304A1">
        <w:fldChar w:fldCharType="begin"/>
      </w:r>
      <w:r w:rsidRPr="005304A1">
        <w:instrText xml:space="preserve"> ADDIN ZOTERO_ITEM CSL_CITATION {"citationID":"Nj3dSAh4","properties":{"formattedCitation":"[17]","plainCitation":"[17]","noteIndex":0},"citationItems":[{"id":1434,"uris":["http://zotero.org/users/3415649/items/S3V6AZXX"],"itemData":{"id":1434,"type":"article-magazine","language":"en","page":"2","source":"Zotero","title":"BMW, Ford, other automakers rev up carbon commitments","author":[{"family":"Fehrenbacher","given":"Katie"}],"issued":{"date-parts":[["2020",7]]}}}],"schema":"https://github.com/citation-style-language/schema/raw/master/csl-citation.json"} </w:instrText>
      </w:r>
      <w:r w:rsidRPr="005304A1">
        <w:fldChar w:fldCharType="separate"/>
      </w:r>
      <w:r w:rsidRPr="005304A1">
        <w:t>[17]</w:t>
      </w:r>
      <w:r w:rsidRPr="005304A1">
        <w:fldChar w:fldCharType="end"/>
      </w:r>
      <w:r w:rsidRPr="005304A1">
        <w:t xml:space="preserve">. For example, Ford has set an ultimate goal of achieving carbon neutrality by 2050, with intermediate goals of 100% renewable energy for manufacturing by 2035, elimination of single use plastics by 2030 and immediate electrification of its most popular vehicles (Transit van, F-150 truck, </w:t>
      </w:r>
      <w:proofErr w:type="spellStart"/>
      <w:r w:rsidRPr="005304A1">
        <w:t>etc</w:t>
      </w:r>
      <w:proofErr w:type="spellEnd"/>
      <w:r w:rsidRPr="005304A1">
        <w:t xml:space="preserve">) </w:t>
      </w:r>
      <w:r w:rsidRPr="005304A1">
        <w:fldChar w:fldCharType="begin"/>
      </w:r>
      <w:r w:rsidRPr="005304A1">
        <w:instrText xml:space="preserve"> ADDIN ZOTERO_ITEM CSL_CITATION {"citationID":"GdbUMFUC","properties":{"formattedCitation":"[18]","plainCitation":"[18]","noteIndex":0},"citationItems":[{"id":1435,"uris":["http://zotero.org/users/3415649/items/HIUI9F9P"],"itemData":{"id":1435,"type":"webpage","container-title":"Ford Newsroom","language":"English","title":"Ford Expands Climate Change Goals, Sets Target to Become Cabon Neutral by 2050: Annual Sustainability Report","URL":"https://media.ford.com/content/fordmedia/fna/us/en/news/2020/06/24/ford-expands-climate-change-goals.html","accessed":{"date-parts":[["2022",6,28]]},"issued":{"date-parts":[["2020",6,24]]}}}],"schema":"https://github.com/citation-style-language/schema/raw/master/csl-citation.json"} </w:instrText>
      </w:r>
      <w:r w:rsidRPr="005304A1">
        <w:fldChar w:fldCharType="separate"/>
      </w:r>
      <w:r w:rsidRPr="005304A1">
        <w:t>[18]</w:t>
      </w:r>
      <w:r w:rsidRPr="005304A1">
        <w:fldChar w:fldCharType="end"/>
      </w:r>
      <w:r w:rsidRPr="005304A1">
        <w:t xml:space="preserve">. General Motors (GM) has set an ultimate goal of carbon neutrality by 2040, with intermediate goals of 0 emissions from light duty </w:t>
      </w:r>
      <w:r w:rsidRPr="005304A1">
        <w:lastRenderedPageBreak/>
        <w:t xml:space="preserve">vehicles by 2035, 100% renewable energy in US facilities by 2025, and 40% of models sold in the US as battery electric vehicles (BEV) by 2025 </w:t>
      </w:r>
      <w:r w:rsidRPr="005304A1">
        <w:fldChar w:fldCharType="begin"/>
      </w:r>
      <w:r w:rsidRPr="005304A1">
        <w:instrText xml:space="preserve"> ADDIN ZOTERO_ITEM CSL_CITATION {"citationID":"kaLuQvKS","properties":{"formattedCitation":"[19]","plainCitation":"[19]","noteIndex":0},"citationItems":[{"id":1437,"uris":["http://zotero.org/users/3415649/items/5DDJH7I4"],"itemData":{"id":1437,"type":"article-magazine","container-title":"NPR","language":"en","page":"14","source":"Zotero","title":"General Motors Aims to Be Carbon Neutral By 2040","author":[{"family":"Jones","given":"Dustin"}],"issued":{"date-parts":[["2021",1,28]]}}}],"schema":"https://github.com/citation-style-language/schema/raw/master/csl-citation.json"} </w:instrText>
      </w:r>
      <w:r w:rsidRPr="005304A1">
        <w:fldChar w:fldCharType="separate"/>
      </w:r>
      <w:r w:rsidRPr="005304A1">
        <w:t>[19]</w:t>
      </w:r>
      <w:r w:rsidRPr="005304A1">
        <w:fldChar w:fldCharType="end"/>
      </w:r>
      <w:r w:rsidRPr="005304A1">
        <w:t xml:space="preserve">. The sponsor for this work, Volkswagen, has similar goals with ultimate carbon-neutrality by 2050, and intermediate goals of 70 BEV models on the market by 2030, reduction of greenhouse gas emissions (GHG) by 30% by 2030 (when compared to 2018 levels), and significant investments in public charging stations and battery cell manufacturing and recycling </w:t>
      </w:r>
      <w:r w:rsidRPr="005304A1">
        <w:fldChar w:fldCharType="begin"/>
      </w:r>
      <w:r w:rsidRPr="005304A1">
        <w:instrText xml:space="preserve"> ADDIN ZOTERO_ITEM CSL_CITATION {"citationID":"D8CayrKD","properties":{"formattedCitation":"[20]","plainCitation":"[20]","noteIndex":0},"citationItems":[{"id":1438,"uris":["http://zotero.org/users/3415649/items/ZLCPPRJJ"],"itemData":{"id":1438,"type":"webpage","title":"How we become CO₂-neutral","title-short":"June 28, 2022","URL":"https://www.volkswagenag.com/en/news/stories/2020/10/29-climate-measures-of-the-volkswagen-group.html","issued":{"date-parts":[["2021",3,2]]}}}],"schema":"https://github.com/citation-style-language/schema/raw/master/csl-citation.json"} </w:instrText>
      </w:r>
      <w:r w:rsidRPr="005304A1">
        <w:fldChar w:fldCharType="separate"/>
      </w:r>
      <w:r w:rsidRPr="005304A1">
        <w:t>[20]</w:t>
      </w:r>
      <w:r w:rsidRPr="005304A1">
        <w:fldChar w:fldCharType="end"/>
      </w:r>
      <w:r w:rsidRPr="005304A1">
        <w:t>.</w:t>
      </w:r>
    </w:p>
    <w:p w14:paraId="67E12BE8" w14:textId="77777777" w:rsidR="005304A1" w:rsidRPr="005304A1" w:rsidRDefault="005304A1" w:rsidP="005304A1">
      <w:r w:rsidRPr="005304A1">
        <w:t xml:space="preserve">While much of the focus of carbon footprint reduction is on electrification of vehicles, as emissions during the use phase of an internal combustion engine (ICE) vehicle represent 65-80% of the total carbon footprint, development of low carbon footprint materials is critical to ultimately reach net-zero. Current estimates indicate that material production accounts for 18% of the life-cycle emissions of a vehicle, with this portion increasing up to 60% by 2040 as other electrification and use of renewable energy reduces other emissions associated with manufacturing, BEV charging, and ICE tail-pipe emissions </w:t>
      </w:r>
      <w:r w:rsidRPr="005304A1">
        <w:fldChar w:fldCharType="begin"/>
      </w:r>
      <w:r w:rsidRPr="005304A1">
        <w:instrText xml:space="preserve"> ADDIN ZOTERO_ITEM CSL_CITATION {"citationID":"wTYGOYZq","properties":{"formattedCitation":"[21]","plainCitation":"[21]","noteIndex":0},"citationItems":[{"id":1439,"uris":["http://zotero.org/users/3415649/items/2EZ4JUT8"],"itemData":{"id":1439,"type":"article-magazine","container-title":"McKinsey Sustainability","title":"The zero-carbon car: Abating material emissions is next on the agenda","URL":"https://www.mckinsey.com/business-functions/sustainability/our-insights/the-zero-carbon-car-abating-material-emissions-is-next-on-the-agenda","author":[{"family":"Hannon","given":"Eric"},{"family":"Naucler","given":"Tomas"},{"family":"Suneson","given":"Anders"},{"family":"Yuksel","given":"Fehmi"}],"issued":{"date-parts":[["2020",9,18]]}}}],"schema":"https://github.com/citation-style-language/schema/raw/master/csl-citation.json"} </w:instrText>
      </w:r>
      <w:r w:rsidRPr="005304A1">
        <w:fldChar w:fldCharType="separate"/>
      </w:r>
      <w:r w:rsidRPr="005304A1">
        <w:t>[21]</w:t>
      </w:r>
      <w:r w:rsidRPr="005304A1">
        <w:fldChar w:fldCharType="end"/>
      </w:r>
      <w:r w:rsidRPr="005304A1">
        <w:t>. As a result, there is significant interest in developing low-carbon footprint materials, specifically through use of bio-derived, renewable, or recycled products.</w:t>
      </w:r>
    </w:p>
    <w:p w14:paraId="21731CDB" w14:textId="1B74E297" w:rsidR="005304A1" w:rsidRDefault="005304A1" w:rsidP="005304A1">
      <w:pPr>
        <w:pStyle w:val="Heading2"/>
      </w:pPr>
      <w:bookmarkStart w:id="18" w:name="_Toc190951774"/>
      <w:r>
        <w:t>1.4.1 Natural Fibers and their Automotive Applications</w:t>
      </w:r>
      <w:bookmarkEnd w:id="18"/>
      <w:r>
        <w:t xml:space="preserve"> </w:t>
      </w:r>
    </w:p>
    <w:p w14:paraId="224979CA" w14:textId="77777777" w:rsidR="005304A1" w:rsidRPr="005304A1" w:rsidRDefault="005304A1" w:rsidP="005304A1">
      <w:r w:rsidRPr="005304A1">
        <w:t xml:space="preserve">The automotive industry has been interested in the use of natural fiber composites for multiple decades, dating back to the introduction of epoxy-jute door panels into the Mercedes-Benz E-class vehicles in 1996 </w:t>
      </w:r>
      <w:r w:rsidRPr="005304A1">
        <w:fldChar w:fldCharType="begin"/>
      </w:r>
      <w:r w:rsidRPr="005304A1">
        <w:instrText xml:space="preserve"> ADDIN ZOTERO_ITEM CSL_CITATION {"citationID":"SqMU3Vrw","properties":{"formattedCitation":"[22]","plainCitation":"[22]","noteIndex":0},"citationItems":[{"id":1116,"uris":["http://zotero.org/users/3415649/items/E793RM4Q"],"itemData":{"id":1116,"type":"article-journal","abstract":"This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schema":"https://github.com/citation-style-language/schema/raw/master/csl-citation.json"} </w:instrText>
      </w:r>
      <w:r w:rsidRPr="005304A1">
        <w:fldChar w:fldCharType="separate"/>
      </w:r>
      <w:r w:rsidRPr="005304A1">
        <w:t>[22]</w:t>
      </w:r>
      <w:r w:rsidRPr="005304A1">
        <w:fldChar w:fldCharType="end"/>
      </w:r>
      <w:r w:rsidRPr="005304A1">
        <w:t xml:space="preserve">. Natural fibers offer some advantages over conventional fibers (carbon, glass), including their relatively low cost (10-30% lower than glass fibers), potential for weight reduction due to lower density, beneficial acoustic properties, wide global availability and decreased carbon footprint. A variety of natural fibers have been studied for use in automotive applications, but the most commonly used are abaca, kenaf, hemp, flax, sisal, and jute </w:t>
      </w:r>
      <w:r w:rsidRPr="005304A1">
        <w:fldChar w:fldCharType="begin"/>
      </w:r>
      <w:r w:rsidRPr="005304A1">
        <w:instrText xml:space="preserve"> ADDIN ZOTERO_ITEM CSL_CITATION {"citationID":"r7A8fjs4","properties":{"formattedCitation":"[23]","plainCitation":"[23]","noteIndex":0},"citationItems":[{"id":1112,"uris":["http://zotero.org/users/3415649/items/7SWD8H6Z"],"itemData":{"id":1112,"type":"article-journal","abstract":"In recent years, the amount of research on natural fibres and natural-fibre-based products has increased substantially. The reason for this increase is due to a greater awareness of the environment and the ever depleting trend of petroleum supplies. Natural fibre composites and in general, natural fibres have a big role to play towards a sustainable environmentally friendly future. The automotive industry is taking big steps toward a more eco-friendly product chain by implementing natural fibres as a base for making various components, such as seat backs, door panels, spare tyre and boot linings. The world production of natural fibres is increasing since the product base is increasing. Each year, more synthetic fibres and high energy consuming products are being replaced by natural-fibre-based products. The reason for this trend is not only due to an increased environmental awareness but also because natural fibres have excellent properties, such as light weight, and they have relatively low costs. This study attempts to review the most commercially important natural fibres and their automotive application and also looks at the properties, chemical composition and cost of some natural fibres being used in industry.","container-title":"Journal of Reinforced Plastics and Composites","DOI":"10.1177/0731684416633898","ISSN":"0731-6844, 1530-7964","issue":"13","journalAbbreviation":"Journal of Reinforced Plastics and Composites","language":"en","page":"1041-1050","source":"DOI.org (Crossref)","title":"A review of natural fibres, their sustainability and automotive applications","volume":"35","author":[{"family":"Dunne","given":"R"},{"family":"Desai","given":"D"},{"family":"Sadiku","given":"R"},{"family":"Jayaramudu","given":"J"}],"issued":{"date-parts":[["2016",7]]}}}],"schema":"https://github.com/citation-style-language/schema/raw/master/csl-citation.json"} </w:instrText>
      </w:r>
      <w:r w:rsidRPr="005304A1">
        <w:fldChar w:fldCharType="separate"/>
      </w:r>
      <w:r w:rsidRPr="005304A1">
        <w:t>[23]</w:t>
      </w:r>
      <w:r w:rsidRPr="005304A1">
        <w:fldChar w:fldCharType="end"/>
      </w:r>
      <w:r w:rsidRPr="005304A1">
        <w:t xml:space="preserve">. The advantages and disadvantages of common natural fibers are listed in the </w:t>
      </w:r>
      <w:r w:rsidRPr="005304A1">
        <w:rPr>
          <w:b/>
          <w:bCs/>
        </w:rPr>
        <w:t>Table 1.2</w:t>
      </w:r>
      <w:r w:rsidRPr="005304A1">
        <w:t>.</w:t>
      </w:r>
    </w:p>
    <w:p w14:paraId="0C06A33A" w14:textId="77777777" w:rsidR="001A3AB6" w:rsidRDefault="005304A1" w:rsidP="005304A1">
      <w:r w:rsidRPr="005304A1">
        <w:t xml:space="preserve">Although there is significant interest in natural fibers, some concerns must still be overcome before they can see large scale integration into the automotive industry. The properties of natural fibers are more inconsistent than conventional fibers, as they are dependent on a variety of conditions including the time of year at which the plant was </w:t>
      </w:r>
    </w:p>
    <w:p w14:paraId="1E93998F" w14:textId="77777777" w:rsidR="001A3AB6" w:rsidRDefault="001A3AB6">
      <w:pPr>
        <w:spacing w:after="160" w:line="259" w:lineRule="auto"/>
        <w:ind w:firstLine="0"/>
        <w:jc w:val="left"/>
      </w:pPr>
      <w:r w:rsidRPr="00721333">
        <w:rPr>
          <w:b/>
          <w:bCs/>
        </w:rPr>
        <w:lastRenderedPageBreak/>
        <w:t xml:space="preserve">Table </w:t>
      </w:r>
      <w:r>
        <w:rPr>
          <w:b/>
          <w:bCs/>
        </w:rPr>
        <w:t>1.2</w:t>
      </w:r>
      <w:r w:rsidRPr="00721333">
        <w:rPr>
          <w:b/>
          <w:bCs/>
        </w:rPr>
        <w:t xml:space="preserve"> </w:t>
      </w:r>
      <w:r w:rsidRPr="00721333">
        <w:t>Advantages and disadvantages of common natural fibers</w:t>
      </w:r>
      <w:r>
        <w:t xml:space="preserve"> </w:t>
      </w:r>
      <w:r w:rsidRPr="00721333">
        <w:fldChar w:fldCharType="begin"/>
      </w:r>
      <w:r>
        <w:instrText xml:space="preserve"> ADDIN ZOTERO_ITEM CSL_CITATION {"citationID":"mxwua6VT","properties":{"formattedCitation":"[22\\uc0\\u8211{}27]","plainCitation":"[22–27]","noteIndex":0},"citationItems":[{"id":1116,"uris":["http://zotero.org/users/3415649/items/E793RM4Q"],"itemData":{"id":1116,"type":"article-journal","abstract":"This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label":"page"},{"id":1112,"uris":["http://zotero.org/users/3415649/items/7SWD8H6Z"],"itemData":{"id":1112,"type":"article-journal","abstract":"In recent years, the amount of research on natural fibres and natural-fibre-based products has increased substantially. The reason for this increase is due to a greater awareness of the environment and the ever depleting trend of petroleum supplies. Natural fibre composites and in general, natural fibres have a big role to play towards a sustainable environmentally friendly future. The automotive industry is taking big steps toward a more eco-friendly product chain by implementing natural fibres as a base for making various components, such as seat backs, door panels, spare tyre and boot linings. The world production of natural fibres is increasing since the product base is increasing. Each year, more synthetic fibres and high energy consuming products are being replaced by natural-fibre-based products. The reason for this trend is not only due to an increased environmental awareness but also because natural fibres have excellent properties, such as light weight, and they have relatively low costs. This study attempts to review the most commercially important natural fibres and their automotive application and also looks at the properties, chemical composition and cost of some natural fibres being used in industry.","container-title":"Journal of Reinforced Plastics and Composites","DOI":"10.1177/0731684416633898","ISSN":"0731-6844, 1530-7964","issue":"13","journalAbbreviation":"Journal of Reinforced Plastics and Composites","language":"en","page":"1041-1050","source":"DOI.org (Crossref)","title":"A review of natural fibres, their sustainability and automotive applications","volume":"35","author":[{"family":"Dunne","given":"R"},{"family":"Desai","given":"D"},{"family":"Sadiku","given":"R"},{"family":"Jayaramudu","given":"J"}],"issued":{"date-parts":[["2016",7]]}},"label":"page"},{"id":1137,"uris":["http://zotero.org/users/3415649/items/7FZEVN6A"],"itemData":{"id":1137,"type":"article-journal","abstract":"The expansion of environment-friendly materials based on natural sources increases dramatically in terms of biodegradable, recyclable, and environmental disputes throughout the world. Plant-based natural ﬁber, a high potential ﬁeld of the reinforced polymer composite material, is considered as lightweight and economical products as they possess lower density, signiﬁcant material characteristics, and extraordinary molding ﬂexibility. The usage of plant ﬁbers on the core structure of composite materials have drawn signiﬁcant interest by the manufacturers to meet the increasing demand of the consumers for sustainable features with enhanced mechanical performances and functionalities. The plant ﬁber-based composites have widespread usage in construction, automotive, packaging, sports, biomedical, and defense sectors for their superior characteristics. Therefore, this critical review would demonstrate an overview regarding the background of natural ﬁber composites, factors inﬂuencing the composite properties, chemical interaction between the ﬁber and matrices, future potentiality, and marketing perspectives for triggering new research works in the ﬁeld of biocomposite materials.","container-title":"Journal of Materials Science","DOI":"10.1007/s10853-021-05774-9","ISSN":"0022-2461, 1573-4803","issue":"12","journalAbbreviation":"J Mater Sci","language":"en","page":"7231-7264","source":"DOI.org (Crossref)","title":"Comprehensive review on plant fiber-reinforced polymeric biocomposites","volume":"56","author":[{"family":"Mahmud","given":"Sakil"},{"family":"Hasan","given":"K. M. Faridul"},{"family":"Jahid","given":"Md. Anwar"},{"family":"Mohiuddin","given":"Kazi"},{"family":"Zhang","given":"Ruoyu"},{"family":"Zhu","given":"Jin"}],"issued":{"date-parts":[["2021",4]]}},"label":"page"},{"id":1507,"uris":["http://zotero.org/users/3415649/items/D5EEE3GB"],"itemData":{"id":1507,"type":"article-journal","abstract":"Petroleum based thermoplastics are widely used in a range of applications, particularly in packaging. However, their usage has resulted in soaring pollutant emissions. Thus, researchers have been driven to seek environmentally friendly alternative packaging materials which are recyclable as well as biodegradable. Due to the excellent mechanical properties of natural ﬁbres, they have been extensively used to reinforce biopolymers to produce biodegradable composites. A detailed understanding of the properties of such composite materials is vital for assessing their applicability to various products. The present review discusses several functional properties related to packaging applications in order to explore the potential of bamboo ﬁbre fabric-poly (lactic) acid composites for packaging applications. Physical properties, heat deﬂection temperature, impact resistance, recyclability and biodegradability are important functional properties of packaging materials. In this review, we will also comprehensively discuss the chronological events and applications of natural ﬁbre biopolymer composites.","container-title":"Materials","DOI":"10.3390/ma9060435","ISSN":"1996-1944","issue":"6","journalAbbreviation":"Materials","language":"en","page":"435","source":"DOI.org (Crossref)","title":"Green Composites Made of Bamboo Fabric and Poly (Lactic) Acid for Packaging Applications—A Review","volume":"9","author":[{"family":"Nurul Fazita","given":"M.R."},{"family":"Jayaraman","given":"Krishnan"},{"family":"Bhattacharyya","given":"Debes"},{"family":"Mohamad Haafiz","given":"M.K."},{"family":"Saurabh","given":"Chaturbhuj"},{"family":"Hussin","given":"M."},{"family":"H.P.S.","given":"Abdul"}],"issued":{"date-parts":[["2016",6,1]]}},"label":"page"},{"id":1509,"uris":["http://zotero.org/users/3415649/items/LQHAAP5J"],"itemData":{"id":1509,"type":"article-journal","abstract":"Bamboo fibres have excellent mechanical properties rather than other natural fibres. Because of its outstanding properties; it is used as reinforcement in composite production process to replace the synthetics fibres. Synthetic fibres are affecting our environment since they are non-biodegradable materials and they are not easily available. In addition to use as reinforcement material, it has also used in different engineering applications such as in automotive, aerospace and aircraft, wind turbine, and solar panels. The mechanical, physical, and thermal properties of bamboo fibre reinforced composite materials were altered by different parameters, from the additive particles, processing techniques, fibre orientation, size, volume or weight ratio, temperatures, and matrix and reinforcement material used in the production process. Some usage of matrix and reinforcement material reinforced composites in engineering applications; in automotive, aerospace and aircraft, wind turbine and solar panels. In sandwich honey structure composite using 0° fiber orientation is better mechanical properties than 45° and 90° and using high fiber volume fraction can reduce the mechanical properties of bamboo reinforced composite materials. To obtain excellent mechanical, physical, and thermal properties of bamboo fiber reinforced composite materials, controlling the parameters and using proper matrix and reinforced materials are preferable methods.","issue":"3","language":"en","page":"9","source":"Zotero","title":"Review of the Applications and Properties of Bamboo Fiber Reinforced Composite Materials","volume":"9","author":[{"family":"Ababu","given":"Mekete"},{"family":"Husen","given":"Ebrahim"},{"family":"Awraris","given":"Birhanu"},{"family":"Bashawal","given":"Neseredin"}],"issued":{"date-parts":[["2021"]]}}},{"id":1511,"uris":["http://zotero.org/users/3415649/items/N67NBJAU"],"itemData":{"id":1511,"type":"article-journal","abstract":"The work on cellulose fiber composites is typically strictly divided into two separated research fields depending on the fiber origin, that is, from wood and from annual plants, representing the two different industries of forest and agriculture, respectively. The present paper evaluates in parallel wood fibers and plant fibers to highlight their similarities and differences regarding their use as reinforcement in composites and to enable mutual transfer of knowledge and technology between the two research fields. The paper gives an introduction to the morphology, chemistry, and ultrastructure of the fibers, the modeling of the mechanical properties of the fibers, the fiber preforms available for manufacturing of composites, the typical mechanical properties of the composites, the modeling of the mechanical properties with focus on composites having a random fiber orientation and a non-negligible porosity content, and finally, the moisture sensitivity of the composites. The performance of wood and plant fiber composites is compared to the synthetic glass and carbon fibers conventionally used for composites, and advantages and disadvantages of the different fibers are discussed.","container-title":"Advances in Materials Science and Engineering","DOI":"10.1155/2013/564346","ISSN":"1687-8434, 1687-8442","journalAbbreviation":"Advances in Materials Science and Engineering","language":"en","page":"1-14","source":"DOI.org (Crossref)","title":"Wood versus Plant Fibers: Similarities and Differences in Composite Applications","title-short":"Wood versus Plant Fibers","volume":"2013","author":[{"family":"Madsen","given":"Bo"},{"family":"Gamstedt","given":"E. Kristofer"}],"issued":{"date-parts":[["2013"]]}}}],"schema":"https://github.com/citation-style-language/schema/raw/master/csl-citation.json"} </w:instrText>
      </w:r>
      <w:r w:rsidRPr="00721333">
        <w:fldChar w:fldCharType="separate"/>
      </w:r>
      <w:r w:rsidRPr="00810C71">
        <w:t>[22–27]</w:t>
      </w:r>
      <w:r w:rsidRPr="00721333">
        <w:fldChar w:fldCharType="end"/>
      </w:r>
    </w:p>
    <w:tbl>
      <w:tblPr>
        <w:tblStyle w:val="TableGrid"/>
        <w:tblW w:w="5006" w:type="pct"/>
        <w:tblInd w:w="-5" w:type="dxa"/>
        <w:tblLook w:val="04A0" w:firstRow="1" w:lastRow="0" w:firstColumn="1" w:lastColumn="0" w:noHBand="0" w:noVBand="1"/>
      </w:tblPr>
      <w:tblGrid>
        <w:gridCol w:w="1030"/>
        <w:gridCol w:w="3427"/>
        <w:gridCol w:w="4183"/>
      </w:tblGrid>
      <w:tr w:rsidR="001A3AB6" w:rsidRPr="001A3AB6" w14:paraId="59A3C936" w14:textId="77777777" w:rsidTr="001A3AB6">
        <w:trPr>
          <w:trHeight w:val="288"/>
        </w:trPr>
        <w:tc>
          <w:tcPr>
            <w:tcW w:w="596" w:type="pct"/>
            <w:tcBorders>
              <w:top w:val="single" w:sz="4" w:space="0" w:color="auto"/>
            </w:tcBorders>
            <w:vAlign w:val="center"/>
            <w:hideMark/>
          </w:tcPr>
          <w:p w14:paraId="443914B2" w14:textId="77777777" w:rsidR="001A3AB6" w:rsidRPr="001A3AB6" w:rsidRDefault="001A3AB6" w:rsidP="001A3AB6">
            <w:pPr>
              <w:spacing w:after="160" w:line="259" w:lineRule="auto"/>
              <w:ind w:firstLine="0"/>
              <w:jc w:val="left"/>
              <w:rPr>
                <w:b/>
              </w:rPr>
            </w:pPr>
            <w:r w:rsidRPr="001A3AB6">
              <w:rPr>
                <w:b/>
                <w:bCs/>
              </w:rPr>
              <w:t>Fiber</w:t>
            </w:r>
          </w:p>
        </w:tc>
        <w:tc>
          <w:tcPr>
            <w:tcW w:w="1983" w:type="pct"/>
            <w:tcBorders>
              <w:top w:val="single" w:sz="4" w:space="0" w:color="auto"/>
            </w:tcBorders>
            <w:vAlign w:val="center"/>
            <w:hideMark/>
          </w:tcPr>
          <w:p w14:paraId="5CDBBA04" w14:textId="77777777" w:rsidR="001A3AB6" w:rsidRPr="001A3AB6" w:rsidRDefault="001A3AB6" w:rsidP="001A3AB6">
            <w:pPr>
              <w:spacing w:after="160" w:line="259" w:lineRule="auto"/>
              <w:ind w:firstLine="0"/>
              <w:jc w:val="left"/>
              <w:rPr>
                <w:b/>
              </w:rPr>
            </w:pPr>
            <w:r w:rsidRPr="001A3AB6">
              <w:rPr>
                <w:b/>
                <w:bCs/>
              </w:rPr>
              <w:t>Advantages</w:t>
            </w:r>
          </w:p>
        </w:tc>
        <w:tc>
          <w:tcPr>
            <w:tcW w:w="2421" w:type="pct"/>
            <w:tcBorders>
              <w:top w:val="single" w:sz="4" w:space="0" w:color="auto"/>
            </w:tcBorders>
            <w:vAlign w:val="center"/>
            <w:hideMark/>
          </w:tcPr>
          <w:p w14:paraId="747C24FC" w14:textId="77777777" w:rsidR="001A3AB6" w:rsidRPr="001A3AB6" w:rsidRDefault="001A3AB6" w:rsidP="001A3AB6">
            <w:pPr>
              <w:spacing w:after="160" w:line="259" w:lineRule="auto"/>
              <w:ind w:firstLine="0"/>
              <w:jc w:val="left"/>
              <w:rPr>
                <w:b/>
              </w:rPr>
            </w:pPr>
            <w:r w:rsidRPr="001A3AB6">
              <w:rPr>
                <w:b/>
                <w:bCs/>
              </w:rPr>
              <w:t>Disadvantages</w:t>
            </w:r>
          </w:p>
        </w:tc>
      </w:tr>
      <w:tr w:rsidR="001A3AB6" w:rsidRPr="001A3AB6" w14:paraId="104ECD12" w14:textId="77777777" w:rsidTr="001A3AB6">
        <w:trPr>
          <w:trHeight w:val="288"/>
        </w:trPr>
        <w:tc>
          <w:tcPr>
            <w:tcW w:w="596" w:type="pct"/>
            <w:vAlign w:val="center"/>
            <w:hideMark/>
          </w:tcPr>
          <w:p w14:paraId="7B6B0B95" w14:textId="77777777" w:rsidR="001A3AB6" w:rsidRPr="001A3AB6" w:rsidRDefault="001A3AB6" w:rsidP="001A3AB6">
            <w:pPr>
              <w:spacing w:after="160" w:line="259" w:lineRule="auto"/>
              <w:ind w:firstLine="0"/>
              <w:jc w:val="left"/>
            </w:pPr>
            <w:r w:rsidRPr="001A3AB6">
              <w:t>Abaca</w:t>
            </w:r>
          </w:p>
        </w:tc>
        <w:tc>
          <w:tcPr>
            <w:tcW w:w="1983" w:type="pct"/>
            <w:vAlign w:val="center"/>
            <w:hideMark/>
          </w:tcPr>
          <w:p w14:paraId="54A853B4" w14:textId="77777777" w:rsidR="001A3AB6" w:rsidRPr="001A3AB6" w:rsidRDefault="001A3AB6" w:rsidP="001A3AB6">
            <w:pPr>
              <w:spacing w:after="160" w:line="259" w:lineRule="auto"/>
              <w:ind w:firstLine="0"/>
              <w:jc w:val="left"/>
            </w:pPr>
            <w:r w:rsidRPr="001A3AB6">
              <w:t>High tensile strength, flexural strength is similar to glass fiber</w:t>
            </w:r>
          </w:p>
        </w:tc>
        <w:tc>
          <w:tcPr>
            <w:tcW w:w="2421" w:type="pct"/>
            <w:vAlign w:val="center"/>
            <w:hideMark/>
          </w:tcPr>
          <w:p w14:paraId="58A014E7" w14:textId="77777777" w:rsidR="001A3AB6" w:rsidRPr="001A3AB6" w:rsidRDefault="001A3AB6" w:rsidP="001A3AB6">
            <w:pPr>
              <w:spacing w:after="160" w:line="259" w:lineRule="auto"/>
              <w:ind w:firstLine="0"/>
              <w:jc w:val="left"/>
            </w:pPr>
            <w:r w:rsidRPr="001A3AB6">
              <w:t>Manual extraction of fibers is very labor intensive, low production volume</w:t>
            </w:r>
          </w:p>
        </w:tc>
      </w:tr>
      <w:tr w:rsidR="001A3AB6" w:rsidRPr="001A3AB6" w14:paraId="2288FC52" w14:textId="77777777" w:rsidTr="001A3AB6">
        <w:trPr>
          <w:trHeight w:val="288"/>
        </w:trPr>
        <w:tc>
          <w:tcPr>
            <w:tcW w:w="596" w:type="pct"/>
            <w:vAlign w:val="center"/>
            <w:hideMark/>
          </w:tcPr>
          <w:p w14:paraId="3A1DD546" w14:textId="77777777" w:rsidR="001A3AB6" w:rsidRPr="001A3AB6" w:rsidRDefault="001A3AB6" w:rsidP="001A3AB6">
            <w:pPr>
              <w:spacing w:after="160" w:line="259" w:lineRule="auto"/>
              <w:ind w:firstLine="0"/>
              <w:jc w:val="left"/>
            </w:pPr>
            <w:r w:rsidRPr="001A3AB6">
              <w:t>Kenaf</w:t>
            </w:r>
          </w:p>
        </w:tc>
        <w:tc>
          <w:tcPr>
            <w:tcW w:w="1983" w:type="pct"/>
            <w:vAlign w:val="center"/>
            <w:hideMark/>
          </w:tcPr>
          <w:p w14:paraId="258BBEF0" w14:textId="77777777" w:rsidR="001A3AB6" w:rsidRPr="001A3AB6" w:rsidRDefault="001A3AB6" w:rsidP="001A3AB6">
            <w:pPr>
              <w:spacing w:after="160" w:line="259" w:lineRule="auto"/>
              <w:ind w:firstLine="0"/>
              <w:jc w:val="left"/>
            </w:pPr>
            <w:r w:rsidRPr="001A3AB6">
              <w:t>Low cost, grows fast, good for paper making</w:t>
            </w:r>
          </w:p>
        </w:tc>
        <w:tc>
          <w:tcPr>
            <w:tcW w:w="2421" w:type="pct"/>
            <w:vAlign w:val="center"/>
            <w:hideMark/>
          </w:tcPr>
          <w:p w14:paraId="7D28D53A" w14:textId="77777777" w:rsidR="001A3AB6" w:rsidRPr="001A3AB6" w:rsidRDefault="001A3AB6" w:rsidP="001A3AB6">
            <w:pPr>
              <w:spacing w:after="160" w:line="259" w:lineRule="auto"/>
              <w:ind w:firstLine="0"/>
              <w:jc w:val="left"/>
            </w:pPr>
            <w:r w:rsidRPr="001A3AB6">
              <w:t>High moisture absorption, requires a lot of water for farming, processing fibers is difficult</w:t>
            </w:r>
          </w:p>
        </w:tc>
      </w:tr>
      <w:tr w:rsidR="001A3AB6" w:rsidRPr="001A3AB6" w14:paraId="64DE44F3" w14:textId="77777777" w:rsidTr="001A3AB6">
        <w:trPr>
          <w:trHeight w:val="288"/>
        </w:trPr>
        <w:tc>
          <w:tcPr>
            <w:tcW w:w="596" w:type="pct"/>
            <w:vAlign w:val="center"/>
            <w:hideMark/>
          </w:tcPr>
          <w:p w14:paraId="7C449F24" w14:textId="77777777" w:rsidR="001A3AB6" w:rsidRPr="001A3AB6" w:rsidRDefault="001A3AB6" w:rsidP="001A3AB6">
            <w:pPr>
              <w:spacing w:after="160" w:line="259" w:lineRule="auto"/>
              <w:ind w:firstLine="0"/>
              <w:jc w:val="left"/>
            </w:pPr>
            <w:r w:rsidRPr="001A3AB6">
              <w:t>Hemp</w:t>
            </w:r>
          </w:p>
        </w:tc>
        <w:tc>
          <w:tcPr>
            <w:tcW w:w="1983" w:type="pct"/>
            <w:vAlign w:val="center"/>
            <w:hideMark/>
          </w:tcPr>
          <w:p w14:paraId="6F9A219C" w14:textId="77777777" w:rsidR="001A3AB6" w:rsidRPr="001A3AB6" w:rsidRDefault="001A3AB6" w:rsidP="001A3AB6">
            <w:pPr>
              <w:spacing w:after="160" w:line="259" w:lineRule="auto"/>
              <w:ind w:firstLine="0"/>
              <w:jc w:val="left"/>
            </w:pPr>
            <w:r w:rsidRPr="001A3AB6">
              <w:t>Strong, grows fast, does not require pesticides</w:t>
            </w:r>
          </w:p>
        </w:tc>
        <w:tc>
          <w:tcPr>
            <w:tcW w:w="2421" w:type="pct"/>
            <w:vAlign w:val="center"/>
            <w:hideMark/>
          </w:tcPr>
          <w:p w14:paraId="07084F7E" w14:textId="77777777" w:rsidR="001A3AB6" w:rsidRPr="001A3AB6" w:rsidRDefault="001A3AB6" w:rsidP="001A3AB6">
            <w:pPr>
              <w:spacing w:after="160" w:line="259" w:lineRule="auto"/>
              <w:ind w:firstLine="0"/>
              <w:jc w:val="left"/>
            </w:pPr>
            <w:r w:rsidRPr="001A3AB6">
              <w:t>Labor intensive, farming is restricted in many countries</w:t>
            </w:r>
          </w:p>
        </w:tc>
      </w:tr>
      <w:tr w:rsidR="001A3AB6" w:rsidRPr="001A3AB6" w14:paraId="6D3A06B6" w14:textId="77777777" w:rsidTr="001A3AB6">
        <w:trPr>
          <w:trHeight w:val="288"/>
        </w:trPr>
        <w:tc>
          <w:tcPr>
            <w:tcW w:w="596" w:type="pct"/>
            <w:vAlign w:val="center"/>
            <w:hideMark/>
          </w:tcPr>
          <w:p w14:paraId="3E08169D" w14:textId="77777777" w:rsidR="001A3AB6" w:rsidRPr="001A3AB6" w:rsidRDefault="001A3AB6" w:rsidP="001A3AB6">
            <w:pPr>
              <w:spacing w:after="160" w:line="259" w:lineRule="auto"/>
              <w:ind w:firstLine="0"/>
              <w:jc w:val="left"/>
            </w:pPr>
            <w:r w:rsidRPr="001A3AB6">
              <w:t>Flax</w:t>
            </w:r>
          </w:p>
        </w:tc>
        <w:tc>
          <w:tcPr>
            <w:tcW w:w="1983" w:type="pct"/>
            <w:vAlign w:val="center"/>
            <w:hideMark/>
          </w:tcPr>
          <w:p w14:paraId="575853EF" w14:textId="77777777" w:rsidR="001A3AB6" w:rsidRPr="001A3AB6" w:rsidRDefault="001A3AB6" w:rsidP="001A3AB6">
            <w:pPr>
              <w:spacing w:after="160" w:line="259" w:lineRule="auto"/>
              <w:ind w:firstLine="0"/>
              <w:jc w:val="left"/>
            </w:pPr>
            <w:r w:rsidRPr="001A3AB6">
              <w:t>Relatively strong, good for fabric</w:t>
            </w:r>
          </w:p>
        </w:tc>
        <w:tc>
          <w:tcPr>
            <w:tcW w:w="2421" w:type="pct"/>
            <w:vAlign w:val="center"/>
            <w:hideMark/>
          </w:tcPr>
          <w:p w14:paraId="7298DBED" w14:textId="77777777" w:rsidR="001A3AB6" w:rsidRPr="001A3AB6" w:rsidRDefault="001A3AB6" w:rsidP="001A3AB6">
            <w:pPr>
              <w:spacing w:after="160" w:line="259" w:lineRule="auto"/>
              <w:ind w:firstLine="0"/>
              <w:jc w:val="left"/>
            </w:pPr>
            <w:r w:rsidRPr="001A3AB6">
              <w:t>Produces a lot of dust during fiber isolation process, low elasticity</w:t>
            </w:r>
          </w:p>
        </w:tc>
      </w:tr>
      <w:tr w:rsidR="001A3AB6" w:rsidRPr="001A3AB6" w14:paraId="0AA76FAB" w14:textId="77777777" w:rsidTr="001A3AB6">
        <w:trPr>
          <w:trHeight w:val="288"/>
        </w:trPr>
        <w:tc>
          <w:tcPr>
            <w:tcW w:w="596" w:type="pct"/>
            <w:vAlign w:val="center"/>
            <w:hideMark/>
          </w:tcPr>
          <w:p w14:paraId="66205872" w14:textId="77777777" w:rsidR="001A3AB6" w:rsidRPr="001A3AB6" w:rsidRDefault="001A3AB6" w:rsidP="001A3AB6">
            <w:pPr>
              <w:spacing w:after="160" w:line="259" w:lineRule="auto"/>
              <w:ind w:firstLine="0"/>
              <w:jc w:val="left"/>
            </w:pPr>
            <w:r w:rsidRPr="001A3AB6">
              <w:t>Sisal</w:t>
            </w:r>
          </w:p>
        </w:tc>
        <w:tc>
          <w:tcPr>
            <w:tcW w:w="1983" w:type="pct"/>
            <w:vAlign w:val="center"/>
            <w:hideMark/>
          </w:tcPr>
          <w:p w14:paraId="01EDEFA6" w14:textId="77777777" w:rsidR="001A3AB6" w:rsidRPr="001A3AB6" w:rsidRDefault="001A3AB6" w:rsidP="001A3AB6">
            <w:pPr>
              <w:spacing w:after="160" w:line="259" w:lineRule="auto"/>
              <w:ind w:firstLine="0"/>
              <w:jc w:val="left"/>
            </w:pPr>
            <w:r w:rsidRPr="001A3AB6">
              <w:t>High specific strength, widely available, good sound absorption</w:t>
            </w:r>
          </w:p>
        </w:tc>
        <w:tc>
          <w:tcPr>
            <w:tcW w:w="2421" w:type="pct"/>
            <w:vAlign w:val="center"/>
            <w:hideMark/>
          </w:tcPr>
          <w:p w14:paraId="200F6BCE" w14:textId="77777777" w:rsidR="001A3AB6" w:rsidRPr="001A3AB6" w:rsidRDefault="001A3AB6" w:rsidP="001A3AB6">
            <w:pPr>
              <w:spacing w:after="160" w:line="259" w:lineRule="auto"/>
              <w:ind w:firstLine="0"/>
              <w:jc w:val="left"/>
            </w:pPr>
            <w:r w:rsidRPr="001A3AB6">
              <w:t>Low production volume</w:t>
            </w:r>
          </w:p>
        </w:tc>
      </w:tr>
      <w:tr w:rsidR="001A3AB6" w:rsidRPr="001A3AB6" w14:paraId="6650AD37" w14:textId="77777777" w:rsidTr="001A3AB6">
        <w:trPr>
          <w:trHeight w:val="288"/>
        </w:trPr>
        <w:tc>
          <w:tcPr>
            <w:tcW w:w="596" w:type="pct"/>
            <w:vAlign w:val="center"/>
            <w:hideMark/>
          </w:tcPr>
          <w:p w14:paraId="5473B595" w14:textId="77777777" w:rsidR="001A3AB6" w:rsidRPr="001A3AB6" w:rsidRDefault="001A3AB6" w:rsidP="001A3AB6">
            <w:pPr>
              <w:spacing w:after="160" w:line="259" w:lineRule="auto"/>
              <w:ind w:firstLine="0"/>
              <w:jc w:val="left"/>
            </w:pPr>
            <w:r w:rsidRPr="001A3AB6">
              <w:t>Jute</w:t>
            </w:r>
          </w:p>
        </w:tc>
        <w:tc>
          <w:tcPr>
            <w:tcW w:w="1983" w:type="pct"/>
            <w:vAlign w:val="center"/>
            <w:hideMark/>
          </w:tcPr>
          <w:p w14:paraId="7609F363" w14:textId="77777777" w:rsidR="001A3AB6" w:rsidRPr="001A3AB6" w:rsidRDefault="001A3AB6" w:rsidP="001A3AB6">
            <w:pPr>
              <w:spacing w:after="160" w:line="259" w:lineRule="auto"/>
              <w:ind w:firstLine="0"/>
              <w:jc w:val="left"/>
            </w:pPr>
            <w:r w:rsidRPr="001A3AB6">
              <w:t>Low cost, can be blended with synthetic fibers</w:t>
            </w:r>
          </w:p>
        </w:tc>
        <w:tc>
          <w:tcPr>
            <w:tcW w:w="2421" w:type="pct"/>
            <w:vAlign w:val="center"/>
            <w:hideMark/>
          </w:tcPr>
          <w:p w14:paraId="76CB0A22" w14:textId="77777777" w:rsidR="001A3AB6" w:rsidRPr="001A3AB6" w:rsidRDefault="001A3AB6" w:rsidP="001A3AB6">
            <w:pPr>
              <w:spacing w:after="160" w:line="259" w:lineRule="auto"/>
              <w:ind w:firstLine="0"/>
              <w:jc w:val="left"/>
            </w:pPr>
            <w:r w:rsidRPr="001A3AB6">
              <w:t>Low crease resistance, low strength when wet</w:t>
            </w:r>
          </w:p>
        </w:tc>
      </w:tr>
      <w:tr w:rsidR="001A3AB6" w:rsidRPr="001A3AB6" w14:paraId="73824F25" w14:textId="77777777" w:rsidTr="001A3AB6">
        <w:trPr>
          <w:trHeight w:val="288"/>
        </w:trPr>
        <w:tc>
          <w:tcPr>
            <w:tcW w:w="596" w:type="pct"/>
            <w:vAlign w:val="center"/>
          </w:tcPr>
          <w:p w14:paraId="4012025A" w14:textId="77777777" w:rsidR="001A3AB6" w:rsidRPr="001A3AB6" w:rsidRDefault="001A3AB6" w:rsidP="001A3AB6">
            <w:pPr>
              <w:spacing w:after="160" w:line="259" w:lineRule="auto"/>
              <w:ind w:firstLine="0"/>
              <w:jc w:val="left"/>
            </w:pPr>
            <w:r w:rsidRPr="001A3AB6">
              <w:t>Wood</w:t>
            </w:r>
          </w:p>
        </w:tc>
        <w:tc>
          <w:tcPr>
            <w:tcW w:w="1983" w:type="pct"/>
            <w:vAlign w:val="center"/>
          </w:tcPr>
          <w:p w14:paraId="0DF11BB4" w14:textId="77777777" w:rsidR="001A3AB6" w:rsidRPr="001A3AB6" w:rsidDel="00C13529" w:rsidRDefault="001A3AB6" w:rsidP="001A3AB6">
            <w:pPr>
              <w:spacing w:after="160" w:line="259" w:lineRule="auto"/>
              <w:ind w:firstLine="0"/>
              <w:jc w:val="left"/>
            </w:pPr>
            <w:r w:rsidRPr="001A3AB6">
              <w:t>High production volume, low cost, no competition with food crops, no fertilizer inputs, preforms can be made using paper-making technologies, robust market, well developed supply, and distribution chain</w:t>
            </w:r>
          </w:p>
        </w:tc>
        <w:tc>
          <w:tcPr>
            <w:tcW w:w="2421" w:type="pct"/>
            <w:vAlign w:val="center"/>
          </w:tcPr>
          <w:p w14:paraId="75C0762B" w14:textId="77777777" w:rsidR="001A3AB6" w:rsidRPr="001A3AB6" w:rsidRDefault="001A3AB6" w:rsidP="001A3AB6">
            <w:pPr>
              <w:spacing w:after="160" w:line="259" w:lineRule="auto"/>
              <w:ind w:firstLine="0"/>
              <w:jc w:val="left"/>
            </w:pPr>
            <w:r w:rsidRPr="001A3AB6">
              <w:t>Long growing cycle, extensive fiber preparation process, relatively short fibers</w:t>
            </w:r>
          </w:p>
        </w:tc>
      </w:tr>
      <w:tr w:rsidR="001A3AB6" w:rsidRPr="001A3AB6" w14:paraId="40ECD6EF" w14:textId="77777777" w:rsidTr="001A3AB6">
        <w:trPr>
          <w:trHeight w:val="288"/>
        </w:trPr>
        <w:tc>
          <w:tcPr>
            <w:tcW w:w="596" w:type="pct"/>
            <w:vAlign w:val="center"/>
          </w:tcPr>
          <w:p w14:paraId="692344A3" w14:textId="77777777" w:rsidR="001A3AB6" w:rsidRPr="001A3AB6" w:rsidRDefault="001A3AB6" w:rsidP="001A3AB6">
            <w:pPr>
              <w:spacing w:after="160" w:line="259" w:lineRule="auto"/>
              <w:ind w:firstLine="0"/>
              <w:jc w:val="left"/>
            </w:pPr>
            <w:r w:rsidRPr="001A3AB6">
              <w:t>Bamboo</w:t>
            </w:r>
          </w:p>
        </w:tc>
        <w:tc>
          <w:tcPr>
            <w:tcW w:w="1983" w:type="pct"/>
            <w:vAlign w:val="center"/>
          </w:tcPr>
          <w:p w14:paraId="090D0759" w14:textId="77777777" w:rsidR="001A3AB6" w:rsidRPr="001A3AB6" w:rsidDel="00C13529" w:rsidRDefault="001A3AB6" w:rsidP="001A3AB6">
            <w:pPr>
              <w:spacing w:after="160" w:line="259" w:lineRule="auto"/>
              <w:ind w:firstLine="0"/>
              <w:jc w:val="left"/>
            </w:pPr>
            <w:r w:rsidRPr="001A3AB6">
              <w:t>Large production volume, fast growing cycle, high specific strength, and stiffness</w:t>
            </w:r>
          </w:p>
        </w:tc>
        <w:tc>
          <w:tcPr>
            <w:tcW w:w="2421" w:type="pct"/>
            <w:vAlign w:val="center"/>
          </w:tcPr>
          <w:p w14:paraId="53DF848C" w14:textId="77777777" w:rsidR="001A3AB6" w:rsidRPr="001A3AB6" w:rsidRDefault="001A3AB6" w:rsidP="001A3AB6">
            <w:pPr>
              <w:spacing w:after="160" w:line="259" w:lineRule="auto"/>
              <w:ind w:firstLine="0"/>
              <w:jc w:val="left"/>
            </w:pPr>
            <w:r w:rsidRPr="001A3AB6">
              <w:t>Highly hydrophilic, difficult fiber extraction process, fine and straight fibers</w:t>
            </w:r>
          </w:p>
        </w:tc>
      </w:tr>
    </w:tbl>
    <w:p w14:paraId="12A842E8" w14:textId="476591B5" w:rsidR="001A3AB6" w:rsidRDefault="001A3AB6">
      <w:pPr>
        <w:spacing w:after="160" w:line="259" w:lineRule="auto"/>
        <w:ind w:firstLine="0"/>
        <w:jc w:val="left"/>
      </w:pPr>
      <w:r>
        <w:br w:type="page"/>
      </w:r>
    </w:p>
    <w:p w14:paraId="23E7AB65" w14:textId="75B09746" w:rsidR="005304A1" w:rsidRPr="005304A1" w:rsidRDefault="005304A1" w:rsidP="005304A1">
      <w:r w:rsidRPr="005304A1">
        <w:lastRenderedPageBreak/>
        <w:t xml:space="preserve">grown and harvested, the geographic location of the crop, the part of the plant from which fibers are taken, the maturity of the plant at harvest and the methods used for harvesting and preconditioning the fibers. This leads to significant variability, both between and within different batches of crops. Beyond this, natural fibers have high moisture sensitivity, low microbial resistance, and low degradation temperatures, due to the nature of the characteristics of the natural polymers from which the fibers are composed. The chemical composition of the natural fibers also leads to poor compatibility with many polymer matrices, particularly non-polar thermoplastics </w:t>
      </w:r>
      <w:r w:rsidRPr="005304A1">
        <w:fldChar w:fldCharType="begin"/>
      </w:r>
      <w:r w:rsidRPr="005304A1">
        <w:instrText xml:space="preserve"> ADDIN ZOTERO_ITEM CSL_CITATION {"citationID":"DrZubhRq","properties":{"formattedCitation":"[23,24]","plainCitation":"[23,24]","noteIndex":0},"citationItems":[{"id":1112,"uris":["http://zotero.org/users/3415649/items/7SWD8H6Z"],"itemData":{"id":1112,"type":"article-journal","abstract":"In recent years, the amount of research on natural fibres and natural-fibre-based products has increased substantially. The reason for this increase is due to a greater awareness of the environment and the ever depleting trend of petroleum supplies. Natural fibre composites and in general, natural fibres have a big role to play towards a sustainable environmentally friendly future. The automotive industry is taking big steps toward a more eco-friendly product chain by implementing natural fibres as a base for making various components, such as seat backs, door panels, spare tyre and boot linings. The world production of natural fibres is increasing since the product base is increasing. Each year, more synthetic fibres and high energy consuming products are being replaced by natural-fibre-based products. The reason for this trend is not only due to an increased environmental awareness but also because natural fibres have excellent properties, such as light weight, and they have relatively low costs. This study attempts to review the most commercially important natural fibres and their automotive application and also looks at the properties, chemical composition and cost of some natural fibres being used in industry.","container-title":"Journal of Reinforced Plastics and Composites","DOI":"10.1177/0731684416633898","ISSN":"0731-6844, 1530-7964","issue":"13","journalAbbreviation":"Journal of Reinforced Plastics and Composites","language":"en","page":"1041-1050","source":"DOI.org (Crossref)","title":"A review of natural fibres, their sustainability and automotive applications","volume":"35","author":[{"family":"Dunne","given":"R"},{"family":"Desai","given":"D"},{"family":"Sadiku","given":"R"},{"family":"Jayaramudu","given":"J"}],"issued":{"date-parts":[["2016",7]]}}},{"id":1137,"uris":["http://zotero.org/users/3415649/items/7FZEVN6A"],"itemData":{"id":1137,"type":"article-journal","abstract":"The expansion of environment-friendly materials based on natural sources increases dramatically in terms of biodegradable, recyclable, and environmental disputes throughout the world. Plant-based natural ﬁber, a high potential ﬁeld of the reinforced polymer composite material, is considered as lightweight and economical products as they possess lower density, signiﬁcant material characteristics, and extraordinary molding ﬂexibility. The usage of plant ﬁbers on the core structure of composite materials have drawn signiﬁcant interest by the manufacturers to meet the increasing demand of the consumers for sustainable features with enhanced mechanical performances and functionalities. The plant ﬁber-based composites have widespread usage in construction, automotive, packaging, sports, biomedical, and defense sectors for their superior characteristics. Therefore, this critical review would demonstrate an overview regarding the background of natural ﬁber composites, factors inﬂuencing the composite properties, chemical interaction between the ﬁber and matrices, future potentiality, and marketing perspectives for triggering new research works in the ﬁeld of biocomposite materials.","container-title":"Journal of Materials Science","DOI":"10.1007/s10853-021-05774-9","ISSN":"0022-2461, 1573-4803","issue":"12","journalAbbreviation":"J Mater Sci","language":"en","page":"7231-7264","source":"DOI.org (Crossref)","title":"Comprehensive review on plant fiber-reinforced polymeric biocomposites","volume":"56","author":[{"family":"Mahmud","given":"Sakil"},{"family":"Hasan","given":"K. M. Faridul"},{"family":"Jahid","given":"Md. Anwar"},{"family":"Mohiuddin","given":"Kazi"},{"family":"Zhang","given":"Ruoyu"},{"family":"Zhu","given":"Jin"}],"issued":{"date-parts":[["2021",4]]}}}],"schema":"https://github.com/citation-style-language/schema/raw/master/csl-citation.json"} </w:instrText>
      </w:r>
      <w:r w:rsidRPr="005304A1">
        <w:fldChar w:fldCharType="separate"/>
      </w:r>
      <w:r w:rsidRPr="005304A1">
        <w:t>[23,24]</w:t>
      </w:r>
      <w:r w:rsidRPr="005304A1">
        <w:fldChar w:fldCharType="end"/>
      </w:r>
      <w:r w:rsidRPr="005304A1">
        <w:t>.</w:t>
      </w:r>
    </w:p>
    <w:p w14:paraId="70AEA75A" w14:textId="77777777" w:rsidR="005304A1" w:rsidRPr="005304A1" w:rsidRDefault="005304A1" w:rsidP="005304A1">
      <w:r w:rsidRPr="005304A1">
        <w:t xml:space="preserve">Despite these concerns, natural fiber composites have been used in the automotive industry in some limited interior and exterior applications. As previously mentioned, Mercedes-Benz has used epoxy-jute composites in their door panels. Other natural fiber-based door panels have included PUR-flax/sisal composites (Audi) and natural fiber-acrylic composites (BMW). Toyota has used PLA-kenaf composites in the spare tire cover of their 2003 Raum, while Ford has used wheat straw reinforced composites in storage bin applications and Mitsubishi has used polybutylene succinate (PBS)-bamboo composites in some interior components. Use of natural fiber composites in exterior applications has been more limited, however some use has been seen by Mercedes-Benz in their engine and transmission enclosures (polyester-flax composite) and Daimler-Chrysler in their spare tire well covers (PP-abaca fiber composites) </w:t>
      </w:r>
      <w:r w:rsidRPr="005304A1">
        <w:fldChar w:fldCharType="begin"/>
      </w:r>
      <w:r w:rsidRPr="005304A1">
        <w:instrText xml:space="preserve"> ADDIN ZOTERO_ITEM CSL_CITATION {"citationID":"WCZqahbf","properties":{"formattedCitation":"[22]","plainCitation":"[22]","noteIndex":0},"citationItems":[{"id":1116,"uris":["http://zotero.org/users/3415649/items/E793RM4Q"],"itemData":{"id":1116,"type":"article-journal","abstract":"This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schema":"https://github.com/citation-style-language/schema/raw/master/csl-citation.json"} </w:instrText>
      </w:r>
      <w:r w:rsidRPr="005304A1">
        <w:fldChar w:fldCharType="separate"/>
      </w:r>
      <w:r w:rsidRPr="005304A1">
        <w:t>[22]</w:t>
      </w:r>
      <w:r w:rsidRPr="005304A1">
        <w:fldChar w:fldCharType="end"/>
      </w:r>
      <w:r w:rsidRPr="005304A1">
        <w:t xml:space="preserve">. Hybrid composites composed of a mix of natural and conventional fibers (typically glass) have also been explored for automotive applications, however this work has been mostly limited to academic research and has not seen integration into any production vehicles. Hybrid composites are more suited to applications requiring higher thermal and mechanical properties than pure natural fiber composites can achieve. Some applications which have been explored include brake pads, vehicle bumpers and antiroll bars </w:t>
      </w:r>
      <w:r w:rsidRPr="005304A1">
        <w:fldChar w:fldCharType="begin"/>
      </w:r>
      <w:r w:rsidRPr="005304A1">
        <w:instrText xml:space="preserve"> ADDIN ZOTERO_ITEM CSL_CITATION {"citationID":"gUlQtxNt","properties":{"formattedCitation":"[28]","plainCitation":"[28]","noteIndex":0},"citationItems":[{"id":1117,"uris":["http://zotero.org/users/3415649/items/ZS3FKR9I"],"itemData":{"id":1117,"type":"article-journal","abstract":"Environmental and sustainability issues coupled with increased awareness have urged researchers to focus on natural sources that can substitute several forbidden materials. Fiber-reinforced hybrid polymeric composites have succeeded in attracting global attention toward its suitability to replace conventional materials. Hybrid fibers have recently become immensely popular with polymer composite reinforcements for various automotive parts. Hybrid composites are developed by blending natural, synthetic, or a combination of natural or synthetic fibers in a single matrix. Hybridization allows enhancements in physical, mechanical, and thermal properties of the composites. Hybrid composites assist in achieving an optimum combination of properties than individual fiber composites. In this paper, a comprehensive review of the properties of composite reinforcement natural fibers for the application of automobile components is presented. Recent articles on emerging fiber types are reviewed and fabrication techniques required for hybrid polymer composites are discussed. A prospective study is also presented and discussed of future trends in natural fiber applications as well as needed innovations for extending their applications.","container-title":"Polymer Composites","DOI":"10.1002/pc.26045","ISSN":"0272-8397, 1548-0569","issue":"6","journalAbbreviation":"Polymer Composites","language":"en","page":"2678-2703","source":"DOI.org (Crossref)","title":"In state of art: Mechanical behavior of natural fiber‐based hybrid polymeric composites for application of automobile components","title-short":"In state of art","volume":"42","author":[{"family":"Chandgude","given":"Swapnil"},{"family":"Salunkhe","given":"Sachin"}],"issued":{"date-parts":[["2021",6]]}}}],"schema":"https://github.com/citation-style-language/schema/raw/master/csl-citation.json"} </w:instrText>
      </w:r>
      <w:r w:rsidRPr="005304A1">
        <w:fldChar w:fldCharType="separate"/>
      </w:r>
      <w:r w:rsidRPr="005304A1">
        <w:t>[28]</w:t>
      </w:r>
      <w:r w:rsidRPr="005304A1">
        <w:fldChar w:fldCharType="end"/>
      </w:r>
      <w:r w:rsidRPr="005304A1">
        <w:t xml:space="preserve">.    </w:t>
      </w:r>
    </w:p>
    <w:p w14:paraId="1A4245F2" w14:textId="72AF7088" w:rsidR="005304A1" w:rsidRDefault="005304A1" w:rsidP="005304A1">
      <w:pPr>
        <w:pStyle w:val="Heading2"/>
      </w:pPr>
      <w:bookmarkStart w:id="19" w:name="_Toc190951775"/>
      <w:r>
        <w:t>1.4.2 “Green” Matrix Materials</w:t>
      </w:r>
      <w:bookmarkEnd w:id="19"/>
      <w:r>
        <w:t xml:space="preserve"> </w:t>
      </w:r>
    </w:p>
    <w:p w14:paraId="73B9F945" w14:textId="7F943BD4" w:rsidR="005304A1" w:rsidRPr="005304A1" w:rsidRDefault="005304A1" w:rsidP="005304A1">
      <w:r w:rsidRPr="005304A1">
        <w:t xml:space="preserve">There is significant interest in the use of “green” matrix materials when producing natural fiber composites, in order to further decrease the environmental impacts of the composite overall. Renewable, or bio-derived, matrices are typically considered green, </w:t>
      </w:r>
      <w:r w:rsidRPr="005304A1">
        <w:lastRenderedPageBreak/>
        <w:t xml:space="preserve">however fossil-based materials that are either bio-degradable or recyclable are also sometimes considered in this category as well. Matrix materials can be broken down into 2 overall categories: thermoset (cross-linked network) and thermoplastic (re-meltable plastic). Thermosets are challenging to recycle, as they typically possess high thermal and chemical stability, although plant-based thermosets such as those polymerized from soybean or other vegetable oils are renewable, which lessens their environmental impacts. Some of these materials are also biodegradable; however, most are not. Bio-derived thermoplastic matrices include polylactic acid (PLA), poly-l-lactic acid (PLLA), polyhydroxybutyrate (PHB), and poly(3-hydroxybutyrate-co-3-hydroxyvalerate) (PHBV). These polymers have the additional benefit of both bio-degradability and recyclability, which offer multiple options for disposal at the composite’s end of life </w:t>
      </w:r>
      <w:r w:rsidRPr="005304A1">
        <w:fldChar w:fldCharType="begin"/>
      </w:r>
      <w:r w:rsidRPr="005304A1">
        <w:instrText xml:space="preserve"> ADDIN ZOTERO_ITEM CSL_CITATION {"citationID":"W01pa8E9","properties":{"formattedCitation":"[22]","plainCitation":"[22]","noteIndex":0},"citationItems":[{"id":1116,"uris":["http://zotero.org/users/3415649/items/E793RM4Q"],"itemData":{"id":1116,"type":"article-journal","abstract":"This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schema":"https://github.com/citation-style-language/schema/raw/master/csl-citation.json"} </w:instrText>
      </w:r>
      <w:r w:rsidRPr="005304A1">
        <w:fldChar w:fldCharType="separate"/>
      </w:r>
      <w:r w:rsidRPr="005304A1">
        <w:t>[22]</w:t>
      </w:r>
      <w:r w:rsidRPr="005304A1">
        <w:fldChar w:fldCharType="end"/>
      </w:r>
      <w:r w:rsidRPr="005304A1">
        <w:t xml:space="preserve">. </w:t>
      </w:r>
    </w:p>
    <w:p w14:paraId="409CBFAE" w14:textId="77777777" w:rsidR="005304A1" w:rsidRPr="005304A1" w:rsidRDefault="005304A1" w:rsidP="005304A1">
      <w:r w:rsidRPr="005304A1">
        <w:t xml:space="preserve">Unfortunately, there are some drawbacks associated with the use of bio-based resins (either thermoplastic or thermoset) as composite matrix materials. Bio-degradable matrices suffer from issues with surface finish throughout their use without the incorporation of surface treatment or coatings. Bio-derived resins are also typically more expensive than their fossil-based counterparts. Of the materials mentioned, PLA is the least expensive but is still 1.5 times more expensive than the frequently used fossil-based polymer polypropylene. Other issues with bio-derived matrix materials include brittleness, high crystallinity, poor UV stability, high moisture uptake, low heat deflection temperatures, and low melt viscosity which creates difficulty during composite processing. Finally, more analysis is needed to determine if these materials are truly more sustainable than conventional plastics </w:t>
      </w:r>
      <w:r w:rsidRPr="005304A1">
        <w:fldChar w:fldCharType="begin"/>
      </w:r>
      <w:r w:rsidRPr="005304A1">
        <w:instrText xml:space="preserve"> ADDIN ZOTERO_ITEM CSL_CITATION {"citationID":"Qjuzb9iZ","properties":{"formattedCitation":"[22,29]","plainCitation":"[22,29]","noteIndex":0},"citationItems":[{"id":1116,"uris":["http://zotero.org/users/3415649/items/E793RM4Q"],"itemData":{"id":1116,"type":"article-journal","abstract":"This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id":1142,"uris":["http://zotero.org/users/3415649/items/V73VRWGX"],"itemData":{"id":1142,"type":"article-journal","abstract":"Environmental stringent norms, weight reduction, and the ever-depleting mode of petroleum resources have stimulated the use of textile-based natural ﬁbres as reinforcement in polymeric composites. Natural ﬁbres play a signiﬁcant role in the sustainability of an environmentally friendly future. Natural ﬁbres-based composites have fulﬁlled the environmental norms and contribute to developing lightweight materials with improved mechanical properties in the automotive sector. The automotive industry is yielding substantial steps towards a more environmentally friendly product by adopting textile ﬁbres as a reinforcement for making various automotive parts, such as door panels, boot lining, instrument panel support, sun visor, wheel box, interior insulation, trunk panel, roof cover, and bumper. The growth rate of natural ﬁbre production is increasing day by day. Each year, high energy-consuming products and synthetic ﬁbres-based composites are being replaced by natural ﬁbre-reinforced polymeric composites because natural ﬁbre-based composites have excellent mechanical properties, relatively low cost (one-third of the cost of glass ﬁbre), low density, and recyclability. This review analysis contributes an overview of the concept of vehicle weight reduction, properties required for composite materials to be used for automotive, most commercially used natural ﬁbres and their use for automotive applications focusing on the matrices for the natural ﬁbre composites (NFCs), natural ﬁbre properties and potential challenges coupled with the use of natural ﬁbres, surface modiﬁcation methods of some natural ﬁbres being used in the automotive industry and recent advancements in textile ﬁbre-reinforced composites. Thermal properties and processing techniques of natural ﬁbre-reinforced composites (NFRC) are also studied.","container-title":"Journal of Materials Science","DOI":"10.1007/s10853-021-06509-6","ISSN":"0022-2461, 1573-4803","issue":"34","journalAbbreviation":"J Mater Sci","language":"en","page":"18867-18910","source":"DOI.org (Crossref)","title":"Review: Textile-based natural fibre-reinforced polymeric composites in automotive lightweighting","title-short":"Review","volume":"56","author":[{"family":"Olhan","given":"Sandeep"},{"family":"Khatkar","given":"Vikas"},{"family":"Behera","given":"B. K."}],"issued":{"date-parts":[["2021",12]]}}}],"schema":"https://github.com/citation-style-language/schema/raw/master/csl-citation.json"} </w:instrText>
      </w:r>
      <w:r w:rsidRPr="005304A1">
        <w:fldChar w:fldCharType="separate"/>
      </w:r>
      <w:r w:rsidRPr="005304A1">
        <w:t>[22,29]</w:t>
      </w:r>
      <w:r w:rsidRPr="005304A1">
        <w:fldChar w:fldCharType="end"/>
      </w:r>
      <w:r w:rsidRPr="005304A1">
        <w:t>.</w:t>
      </w:r>
    </w:p>
    <w:p w14:paraId="58725A8A" w14:textId="77777777" w:rsidR="005304A1" w:rsidRPr="005304A1" w:rsidRDefault="005304A1" w:rsidP="005304A1">
      <w:r w:rsidRPr="005304A1">
        <w:t xml:space="preserve">Use of recycled thermoplastics or bio-derived versions of traditionally synthetic polymers offer a potential pathway for carbon footprint reduction without the drawbacks of the above described bio-polymers. The most frequently recycled plastics in the U.S. are high density polyethylene (HDPE) and polyethylene (PET), representing the majority of the market for post-consumer plastic waste </w:t>
      </w:r>
      <w:r w:rsidRPr="005304A1">
        <w:fldChar w:fldCharType="begin"/>
      </w:r>
      <w:r w:rsidRPr="005304A1">
        <w:instrText xml:space="preserve"> ADDIN ZOTERO_ITEM CSL_CITATION {"citationID":"wgckUNcs","properties":{"formattedCitation":"[30]","plainCitation":"[30]","noteIndex":0},"citationItems":[{"id":1441,"uris":["http://zotero.org/users/3415649/items/EJIB8CQ7"],"itemData":{"id":1441,"type":"report","language":"en","page":"36","publisher":"Greenpeace","source":"Zotero","title":"Circular Claims Fall Flat: Comprehensive U.S. Survey of Plastics Recyclability","author":[{"family":"Hocevar","given":"John"}]}}],"schema":"https://github.com/citation-style-language/schema/raw/master/csl-citation.json"} </w:instrText>
      </w:r>
      <w:r w:rsidRPr="005304A1">
        <w:fldChar w:fldCharType="separate"/>
      </w:r>
      <w:r w:rsidRPr="005304A1">
        <w:t>[30]</w:t>
      </w:r>
      <w:r w:rsidRPr="005304A1">
        <w:fldChar w:fldCharType="end"/>
      </w:r>
      <w:r w:rsidRPr="005304A1">
        <w:t xml:space="preserve">. There is also a growing market for recycled PP, although its recovery and recycling rate remains lower than either HDPE or PET </w:t>
      </w:r>
      <w:r w:rsidRPr="005304A1">
        <w:fldChar w:fldCharType="begin"/>
      </w:r>
      <w:r w:rsidRPr="005304A1">
        <w:instrText xml:space="preserve"> ADDIN ZOTERO_ITEM CSL_CITATION {"citationID":"HGyGHH1F","properties":{"formattedCitation":"[31]","plainCitation":"[31]","noteIndex":0},"citationItems":[{"id":1443,"uris":["http://zotero.org/users/3415649/items/2C6YE4WR"],"itemData":{"id":1443,"type":"speech","title":"The Growing Market for Recycled Polypropylene","accessed":{"date-parts":[["2022",6,28]]},"issued":{"date-parts":[["2020",12,2]]}}}],"schema":"https://github.com/citation-style-language/schema/raw/master/csl-citation.json"} </w:instrText>
      </w:r>
      <w:r w:rsidRPr="005304A1">
        <w:fldChar w:fldCharType="separate"/>
      </w:r>
      <w:r w:rsidRPr="005304A1">
        <w:t>[31]</w:t>
      </w:r>
      <w:r w:rsidRPr="005304A1">
        <w:fldChar w:fldCharType="end"/>
      </w:r>
      <w:r w:rsidRPr="005304A1">
        <w:t xml:space="preserve">. Bio-derived versions of these three polymers have also been developed in recent years, wherein their monomers are produced via fermentation of glucose into bio-ethanol </w:t>
      </w:r>
      <w:r w:rsidRPr="005304A1">
        <w:lastRenderedPageBreak/>
        <w:t>(bio-PE), bio-</w:t>
      </w:r>
      <w:proofErr w:type="spellStart"/>
      <w:r w:rsidRPr="005304A1">
        <w:t>isobutanol</w:t>
      </w:r>
      <w:proofErr w:type="spellEnd"/>
      <w:r w:rsidRPr="005304A1">
        <w:t xml:space="preserve"> (bio-PP), or bio-</w:t>
      </w:r>
      <w:proofErr w:type="spellStart"/>
      <w:r w:rsidRPr="005304A1">
        <w:t>etholol</w:t>
      </w:r>
      <w:proofErr w:type="spellEnd"/>
      <w:r w:rsidRPr="005304A1">
        <w:t xml:space="preserve"> (bio-PET) </w:t>
      </w:r>
      <w:r w:rsidRPr="005304A1">
        <w:fldChar w:fldCharType="begin"/>
      </w:r>
      <w:r w:rsidRPr="005304A1">
        <w:instrText xml:space="preserve"> ADDIN ZOTERO_ITEM CSL_CITATION {"citationID":"ZpCigDk0","properties":{"formattedCitation":"[32]","plainCitation":"[32]","noteIndex":0},"citationItems":[{"id":1445,"uris":["http://zotero.org/users/3415649/items/2SHAFVEL"],"itemData":{"id":1445,"type":"article-journal","abstract":"In recent year, there has been increasing concern about the growing amount of plastic waste coming from daily life. Diﬀerent kinds of synthetic plastics are currently used for an extensive range of needs, but in order to reduce the impact of petroleum-based plastics and material waste, considerable attention has been focused on “green” plastics. In this paper, we present a broad review on the advances in the research and development of bio-based polymers analogous to petroleum-derived ones. The main interest for the development of bio-based materials is the strong public concern about waste, pollution and carbon footprint. The sustainability of those polymers, for general and speciﬁc applications, is driven by the great progress in the processing technologies that reﬁne biomass feedstocks in order to obtain bio-based monomers that are used as building blocks. At the same time, thanks to the industrial progress, it is possible to obtain more versatile and speciﬁc chemical structures in order to synthetize polymers with ad-hoc tailored properties and functionalities, with engineering applications that include packaging but also durable and electronic goods. In particular, three types of polymers were described in this review: Bio-polyethylene (Bio-PE), bio-polypropylene (Bio-PP) and Bio-poly(ethylene terephthalate) (Bio-PET). The recent advances in their development in terms of processing technologies, product development and applications, as well as their advantages and disadvantages, are reported.","container-title":"Polymers","DOI":"10.3390/polym12081641","ISSN":"2073-4360","issue":"8","journalAbbreviation":"Polymers","language":"en","page":"1641","source":"DOI.org (Crossref)","title":"Bio-Polyethylene (Bio-PE), Bio-Polypropylene (Bio-PP) and Bio-Poly(ethylene terephthalate) (Bio-PET): Recent Developments in Bio-Based Polymers Analogous to Petroleum-Derived Ones for Packaging and Engineering Applications","title-short":"Bio-Polyethylene (Bio-PE), Bio-Polypropylene (Bio-PP) and Bio-Poly(ethylene terephthalate) (Bio-PET)","volume":"12","author":[{"family":"Siracusa","given":"Valentina"},{"family":"Blanco","given":"Ignazio"}],"issued":{"date-parts":[["2020",7,23]]}}}],"schema":"https://github.com/citation-style-language/schema/raw/master/csl-citation.json"} </w:instrText>
      </w:r>
      <w:r w:rsidRPr="005304A1">
        <w:fldChar w:fldCharType="separate"/>
      </w:r>
      <w:r w:rsidRPr="005304A1">
        <w:t>[32]</w:t>
      </w:r>
      <w:r w:rsidRPr="005304A1">
        <w:fldChar w:fldCharType="end"/>
      </w:r>
      <w:r w:rsidRPr="005304A1">
        <w:t xml:space="preserve">. Due to the recent development of these materials and their limited commercial availability, the true carbon footprints of bio-derived PP, HDPE and PET are not well understood, although some research indicates they may not represent a significant improvement in sustainability </w:t>
      </w:r>
      <w:r w:rsidRPr="005304A1">
        <w:fldChar w:fldCharType="begin"/>
      </w:r>
      <w:r w:rsidRPr="005304A1">
        <w:instrText xml:space="preserve"> ADDIN ZOTERO_ITEM CSL_CITATION {"citationID":"DgFExkQo","properties":{"formattedCitation":"[33\\uc0\\u8211{}35]","plainCitation":"[33–35]","noteIndex":0},"citationItems":[{"id":1447,"uris":["http://zotero.org/users/3415649/items/SM7HW22F"],"itemData":{"id":1447,"type":"article-journal","abstract":"This review assesses the state-of-the-art in comparative Life Cycle Assessment of fossil-based and bio-based polymers. Published assessments are critically reviewed and compared to the European Union Product Environmental Footprint (EU PEF) standards. No published articles were found to fully meet the standards, but the critical review method was used to classify the articles by their level of compliance. 25 articles partially met the PEF standards, giving 39 fossil-based and 50 bio-based polymer case results. Ultimately, it was possible to compare seven bio-based polymers and seven fossil-based polymers across seven impact categories (energy use, ecotoxicity, acidiﬁcation, eutrophication, climate change, particulate matter formation and ozone depletion). Signiﬁcant variation was found between polymer types and between fossil-based and bio-based polymers, meaning it was not possible to conclusively declare any polymer type as having the least environmental impact in any category. Signiﬁcant variation was also seen between diﬀerent studies of the same polymer, for both fossil-based and bio-based polymers. In some cases this variation was of the order of 400%. Results suggest that a large part of this variation is related to the Life Cycle Assessment methodologies applied, particularly in the end-of-life treatment, the use of credits for absorbed Carbon Dioxide, and the allocation of multifunctional process impacts. The feedstock source and processing method assumed for bio-based polymers was also a major sources of variation. The challenges of Life Cycle Assessment, particularly in a complex, geographically diverse and young industry like bio-based polymers, are recognised. It is proposed that the PEF standards should be adopted more widely in order to homogenise the methods used and allow meaningful comparison between LCA studies on fossil-based and bio-based polymers, and between studies of the same polymers.","container-title":"Journal of Cleaner Production","DOI":"10.1016/j.jclepro.2020.121158","ISSN":"09596526","journalAbbreviation":"Journal of Cleaner Production","language":"en","page":"121158","source":"DOI.org (Crossref)","title":"Life cycle assessment of bio-based and fossil-based plastic: A review","title-short":"Life cycle assessment of bio-based and fossil-based plastic","volume":"261","author":[{"family":"Walker","given":"S."},{"family":"Rothman","given":"R."}],"issued":{"date-parts":[["2020",7]]}}},{"id":1515,"uris":["http://zotero.org/users/3415649/items/JWWXNXMD"],"itemData":{"id":1515,"type":"article-journal","abstract":"Polymers are one of the most used materials and the majority of their production is based on fossil fuels. Due to the decrease of oil resources and concerns about climate change, alternatives are needed, the transformation of biobased ethanol into biobased polymer being one of them. This paper undertakes an environmental evaluation of the production of biobased polymer produced from two different feedstock cultivated in Belgium: sugar beet and wheat. Both crops cultivation are studied as well as their transformation into biobased ethanol, ﬁrst, and then to biobased ethylene, focusing on high-density polyethylene (HDPE) as ﬁnal product. These scenarios are analyzed and compared with the production of conventional polymer using the life-cycle assessment (LCA) methodology with reference to relevant environmental impact categories. This study shows a reduction of impact of around 60% for both climate change and fossil fuel depletion categories when using biobased HDPE instead of its fossil counterpart. For all other impact categories, fossil HDPE achieves better results than the biobased product.","container-title":"Biomass and Bioenergy","DOI":"10.1016/j.biombioe.2015.12.014","ISSN":"09619534","journalAbbreviation":"Biomass and Bioenergy","language":"en","page":"159-167","source":"DOI.org (Crossref)","title":"Does biobased polymer achieve better environmental impacts than fossil polymer? Comparison of fossil HDPE and biobased HDPE produced from sugar beet and wheat","title-short":"Does biobased polymer achieve better environmental impacts than fossil polymer?","volume":"85","author":[{"family":"Belboom","given":"Sandra"},{"family":"Léonard","given":"Angélique"}],"issued":{"date-parts":[["2016",2]]}}},{"id":1513,"uris":["http://zotero.org/users/3415649/items/K8ZVX95L"],"itemData":{"id":1513,"type":"article-journal","abstract":"Both biofuels and bioplastics are often regarded as sustainable solutions to current environmental problems such as climate change, fossil depletion and acidiﬁcation. However, both have been criticized for being economically costly, competing with other societally beneﬁcial goods such as food, and offering limited environmental beneﬁts compared to their fossil counterparts. This study provides a comparative environmental Life Cycle Analysis (LCA) for 100% bio-based polyethylene terephthalate (PET) bottles, versus fully fossil-based and partially bio-based PET bottles. An attributional life cycle assessment (aLCA) and sensitivity analysis of key assumptions is carried out to compare cradle-to-factory-gate impacts (i.e. feedstock extraction, component production and product manufacturing) of twelve PET bottle production scenarios. Results indicate that woody-biomass based PET bottles have 21% less global warming potential and require 22% less fossil fuel than their fossil based counterparts, but perform worse in other categories such as ecotoxicity and ozone depletion impacts. Results are sensitive to impact allocation assumptions as well as parameter input assumptions related to isobutanol production. In most categories, with avoided impact credits considered, forest residue feedstocks result in overall better environmental performance than corn stover feedstocks for bio-PET bottle production. The variability in avoided burdens could alter the relative environmental rankings for fossil and bio-PET bottles. Depending on the biomass feedstock, extraction and pre-processing are likely more emission-intensive than the corresponding fossil reﬁnery processes due to the signiﬁcant upstream emissions embodied in the application of fertilizers, and the signiﬁcant chemical and energy inputs required to break recalcitrant lignocellulosic bonds.","container-title":"Journal of Cleaner Production","DOI":"10.1016/j.jclepro.2016.07.094","ISSN":"09596526","journalAbbreviation":"Journal of Cleaner Production","language":"en","page":"667-676","source":"DOI.org (Crossref)","title":"Comparative life cycle assessment of fossil and bio-based polyethylene terephthalate (PET) bottles","volume":"137","author":[{"family":"Chen","given":"Luyi"},{"family":"Pelton","given":"Rylie E.O."},{"family":"Smith","given":"Timothy M."}],"issued":{"date-parts":[["2016",11]]}}}],"schema":"https://github.com/citation-style-language/schema/raw/master/csl-citation.json"} </w:instrText>
      </w:r>
      <w:r w:rsidRPr="005304A1">
        <w:fldChar w:fldCharType="separate"/>
      </w:r>
      <w:r w:rsidRPr="005304A1">
        <w:t>[33–35]</w:t>
      </w:r>
      <w:r w:rsidRPr="005304A1">
        <w:fldChar w:fldCharType="end"/>
      </w:r>
      <w:r w:rsidRPr="005304A1">
        <w:t>.</w:t>
      </w:r>
    </w:p>
    <w:p w14:paraId="0C869A82" w14:textId="4A46B95C" w:rsidR="005304A1" w:rsidRDefault="005304A1" w:rsidP="005304A1">
      <w:pPr>
        <w:pStyle w:val="Heading2"/>
      </w:pPr>
      <w:bookmarkStart w:id="20" w:name="_Toc190951776"/>
      <w:r>
        <w:t>1.5 Paper Fibers and Associated Composites</w:t>
      </w:r>
      <w:bookmarkEnd w:id="20"/>
    </w:p>
    <w:p w14:paraId="5F631188" w14:textId="77777777" w:rsidR="005304A1" w:rsidRPr="005304A1" w:rsidRDefault="005304A1" w:rsidP="005304A1">
      <w:r w:rsidRPr="005304A1">
        <w:t xml:space="preserve">Paper is a natural fiber product that is manufactured from cellulose pulp derived from wood and other less common sources including wheat, rye, rice, bamboo, flax, hemp, cotton, abaca and sisal </w:t>
      </w:r>
      <w:r w:rsidRPr="005304A1">
        <w:fldChar w:fldCharType="begin"/>
      </w:r>
      <w:r w:rsidRPr="005304A1">
        <w:instrText xml:space="preserve"> ADDIN ZOTERO_ITEM CSL_CITATION {"citationID":"cYe1RotY","properties":{"formattedCitation":"[36]","plainCitation":"[36]","noteIndex":0},"citationItems":[{"id":1450,"uris":["http://zotero.org/users/3415649/items/34NRSXJI"],"itemData":{"id":1450,"type":"article-journal","container-title":"Economic Botany","DOI":"10.1007/BF02904811","ISSN":"0013-0001, 1874-9364","issue":"4","journalAbbreviation":"Econ Bot","language":"en","page":"394-405","source":"DOI.org (Crossref)","title":"Plant fibers in the paper industry","volume":"19","author":[{"family":"Clark","given":"T. F."}],"issued":{"date-parts":[["1965",10]]}}}],"schema":"https://github.com/citation-style-language/schema/raw/master/csl-citation.json"} </w:instrText>
      </w:r>
      <w:r w:rsidRPr="005304A1">
        <w:fldChar w:fldCharType="separate"/>
      </w:r>
      <w:r w:rsidRPr="005304A1">
        <w:t>[36]</w:t>
      </w:r>
      <w:r w:rsidRPr="005304A1">
        <w:fldChar w:fldCharType="end"/>
      </w:r>
      <w:r w:rsidRPr="005304A1">
        <w:t xml:space="preserve">. The production of paper fibers involves the following principal steps </w:t>
      </w:r>
      <w:r w:rsidRPr="005304A1">
        <w:fldChar w:fldCharType="begin"/>
      </w:r>
      <w:r w:rsidRPr="005304A1">
        <w:instrText xml:space="preserve"> ADDIN ZOTERO_ITEM CSL_CITATION {"citationID":"iqneZZQd","properties":{"formattedCitation":"[37]","plainCitation":"[37]","noteIndex":0},"citationItems":[{"id":1449,"uris":["http://zotero.org/users/3415649/items/TQL3MCWG"],"itemData":{"id":1449,"type":"book","event-place":"Cham","ISBN":"978-3-319-18743-3","language":"en","note":"DOI: 10.1007/978-3-319-18744-0","publisher":"Springer International Publishing","publisher-place":"Cham","source":"DOI.org (Crossref)","title":"Green Chemistry and Sustainability in Pulp and Paper Industry","URL":"http://link.springer.com/10.1007/978-3-319-18744-0","author":[{"family":"Bajpai","given":"Pratima"}],"accessed":{"date-parts":[["2022",6,28]]},"issued":{"date-parts":[["2015"]]}}}],"schema":"https://github.com/citation-style-language/schema/raw/master/csl-citation.json"} </w:instrText>
      </w:r>
      <w:r w:rsidRPr="005304A1">
        <w:fldChar w:fldCharType="separate"/>
      </w:r>
      <w:r w:rsidRPr="005304A1">
        <w:t>[37]</w:t>
      </w:r>
      <w:r w:rsidRPr="005304A1">
        <w:fldChar w:fldCharType="end"/>
      </w:r>
      <w:r w:rsidRPr="005304A1">
        <w:t>:</w:t>
      </w:r>
    </w:p>
    <w:p w14:paraId="76A488FC" w14:textId="77777777" w:rsidR="005304A1" w:rsidRPr="005304A1" w:rsidRDefault="005304A1" w:rsidP="005304A1">
      <w:pPr>
        <w:numPr>
          <w:ilvl w:val="0"/>
          <w:numId w:val="2"/>
        </w:numPr>
      </w:pPr>
      <w:r w:rsidRPr="005304A1">
        <w:t>Growing and subsequent harvesting of wood (or other fiber source)</w:t>
      </w:r>
    </w:p>
    <w:p w14:paraId="2128320C" w14:textId="77777777" w:rsidR="005304A1" w:rsidRPr="005304A1" w:rsidRDefault="005304A1" w:rsidP="005304A1">
      <w:pPr>
        <w:numPr>
          <w:ilvl w:val="0"/>
          <w:numId w:val="2"/>
        </w:numPr>
      </w:pPr>
      <w:r w:rsidRPr="005304A1">
        <w:t>Transport of harvested wood to pulp mill</w:t>
      </w:r>
    </w:p>
    <w:p w14:paraId="1E14ABA3" w14:textId="77777777" w:rsidR="005304A1" w:rsidRPr="005304A1" w:rsidRDefault="005304A1" w:rsidP="005304A1">
      <w:pPr>
        <w:numPr>
          <w:ilvl w:val="0"/>
          <w:numId w:val="2"/>
        </w:numPr>
      </w:pPr>
      <w:r w:rsidRPr="005304A1">
        <w:t>Raw material preparation, including cleaning, debarking and size reduction</w:t>
      </w:r>
    </w:p>
    <w:p w14:paraId="1A094550" w14:textId="77777777" w:rsidR="005304A1" w:rsidRPr="005304A1" w:rsidRDefault="005304A1" w:rsidP="005304A1">
      <w:pPr>
        <w:numPr>
          <w:ilvl w:val="0"/>
          <w:numId w:val="2"/>
        </w:numPr>
      </w:pPr>
      <w:r w:rsidRPr="005304A1">
        <w:t>Pulp production, either through chemical or mechanical pulping processes</w:t>
      </w:r>
    </w:p>
    <w:p w14:paraId="70B4D145" w14:textId="77777777" w:rsidR="005304A1" w:rsidRPr="005304A1" w:rsidRDefault="005304A1" w:rsidP="005304A1">
      <w:pPr>
        <w:numPr>
          <w:ilvl w:val="0"/>
          <w:numId w:val="2"/>
        </w:numPr>
      </w:pPr>
      <w:r w:rsidRPr="005304A1">
        <w:t>Pulp washing to remove undesired soluble compounds</w:t>
      </w:r>
    </w:p>
    <w:p w14:paraId="63CD41A5" w14:textId="77777777" w:rsidR="005304A1" w:rsidRPr="005304A1" w:rsidRDefault="005304A1" w:rsidP="005304A1">
      <w:pPr>
        <w:numPr>
          <w:ilvl w:val="0"/>
          <w:numId w:val="2"/>
        </w:numPr>
      </w:pPr>
      <w:r w:rsidRPr="005304A1">
        <w:t xml:space="preserve">Screening to remove large impurities, such as wood knots or shives (short fiber bundles) </w:t>
      </w:r>
    </w:p>
    <w:p w14:paraId="545C4144" w14:textId="77777777" w:rsidR="005304A1" w:rsidRPr="005304A1" w:rsidRDefault="005304A1" w:rsidP="005304A1">
      <w:pPr>
        <w:numPr>
          <w:ilvl w:val="0"/>
          <w:numId w:val="2"/>
        </w:numPr>
      </w:pPr>
      <w:r w:rsidRPr="005304A1">
        <w:t>Pulp bleaching (if desired) to remove lignin and improve whiteness, brightness, and softness of fibers</w:t>
      </w:r>
    </w:p>
    <w:p w14:paraId="72409DE0" w14:textId="77777777" w:rsidR="005304A1" w:rsidRPr="005304A1" w:rsidRDefault="005304A1" w:rsidP="005304A1">
      <w:r w:rsidRPr="005304A1">
        <w:t xml:space="preserve">Once paper fibers have been obtained, there are a variety of industrial processes for their conversion into sheets and other commercial products, although most use a similar process. Pulp is dispersed in water to form a slurry of approximately 0.5 – 1.0% fibers, then formed into a web of fibers on a thin screen. The web of fibers is pressed to increase the density of the sheet and finally dried to remove residual moisture. Other operations may be performed as desired, such as application of sizing to improve liquid resistance or coating of paper with specialized treatments, and physical processes such as calendaring or embossing to create preferred surface texture </w:t>
      </w:r>
      <w:r w:rsidRPr="005304A1">
        <w:fldChar w:fldCharType="begin"/>
      </w:r>
      <w:r w:rsidRPr="005304A1">
        <w:instrText xml:space="preserve"> ADDIN ZOTERO_ITEM CSL_CITATION {"citationID":"e05ZJprg","properties":{"formattedCitation":"[37]","plainCitation":"[37]","noteIndex":0},"citationItems":[{"id":1449,"uris":["http://zotero.org/users/3415649/items/TQL3MCWG"],"itemData":{"id":1449,"type":"book","event-place":"Cham","ISBN":"978-3-319-18743-3","language":"en","note":"DOI: 10.1007/978-3-319-18744-0","publisher":"Springer International Publishing","publisher-place":"Cham","source":"DOI.org (Crossref)","title":"Green Chemistry and Sustainability in Pulp and Paper Industry","URL":"http://link.springer.com/10.1007/978-3-319-18744-0","author":[{"family":"Bajpai","given":"Pratima"}],"accessed":{"date-parts":[["2022",6,28]]},"issued":{"date-parts":[["2015"]]}}}],"schema":"https://github.com/citation-style-language/schema/raw/master/csl-citation.json"} </w:instrText>
      </w:r>
      <w:r w:rsidRPr="005304A1">
        <w:fldChar w:fldCharType="separate"/>
      </w:r>
      <w:r w:rsidRPr="005304A1">
        <w:t>[37]</w:t>
      </w:r>
      <w:r w:rsidRPr="005304A1">
        <w:fldChar w:fldCharType="end"/>
      </w:r>
      <w:r w:rsidRPr="005304A1">
        <w:t>.</w:t>
      </w:r>
    </w:p>
    <w:p w14:paraId="33F581DA" w14:textId="77777777" w:rsidR="005304A1" w:rsidRPr="005304A1" w:rsidRDefault="005304A1" w:rsidP="005304A1">
      <w:r w:rsidRPr="005304A1">
        <w:t xml:space="preserve">Paper fibers have been used as reinforcements in composite applications dating back to early research by Baekeland into phenolic reinforced paper sheets </w:t>
      </w:r>
      <w:r w:rsidRPr="005304A1">
        <w:fldChar w:fldCharType="begin"/>
      </w:r>
      <w:r w:rsidRPr="005304A1">
        <w:instrText xml:space="preserve"> ADDIN ZOTERO_ITEM CSL_CITATION {"citationID":"6nLmxBN9","properties":{"formattedCitation":"[38]","plainCitation":"[38]","noteIndex":0},"citationItems":[{"id":1452,"uris":["http://zotero.org/users/3415649/items/KUBJRDU8"],"itemData":{"id":1452,"type":"article-journal","abstract":"Methods: Among all types of Phenolic resin related applications, Phenolic resin molding compounds have been used for highest utility products due to better mechanical strength, resistance, long-term reliability and cost effectiveness. DOI: 10.2174/1573411013666171003154410\nResults: Currently, modified phenolic resins are broadly used in the fabrication of synthetic/natural fiber reinforced composites in order to replace metals and ceramics on industrial level owing to its superior mechanical, thermal and electrical properties. This review article is intended to present an overview on the phenolic chemistry, curing process, structure, synthesis and its properties.\nConclusion: The present review article also aims to cover the reported research works on modified phenolic, and bio-phenolic resins, and their diverse industrial applications to support the ongoing research and development in green sustainable commercial products.","container-title":"Current Analytical Chemistry","DOI":"10.2174/1573411013666171003154410","ISSN":"15734110","issue":"3","journalAbbreviation":"CAC","language":"en","page":"185-197","source":"DOI.org (Crossref)","title":"A Review on Phenolic Resin and its Composites","volume":"14","author":[{"family":"Asim","given":"Mohd"},{"family":"Saba","given":"Naheed"},{"family":"Jawaid","given":"Mohammad"},{"family":"Nasir","given":"Mohammad"},{"family":"Pervaiz","given":"Mohammed"},{"family":"Alothman","given":"Othman Y."}],"issued":{"date-parts":[["2018",5,7]]}}}],"schema":"https://github.com/citation-style-language/schema/raw/master/csl-citation.json"} </w:instrText>
      </w:r>
      <w:r w:rsidRPr="005304A1">
        <w:fldChar w:fldCharType="separate"/>
      </w:r>
      <w:r w:rsidRPr="005304A1">
        <w:t>[38]</w:t>
      </w:r>
      <w:r w:rsidRPr="005304A1">
        <w:fldChar w:fldCharType="end"/>
      </w:r>
      <w:r w:rsidRPr="005304A1">
        <w:t xml:space="preserve">. Other </w:t>
      </w:r>
      <w:r w:rsidRPr="005304A1">
        <w:lastRenderedPageBreak/>
        <w:t xml:space="preserve">commercial paper composite products have included </w:t>
      </w:r>
      <w:proofErr w:type="spellStart"/>
      <w:r w:rsidRPr="005304A1">
        <w:t>Richlite</w:t>
      </w:r>
      <w:proofErr w:type="spellEnd"/>
      <w:r w:rsidRPr="005304A1">
        <w:t xml:space="preserve"> (paper/phenolic resin), Micarta (paper/epoxy or phenolic resin) and </w:t>
      </w:r>
      <w:proofErr w:type="spellStart"/>
      <w:r w:rsidRPr="005304A1">
        <w:t>Ebonol</w:t>
      </w:r>
      <w:proofErr w:type="spellEnd"/>
      <w:r w:rsidRPr="005304A1">
        <w:t xml:space="preserve"> (paper/phenolic resin). These materials have been applied to applications such as countertops, skateboard ramps, guitar fingerboards, and other commodity applications </w:t>
      </w:r>
      <w:r w:rsidRPr="005304A1">
        <w:fldChar w:fldCharType="begin"/>
      </w:r>
      <w:r w:rsidRPr="005304A1">
        <w:instrText xml:space="preserve"> ADDIN ZOTERO_ITEM CSL_CITATION {"citationID":"4M90ibil","properties":{"formattedCitation":"[39\\uc0\\u8211{}41]","plainCitation":"[39–41]","noteIndex":0},"citationItems":[{"id":1570,"uris":["http://zotero.org/users/3415649/items/DSJ3HIBR"],"itemData":{"id":1570,"type":"article-journal","container-title":"American Machinist","issue":"3","page":"122","title":"Micarta","volume":"39","issued":{"date-parts":[["1913",7,17]]}}},{"id":1573,"uris":["http://zotero.org/users/3415649/items/UD972FYY"],"itemData":{"id":1573,"type":"chapter","container-title":"Materials Research Foundations","edition":"1","ISBN":"978-1-64490-185-4","note":"DOI: 10.21741/9781644901854-7","page":"154-198","publisher":"Materials Research Forum LLC","source":"DOI.org (Crossref)","title":"Resol–Vegetable Fibers Composites","URL":"https://www.mrforum.com/product/9781644901854-7","volume":"122","editor":[{"family":"Khan","given":"Anish"}],"author":[{"family":"Ni","given":"W."}],"accessed":{"date-parts":[["2022",8,8]]},"issued":{"date-parts":[["2022",4,25]]}}},{"id":1571,"uris":["http://zotero.org/users/3415649/items/H8SQII64"],"itemData":{"id":1571,"type":"article-magazine","container-title":"Architectural Digest","language":"English","title":"This Unlikely Material Could Be the Next Big Kitchen Counter Trend","URL":"https://www.architecturaldigest.com/story/richlite-countertops-next-big-kitchen-counter-trend","author":[{"family":"Wilbur","given":"Kenzi"}],"accessed":{"date-parts":[["2022",8,8]]},"issued":{"date-parts":[["2018",3,28]]}}}],"schema":"https://github.com/citation-style-language/schema/raw/master/csl-citation.json"} </w:instrText>
      </w:r>
      <w:r w:rsidRPr="005304A1">
        <w:fldChar w:fldCharType="separate"/>
      </w:r>
      <w:r w:rsidRPr="005304A1">
        <w:t>[39–41]</w:t>
      </w:r>
      <w:r w:rsidRPr="005304A1">
        <w:fldChar w:fldCharType="end"/>
      </w:r>
    </w:p>
    <w:p w14:paraId="7554C80E" w14:textId="1D38D0BC" w:rsidR="005304A1" w:rsidRDefault="005304A1" w:rsidP="005304A1">
      <w:pPr>
        <w:pStyle w:val="Heading2"/>
      </w:pPr>
      <w:bookmarkStart w:id="21" w:name="_Toc190951777"/>
      <w:r>
        <w:t>1.6 Research Objectives</w:t>
      </w:r>
      <w:bookmarkEnd w:id="21"/>
    </w:p>
    <w:p w14:paraId="210EA526" w14:textId="06598132" w:rsidR="005304A1" w:rsidRDefault="005304A1" w:rsidP="005304A1">
      <w:r>
        <w:t>[</w:t>
      </w:r>
      <w:r w:rsidRPr="005304A1">
        <w:rPr>
          <w:highlight w:val="yellow"/>
        </w:rPr>
        <w:t>Add section outlining these for each chapter</w:t>
      </w:r>
      <w:r>
        <w:t>]</w:t>
      </w:r>
    </w:p>
    <w:p w14:paraId="32BE0A5F" w14:textId="77777777" w:rsidR="005304A1" w:rsidRDefault="005304A1">
      <w:pPr>
        <w:spacing w:after="160" w:line="259" w:lineRule="auto"/>
        <w:ind w:firstLine="0"/>
        <w:jc w:val="left"/>
      </w:pPr>
      <w:r>
        <w:br w:type="page"/>
      </w:r>
    </w:p>
    <w:p w14:paraId="64436BC7" w14:textId="6E92A847" w:rsidR="005304A1" w:rsidRDefault="005304A1" w:rsidP="00F037FF">
      <w:pPr>
        <w:pStyle w:val="Heading1"/>
        <w:ind w:firstLine="0"/>
      </w:pPr>
      <w:bookmarkStart w:id="22" w:name="_Toc190951778"/>
      <w:r>
        <w:lastRenderedPageBreak/>
        <w:t xml:space="preserve">Chapter </w:t>
      </w:r>
      <w:r w:rsidR="00C516CB">
        <w:t>2</w:t>
      </w:r>
      <w:r w:rsidR="00F037FF">
        <w:br/>
      </w:r>
      <w:r w:rsidRPr="003F7131">
        <w:t xml:space="preserve">Paper </w:t>
      </w:r>
      <w:r w:rsidR="00F037FF" w:rsidRPr="003F7131">
        <w:t xml:space="preserve">Fiber-Reinforced Polypropylene Composites </w:t>
      </w:r>
      <w:r w:rsidR="00F037FF">
        <w:t>f</w:t>
      </w:r>
      <w:r w:rsidR="00F037FF" w:rsidRPr="003F7131">
        <w:t xml:space="preserve">rom Nonwoven Preforms: </w:t>
      </w:r>
      <w:r w:rsidRPr="003F7131">
        <w:t xml:space="preserve">A </w:t>
      </w:r>
      <w:r w:rsidR="00F037FF" w:rsidRPr="003F7131">
        <w:t xml:space="preserve">Study on Compression Molding Optimization </w:t>
      </w:r>
      <w:r w:rsidR="00F037FF">
        <w:t>f</w:t>
      </w:r>
      <w:r w:rsidR="00F037FF" w:rsidRPr="003F7131">
        <w:t xml:space="preserve">rom </w:t>
      </w:r>
      <w:r w:rsidR="00F037FF">
        <w:t xml:space="preserve">a </w:t>
      </w:r>
      <w:r w:rsidR="00F037FF" w:rsidRPr="003F7131">
        <w:t>Manufacturing Perspective</w:t>
      </w:r>
      <w:bookmarkEnd w:id="22"/>
    </w:p>
    <w:p w14:paraId="5462054F" w14:textId="77777777" w:rsidR="005304A1" w:rsidRDefault="005304A1">
      <w:pPr>
        <w:spacing w:after="160" w:line="259" w:lineRule="auto"/>
        <w:ind w:firstLine="0"/>
        <w:jc w:val="left"/>
        <w:rPr>
          <w:rFonts w:eastAsiaTheme="majorEastAsia"/>
          <w:b/>
          <w:bCs/>
          <w:sz w:val="56"/>
          <w:szCs w:val="56"/>
        </w:rPr>
      </w:pPr>
      <w:r>
        <w:br w:type="page"/>
      </w:r>
    </w:p>
    <w:p w14:paraId="58C6E70B" w14:textId="634EC82A" w:rsidR="005304A1" w:rsidRPr="005304A1" w:rsidRDefault="005304A1" w:rsidP="005304A1">
      <w:pPr>
        <w:ind w:firstLine="0"/>
        <w:rPr>
          <w:rFonts w:eastAsiaTheme="majorEastAsia"/>
        </w:rPr>
      </w:pPr>
      <w:r>
        <w:rPr>
          <w:rFonts w:eastAsiaTheme="majorEastAsia"/>
        </w:rPr>
        <w:lastRenderedPageBreak/>
        <w:t xml:space="preserve">Note: </w:t>
      </w:r>
      <w:r w:rsidRPr="005304A1">
        <w:rPr>
          <w:rFonts w:eastAsiaTheme="majorEastAsia"/>
        </w:rPr>
        <w:t>This chapter is published in Journal of Composites Part A. Citation</w:t>
      </w:r>
      <w:r w:rsidR="00586911">
        <w:rPr>
          <w:rFonts w:eastAsiaTheme="majorEastAsia"/>
        </w:rPr>
        <w:t xml:space="preserve">: </w:t>
      </w:r>
      <w:r w:rsidR="00586911" w:rsidRPr="00586911">
        <w:rPr>
          <w:rFonts w:eastAsiaTheme="majorEastAsia"/>
          <w:b/>
          <w:bCs/>
        </w:rPr>
        <w:t>C. Grubb</w:t>
      </w:r>
      <w:r w:rsidR="00586911" w:rsidRPr="00586911">
        <w:rPr>
          <w:rFonts w:eastAsiaTheme="majorEastAsia"/>
        </w:rPr>
        <w:t xml:space="preserve">, D. Keffer, C. Webb, M. Kardos, H. Mainka, &amp; D. Harper. (2024). Paper fiber-reinforced polypropylene composites from nonwoven preforms: A study on compression molding optimization from a manufacturing perspective. </w:t>
      </w:r>
      <w:r w:rsidR="00586911" w:rsidRPr="00586911">
        <w:rPr>
          <w:rFonts w:eastAsiaTheme="majorEastAsia"/>
          <w:i/>
          <w:iCs/>
        </w:rPr>
        <w:t>Composites Part A: Applied Science and Manufacturing, 185</w:t>
      </w:r>
      <w:r w:rsidR="00586911" w:rsidRPr="00586911">
        <w:rPr>
          <w:rFonts w:eastAsiaTheme="majorEastAsia"/>
        </w:rPr>
        <w:t xml:space="preserve">, 108339. </w:t>
      </w:r>
      <w:hyperlink r:id="rId9" w:tgtFrame="_new" w:history="1">
        <w:r w:rsidR="00586911" w:rsidRPr="00586911">
          <w:rPr>
            <w:rStyle w:val="Hyperlink"/>
            <w:rFonts w:eastAsiaTheme="majorEastAsia"/>
          </w:rPr>
          <w:t>https://doi.org/10.1016/j.compositesa.2024.108339</w:t>
        </w:r>
      </w:hyperlink>
    </w:p>
    <w:p w14:paraId="619A7B78" w14:textId="77777777" w:rsidR="005304A1" w:rsidRPr="005304A1" w:rsidRDefault="005304A1" w:rsidP="005304A1">
      <w:pPr>
        <w:ind w:firstLine="0"/>
        <w:rPr>
          <w:rFonts w:eastAsiaTheme="majorEastAsia"/>
        </w:rPr>
      </w:pPr>
      <w:r w:rsidRPr="005304A1">
        <w:rPr>
          <w:rFonts w:eastAsiaTheme="majorEastAsia"/>
        </w:rPr>
        <w:t>(Reproduced with permission from Elsevier)</w:t>
      </w:r>
    </w:p>
    <w:p w14:paraId="62C52617" w14:textId="7E7F88B3" w:rsidR="005304A1" w:rsidRPr="005304A1" w:rsidRDefault="005304A1" w:rsidP="005304A1">
      <w:pPr>
        <w:ind w:firstLine="0"/>
        <w:rPr>
          <w:rFonts w:eastAsiaTheme="majorEastAsia"/>
        </w:rPr>
      </w:pPr>
    </w:p>
    <w:p w14:paraId="715057C4" w14:textId="77777777" w:rsidR="005304A1" w:rsidRPr="005304A1" w:rsidRDefault="005304A1" w:rsidP="005304A1">
      <w:pPr>
        <w:pStyle w:val="MajorHeadings"/>
      </w:pPr>
      <w:bookmarkStart w:id="23" w:name="_Toc190951779"/>
      <w:r w:rsidRPr="005304A1">
        <w:t>Abstract</w:t>
      </w:r>
      <w:bookmarkEnd w:id="23"/>
    </w:p>
    <w:p w14:paraId="3243DFBB" w14:textId="77777777" w:rsidR="005304A1" w:rsidRPr="005304A1" w:rsidRDefault="005304A1" w:rsidP="005304A1">
      <w:pPr>
        <w:ind w:firstLine="0"/>
      </w:pPr>
      <w:r w:rsidRPr="005304A1">
        <w:t xml:space="preserve">This work optimizes compression molding manufacturing for wet-formed nonwoven paper and polypropylene fiber mats. A central composite designed experiment investigated the effects of fiber reinforcement concentration, compression molding temperature, pressure, and time on composite laminate performance. We assess the composites’ density, panel thickness, water uptake, flexural behavior, and Izod impact strength. Models predicted and optimized composite performance using objective function analysis with penalties applied for undesirable conditions, such as processing time or low reinforcement concentration. Paper fiber content has the largest impact on composite properties, followed by processing time, molding pressure, and temperature. Composite optimization depends on penalty conditions; low fiber content penalties favor low fiber content panels with short processing times, while high fiber content penalties favor high fiber content panels with long processing times. This work suggests that molding composites with a greater fraction of renewable feedstock requires a commensurate increase in processing intensity. </w:t>
      </w:r>
    </w:p>
    <w:p w14:paraId="70EAE791" w14:textId="77777777" w:rsidR="005304A1" w:rsidRPr="005304A1" w:rsidRDefault="005304A1" w:rsidP="005304A1"/>
    <w:p w14:paraId="7EC28F52" w14:textId="77777777" w:rsidR="005304A1" w:rsidRPr="005304A1" w:rsidRDefault="005304A1" w:rsidP="005304A1">
      <w:pPr>
        <w:ind w:firstLine="0"/>
      </w:pPr>
      <w:r w:rsidRPr="005304A1">
        <w:t xml:space="preserve">Keywords: A. </w:t>
      </w:r>
      <w:proofErr w:type="spellStart"/>
      <w:r w:rsidRPr="005304A1">
        <w:t>Biocomposite</w:t>
      </w:r>
      <w:proofErr w:type="spellEnd"/>
      <w:r w:rsidRPr="005304A1">
        <w:t xml:space="preserve">, cellulose, natural fibers, polymer-matrix composites (PMCs), B. Mechanical properties, C. Analytical modelling, E. Compression </w:t>
      </w:r>
      <w:proofErr w:type="spellStart"/>
      <w:r w:rsidRPr="005304A1">
        <w:t>moulding</w:t>
      </w:r>
      <w:proofErr w:type="spellEnd"/>
      <w:r w:rsidRPr="005304A1">
        <w:t xml:space="preserve"> </w:t>
      </w:r>
    </w:p>
    <w:p w14:paraId="695ACA9E" w14:textId="77777777" w:rsidR="005304A1" w:rsidRPr="005304A1" w:rsidRDefault="005304A1" w:rsidP="005304A1"/>
    <w:p w14:paraId="307EBC97" w14:textId="1ACD0F9B" w:rsidR="005304A1" w:rsidRPr="005304A1" w:rsidRDefault="001A3AB6" w:rsidP="001A3AB6">
      <w:pPr>
        <w:pStyle w:val="MajorHeadings"/>
      </w:pPr>
      <w:bookmarkStart w:id="24" w:name="_Toc190951780"/>
      <w:r>
        <w:t>2.1 Introduction</w:t>
      </w:r>
      <w:bookmarkEnd w:id="24"/>
    </w:p>
    <w:p w14:paraId="0C9F0AD4" w14:textId="77777777" w:rsidR="001A3AB6" w:rsidRPr="001A3AB6" w:rsidRDefault="001A3AB6" w:rsidP="001A3AB6">
      <w:r w:rsidRPr="001A3AB6">
        <w:t xml:space="preserve">Natural fiber composites have received significant attention by the automotive industry in recent years as all major original equipment manufacturers (OEMs) have released targets of net-zero carbon emissions by the mid-twenty first century </w:t>
      </w:r>
      <w:r w:rsidRPr="001A3AB6">
        <w:fldChar w:fldCharType="begin"/>
      </w:r>
      <w:r w:rsidRPr="001A3AB6">
        <w:instrText xml:space="preserve"> ADDIN ZOTERO_ITEM CSL_CITATION {"citationID":"j8nmc6Ck","properties":{"formattedCitation":"[17\\uc0\\u8211{}19]","plainCitation":"[17–19]","noteIndex":0},"citationItems":[{"id":1434,"uris":["http://zotero.org/users/3415649/items/S3V6AZXX"],"itemData":{"id":1434,"type":"article-magazine","language":"en","page":"2","source":"Zotero","title":"BMW, Ford, other automakers rev up carbon commitments","author":[{"family":"Fehrenbacher","given":"Katie"}],"issued":{"date-parts":[["2020",7]]}},"label":"page"},{"id":1435,"uris":["http://zotero.org/users/3415649/items/HIUI9F9P"],"itemData":{"id":1435,"type":"webpage","container-title":"Ford Newsroom","language":"English","title":"Ford Expands Climate Change Goals, Sets Target to Become Cabon Neutral by 2050: Annual Sustainability Report","URL":"https://media.ford.com/content/fordmedia/fna/us/en/news/2020/06/24/ford-expands-climate-change-goals.html","accessed":{"date-parts":[["2022",6,28]]},"issued":{"date-parts":[["2020",6,24]]}}},{"id":1437,"uris":["http://zotero.org/users/3415649/items/5DDJH7I4"],"itemData":{"id":1437,"type":"article-magazine","container-title":"NPR","language":"en","page":"14","source":"Zotero","title":"General Motors Aims to Be Carbon Neutral By 2040","author":[{"family":"Jones","given":"Dustin"}],"issued":{"date-parts":[["2021",1,28]]}}}],"schema":"https://github.com/citation-style-language/schema/raw/master/csl-citation.json"} </w:instrText>
      </w:r>
      <w:r w:rsidRPr="001A3AB6">
        <w:fldChar w:fldCharType="separate"/>
      </w:r>
      <w:r w:rsidRPr="001A3AB6">
        <w:t>[17–19]</w:t>
      </w:r>
      <w:r w:rsidRPr="001A3AB6">
        <w:fldChar w:fldCharType="end"/>
      </w:r>
      <w:r w:rsidRPr="001A3AB6">
        <w:t xml:space="preserve">. </w:t>
      </w:r>
      <w:r w:rsidRPr="001A3AB6">
        <w:lastRenderedPageBreak/>
        <w:t xml:space="preserve">Initial efforts by OEMs have focused on conversion from internal combustion engines to battery electric vehicles, as historically vehicles release the majority of associated carbon emissions during the use phase of the vehicle </w:t>
      </w:r>
      <w:r w:rsidRPr="001A3AB6">
        <w:fldChar w:fldCharType="begin"/>
      </w:r>
      <w:r w:rsidRPr="001A3AB6">
        <w:instrText xml:space="preserve"> ADDIN ZOTERO_ITEM CSL_CITATION {"citationID":"d7jnuomV","properties":{"formattedCitation":"[42,43]","plainCitation":"[42,43]","noteIndex":0},"citationItems":[{"id":1700,"uris":["http://zotero.org/users/3415649/items/XDI48XUH"],"itemData":{"id":1700,"type":"report","event-place":"Berlin","language":"en","publisher":"International Council on Clean Transportation","publisher-place":"Berlin","source":"Zotero","title":"Pathways to decarbonization: The European passenger car market, 2021–2035","author":[{"family":"Mock","given":"Peter"},{"family":"Diaz","given":"Sonsoles"}],"issued":{"date-parts":[["2021",5]]}}},{"id":1702,"uris":["http://zotero.org/users/3415649/items/PS2K4H9H"],"itemData":{"id":1702,"type":"article-journal","abstract":"To keep global warming below 1.5 ◦C, the road transport sector must decrease its emissions by substituting internal combustion engine vehicles (ICEV) with battery electric vehicles (BEV). As BEVs can be operated with renewable electricity, the CO2−eq emissions of the supply chain are relevant for future mitigation. The aim of this paper is to derive emission-intensity pathways and to determine the decarbonization impact regarding the lifecycle emissions of BEVs. Therefore, an analysis for steel, aluminum, battery cells, plastic, and glass, and an evaluation of the literature containing present emission intensities (e.g., for steel 1.7 tCO2/t to 2.8 tCO2/t) and reduction potentials, were performed. Based on low-carbon electricity, circular materials, and recycling, as well as technological improvements, emission intensities can be decreased by 69% to 91% by 2050. As a result, the carbon footprint of the reviewed vehicles can be reduced by 47% for supply chain emissions, whereas 25% to 37% of the total lifecycle emissions remain. Considering the scenario studied, BEVs cannot be decarbonized aligned to the 1.5 ◦C pathway using only avoidance and reduction measures until 2050. Consequently, the application of carbon removals is necessary. However, the applied trajectory and extrapolation relies on material availability and does not consider abatement costs.","container-title":"Sustainability","DOI":"10.3390/su151511795","ISSN":"2071-1050","issue":"15","journalAbbreviation":"Sustainability","language":"en","page":"11795","source":"DOI.org (Crossref)","title":"Decarbonization Potentials for Automotive Supply Chains: Emission-Intensity Pathways of Carbon-Intensive Hotspots of Battery Electric Vehicles","title-short":"Decarbonization Potentials for Automotive Supply Chains","volume":"15","author":[{"family":"Poschmann","given":"Justus"},{"family":"Bach","given":"Vanessa"},{"family":"Finkbeiner","given":"Matthias"}],"issued":{"date-parts":[["2023",7,31]]}}}],"schema":"https://github.com/citation-style-language/schema/raw/master/csl-citation.json"} </w:instrText>
      </w:r>
      <w:r w:rsidRPr="001A3AB6">
        <w:fldChar w:fldCharType="separate"/>
      </w:r>
      <w:r w:rsidRPr="001A3AB6">
        <w:t>[42,43]</w:t>
      </w:r>
      <w:r w:rsidRPr="001A3AB6">
        <w:fldChar w:fldCharType="end"/>
      </w:r>
      <w:r w:rsidRPr="001A3AB6">
        <w:t xml:space="preserve">. For electric vehicles however, the carbon footprint burden is shifted away from the tailpipe emissions and towards the manufacturing and materials used within the car </w:t>
      </w:r>
      <w:r w:rsidRPr="001A3AB6">
        <w:fldChar w:fldCharType="begin"/>
      </w:r>
      <w:r w:rsidRPr="001A3AB6">
        <w:instrText xml:space="preserve"> ADDIN ZOTERO_ITEM CSL_CITATION {"citationID":"A1ddMIPa","properties":{"formattedCitation":"[44]","plainCitation":"[44]","noteIndex":0},"citationItems":[{"id":1704,"uris":["http://zotero.org/users/3415649/items/7RZUIIB6"],"itemData":{"id":1704,"type":"article-journal","abstract":"Electric vehicle (EV) are the future of the automobile industry in terms of reducing the greenhouse gas emissions, air pollution and the better life comfort level all over the world. This paper compares the results obtained by various authors in terms of life cycle assessment (LCA) of EV and conventional vehicles powered by fossil fuels, and the life cycle cost (LCC) analysis of the both types of vehicles, as every new technology comes with an additional cost which need to be feasible with respect to the present trends. And also discuss some of the software used for both type of LCA and LCC analysis. The ﬁnding of review concludes that with the adoption of EV there is a reduction in greenhouse gas emissions (GHG) but there is an increase in the human toxicity level due to the larger use of metals, chemicals and energy for the production of powertrain, and high voltage batteries. And in terms of cost it has ﬂexible pricing as there is uncertainty in pricing of future gasoline and electricity mix, higher initial cost at the time of purchasing due to higher pricing of battery.","container-title":"Materials Today: Proceedings","DOI":"10.1016/j.matpr.2021.01.666","ISSN":"22147853","journalAbbreviation":"Materials Today: Proceedings","language":"en","page":"217-222","source":"DOI.org (Crossref)","title":"Life cycle assessment of electric vehicles in comparison to combustion engine vehicles: A review","title-short":"Life cycle assessment of electric vehicles in comparison to combustion engine vehicles","volume":"49","author":[{"family":"Verma","given":"Shrey"},{"family":"Dwivedi","given":"Gaurav"},{"family":"Verma","given":"Puneet"}],"issued":{"date-parts":[["2022"]]}}}],"schema":"https://github.com/citation-style-language/schema/raw/master/csl-citation.json"} </w:instrText>
      </w:r>
      <w:r w:rsidRPr="001A3AB6">
        <w:fldChar w:fldCharType="separate"/>
      </w:r>
      <w:r w:rsidRPr="001A3AB6">
        <w:t>[44]</w:t>
      </w:r>
      <w:r w:rsidRPr="001A3AB6">
        <w:fldChar w:fldCharType="end"/>
      </w:r>
      <w:r w:rsidRPr="001A3AB6">
        <w:t xml:space="preserve">. In existing cars, only 18% of emissions are attributed to the materials, however it is predicted that this portion of emissions will increase to 60% by 2040 </w:t>
      </w:r>
      <w:r w:rsidRPr="001A3AB6">
        <w:fldChar w:fldCharType="begin"/>
      </w:r>
      <w:r w:rsidRPr="001A3AB6">
        <w:instrText xml:space="preserve"> ADDIN ZOTERO_ITEM CSL_CITATION {"citationID":"3fc9Mfr8","properties":{"formattedCitation":"[21]","plainCitation":"[21]","noteIndex":0},"citationItems":[{"id":1439,"uris":["http://zotero.org/users/3415649/items/2EZ4JUT8"],"itemData":{"id":1439,"type":"article-magazine","container-title":"McKinsey Sustainability","title":"The zero-carbon car: Abating material emissions is next on the agenda","URL":"https://www.mckinsey.com/business-functions/sustainability/our-insights/the-zero-carbon-car-abating-material-emissions-is-next-on-the-agenda","author":[{"family":"Hannon","given":"Eric"},{"family":"Naucler","given":"Tomas"},{"family":"Suneson","given":"Anders"},{"family":"Yuksel","given":"Fehmi"}],"issued":{"date-parts":[["2020",9,18]]}}}],"schema":"https://github.com/citation-style-language/schema/raw/master/csl-citation.json"} </w:instrText>
      </w:r>
      <w:r w:rsidRPr="001A3AB6">
        <w:fldChar w:fldCharType="separate"/>
      </w:r>
      <w:r w:rsidRPr="001A3AB6">
        <w:t>[21]</w:t>
      </w:r>
      <w:r w:rsidRPr="001A3AB6">
        <w:fldChar w:fldCharType="end"/>
      </w:r>
      <w:r w:rsidRPr="001A3AB6">
        <w:t xml:space="preserve">. As such, there is significant interest within the automotive industry to develop new low-carbon footprint materials, as this will be needed to achieve carbon neutrality. </w:t>
      </w:r>
    </w:p>
    <w:p w14:paraId="4C6F1B2A" w14:textId="77777777" w:rsidR="001A3AB6" w:rsidRPr="001A3AB6" w:rsidRDefault="001A3AB6" w:rsidP="001A3AB6">
      <w:r w:rsidRPr="001A3AB6">
        <w:t xml:space="preserve">While the focus of the automotive industry on decreasing carbon footprint is a recent development, occurring over the past decade, the integration of natural fiber composites into the automotive sector traces dates back to the introduction of epoxy-jute door panels in Mercedes-Benz E-class vehicles in 1996 </w:t>
      </w:r>
      <w:r w:rsidRPr="001A3AB6">
        <w:fldChar w:fldCharType="begin"/>
      </w:r>
      <w:r w:rsidRPr="001A3AB6">
        <w:instrText xml:space="preserve"> ADDIN ZOTERO_ITEM CSL_CITATION {"citationID":"mMym4b7r","properties":{"formattedCitation":"[22]","plainCitation":"[22]","noteIndex":0},"citationItems":[{"id":1116,"uris":["http://zotero.org/users/3415649/items/E793RM4Q"],"itemData":{"id":1116,"type":"article-journal","abstract":"This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schema":"https://github.com/citation-style-language/schema/raw/master/csl-citation.json"} </w:instrText>
      </w:r>
      <w:r w:rsidRPr="001A3AB6">
        <w:fldChar w:fldCharType="separate"/>
      </w:r>
      <w:r w:rsidRPr="001A3AB6">
        <w:t>[22]</w:t>
      </w:r>
      <w:r w:rsidRPr="001A3AB6">
        <w:fldChar w:fldCharType="end"/>
      </w:r>
      <w:r w:rsidRPr="001A3AB6">
        <w:t xml:space="preserve">. Natural fibers offer distinct advantages compared to traditional fibers like carbon and glass, including their cost-effectiveness (10-30% lower than glass fibers), potential for weight reduction due to lower density, favorable acoustic properties, global availability, and reduced carbon footprint </w:t>
      </w:r>
      <w:r w:rsidRPr="001A3AB6">
        <w:fldChar w:fldCharType="begin"/>
      </w:r>
      <w:r w:rsidRPr="001A3AB6">
        <w:instrText xml:space="preserve"> ADDIN ZOTERO_ITEM CSL_CITATION {"citationID":"C0EnlOXx","properties":{"formattedCitation":"[23,45\\uc0\\u8211{}48]","plainCitation":"[23,45–48]","noteIndex":0},"citationItems":[{"id":1724,"uris":["http://zotero.org/users/3415649/items/9DD2NSRV"],"itemData":{"id":1724,"type":"article-journal","abstract":"In the contemporary world, natural fibers reinforced polymer composite (NFRPC) materials are of great interest owing to their eco-friendly nature, lightweight, life-cycle superiority, biodegradability, low cost, noble me­ chanical properties. NFRPCs are widely applied in various engineering applications and this research field is continuously developing. However, the researchers are facing numerous challenges regarding the developments and applications of NFPRCs due to the inherent characteristics of natural fibers (NFs). These challenges include quality of the fiber, thermal stability, water absorption capacity, and incompatibility with the polymer matrices. Ecological and economic concerns are animating new research in the field of NFRPCs. Furthermore, considerable research is carried out to improve the performance of NFRPCs in recent years. This review highlights some of the important breakthroughs associated with the NFRPCs in terms of sustainability, eco-friendliness, and economic perspective. It also includes hybridization of NFs with synthetic fibers which is a highly effective way of improving the mechanical properties of NFRPCs along with some chemical treatment procedures. This review also elucidates the significance of using numerical models for NFRPCs. Finally, conclusions and recommenda­ tions are drawn to assist the researchers with future research directions.","container-title":"Results in Engineering","DOI":"10.1016/j.rineng.2021.100263","ISSN":"25901230","journalAbbreviation":"Results in Engineering","language":"en","page":"100263","source":"DOI.org (Crossref)","title":"Natural fiber reinforced composites: Sustainable materials for emerging applications","title-short":"Natural fiber reinforced composites","volume":"11","author":[{"family":"Khalid","given":"Muhammad Yasir"},{"family":"Al Rashid","given":"Ans"},{"family":"Arif","given":"Zia Ullah"},{"family":"Ahmed","given":"Waqas"},{"family":"Arshad","given":"Hassan"},{"family":"Zaidi","given":"Asad Ali"}],"issued":{"date-parts":[["2021",9]]}}},{"id":1726,"uris":["http://zotero.org/users/3415649/items/X6GKPW56"],"itemData":{"id":1726,"type":"article-journal","abstract":"In recent years, in an attempt to substitute the conventional synthetic sound absorption material, natural ﬁbers and their sound absorption properties have been increasingly studied. This is due to the fact that conventional synthetic ﬁber has potential health risks for human beings and signiﬁcant environmental impact. In this review, existing and newly emerging natural ﬁber sound absorbers are summarized and highlighted in three categories: raw material, ﬁber assembly and composite. The sound absorption mechanism, several widely used prediction models and the popular acoustic characterization methods are presented. The comparison of sound absorption properties between some natural sound absorbers and glass ﬁber is conducted in two groups, i.e., thin material and thick material. It is found that many natural ﬁbers have comparable sound absorption performance, some of them can be the ideal alternatives to glass ﬁber, such as kapok ﬁber, pineapple-leaf ﬁber and hemp ﬁber. Last, the conclusion part of this review gives an outlook regarding the promotion of the commercial use of natural ﬁber by means of theoretical study, eﬃcient and environmentally friendly pretreatment and Life Cycle Assessment.","container-title":"Sustainability","DOI":"10.3390/su12208477","ISSN":"2071-1050","issue":"20","journalAbbreviation":"Sustainability","language":"en","page":"8477","source":"DOI.org (Crossref)","title":"Sound Absorption Properties of Natural Fibers: A Review","title-short":"Sound Absorption Properties of Natural Fibers","volume":"12","author":[{"family":"Yang","given":"Tao"},{"family":"Hu","given":"Lizhu"},{"family":"Xiong","given":"Xiaoman"},{"family":"Petrů","given":"Michal"},{"family":"Noman","given":"Muhammad Tayyab"},{"family":"Mishra","given":"Rajesh"},{"family":"Militký","given":"Jiří"}],"issued":{"date-parts":[["2020",10,14]]}}},{"id":1728,"uris":["http://zotero.org/users/3415649/items/FSFZB59P"],"itemData":{"id":1728,"type":"article-journal","abstract":"Natural ﬁbers are emerging as low cost, lightweight and apparently environmentally superior alternatives to glass ﬁbers in composites. We review select comparative life cycle assessment studies of natural ﬁber and glass ﬁber composites, and identify key drivers of their relative environmental performance. Natural ﬁber composites are likely to be environmentally superior to glass ﬁber composites in most cases for the following reasons: (1) natural ﬁber production has lower environmental impacts compared to glass ﬁber production; (2) natural ﬁber composites have higher ﬁber content for equivalent performance, reducing more polluting base polymer content; (3) the light-weight natural ﬁber composites improve fuel efﬁciency and reduce emissions in the use phase of the component, especially in auto applications; and (4) end of life incineration of natural ﬁbers results in recovered energy and carbon credits.","container-title":"Composites Part A: Applied Science and Manufacturing","DOI":"10.1016/j.compositesa.2003.09.016","ISSN":"1359835X","issue":"3","journalAbbreviation":"Composites Part A: Applied Science and Manufacturing","language":"en","page":"371-376","source":"DOI.org (Crossref)","title":"Are natural fiber composites environmentally superior to glass fiber reinforced composites?","volume":"35","author":[{"family":"Joshi","given":"S.V"},{"family":"Drzal","given":"L.T"},{"family":"Mohanty","given":"A.K"},{"family":"Arora","given":"S"}],"issued":{"date-parts":[["2004",3]]}}},{"id":1139,"uris":["http://zotero.org/users/3415649/items/KVNZKI38"],"itemData":{"id":1139,"type":"article-journal","abstract":"This study examines the life cycle energy demand and greenhouse gas (GHG) emissions associated with substituting natural cellulose and kenaf in place of glass ﬁbers in automotive components. Speciﬁcally, a 30 wt% glass-ﬁber composite component weighing 3 kilograms (kg) was compared to a 30 wt% cellulose ﬁber composite component (2.65 kg) and 40 wt% kenaf ﬁber composite component (2.79 kg) for six cars, crossovers, and sport utility vehicles. The use-phase fuel consumption of the baseline and substitute components, with and without powertrain resizing, were determined using a mass-induced fuel consumption model based on U.S. Environmental Protection Agency test records. For all vehicles, compared to the baseline glass ﬁber component, using the cellulose composite material reduced life cycle energy demand by 9.2% with powertrain resizing (7.2% without) and reduced life cycle GHG emissions by 18.6% with powertrain resizing (16.3% without), whereas the kenaf composite component reduced energy demand by 6.0% with powertrain resizing (4.8% without) and GHG emissions by 10.7% with powertrain resizing (9.2% without). For both natural ﬁber components, the majority of the life cycle energy savings is realized in the use-phase fuel consumption as a result of the reduced weight of the component.","container-title":"Journal of Industrial Ecology","DOI":"10.1111/jiec.12286","ISSN":"10881980","issue":"1","journalAbbreviation":"Journal of Industrial Ecology","language":"en","page":"179-189","source":"DOI.org (Crossref)","title":"Life Cycle Impacts of Natural Fiber Composites for Automotive Applications: Effects of Renewable Energy Content and Lightweighting: Life Cycle Impacts of Natural Fiber Composites","title-short":"Life Cycle Impacts of Natural Fiber Composites for Automotive Applications","volume":"20","author":[{"family":"Boland","given":"Claire S."},{"family":"De Kleine","given":"Robb"},{"family":"Keoleian","given":"Gregory A."},{"family":"Lee","given":"Ellen C."},{"family":"Kim","given":"Hyung Chul"},{"family":"Wallington","given":"Timothy J."}],"issued":{"date-parts":[["2016",2]]}}},{"id":1112,"uris":["http://zotero.org/users/3415649/items/7SWD8H6Z"],"itemData":{"id":1112,"type":"article-journal","abstract":"In recent years, the amount of research on natural fibres and natural-fibre-based products has increased substantially. The reason for this increase is due to a greater awareness of the environment and the ever depleting trend of petroleum supplies. Natural fibre composites and in general, natural fibres have a big role to play towards a sustainable environmentally friendly future. The automotive industry is taking big steps toward a more eco-friendly product chain by implementing natural fibres as a base for making various components, such as seat backs, door panels, spare tyre and boot linings. The world production of natural fibres is increasing since the product base is increasing. Each year, more synthetic fibres and high energy consuming products are being replaced by natural-fibre-based products. The reason for this trend is not only due to an increased environmental awareness but also because natural fibres have excellent properties, such as light weight, and they have relatively low costs. This study attempts to review the most commercially important natural fibres and their automotive application and also looks at the properties, chemical composition and cost of some natural fibres being used in industry.","container-title":"Journal of Reinforced Plastics and Composites","DOI":"10.1177/0731684416633898","ISSN":"0731-6844, 1530-7964","issue":"13","journalAbbreviation":"Journal of Reinforced Plastics and Composites","language":"en","page":"1041-1050","source":"DOI.org (Crossref)","title":"A review of natural fibres, their sustainability and automotive applications","volume":"35","author":[{"family":"Dunne","given":"R"},{"family":"Desai","given":"D"},{"family":"Sadiku","given":"R"},{"family":"Jayaramudu","given":"J"}],"issued":{"date-parts":[["2016",7]]}}}],"schema":"https://github.com/citation-style-language/schema/raw/master/csl-citation.json"} </w:instrText>
      </w:r>
      <w:r w:rsidRPr="001A3AB6">
        <w:fldChar w:fldCharType="separate"/>
      </w:r>
      <w:r w:rsidRPr="001A3AB6">
        <w:t>[23,45–48]</w:t>
      </w:r>
      <w:r w:rsidRPr="001A3AB6">
        <w:fldChar w:fldCharType="end"/>
      </w:r>
      <w:r w:rsidRPr="001A3AB6">
        <w:t xml:space="preserve">. Abaca, kenaf, hemp, flax, sisal, and jute are among the natural fibers most frequently explored for automotive applications </w:t>
      </w:r>
      <w:r w:rsidRPr="001A3AB6">
        <w:fldChar w:fldCharType="begin"/>
      </w:r>
      <w:r w:rsidRPr="001A3AB6">
        <w:instrText xml:space="preserve"> ADDIN ZOTERO_ITEM CSL_CITATION {"citationID":"GrJ06Ocg","properties":{"formattedCitation":"[22\\uc0\\u8211{}27]","plainCitation":"[22–27]","noteIndex":0},"citationItems":[{"id":1116,"uris":["http://zotero.org/users/3415649/items/E793RM4Q"],"itemData":{"id":1116,"type":"article-journal","abstract":"This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id":1112,"uris":["http://zotero.org/users/3415649/items/7SWD8H6Z"],"itemData":{"id":1112,"type":"article-journal","abstract":"In recent years, the amount of research on natural fibres and natural-fibre-based products has increased substantially. The reason for this increase is due to a greater awareness of the environment and the ever depleting trend of petroleum supplies. Natural fibre composites and in general, natural fibres have a big role to play towards a sustainable environmentally friendly future. The automotive industry is taking big steps toward a more eco-friendly product chain by implementing natural fibres as a base for making various components, such as seat backs, door panels, spare tyre and boot linings. The world production of natural fibres is increasing since the product base is increasing. Each year, more synthetic fibres and high energy consuming products are being replaced by natural-fibre-based products. The reason for this trend is not only due to an increased environmental awareness but also because natural fibres have excellent properties, such as light weight, and they have relatively low costs. This study attempts to review the most commercially important natural fibres and their automotive application and also looks at the properties, chemical composition and cost of some natural fibres being used in industry.","container-title":"Journal of Reinforced Plastics and Composites","DOI":"10.1177/0731684416633898","ISSN":"0731-6844, 1530-7964","issue":"13","journalAbbreviation":"Journal of Reinforced Plastics and Composites","language":"en","page":"1041-1050","source":"DOI.org (Crossref)","title":"A review of natural fibres, their sustainability and automotive applications","volume":"35","author":[{"family":"Dunne","given":"R"},{"family":"Desai","given":"D"},{"family":"Sadiku","given":"R"},{"family":"Jayaramudu","given":"J"}],"issued":{"date-parts":[["2016",7]]}}},{"id":1137,"uris":["http://zotero.org/users/3415649/items/7FZEVN6A"],"itemData":{"id":1137,"type":"article-journal","abstract":"The expansion of environment-friendly materials based on natural sources increases dramatically in terms of biodegradable, recyclable, and environmental disputes throughout the world. Plant-based natural ﬁber, a high potential ﬁeld of the reinforced polymer composite material, is considered as lightweight and economical products as they possess lower density, signiﬁcant material characteristics, and extraordinary molding ﬂexibility. The usage of plant ﬁbers on the core structure of composite materials have drawn signiﬁcant interest by the manufacturers to meet the increasing demand of the consumers for sustainable features with enhanced mechanical performances and functionalities. The plant ﬁber-based composites have widespread usage in construction, automotive, packaging, sports, biomedical, and defense sectors for their superior characteristics. Therefore, this critical review would demonstrate an overview regarding the background of natural ﬁber composites, factors inﬂuencing the composite properties, chemical interaction between the ﬁber and matrices, future potentiality, and marketing perspectives for triggering new research works in the ﬁeld of biocomposite materials.","container-title":"Journal of Materials Science","DOI":"10.1007/s10853-021-05774-9","ISSN":"0022-2461, 1573-4803","issue":"12","journalAbbreviation":"J Mater Sci","language":"en","page":"7231-7264","source":"DOI.org (Crossref)","title":"Comprehensive review on plant fiber-reinforced polymeric biocomposites","volume":"56","author":[{"family":"Mahmud","given":"Sakil"},{"family":"Hasan","given":"K. M. Faridul"},{"family":"Jahid","given":"Md. Anwar"},{"family":"Mohiuddin","given":"Kazi"},{"family":"Zhang","given":"Ruoyu"},{"family":"Zhu","given":"Jin"}],"issued":{"date-parts":[["2021",4]]}}},{"id":1507,"uris":["http://zotero.org/users/3415649/items/D5EEE3GB"],"itemData":{"id":1507,"type":"article-journal","abstract":"Petroleum based thermoplastics are widely used in a range of applications, particularly in packaging. However, their usage has resulted in soaring pollutant emissions. Thus, researchers have been driven to seek environmentally friendly alternative packaging materials which are recyclable as well as biodegradable. Due to the excellent mechanical properties of natural ﬁbres, they have been extensively used to reinforce biopolymers to produce biodegradable composites. A detailed understanding of the properties of such composite materials is vital for assessing their applicability to various products. The present review discusses several functional properties related to packaging applications in order to explore the potential of bamboo ﬁbre fabric-poly (lactic) acid composites for packaging applications. Physical properties, heat deﬂection temperature, impact resistance, recyclability and biodegradability are important functional properties of packaging materials. In this review, we will also comprehensively discuss the chronological events and applications of natural ﬁbre biopolymer composites.","container-title":"Materials","DOI":"10.3390/ma9060435","ISSN":"1996-1944","issue":"6","journalAbbreviation":"Materials","language":"en","page":"435","source":"DOI.org (Crossref)","title":"Green Composites Made of Bamboo Fabric and Poly (Lactic) Acid for Packaging Applications—A Review","volume":"9","author":[{"family":"Nurul Fazita","given":"M.R."},{"family":"Jayaraman","given":"Krishnan"},{"family":"Bhattacharyya","given":"Debes"},{"family":"Mohamad Haafiz","given":"M.K."},{"family":"Saurabh","given":"Chaturbhuj"},{"family":"Hussin","given":"M."},{"family":"H.P.S.","given":"Abdul"}],"issued":{"date-parts":[["2016",6,1]]}}},{"id":1509,"uris":["http://zotero.org/users/3415649/items/LQHAAP5J"],"itemData":{"id":1509,"type":"article-journal","abstract":"Bamboo fibres have excellent mechanical properties rather than other natural fibres. Because of its outstanding properties; it is used as reinforcement in composite production process to replace the synthetics fibres. Synthetic fibres are affecting our environment since they are non-biodegradable materials and they are not easily available. In addition to use as reinforcement material, it has also used in different engineering applications such as in automotive, aerospace and aircraft, wind turbine, and solar panels. The mechanical, physical, and thermal properties of bamboo fibre reinforced composite materials were altered by different parameters, from the additive particles, processing techniques, fibre orientation, size, volume or weight ratio, temperatures, and matrix and reinforcement material used in the production process. Some usage of matrix and reinforcement material reinforced composites in engineering applications; in automotive, aerospace and aircraft, wind turbine and solar panels. In sandwich honey structure composite using 0° fiber orientation is better mechanical properties than 45° and 90° and using high fiber volume fraction can reduce the mechanical properties of bamboo reinforced composite materials. To obtain excellent mechanical, physical, and thermal properties of bamboo fiber reinforced composite materials, controlling the parameters and using proper matrix and reinforced materials are preferable methods.","issue":"3","language":"en","page":"9","source":"Zotero","title":"Review of the Applications and Properties of Bamboo Fiber Reinforced Composite Materials","volume":"9","author":[{"family":"Ababu","given":"Mekete"},{"family":"Husen","given":"Ebrahim"},{"family":"Awraris","given":"Birhanu"},{"family":"Bashawal","given":"Neseredin"}],"issued":{"date-parts":[["2021"]]}}},{"id":1511,"uris":["http://zotero.org/users/3415649/items/N67NBJAU"],"itemData":{"id":1511,"type":"article-journal","abstract":"The work on cellulose fiber composites is typically strictly divided into two separated research fields depending on the fiber origin, that is, from wood and from annual plants, representing the two different industries of forest and agriculture, respectively. The present paper evaluates in parallel wood fibers and plant fibers to highlight their similarities and differences regarding their use as reinforcement in composites and to enable mutual transfer of knowledge and technology between the two research fields. The paper gives an introduction to the morphology, chemistry, and ultrastructure of the fibers, the modeling of the mechanical properties of the fibers, the fiber preforms available for manufacturing of composites, the typical mechanical properties of the composites, the modeling of the mechanical properties with focus on composites having a random fiber orientation and a non-negligible porosity content, and finally, the moisture sensitivity of the composites. The performance of wood and plant fiber composites is compared to the synthetic glass and carbon fibers conventionally used for composites, and advantages and disadvantages of the different fibers are discussed.","container-title":"Advances in Materials Science and Engineering","DOI":"10.1155/2013/564346","ISSN":"1687-8434, 1687-8442","journalAbbreviation":"Advances in Materials Science and Engineering","language":"en","page":"1-14","source":"DOI.org (Crossref)","title":"Wood versus Plant Fibers: Similarities and Differences in Composite Applications","title-short":"Wood versus Plant Fibers","volume":"2013","author":[{"family":"Madsen","given":"Bo"},{"family":"Gamstedt","given":"E. Kristofer"}],"issued":{"date-parts":[["2013"]]}}}],"schema":"https://github.com/citation-style-language/schema/raw/master/csl-citation.json"} </w:instrText>
      </w:r>
      <w:r w:rsidRPr="001A3AB6">
        <w:fldChar w:fldCharType="separate"/>
      </w:r>
      <w:r w:rsidRPr="001A3AB6">
        <w:t>[22–27]</w:t>
      </w:r>
      <w:r w:rsidRPr="001A3AB6">
        <w:fldChar w:fldCharType="end"/>
      </w:r>
      <w:r w:rsidRPr="001A3AB6">
        <w:t>.</w:t>
      </w:r>
    </w:p>
    <w:p w14:paraId="5D720448" w14:textId="77777777" w:rsidR="001A3AB6" w:rsidRPr="001A3AB6" w:rsidRDefault="001A3AB6" w:rsidP="001A3AB6">
      <w:r w:rsidRPr="001A3AB6">
        <w:t xml:space="preserve">Although there is significant interest in natural fibers, certain challenges must be addressed before components sourced from natural feedstocks can see large scale integration in the automotive industry. The properties of natural fibers are more inconsistent than conventional fibers, as they are dependent on a variety of conditions including season and location of plant growth, plant segment used, maturity at harvest, and the methods used for fiber harvesting and pre-conditioning </w:t>
      </w:r>
      <w:r w:rsidRPr="001A3AB6">
        <w:fldChar w:fldCharType="begin"/>
      </w:r>
      <w:r w:rsidRPr="001A3AB6">
        <w:instrText xml:space="preserve"> ADDIN ZOTERO_ITEM CSL_CITATION {"citationID":"XIRwOYTg","properties":{"formattedCitation":"[49\\uc0\\u8211{}51]","plainCitation":"[49–51]","noteIndex":0},"citationItems":[{"id":1141,"uris":["http://zotero.org/users/3415649/items/H2V8ABIU"],"itemData":{"id":1141,"type":"article-journal","container-title":"Frontiers in Materials","DOI":"10.3389/fmats.2019.00226","ISSN":"2296-8016","journalAbbreviation":"Front. Mater.","language":"en","page":"226","source":"DOI.org (Crossref)","title":"Natural Fibers as Sustainable and Renewable Resource for Development of Eco-Friendly Composites: A Comprehensive Review","title-short":"Natural Fibers as Sustainable and Renewable Resource for Development of Eco-Friendly Composites","volume":"6","author":[{"family":"Thyavihalli Girijappa","given":"Yashas Gowda"},{"family":"Mavinkere Rangappa","given":"Sanjay"},{"family":"Parameswaranpillai","given":"Jyotishkumar"},{"family":"Siengchin","given":"Suchart"}],"issued":{"date-parts":[["2019",9,27]]}}},{"id":1734,"uris":["http://zotero.org/users/3415649/items/UYB3SCSE"],"itemData":{"id":1734,"type":"article-journal","abstract":"In this review, previous studies about the properties and applications of natural fiber composites in the aerospace and automobile fields will be discussed. Natural fiber composites are a better alternate to the existing artificial fiber composites due to their advantages, e.g. lightweight, cheaper and, most importantly, their environmental aspects and biodegradability. Since ancient times, natural fibers have been used for preparing walls, baskets, ropes, clothes, and many more products. More recently, natural fibers such as jute, kenaf, sisal, hemp, and flax have been used in the engineering production field. Natural fiber composites are used increasingly in the aerospace and automotive industries. Nowadays, natural fiber composites and artificial composites are being compared by researchers to find the most appropriate materials for engineering fields. Researchers are also more focused on natural fibers due to their biodegradability and low production cost. Assessments of the materials used in aircraft parts and panel structures have been made to study the potential of using natural fiber composites instead.","container-title":"Journal of Reinforced Plastics and Composites","DOI":"10.1177/0731684418756762","ISSN":"0731-6844, 1530-7964","issue":"11","journalAbbreviation":"Journal of Reinforced Plastics and Composites","language":"en","page":"770-779","source":"DOI.org (Crossref)","title":"The challenges of natural fiber in manufacturing, material selection, and technology application: A review","title-short":"The challenges of natural fiber in manufacturing, material selection, and technology application","volume":"37","author":[{"family":"Khan","given":"Tabrej"},{"family":"Hameed Sultan","given":"Mohamed Thariq Bin"},{"family":"Ariffin","given":"Ahmad Hamdan"}],"issued":{"date-parts":[["2018",6]]}}},{"id":1736,"uris":["http://zotero.org/users/3415649/items/IRPSY6SD"],"itemData":{"id":1736,"type":"article-journal","abstract":"Owing to economic and environmental benefits, new generations of materials/ commodities follow “from waste to wealth” strategy. Recently, there has been a huge upsurge in research on the development of eco-composites using recycled plastic polymers and agro-residues because the eco-composites satisfy the stringent environment regulations and are cost-effective. Herein, we present a detailed review on the potential use of several types of natural fillers as an efficient reinforcement for recycled plastic polymers. In particular, the characterization of different categories of eco-composites according to their morphological, physical, thermal, and mechanical properties is extensively reviewed and their results are analyzed, compared, and highlighted. Furthermore, a framework to produce functional eco-composites, which includes functionalization of ingredients, critical issues on microstructural parameters, processing, and fabrication methods, is outlined and supported with sufficient data from the literature. Finally, the review outlines the emerging challenges and future prospects of eco-composites to be addressed by interested researchers to bridge the gap between research and commercialization of such a class of material. Overall, the acquired knowledge will guide researchers, scientists, and manufacturers to plan, select, and develop various forms of eco-composites with enhanced properties and optimized production processes.","container-title":"Journal of Applied Polymer Science","DOI":"10.1002/app.51284","ISSN":"0021-8995, 1097-4628","issue":"43","journalAbbreviation":"J of Applied Polymer Sci","language":"en","page":"51284","source":"DOI.org (Crossref)","title":"Progress and challenges in sustainability, compatibility, and production of &lt;span style=\"font-variant:small-caps;\"&gt;eco‐composites&lt;/span&gt; : A &lt;span style=\"font-variant:small-caps;\"&gt;state‐of‐art&lt;/span&gt; review","title-short":"Progress and challenges in sustainability, compatibility, and production of &lt;span style=\"font-variant","volume":"138","author":[{"family":"Nassar","given":"Mahmoud M. A."},{"family":"Alzebdeh","given":"Khalid I."},{"family":"Pervez","given":"Tasneem"},{"family":"Al‐Hinai","given":"Nasr"},{"family":"Munam","given":"Abdul"}],"issued":{"date-parts":[["2021",11,15]]}}}],"schema":"https://github.com/citation-style-language/schema/raw/master/csl-citation.json"} </w:instrText>
      </w:r>
      <w:r w:rsidRPr="001A3AB6">
        <w:fldChar w:fldCharType="separate"/>
      </w:r>
      <w:r w:rsidRPr="001A3AB6">
        <w:t>[49–51]</w:t>
      </w:r>
      <w:r w:rsidRPr="001A3AB6">
        <w:fldChar w:fldCharType="end"/>
      </w:r>
      <w:r w:rsidRPr="001A3AB6">
        <w:t xml:space="preserve">. This results in significant variability both within and among different batches of crops </w:t>
      </w:r>
      <w:r w:rsidRPr="001A3AB6">
        <w:fldChar w:fldCharType="begin"/>
      </w:r>
      <w:r w:rsidRPr="001A3AB6">
        <w:instrText xml:space="preserve"> ADDIN ZOTERO_ITEM CSL_CITATION {"citationID":"i1uQJgw8","properties":{"formattedCitation":"[52,53]","plainCitation":"[52,53]","noteIndex":0},"citationItems":[{"id":1706,"uris":["http://zotero.org/users/3415649/items/56WRNSMS"],"itemData":{"id":1706,"type":"article-journal","container-title":"Industrial Crops and Products","DOI":"10.1016/j.indcrop.2016.12.028","ISSN":"09266690","journalAbbreviation":"Industrial Crops and Products","language":"en","page":"1-9","source":"DOI.org (Crossref)","title":"Influence of flax fibre variety and year-to-year variability on composite properties","volume":"98","author":[{"family":"Haag","given":"Katharina"},{"family":"Padovani","given":"Justine"},{"family":"Fita","given":"Sergio"},{"family":"Trouvé","given":"Jean-Paul"},{"family":"Pineau","given":"Christophe"},{"family":"Hawkins","given":"Simon"},{"family":"De Jong","given":"Hein"},{"family":"Deyholos","given":"Michael K."},{"family":"Chabbert","given":"Brigitte"},{"family":"Müssig","given":"Jörg"},{"family":"Beaugrand","given":"Johnny"}],"issued":{"date-parts":[["2017",4]]}}},{"id":1708,"uris":["http://zotero.org/users/3415649/items/WAW5VB9S"],"itemData":{"id":1708,"type":"article-journal","container-title":"Industrial Crops and Products","DOI":"10.1016/j.indcrop.2011.11.021","ISSN":"09266690","issue":"1","journalAbbreviation":"Industrial Crops and Products","language":"en","page":"200-206","source":"DOI.org (Crossref)","title":"Variations in the morphological characteristics of Stipa tenacissima fiber: The case of Tunisia","title-short":"Variations in the morphological characteristics of Stipa tenacissima fiber","volume":"37","author":[{"family":"Belkhir","given":"Samia"},{"family":"Koubaa","given":"Ahmed"},{"family":"Khadhri","given":"Ayda"},{"family":"Ksontini","given":"Mustapha"},{"family":"Smiti","given":"Samira"}],"issued":{"date-parts":[["2012",5]]}}}],"schema":"https://github.com/citation-style-language/schema/raw/master/csl-citation.json"} </w:instrText>
      </w:r>
      <w:r w:rsidRPr="001A3AB6">
        <w:fldChar w:fldCharType="separate"/>
      </w:r>
      <w:r w:rsidRPr="001A3AB6">
        <w:t>[52,53]</w:t>
      </w:r>
      <w:r w:rsidRPr="001A3AB6">
        <w:fldChar w:fldCharType="end"/>
      </w:r>
      <w:r w:rsidRPr="001A3AB6">
        <w:t xml:space="preserve">. Moreover, natural fibers have high moisture sensitivity, low microbial resistance, and low degradation temperatures, due to characteristics of the natural polymers from which the fibers are composed </w:t>
      </w:r>
      <w:r w:rsidRPr="001A3AB6">
        <w:fldChar w:fldCharType="begin"/>
      </w:r>
      <w:r w:rsidRPr="001A3AB6">
        <w:instrText xml:space="preserve"> ADDIN ZOTERO_ITEM CSL_CITATION {"citationID":"5iiKS1zg","properties":{"formattedCitation":"[54\\uc0\\u8211{}57]","plainCitation":"[54–57]","noteIndex":0},"citationItems":[{"id":1135,"uris":["http://zotero.org/users/3415649/items/JM6NS4CZ"],"itemData":{"id":1135,"type":"article-journal","abstract":"The applications of natural ﬁbre/polymer composites in civil engineering are mostly concentrated on non-load bearing indoor components due to its vulnerability to environmental attack. This paper evaluates the characteristics of several natural ﬁbre composites exposed to moisture, thermal, ﬁre, and ultraviolet degradation through an extensive literature review. The effects of chemical additives such as ﬁbre treatments, ﬁre retardants and Ultraviolet (UV) stabilizers are also addressed. Based on the evaluation conducted, optimum ﬁbre content provides strength in a polymer composite but it also becomes an entry point for moisture attack. Several ﬁbre treatments are also being used to improve ﬁbre/matrix interface, thereby increasing moisture durability. However, the treated ﬁbres were found to behave poorly when exposed to weather. The addition of UV stabilizers and ﬁre retardants are suggested to enhance outdoor and ﬁre performance of natural ﬁbre/polymer composite but compromises its strength. Therefore, from the collected data and various experimental results, it was concluded that an optimum blend ratio of chemical additives must be employed to achieve a balance between strength and durability requirements for natural ﬁbre composites.","container-title":"Materials &amp; Design","DOI":"10.1016/j.matdes.2012.11.025","ISSN":"02613069","journalAbbreviation":"Materials &amp; Design","language":"en","page":"424-442","source":"DOI.org (Crossref)","title":"A review on the degradability of polymeric composites based on natural fibres","volume":"47","author":[{"family":"Azwa","given":"Z.N."},{"family":"Yousif","given":"B.F."},{"family":"Manalo","given":"A.C."},{"family":"Karunasena","given":"W."}],"issued":{"date-parts":[["2013",5]]}}},{"id":1714,"uris":["http://zotero.org/users/3415649/items/AVDQMUPK"],"itemData":{"id":1714,"type":"article-journal","abstract":"This paper outlines the chemical properties of natural fibers composites and discusses the latest trends in chemical modifications. In recent years, natural fibers reinforced composites have received a strong attention because of their light weight, nonabrasive, combustible, nontoxic, low cost and biodegradable properties. Chemical treatment of the natural fibers can clean the fiber surface, chemically modify the surface, stop the moisture absorption process and increase the surface roughness. A number of specific chemicals are used for chemical modifications of these composites. Such chemically modified are being used increasingly for engineering applications (particularly under hard working conditions). Thus, it becomes necessary to take care of the chemical properties of composites to ensure their long term stable behaviour in the practical applications. The detailed test results and observations are presented and conclusions are drawn.","container-title":"International Journal of Chemical Sciences","issue":"4","language":"en","page":"2223-2238","source":"Zotero","title":"A Review on Chemical Behavior of Natural Fiber Composites","volume":"14","author":[{"family":"Naidu","given":"A Lakshumu"},{"family":"Rao","given":"PSV Ramana"}],"issued":{"date-parts":[["2016"]]}}},{"id":1716,"uris":["http://zotero.org/users/3415649/items/NAKYZ6SF"],"itemData":{"id":1716,"type":"chapter","abstract":"The behavior of natural fibers under temperature is of great importance for industrial applications. The knowledge of the overall degradation process allows the prediction of the temperature range in which these materials can be used. So, this work evaluates the degradation process of 10 different natural fibers by X-ray diffraction and thermogravimetry techniques. The results showed that higher extractive contents associated with lower crystallinity and cellulose crystallite size can accelerate the degradation process and reduce the thermal stability of the fibers studied. However, the thermal decomposition is shifted to higher temperatures by increasing the cellulose crystallinity and crystallite size. Natural fiber degradation is governed by diffusion processes when the conversion values are below 0.4 and tends to random nucleation when the conversion values are above 0.5. Based on the results, the crystalline cellulose structure can provide unique combination of properties that can improve the thermal performance of natural fibers.","container-title":"Reactions and Mechanisms in Thermal Analysis of Advanced Materials","edition":"1","ISBN":"978-1-119-11757-5","language":"en","note":"DOI: 10.1002/9781119117711.ch21","page":"515-545","publisher":"Wiley","source":"DOI.org (Crossref)","title":"Thermal Decomposition of Natural Fibers: Kinetics and Degradation Mechanisms","title-short":"Thermal Decomposition of Natural Fibers","URL":"https://onlinelibrary.wiley.com/doi/10.1002/9781119117711.ch21","editor":[{"family":"Tiwari","given":"Atul"},{"family":"Raj","given":"Baldev"}],"author":[{"family":"Poletto","given":"Matheus"},{"family":"Júnior","given":"Heitor L. Ornaghi"},{"family":"Zattera","given":"Ademir J."}],"accessed":{"date-parts":[["2023",11,9]]},"issued":{"date-parts":[["2015",8,10]]}}},{"id":1718,"uris":["http://zotero.org/users/3415649/items/8FWCQS3Z"],"itemData":{"id":1718,"type":"article-journal","abstract":"Increased environmental concerns and global warming have diverted focus from ecofriendly bio-composites. Naturals ﬁbers are abundant and have low harvesting costs with adequate mechanical properties. Hazards of synthetic ﬁbers, recycling issues, and toxic byproducts are the main driving factors in the research and development of bio-composites. Bio-composites are degradable, renewable, non-abrasive, and non-toxic, with comparable properties to those of synthetic ﬁber composites and used in many applications in various ﬁelds. A detailed analysis is carried out in this review paper to discuss developments in bio-composites. The review covers structure, morphology, and modiﬁcations of ﬁber, mechanical properties, degradable matrix materials, applications, and limitations of bio-composites. Some of the key sectors employing bio-composites are the construction, automobile, and packaging industries. Furthermore, bio-composites are used in the ﬁeld of medicine and cosmetics.","container-title":"Molecules","DOI":"10.3390/molecules26020404","ISSN":"1420-3049","issue":"2","journalAbbreviation":"Molecules","language":"en","page":"404","source":"DOI.org (Crossref)","title":"A Review on Natural Fiber Bio-Composites, Surface Modifications and Applications","volume":"26","author":[{"family":"Zwawi","given":"Mohammed"}],"issued":{"date-parts":[["2021",1,14]]}}}],"schema":"https://github.com/citation-style-language/schema/raw/master/csl-citation.json"} </w:instrText>
      </w:r>
      <w:r w:rsidRPr="001A3AB6">
        <w:fldChar w:fldCharType="separate"/>
      </w:r>
      <w:r w:rsidRPr="001A3AB6">
        <w:t>[54–57]</w:t>
      </w:r>
      <w:r w:rsidRPr="001A3AB6">
        <w:fldChar w:fldCharType="end"/>
      </w:r>
      <w:r w:rsidRPr="001A3AB6">
        <w:t xml:space="preserve">. The chemical composition of the natural fibers also leads to poor compatibility with many polymer matrices, particularly non-polar thermoplastics </w:t>
      </w:r>
      <w:r w:rsidRPr="001A3AB6">
        <w:fldChar w:fldCharType="begin"/>
      </w:r>
      <w:r w:rsidRPr="001A3AB6">
        <w:instrText xml:space="preserve"> ADDIN ZOTERO_ITEM CSL_CITATION {"citationID":"dB7wKr41","properties":{"formattedCitation":"[58\\uc0\\u8211{}60]","plainCitation":"[58–60]","noteIndex":0},"citationItems":[{"id":1178,"uris":["http://zotero.org/users/3415649/items/NG77VU8D"],"itemData":{"id":1178,"type":"article-journal","abstract":"This review article describes the recent developments of natural fiber reinforced polypropylene (PP) composites. Natural fibers are low-cost, recyclable, and eco-friendly materials. Due to eco-friendly and bio-degradability characteristics of these natural fibers, they are considered as strong candidates to replace the conventional glass and carbon fibers. The chemical, mechanical, and physical properties of natural fibers have distinct properties; depending upon the cellulosic content of the fibers which varies from fiber to fiber. The mechanical properties of composites are influenced mainly by the adhesion between matrix and fibers. Chemical and physical modification methods were incorporated to improve the fiber–matrix adhesion resulting in the enhancement of mechanical properties of the composites. The most important natural fibers are jute, flax, and coir and their novel processing technics to develop natural fiber reinforced composites are also described.","container-title":"Journal of Reinforced Plastics and Composites","DOI":"10.1177/0731684407087759","ISSN":"0731-6844, 1530-7964","issue":"10","journalAbbreviation":"Journal of Reinforced Plastics and Composites","language":"en","page":"1169-1189","source":"DOI.org (Crossref)","title":"Recent Development in Natural Fiber Reinforced Polypropylene Composites","volume":"28","author":[{"family":"Malkapuram","given":"Ramakrishna"},{"family":"Kumar","given":"Vivek"},{"literal":"Yuvraj Singh Negi"}],"issued":{"date-parts":[["2009",5]]}},"label":"page"},{"id":1710,"uris":["http://zotero.org/users/3415649/items/72R2FZDR"],"itemData":{"id":1710,"type":"article-journal","abstract":"Growing environmental concerns have made more people aware of waste utilization and management. Agro-waste is becoming to be one of the main contributors to the environmental issue. From a circular economy perspec­ tive, the agro-waste, such as natural fibers (NFs) as well as natural particulates (NPs) found in various parts of the crop, can be utilized for the development of new materials. In particular, the main problem of utilizing these wastes for blending into the polymer matrix is their hydrophilicity. which results in “low mechanical properties of the” composite. To enable the NFs and NPs to be adhered to the matrix, they have to be treated, whether chemically or physically. Treatments that focus on increasing the hydrophobicity can result in significant enhancement in the adhesion of the NF and NP with the matrix. the focus of the current work is primarily on the modulation of the mechan­ ical properties of the polymer-based composite material arising from treat­ ment to the surfaces of the NF and NP. This review covers the physical properties of several important NFs and NPs, the different types of chemical treatments available; the processing of the NF and NP reinforced thermo­ plastic composites, and the mechanical properties of the composite materials.","container-title":"Journal of Natural Fibers","DOI":"10.1080/15440478.2020.1808147","ISSN":"1544-0478, 1544-046X","issue":"6","journalAbbreviation":"Journal of Natural Fibers","language":"en","page":"2299-2326","source":"DOI.org (Crossref)","title":"Interfacial Studies of Natural Fiber-Reinforced Particulate Thermoplastic Composites and Their Mechanical Properties","volume":"19","author":[{"family":"Verma","given":"Deepak"},{"family":"Goh","given":"Kheng Lim"},{"family":"Vimal","given":"Vrince"}],"issued":{"date-parts":[["2022",6,3]]}}},{"id":1712,"uris":["http://zotero.org/users/3415649/items/VFTJFH98"],"itemData":{"id":1712,"type":"article-journal","abstract":"An integrated physical–chemical–micromechanical approach is implemented to investigate the ﬁbre–matrix interfacial compatibility and adhesion of natural coir ﬁbre composites. Wetting measurements of the ﬁbres and the matrices are carried out to obtain their static equilibrium contact angles in various liquids, and these are used to estimate the surface energies comprising of different components. The work of adhesion is calculated for each composite system, accordingly. Also, ﬁbre surface chemistry is examined by X-ray photoelectron spectroscopy (XPS) to have more information about functional groups at the ﬁbre surface, which assists in a deeper understanding of the interactions at the composite interfaces. Single ﬁbre pull-out tests and transverse three point bending tests are performed on UD composites to measure interfacial shear strength and interfacial tensile strength respectively. The results suggest that the higher interfacial adhesion of coir ﬁbres with polyvinylidene ﬂuoride compared with polypropylene can be attributed to higher ﬁbre–matrix physico-chemical interaction corresponding with the work of adhesion. Whilst the improvement of interfacial adhesion for coir ﬁbres with maleic anhydride grafted polypropylene compared with polypropylene can probably be attributed to a chemical adhesion mechanism. In agreement with the interface evaluations, the ﬂexural strength in longitudinal direction of the composites is largely correlated with their interfacial adhesion.","container-title":"Composites Science and Technology","DOI":"10.1016/j.compscitech.2013.03.004","ISSN":"02663538","journalAbbreviation":"Composites Science and Technology","language":"en","page":"23-30","source":"DOI.org (Crossref)","title":"Understanding the interfacial compatibility and adhesion of natural coir fibre thermoplastic composites","volume":"80","author":[{"family":"Tran","given":"L.Q.N."},{"family":"Fuentes","given":"C.A."},{"family":"Dupont-Gillain","given":"C."},{"family":"Van Vuure","given":"A.W."},{"family":"Verpoest","given":"I."}],"issued":{"date-parts":[["2013",5]]}}}],"schema":"https://github.com/citation-style-language/schema/raw/master/csl-citation.json"} </w:instrText>
      </w:r>
      <w:r w:rsidRPr="001A3AB6">
        <w:fldChar w:fldCharType="separate"/>
      </w:r>
      <w:r w:rsidRPr="001A3AB6">
        <w:t>[58–60]</w:t>
      </w:r>
      <w:r w:rsidRPr="001A3AB6">
        <w:fldChar w:fldCharType="end"/>
      </w:r>
      <w:r w:rsidRPr="001A3AB6">
        <w:t>.</w:t>
      </w:r>
    </w:p>
    <w:p w14:paraId="7A1B18D1" w14:textId="77777777" w:rsidR="001A3AB6" w:rsidRPr="001A3AB6" w:rsidRDefault="001A3AB6" w:rsidP="001A3AB6">
      <w:r w:rsidRPr="001A3AB6">
        <w:lastRenderedPageBreak/>
        <w:t xml:space="preserve">Paper fibers offer distinct benefits over the previously described natural fibers. These include substantial production volume (approximately 500 million tons estimated in 2020), global availability, lack of competition with food resources, uniform quality across seasons, and well established quality control standards </w:t>
      </w:r>
      <w:r w:rsidRPr="001A3AB6">
        <w:fldChar w:fldCharType="begin"/>
      </w:r>
      <w:r w:rsidRPr="001A3AB6">
        <w:instrText xml:space="preserve"> ADDIN ZOTERO_ITEM CSL_CITATION {"citationID":"dIMGvm87","properties":{"formattedCitation":"[27,37,61,62]","plainCitation":"[27,37,61,62]","noteIndex":0},"citationItems":[{"id":1449,"uris":["http://zotero.org/users/3415649/items/TQL3MCWG"],"itemData":{"id":1449,"type":"book","event-place":"Cham","ISBN":"978-3-319-18743-3","language":"en","note":"DOI: 10.1007/978-3-319-18744-0","publisher":"Springer International Publishing","publisher-place":"Cham","source":"DOI.org (Crossref)","title":"Green Chemistry and Sustainability in Pulp and Paper Industry","URL":"http://link.springer.com/10.1007/978-3-319-18744-0","author":[{"family":"Bajpai","given":"Pratima"}],"accessed":{"date-parts":[["2022",6,28]]},"issued":{"date-parts":[["2015"]]}}},{"id":1720,"uris":["http://zotero.org/users/3415649/items/J9ZBV4F9"],"itemData":{"id":1720,"type":"article-journal","abstract":"This article introduces a bottom-up global model of the pulp and paper sector (PULPSIM) with a focus on energy consumption and carbon emissions. It is an annual recursive simulation behavioural model with a 2030 time horizon incorporating several technological details of the industry for 47 world regions. The long time horizon and the modular structure allow the model users to assess the effects of different environmental, energy and climate policies in a scenario comparison setup. In addition to the business as usual developments of the sector, a climate commitment scenario has been analysed, in which the impacts of changing forest management practices are also included. The climate scenario results reveal that there is a signiﬁcant carbon reduction potential in the pulp and paper making, showing a number of speciﬁc features: the central role of the ﬁbrous resource inputs and the potential impact of increased waste wood and black liquor based heat generation.","container-title":"Environmental Science &amp; Policy","DOI":"10.1016/j.envsci.2009.01.011","ISSN":"14629011","issue":"3","journalAbbreviation":"Environmental Science &amp; Policy","language":"en","page":"257-269","source":"DOI.org (Crossref)","title":"A world model of the pulp and paper industry: Demand, energy consumption and emission scenarios to 2030","title-short":"A world model of the pulp and paper industry","volume":"12","author":[{"family":"Szabó","given":"L."},{"family":"Soria","given":"A."},{"family":"Forsström","given":"J."},{"family":"Keränen","given":"J.T."},{"family":"Hytönen","given":"E."}],"issued":{"date-parts":[["2009",5]]}}},{"id":1722,"uris":["http://zotero.org/users/3415649/items/7BU8SQKK"],"itemData":{"id":1722,"type":"article-journal","container-title":"Analytical Chemistry","issue":"12","page":"87R-95R","title":"Pulp and Paper","volume":"67","author":[{"family":"Sithole","given":"B. Bruce"}],"issued":{"date-parts":[["1995",6,15]]}}},{"id":1511,"uris":["http://zotero.org/users/3415649/items/N67NBJAU"],"itemData":{"id":1511,"type":"article-journal","abstract":"The work on cellulose fiber composites is typically strictly divided into two separated research fields depending on the fiber origin, that is, from wood and from annual plants, representing the two different industries of forest and agriculture, respectively. The present paper evaluates in parallel wood fibers and plant fibers to highlight their similarities and differences regarding their use as reinforcement in composites and to enable mutual transfer of knowledge and technology between the two research fields. The paper gives an introduction to the morphology, chemistry, and ultrastructure of the fibers, the modeling of the mechanical properties of the fibers, the fiber preforms available for manufacturing of composites, the typical mechanical properties of the composites, the modeling of the mechanical properties with focus on composites having a random fiber orientation and a non-negligible porosity content, and finally, the moisture sensitivity of the composites. The performance of wood and plant fiber composites is compared to the synthetic glass and carbon fibers conventionally used for composites, and advantages and disadvantages of the different fibers are discussed.","container-title":"Advances in Materials Science and Engineering","DOI":"10.1155/2013/564346","ISSN":"1687-8434, 1687-8442","journalAbbreviation":"Advances in Materials Science and Engineering","language":"en","page":"1-14","source":"DOI.org (Crossref)","title":"Wood versus Plant Fibers: Similarities and Differences in Composite Applications","title-short":"Wood versus Plant Fibers","volume":"2013","author":[{"family":"Madsen","given":"Bo"},{"family":"Gamstedt","given":"E. Kristofer"}],"issued":{"date-parts":[["2013"]]}}}],"schema":"https://github.com/citation-style-language/schema/raw/master/csl-citation.json"} </w:instrText>
      </w:r>
      <w:r w:rsidRPr="001A3AB6">
        <w:fldChar w:fldCharType="separate"/>
      </w:r>
      <w:r w:rsidRPr="001A3AB6">
        <w:t>[27,37,61,62]</w:t>
      </w:r>
      <w:r w:rsidRPr="001A3AB6">
        <w:fldChar w:fldCharType="end"/>
      </w:r>
      <w:r w:rsidRPr="001A3AB6">
        <w:t xml:space="preserve">. A number of researchers have investigated using paper fibers, such as waste newspaper, filter paper, or office copy paper, as reinforcements in thermoplastic composites </w:t>
      </w:r>
      <w:r w:rsidRPr="001A3AB6">
        <w:fldChar w:fldCharType="begin"/>
      </w:r>
      <w:r w:rsidRPr="001A3AB6">
        <w:instrText xml:space="preserve"> ADDIN ZOTERO_ITEM CSL_CITATION {"citationID":"bVYPmx7U","properties":{"formattedCitation":"[63\\uc0\\u8211{}67]","plainCitation":"[63–67]","noteIndex":0},"citationItems":[{"id":1778,"uris":["http://zotero.org/users/3415649/items/AF8KNEEH"],"itemData":{"id":1778,"type":"article-journal","abstract":"Waste newspaper are currently used in a single way and have low utilization rates. In this paper, the optimal process of preparing environmentally friendly layered composites by using waste newspaper combined with polypropylene ﬁlm lamination was studied. The eﬀects of hot-pressing temperature, hot-pressing time and paper content on the properties of the composites were analyzed. The results showed that under the process conditions of hot-pressing temperature 180 ◦C, compression time 20 min and paper content 66.7%, the obtained composite material had a ﬂexural strength of 126 MPa, a tensile strength of 95 MPa, an impact strength of 5.3 kJ/m2 and a water absorption thickness expansion ratio of 3.2%. Tensile performance increased by 164% compared to the original waste newspaper. Compared to our previous work, the hot processing time had been cut in half and costs were lower. In terms of creep properties, the unrecoverable strain rate was reduced by 57.5% compared to pure polypropylene. The results show that the material can maintain excellent ﬂexural strength, tensile strength and water absorption performance while making good use of waste newspaper.","container-title":"Materials","DOI":"10.3390/ma13020413","ISSN":"1996-1944","issue":"2","journalAbbreviation":"Materials","language":"en","license":"https://creativecommons.org/licenses/by/4.0/","page":"413","source":"DOI.org (Crossref)","title":"A Process Optimization and Performance Study of Environmentally Friendly Waste Newspaper/Polypropylene Film Layered Composites","volume":"13","author":[{"family":"Guan","given":"Neng"},{"family":"Hu","given":"Chuanshuang"},{"family":"Guan","given":"Litao"},{"family":"Zhang","given":"Weiwei"},{"family":"Yun","given":"Hong"},{"family":"Hu","given":"Xiaojing"}],"issued":{"date-parts":[["2020",1,16]]}}},{"id":1770,"uris":["http://zotero.org/users/3415649/items/BL5KSVSG"],"itemData":{"id":1770,"type":"article-journal","abstract":"Natural ﬁber-reinforced thermoplastic composites can be an alternative to mineral ﬁber-based composites, especially when economic and environment concerns are included under the material selection criteria. In recent years, the literature has shown how lignocellulosic ﬁber-reinforced composites can be used for a variety of applications. Nonetheless, the impact strength and the water uptake behavior of such materials have been seen as drawbacks. In this work, the impact strength and the water uptake of composites made of polypropylene reinforced with ﬁbers from recycled newspaper have been researched. The results show how the impact strength decreases with the percentage of reinforcement in a similar manner to that of glass ﬁber-reinforced polypropylene composites as a result of adding a fragile phase to the material. It was found that the water uptake increased with the increasing percentages of lignocellulosic ﬁbers due to the hydrophilic nature of such reinforcements. The diﬀusion behavior was found to be Fickian. A maleic anhydride was added as a coupling agent in order to increase the strength of the interface between the matrix and the reinforcements. It was found that the presence of such a coupling agent increased the impact strength of the composites and decreased the water uptake. Impact strengths of 21.3 kJ/m3 were obtained for a coupled composite with 30 wt % reinforcement contents, which is a value higher than that obtained for glass ﬁber-based materials. The obtained composites reinforced with recycled ﬁbers showed competitive impact strength and water uptake behaviors in comparison with materials reinforced with raw lignocellulosic ﬁbers. The article increases the knowledge on newspaper ﬁber-reinforced polyoleﬁn composite properties, showing the competitiveness of waste-based materials.","container-title":"Materials","DOI":"10.3390/ma13051079","ISSN":"1996-1944","issue":"5","journalAbbreviation":"Materials","language":"en","license":"https://creativecommons.org/licenses/by/4.0/","page":"1079","source":"DOI.org (Crossref)","title":"Impact Properties and Water Uptake Behavior of Old Newspaper Recycled Fibers-Reinforced Polypropylene Composites","volume":"13","author":[{"family":"Hernández-Díaz","given":"David"},{"family":"Villar-Ribera","given":"Ricardo"},{"family":"Espinach","given":"Francesc X."},{"family":"Julián","given":"Fernando"},{"family":"Hernández-Abad","given":"Vicente"},{"family":"Delgado-Aguilar","given":"Marc"}],"issued":{"date-parts":[["2020",2,28]]}}},{"id":1748,"uris":["http://zotero.org/users/3415649/items/S9IYWCQ8"],"itemData":{"id":1748,"type":"article-journal","abstract":"The study investigates the use of copy paper in poly (butylene adipate terephthalate)-PBAT and polylactide-PLA composites. The inﬂuence of paper volume fraction (21, 30 and 48%) on the void content and the composite properties was analysed by using two diﬀerent compression moulding methods. An increasing ﬁbre content lead to signiﬁcantly improved tensile characteristics, while the Charpy impact strength showed a toughness decrease for PBAT and an increase for PLA composites. Additionally, layered composites, where either two stiﬀ PLA composite layers enclosed a ductile PBAT composite core or vice versa, were produced with the aim to increase the toughness. Due to the high elongation of PBAT, the insuﬃcient ﬁbre/matrix adhesion and the low ﬁbre length, this goal could not be reached. However, copy paper represents a good reinforcing component achieving a maximum strength of 120 MPa and a tensile modulus of 10.2 GPa at the highest paper volume fraction in PLA.","container-title":"Composites Part A: Applied Science and Manufacturing","DOI":"10.1016/j.compositesa.2019.02.016","ISSN":"1359835X","journalAbbreviation":"Composites Part A: Applied Science and Manufacturing","language":"en","page":"161-171","source":"DOI.org (Crossref)","title":"Copy paper as a source of reinforcement for biodegradable composites – Influence of fibre loading, processing method and layer arrangement – An overview","volume":"120","author":[{"family":"Graupner","given":"Nina"},{"family":"Prambauer","given":"Martina"},{"family":"Fröhlking","given":"Thorben"},{"family":"Graf","given":"Christopher"},{"family":"Becker","given":"Jonas M."},{"family":"Meyer","given":"Katharina"},{"family":"Weber","given":"David E."},{"family":"Weddig","given":"Nicolai B."},{"family":"Wunsch","given":"Timo"},{"family":"Burgstaller","given":"Christoph"},{"family":"Müssig","given":"Jörg"}],"issued":{"date-parts":[["2019",5]]}}},{"id":1774,"uris":["http://zotero.org/users/3415649/items/I8EK4Z9V"],"itemData":{"id":1774,"type":"article-journal","abstract":"In this work, different types of paper were used for producing cellulose reinforced polypropylene composites with MAPP as a coupling agent. The samples were prepared by a ﬁlm stacking method of the polymer and paper layers, followed by hot pressing in order to fabricate structural composite laminates. Virgin copy, ﬁlter and newspaper were used as reinforcements for producing composites with varying paper content. The inﬂuence of paper type and content on the mechanical and physical properties of the laminates was investigated and discussed in detail. Remarkable results for tensile and bending test were obtained for copy and newspaper composites at a paper content of 30 and 40 vol.%, indicating a high potential for constructive and industrial applications of the laminates. Further characterization was carried out by Charpy impact test, water uptake study, TGA and light microscopic analysis. To summarize the characterization, structural paper reinforced composites with attractive properties were obtained.","container-title":"Composites Part A: Applied Science and Manufacturing","DOI":"10.1016/j.compositesa.2015.04.004","ISSN":"1359835X","journalAbbreviation":"Composites Part A: Applied Science and Manufacturing","language":"en","page":"107-113","source":"DOI.org (Crossref)","title":"The influence of paper type on the properties of structural paper – Polypropylene composites","volume":"74","author":[{"family":"Prambauer","given":"Martina"},{"family":"Paulik","given":"Christian"},{"family":"Burgstaller","given":"Christoph"}],"issued":{"date-parts":[["2015",7]]}}},{"id":1780,"uris":["http://zotero.org/users/3415649/items/B5FHAKYA"],"itemData":{"id":1780,"type":"article-journal","abstract":"Laminates, composed of different papers and polypropylene (PP), were fabricated by a manual stacking and hot pressing. The laminates were characterized by mechanical testing and the results were compared to glass ﬁber reinforced PP. Furthermore, a detailed evaluation of the interfacial properties and the paper structures was carried out by means of data modeling via rule of mixtures (ROM), as well as electron microscope (SEM) analysis. For investigating the inﬂuence of the laminate’s composition on the water adsorption behavior, water diffusion coefﬁcients were determined. As a result, laminates with a tensile modulus up to 6 GPa and a tensile strength of 80 MPa were obtained. The property changes of the papers upon processing were successfully modeled, revealing a signiﬁcant increase of the paper’s mechanical properties after ﬁber embedding. In general, the obtained results indicate a high potential of paper as a suitable reinforcement material for low to middle strained applications.","container-title":"Composites Part A: Applied Science and Manufacturing","DOI":"10.1016/j.compositesa.2016.05.016","ISSN":"1359835X","journalAbbreviation":"Composites Part A: Applied Science and Manufacturing","language":"en","page":"59-66","source":"DOI.org (Crossref)","title":"Evaluation of the interfacial properties of polypropylene composite laminates, reinforced with paper sheets","volume":"88","author":[{"family":"Prambauer","given":"Martina"},{"family":"Paulik","given":"Christian"},{"family":"Burgstaller","given":"Christoph"}],"issued":{"date-parts":[["2016",9]]}}}],"schema":"https://github.com/citation-style-language/schema/raw/master/csl-citation.json"} </w:instrText>
      </w:r>
      <w:r w:rsidRPr="001A3AB6">
        <w:fldChar w:fldCharType="separate"/>
      </w:r>
      <w:r w:rsidRPr="001A3AB6">
        <w:t>[63–67]</w:t>
      </w:r>
      <w:r w:rsidRPr="001A3AB6">
        <w:fldChar w:fldCharType="end"/>
      </w:r>
      <w:r w:rsidRPr="001A3AB6">
        <w:t xml:space="preserve">. The majority of this research used either film stacking or injection molding as their manufacturing methods, with promising improvements in mechanical properties over the neat matrix material </w:t>
      </w:r>
      <w:r w:rsidRPr="001A3AB6">
        <w:fldChar w:fldCharType="begin"/>
      </w:r>
      <w:r w:rsidRPr="001A3AB6">
        <w:instrText xml:space="preserve"> ADDIN ZOTERO_ITEM CSL_CITATION {"citationID":"h1UomIQY","properties":{"formattedCitation":"[68\\uc0\\u8211{}70]","plainCitation":"[68–70]","noteIndex":0},"citationItems":[{"id":1758,"uris":["http://zotero.org/users/3415649/items/IHQU2MVT"],"itemData":{"id":1758,"type":"article-journal","abstract":"The application of pulp and paper ﬁbers as reinforcement in thermoplastic composites involves several advantages, such as sustainability, constant ﬁber quality and high mechanical properties. This work compares three different processing methods for the production of paper-reinforced polypropylene composites. The composites were produced by (i) hot pressing, (ii) injection molding and (iii) a pre-coating process with ﬁber volume fractions between 10 and 65%. The mechanical properties were investigated by tensile and ﬂexural testing. Furthermore, SEM analysis and porosity determination were carried out. The results were correlated with the according processing method and evaluated towards the highest composite performance. As a result, laminated composites with intact paper layers, showed signiﬁcantly higher mechanical properties, due to the ﬁber orientation in the paper sheet and good adhesion between the matrix and the paper ﬁbers. Compounded and injection molded composites showed a high degree of ﬁber agglomeration and less orientated ﬁbers in the composite leading to reduced mechanical properties. Ó 2019 Elsevier Ltd. All rights reserved.","container-title":"Materials Today: Proceedings","DOI":"10.1016/j.matpr.2019.11.231","ISSN":"22147853","journalAbbreviation":"Materials Today: Proceedings","language":"en","license":"https://www.elsevier.com/tdm/userlicense/1.0/","page":"S236-S241","source":"DOI.org (Crossref)","title":"Influence of the process method on the properties of paper-fiber-reinforced composites","volume":"31","author":[{"family":"Prambauer","given":"Martina"},{"family":"Voronych","given":"Oleksandra"},{"family":"Burgstaller","given":"Christoph"}],"issued":{"date-parts":[["2020"]]}}},{"id":1776,"uris":["http://zotero.org/users/3415649/items/W3MDMSR9"],"itemData":{"id":1776,"type":"article-journal","abstract":"The high production of paper, followed by a more significant concern with environmental and economic issues, has led to greater relevance to paper recycling and its raw uses as composite filler. Composites of polypropylene with 10, 20, and 30 wt.% of recycled office waste paper were produced by injection molding and characterized by mechanical and thermal properties. All composites presented a slight reduction of 15°C in thermal stability compared to the polymeric matrix. Moreover, as the filler amount increased, the degree of crystallinity was reduced proportionally. The mechanical test showed similar tensile strength values among neat polymer andcomposites but also showed an increase in the composite’s tensile modulus, related to the stiffness of the natural filler. The composite with a higher percentage of waste paper (30 wt.%) maintained equivalent properties as neatpolypropy­ lene and other composites (10 and 20 wt.%). Thus, 30 wt.% composites proved to be an excellent material with less synthetic polymer percentage, keeping thermal and mechanical properties comparable to the neat PP. Furthermore, this composite does not need chemical treatment or additives harmful to the environment. It is suitable for future applications in various plastic products such as packaging and domestic utensils.","container-title":"Journal of Natural Fibers","DOI":"10.1080/15440478.2022.2116517","ISSN":"1544-0478, 1544-046X","issue":"16","journalAbbreviation":"Journal of Natural Fibers","language":"en","page":"14089-14101","source":"DOI.org (Crossref)","title":"Thermo-Mechanical Properties of Polypropylene Composites Filled with Recycled Office Waste Paper","volume":"19","author":[{"family":"Cioffi","given":"Marina Gil Almeida"},{"family":"De Oliveira","given":"Daniel Magalhães"},{"family":"De Bomfim","given":"Anne Shayene Campos"},{"family":"De Carvalho Benini","given":"Kelly Cristina Coelho"},{"family":"Cioffi","given":"Maria Odila Hilário"},{"family":"Voorwald","given":"Herman Jacobus Cornelis"}],"issued":{"date-parts":[["2022",11,28]]}}},{"id":1754,"uris":["http://zotero.org/users/3415649/items/ANY8BT9R"],"itemData":{"id":1754,"type":"article-journal","abstract":"The aim of this work is to introduce recycled paper in HDPE matrix composites, an interesting alternative to traditional recycling process for paper. This strategy allows both re-using paper and reducing the amount of virgin polymer used in the same volume. For this application, the recycled paper goes through a micronization process, which uses simultaneously the action of impact and friction. The production of the composite is realized either by traditional injection moulding or by turbomixing. The best ﬁbres' dispersion was obtained by turbomixing and the composites produced in this way have been additivated with maleated polyethylene (MAPE) in the amounts of 1, 3 and 5 wt%. The resulting composites with 10 wt% ﬁbres were characterized from the morphological and mechanical point of view. Tensile tests revealed a rather constant stiffness and some improvement of strength with respect to the neat matrix, also indicating that the best results were obtained by the addition of 1 wt% MAPE. SEM micrographs evidenced that, in the absence of additive, ﬁbre-matrix interface was rather weak. In addition, the samples with added MAPE appear to experience a reduction in microporosity, which was conﬁrmed also by water absorption test.","container-title":"Composites Part B: Engineering","DOI":"10.1016/j.compositesb.2016.11.013","ISSN":"13598368","journalAbbreviation":"Composites Part B: Engineering","language":"en","page":"520-529","source":"DOI.org (Crossref)","title":"Paper fiber filled polymer. Mechanical evaluation and interfaces modification","volume":"110","author":[{"family":"Valente","given":"Marco"},{"family":"Tirillò","given":"Jacopo"},{"family":"Quitadamo","given":"Alessia"},{"family":"Santulli","given":"Carlo"}],"issued":{"date-parts":[["2017",2]]}}}],"schema":"https://github.com/citation-style-language/schema/raw/master/csl-citation.json"} </w:instrText>
      </w:r>
      <w:r w:rsidRPr="001A3AB6">
        <w:fldChar w:fldCharType="separate"/>
      </w:r>
      <w:r w:rsidRPr="001A3AB6">
        <w:t>[68–70]</w:t>
      </w:r>
      <w:r w:rsidRPr="001A3AB6">
        <w:fldChar w:fldCharType="end"/>
      </w:r>
      <w:r w:rsidRPr="001A3AB6">
        <w:t xml:space="preserve">. These manufacturing techniques offer some limitations from an industrial perspective; injection molding requires pre-compounding the paper fibers with the polymer matrix in a twin screw extruder which can cause fiber breakage, further decreasing the length of an already short fiber. Furthermore, injection molding limits the maximum fiber content to approximately 40-50%, as the injection molding compound must flow to properly pack out the part and prevent defects such as voids, weld lines and poor fiber dispersion </w:t>
      </w:r>
      <w:r w:rsidRPr="001A3AB6">
        <w:fldChar w:fldCharType="begin"/>
      </w:r>
      <w:r w:rsidRPr="001A3AB6">
        <w:instrText xml:space="preserve"> ADDIN ZOTERO_ITEM CSL_CITATION {"citationID":"FMmr4baG","properties":{"formattedCitation":"[71,72]","plainCitation":"[71,72]","noteIndex":0},"citationItems":[{"id":1790,"uris":["http://zotero.org/users/3415649/items/DYLGHSJ7"],"itemData":{"id":1790,"type":"article-journal","abstract":"We present results of a step by step comparison of the mechanical performance of injection moulded ‘long’ (LF-PP) and ‘short’ (SF-PP) glass ﬁbre-polypropylene compounds. The study allows direct comparison of the mechanical performance of long and short ﬁbre systems in the same resin at the same ﬁbre diameter, and the effect of ﬁbre diameter in short ﬁbre compounds. Furthermore, the comparison of these three systems has been made over the 0 – 40 wt% ﬁbre content range. At the same ﬁbre diameter and ﬁbre content LF-PP gives signiﬁcant improvements in room temperature tensile and ﬂexural strength, notched and unnotched impact resistance. The improvement in impact resistance is higher still at lower test temperature. LF-PP also gives increasingly higher modulus over SF-PP as the strain is increased. The effect of lowering the ﬁbre diameter in SF-PP has been shown to increase both strength and unnotched impact, but not to the levels obtained with LF-PP at higher ﬁbre diameter. Notched impact and modulus of SF-PP were relatively unaffected by reduction of the ﬁbre diameter. The relative mechanical data are shown to conform well to available models. The results are discussed in terms of the relevant micro-mechanical parameters of these materials. q 2002 Elsevier Science Ltd. All rights reserved.","container-title":"Composites Part A: Applied Science and Manufacturing","DOI":"10.1016/S1359-835X(02)00179-3","ISSN":"1359835X","issue":"12","journalAbbreviation":"Composites Part A: Applied Science and Manufacturing","language":"en","license":"https://www.elsevier.com/tdm/userlicense/1.0/","page":"1641-1652","source":"DOI.org (Crossref)","title":"The influence of fibre length and concentration on the properties of glass fibre reinforced polypropylene: 5. Injection moulded long and short fibre PP","title-short":"The influence of fibre length and concentration on the properties of glass fibre reinforced polypropylene","volume":"33","author":[{"family":"Thomason","given":"J.L."}],"issued":{"date-parts":[["2002",12]]}}},{"id":1792,"uris":["http://zotero.org/users/3415649/items/3ZNASJA4"],"itemData":{"id":1792,"type":"paper-conference","abstract":"Today’s scenario shows that mostly everywhere especially automotive industry prefers to use lightweight materials to increase the efficiency of vehicles. Fiber Reinforced Thermoplastics (FRT) are the commonly used composites for this purpose due to their abundant availability, cheaper, lighter than metals, non-corrosive and also satisfactorily efficient etc.. For injection molded parts, glass and carbon fibers are the commonly used ones to enhance their mechanical and thermal properties. The orientation of fibers in the parts plays a vital role in making the mechanical properties better. In this work, manual polishing and scanning technique using an optical microscope is implemented to observe the flow pattern of the fibers. The samples are injection-molded products of Polypropylene (PP) reinforced with 50% and 40% weightage of long glass fibers in it. The glass fibers have an average length of 25 mm and average diameter of 17 μm are reinforced with polypropylene in the form of pellets and are used in the injection molding machine to form the product. The sample cut out of the product is then put inside the PMMA, polished and scanned in the crosssectional direction to see the flow of fibers in the composite. Using 5 grinding papers and 2 polishing papers, the sample is polished using a grinder-polisher. The polished samples are scanned under an optical microscope layer by layer and the microscope is operated using a software, ‘pylon viewer’. The scanned images show the fibers’ flow layer by layer throughout the part. Defects like- fiber bundles, voids and weld lines in the samples are discovered during the work. The flow phenomenon of fibers is observed in all the layers and there is no layered structure and the fibers are randomly oriented in-plane. The flow phenomenon is more likely to be plug flow.","DOI":"10.1063/1.5088287","event-place":"Kelantan, Malaysia","event-title":"MATERIALS CHARACTERIZATION USING X-RAYS AND RELATED TECHNIQUES","language":"en","page":"030029","publisher-place":"Kelantan, Malaysia","source":"DOI.org (Crossref)","title":"Observation of fiber orientation in injection molded long-fiber reinforced composites","URL":"https://pubs.aip.org/aip/acp/article/837758","author":[{"family":"Aditya","given":"Rahul"},{"family":"Hwang","given":"Sheng-Jye"},{"family":"Lee","given":"Huei-Huang"}],"accessed":{"date-parts":[["2024",4,29]]},"issued":{"date-parts":[["2019"]]}}}],"schema":"https://github.com/citation-style-language/schema/raw/master/csl-citation.json"} </w:instrText>
      </w:r>
      <w:r w:rsidRPr="001A3AB6">
        <w:fldChar w:fldCharType="separate"/>
      </w:r>
      <w:r w:rsidRPr="001A3AB6">
        <w:t>[71,72]</w:t>
      </w:r>
      <w:r w:rsidRPr="001A3AB6">
        <w:fldChar w:fldCharType="end"/>
      </w:r>
      <w:r w:rsidRPr="001A3AB6">
        <w:t xml:space="preserve">. Film stacking offers the ability to increase the fiber content to upwards of 70%, however previous research has shown that it is challenging to obtain good wetting of fibers while avoiding degradation, as polymer viscosity must be lowered through high temperatures to properly impregnate fiber layers </w:t>
      </w:r>
      <w:r w:rsidRPr="001A3AB6">
        <w:fldChar w:fldCharType="begin"/>
      </w:r>
      <w:r w:rsidRPr="001A3AB6">
        <w:instrText xml:space="preserve"> ADDIN ZOTERO_ITEM CSL_CITATION {"citationID":"foao8ArI","properties":{"formattedCitation":"[73]","plainCitation":"[73]","noteIndex":0},"citationItems":[{"id":1786,"uris":["http://zotero.org/users/3415649/items/NKFCTY2T"],"itemData":{"id":1786,"type":"article-journal","abstract":"Recently, there has been a rapid growth in research and innovation in the natural ﬁbre composite (NFC) area. Interest is warranted due to the advantages of these materials compared to others, such as synthetic ﬁbre composites, including low environmental impact and low cost and support their potential across a wide range of applications. Much effort has gone into increasing their mechanical performance to extend the capabilities and applications of this group of materials. This review aims to provide an overview of the factors that affect the mechanical performance of NFCs and details achievements made with them.","container-title":"Composites Part A: Applied Science and Manufacturing","DOI":"10.1016/j.compositesa.2015.08.038","ISSN":"1359835X","journalAbbreviation":"Composites Part A: Applied Science and Manufacturing","language":"en","page":"98-112","source":"DOI.org (Crossref)","title":"A review of recent developments in natural fibre composites and their mechanical performance","volume":"83","author":[{"family":"Pickering","given":"K.L."},{"family":"Efendy","given":"M.G. Aruan"},{"family":"Le","given":"T.M."}],"issued":{"date-parts":[["2016",4]]}}}],"schema":"https://github.com/citation-style-language/schema/raw/master/csl-citation.json"} </w:instrText>
      </w:r>
      <w:r w:rsidRPr="001A3AB6">
        <w:fldChar w:fldCharType="separate"/>
      </w:r>
      <w:r w:rsidRPr="001A3AB6">
        <w:t>[73]</w:t>
      </w:r>
      <w:r w:rsidRPr="001A3AB6">
        <w:fldChar w:fldCharType="end"/>
      </w:r>
      <w:r w:rsidRPr="001A3AB6">
        <w:t>.</w:t>
      </w:r>
    </w:p>
    <w:p w14:paraId="7C9401E2" w14:textId="77777777" w:rsidR="001A3AB6" w:rsidRDefault="001A3AB6" w:rsidP="001A3AB6">
      <w:r w:rsidRPr="001A3AB6">
        <w:t xml:space="preserve">This work studied the use of commingled nonwoven paper fiber-polypropylene performs as the feedstock for compression molding applications. Kraft market pulp fibers, herein referred to as paper fibers, were mixed with polypropylene fibers using papermaking techniques, then hot-pressed into laminates under a variety of processing conditions. The laminates were characterized for properties relevant to the automotive industry (panel thickness, flexural behavior, impact toughness, water uptake, and density). These results were used to develop models for composite property prediction. From this, optimal conditions were identified using objective functional analysis with a variety of scenarios representing emphasis on either manufacturing time minimization or sustainable content maximization. </w:t>
      </w:r>
    </w:p>
    <w:p w14:paraId="620638E5" w14:textId="77777777" w:rsidR="00586911" w:rsidRDefault="00586911" w:rsidP="001A3AB6"/>
    <w:p w14:paraId="538FE746" w14:textId="77777777" w:rsidR="00586911" w:rsidRPr="001A3AB6" w:rsidRDefault="00586911" w:rsidP="001A3AB6"/>
    <w:p w14:paraId="4CA30096" w14:textId="59591D5C" w:rsidR="00246DDC" w:rsidRDefault="001A3AB6" w:rsidP="001A3AB6">
      <w:pPr>
        <w:pStyle w:val="MajorHeadings"/>
      </w:pPr>
      <w:bookmarkStart w:id="25" w:name="_Toc190951781"/>
      <w:r>
        <w:lastRenderedPageBreak/>
        <w:t>2.2 Experimental</w:t>
      </w:r>
      <w:bookmarkEnd w:id="25"/>
    </w:p>
    <w:p w14:paraId="7FEBCEC1" w14:textId="10046356" w:rsidR="001A3AB6" w:rsidRPr="00246DDC" w:rsidRDefault="001A3AB6" w:rsidP="001A3AB6">
      <w:pPr>
        <w:pStyle w:val="Heading2"/>
      </w:pPr>
      <w:bookmarkStart w:id="26" w:name="_Toc190951782"/>
      <w:r>
        <w:t>2.2.1 Materials</w:t>
      </w:r>
      <w:bookmarkEnd w:id="26"/>
      <w:r>
        <w:t xml:space="preserve"> </w:t>
      </w:r>
    </w:p>
    <w:p w14:paraId="6D6E9B72" w14:textId="77777777" w:rsidR="001A3AB6" w:rsidRPr="001A3AB6" w:rsidRDefault="001A3AB6" w:rsidP="001A3AB6">
      <w:r w:rsidRPr="001A3AB6">
        <w:t xml:space="preserve">The following materials were used as received: Domtar bleached hardwood kraft market pulp (MP) and </w:t>
      </w:r>
      <w:proofErr w:type="spellStart"/>
      <w:r w:rsidRPr="001A3AB6">
        <w:t>MiniFibers</w:t>
      </w:r>
      <w:proofErr w:type="spellEnd"/>
      <w:r w:rsidRPr="001A3AB6">
        <w:t xml:space="preserve"> precision cut 3 mm length, 15.3 </w:t>
      </w:r>
      <w:proofErr w:type="spellStart"/>
      <w:r w:rsidRPr="001A3AB6">
        <w:t>μm</w:t>
      </w:r>
      <w:proofErr w:type="spellEnd"/>
      <w:r w:rsidRPr="001A3AB6">
        <w:t xml:space="preserve"> diameter polypropylene (PP) fibers. A L&amp;W Fiber Tester Plus was used to measure market pulp fiber dimensions. The mean fiber length was 1.004 mm and the mean width was 19.9 </w:t>
      </w:r>
      <w:proofErr w:type="spellStart"/>
      <w:r w:rsidRPr="001A3AB6">
        <w:t>μm</w:t>
      </w:r>
      <w:proofErr w:type="spellEnd"/>
      <w:r w:rsidRPr="001A3AB6">
        <w:t xml:space="preserve">, both of which were calculated using a length-weighted technique. A histogram of measured fiber lengths is shown in </w:t>
      </w:r>
      <w:r w:rsidRPr="001A3AB6">
        <w:rPr>
          <w:b/>
          <w:bCs/>
        </w:rPr>
        <w:t>Figure 2.1</w:t>
      </w:r>
      <w:r w:rsidRPr="001A3AB6">
        <w:t xml:space="preserve">. A Micromeritics </w:t>
      </w:r>
      <w:proofErr w:type="spellStart"/>
      <w:r w:rsidRPr="001A3AB6">
        <w:t>AccuPyc</w:t>
      </w:r>
      <w:proofErr w:type="spellEnd"/>
      <w:r w:rsidRPr="001A3AB6">
        <w:t xml:space="preserve"> II 1340 gas pycnometer was used to measure the density of the market pulp, from which it was estimated to be 1.53 ± 0.05 g/cm</w:t>
      </w:r>
      <w:r w:rsidRPr="001A3AB6">
        <w:rPr>
          <w:vertAlign w:val="superscript"/>
        </w:rPr>
        <w:t>3</w:t>
      </w:r>
      <w:r w:rsidRPr="001A3AB6">
        <w:t>.</w:t>
      </w:r>
    </w:p>
    <w:p w14:paraId="59DFF557" w14:textId="33F94865" w:rsidR="00D45E17" w:rsidRDefault="00586911" w:rsidP="00586911">
      <w:pPr>
        <w:pStyle w:val="Heading2"/>
      </w:pPr>
      <w:bookmarkStart w:id="27" w:name="_Toc190951783"/>
      <w:r>
        <w:t>2.2.2</w:t>
      </w:r>
      <w:r w:rsidRPr="00586911">
        <w:t xml:space="preserve"> </w:t>
      </w:r>
      <w:r w:rsidRPr="00F802F2">
        <w:t>Composite Specimen Manufacturing</w:t>
      </w:r>
      <w:bookmarkEnd w:id="27"/>
    </w:p>
    <w:p w14:paraId="4161519C" w14:textId="77777777" w:rsidR="00586911" w:rsidRPr="00586911" w:rsidRDefault="00586911" w:rsidP="00586911">
      <w:r w:rsidRPr="00586911">
        <w:t xml:space="preserve">Composite preforms were produced using a wet-lay process in which paper fibers and polypropylene fibers were mixed using a Voith-Sulzer valley beater to create an aqueous suspension with a solids content of 13.3 g/L and then vacuum formed into 203 x 203 mm squares. No paper or polypropylene was lost during this process, as all of the suspended material was converted into preforms. The preforms were then placed in an oven and dried overnight at 103 °C to remove residual moisture. The moisture content of preforms after drying was measured using a VWR Moisture Analyzer (53M.H) and determined to be 2.97 ± 0.43 </w:t>
      </w:r>
      <w:proofErr w:type="spellStart"/>
      <w:r w:rsidRPr="00586911">
        <w:t>wt</w:t>
      </w:r>
      <w:proofErr w:type="spellEnd"/>
      <w:r w:rsidRPr="00586911">
        <w:t xml:space="preserve">%. Following drying, the preforms were consolidated into composite panels using a Carver Laboratory heated hydraulic press (model: 3895.4PR1A00). The paper composite panels were manufactured with varying concentrations of paper fiber and varying processing conditions based on a central composite design (CCD) designed experiment, as described in section 2.7. All panels were cooled to 80 °C under the pressure that they were molded at before removing from press. A schematic of the manufacturing process, including images of intermediate and final products, is shown in </w:t>
      </w:r>
      <w:r w:rsidRPr="00586911">
        <w:rPr>
          <w:b/>
          <w:bCs/>
        </w:rPr>
        <w:t>Figure 2.2</w:t>
      </w:r>
      <w:r w:rsidRPr="00586911">
        <w:t>.</w:t>
      </w:r>
    </w:p>
    <w:p w14:paraId="4D849753" w14:textId="77777777" w:rsidR="00586911" w:rsidRDefault="00586911" w:rsidP="00586911">
      <w:pPr>
        <w:rPr>
          <w:b/>
          <w:bCs/>
        </w:rPr>
      </w:pPr>
      <w:r w:rsidRPr="00586911">
        <w:t xml:space="preserve">Water uptake, flexural, and Izod impact test specimens were cut from each panel using </w:t>
      </w:r>
      <w:proofErr w:type="spellStart"/>
      <w:r w:rsidRPr="00586911">
        <w:t>Snapmaker</w:t>
      </w:r>
      <w:proofErr w:type="spellEnd"/>
      <w:r w:rsidRPr="00586911">
        <w:t xml:space="preserve"> A350T laser cutter equipped with a 10 W High Power Laser Module. Sample dimensions and replicates are shown in </w:t>
      </w:r>
      <w:r w:rsidRPr="00586911">
        <w:rPr>
          <w:b/>
          <w:bCs/>
        </w:rPr>
        <w:t>Table 2.1.</w:t>
      </w:r>
    </w:p>
    <w:p w14:paraId="4095B17C" w14:textId="72BA18C2" w:rsidR="00586911" w:rsidRDefault="00586911" w:rsidP="00586911">
      <w:pPr>
        <w:rPr>
          <w:noProof/>
        </w:rPr>
      </w:pPr>
      <w:r w:rsidRPr="00586911">
        <w:rPr>
          <w:b/>
          <w:bCs/>
          <w:noProof/>
        </w:rPr>
        <w:lastRenderedPageBreak/>
        <w:drawing>
          <wp:anchor distT="0" distB="0" distL="114300" distR="114300" simplePos="0" relativeHeight="251659264" behindDoc="1" locked="0" layoutInCell="1" allowOverlap="1" wp14:anchorId="4153DAB1" wp14:editId="031B1469">
            <wp:simplePos x="0" y="0"/>
            <wp:positionH relativeFrom="margin">
              <wp:align>center</wp:align>
            </wp:positionH>
            <wp:positionV relativeFrom="page">
              <wp:posOffset>903828</wp:posOffset>
            </wp:positionV>
            <wp:extent cx="2753995" cy="2286000"/>
            <wp:effectExtent l="0" t="0" r="8255" b="0"/>
            <wp:wrapNone/>
            <wp:docPr id="1536672446" name="Picture 3" descr="A graph of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72446" name="Picture 3" descr="A graph of a bar&#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l="8590" t="8746" r="11581" b="4708"/>
                    <a:stretch/>
                  </pic:blipFill>
                  <pic:spPr bwMode="auto">
                    <a:xfrm>
                      <a:off x="0" y="0"/>
                      <a:ext cx="2753995"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767867" w14:textId="77777777" w:rsidR="00586911" w:rsidRDefault="00586911" w:rsidP="00586911">
      <w:pPr>
        <w:rPr>
          <w:noProof/>
        </w:rPr>
      </w:pPr>
    </w:p>
    <w:p w14:paraId="1E8690D3" w14:textId="77777777" w:rsidR="00586911" w:rsidRDefault="00586911" w:rsidP="00586911">
      <w:pPr>
        <w:rPr>
          <w:noProof/>
        </w:rPr>
      </w:pPr>
    </w:p>
    <w:p w14:paraId="5017A919" w14:textId="77777777" w:rsidR="00586911" w:rsidRDefault="00586911" w:rsidP="00586911">
      <w:pPr>
        <w:rPr>
          <w:noProof/>
        </w:rPr>
      </w:pPr>
    </w:p>
    <w:p w14:paraId="5798FE7C" w14:textId="77777777" w:rsidR="00586911" w:rsidRDefault="00586911" w:rsidP="00586911">
      <w:pPr>
        <w:rPr>
          <w:noProof/>
        </w:rPr>
      </w:pPr>
    </w:p>
    <w:p w14:paraId="5CC9D7AE" w14:textId="77777777" w:rsidR="00586911" w:rsidRDefault="00586911" w:rsidP="00586911">
      <w:pPr>
        <w:rPr>
          <w:noProof/>
        </w:rPr>
      </w:pPr>
    </w:p>
    <w:p w14:paraId="06480FE4" w14:textId="77777777" w:rsidR="00586911" w:rsidRDefault="00586911" w:rsidP="00586911">
      <w:pPr>
        <w:rPr>
          <w:noProof/>
        </w:rPr>
      </w:pPr>
    </w:p>
    <w:p w14:paraId="42161661" w14:textId="003FD4C3" w:rsidR="00586911" w:rsidRDefault="00586911" w:rsidP="00586911">
      <w:pPr>
        <w:rPr>
          <w:noProof/>
        </w:rPr>
      </w:pPr>
    </w:p>
    <w:p w14:paraId="20EDE691" w14:textId="05D71203" w:rsidR="00586911" w:rsidRDefault="00586911" w:rsidP="00586911">
      <w:pPr>
        <w:rPr>
          <w:noProof/>
        </w:rPr>
      </w:pPr>
    </w:p>
    <w:p w14:paraId="00B68388" w14:textId="26DAA4A7" w:rsidR="00586911" w:rsidRDefault="00586911" w:rsidP="00586911">
      <w:pPr>
        <w:pStyle w:val="FigureCaption"/>
      </w:pPr>
      <w:r w:rsidRPr="00586911">
        <w:rPr>
          <w:rFonts w:ascii="Arial" w:hAnsi="Arial" w:cs="Arial"/>
          <w:b w:val="0"/>
          <w:bCs w:val="0"/>
        </w:rPr>
        <w:drawing>
          <wp:anchor distT="0" distB="0" distL="114300" distR="114300" simplePos="0" relativeHeight="251661312" behindDoc="1" locked="0" layoutInCell="1" allowOverlap="1" wp14:anchorId="6B9EBE38" wp14:editId="7C15BDD8">
            <wp:simplePos x="0" y="0"/>
            <wp:positionH relativeFrom="margin">
              <wp:align>center</wp:align>
            </wp:positionH>
            <wp:positionV relativeFrom="paragraph">
              <wp:posOffset>281940</wp:posOffset>
            </wp:positionV>
            <wp:extent cx="6569827" cy="3657600"/>
            <wp:effectExtent l="0" t="0" r="2540" b="0"/>
            <wp:wrapNone/>
            <wp:docPr id="8" name="Picture 7" descr="A diagram of a bathroom&#10;&#10;Description automatically generated">
              <a:extLst xmlns:a="http://schemas.openxmlformats.org/drawingml/2006/main">
                <a:ext uri="{FF2B5EF4-FFF2-40B4-BE49-F238E27FC236}">
                  <a16:creationId xmlns:a16="http://schemas.microsoft.com/office/drawing/2014/main" id="{D27923EA-6A86-030F-AB14-C9AA973E9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diagram of a bathroom&#10;&#10;Description automatically generated">
                      <a:extLst>
                        <a:ext uri="{FF2B5EF4-FFF2-40B4-BE49-F238E27FC236}">
                          <a16:creationId xmlns:a16="http://schemas.microsoft.com/office/drawing/2014/main" id="{D27923EA-6A86-030F-AB14-C9AA973E9BC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69827" cy="3657600"/>
                    </a:xfrm>
                    <a:prstGeom prst="rect">
                      <a:avLst/>
                    </a:prstGeom>
                  </pic:spPr>
                </pic:pic>
              </a:graphicData>
            </a:graphic>
            <wp14:sizeRelH relativeFrom="page">
              <wp14:pctWidth>0</wp14:pctWidth>
            </wp14:sizeRelH>
            <wp14:sizeRelV relativeFrom="page">
              <wp14:pctHeight>0</wp14:pctHeight>
            </wp14:sizeRelV>
          </wp:anchor>
        </w:drawing>
      </w:r>
      <w:r w:rsidRPr="00586911">
        <w:t>Figure 2.1</w:t>
      </w:r>
      <w:r>
        <w:t xml:space="preserve">. </w:t>
      </w:r>
      <w:r w:rsidRPr="006B02BB">
        <w:rPr>
          <w:b w:val="0"/>
          <w:bCs w:val="0"/>
        </w:rPr>
        <w:t>Histogram of kraft market pulp fiber length</w:t>
      </w:r>
      <w:r>
        <w:t xml:space="preserve"> </w:t>
      </w:r>
    </w:p>
    <w:p w14:paraId="32446DD6" w14:textId="77777777" w:rsidR="00586911" w:rsidRDefault="00586911" w:rsidP="00586911">
      <w:pPr>
        <w:pStyle w:val="FigureCaption"/>
      </w:pPr>
    </w:p>
    <w:p w14:paraId="74697B38" w14:textId="77777777" w:rsidR="00586911" w:rsidRDefault="00586911" w:rsidP="00586911">
      <w:pPr>
        <w:pStyle w:val="FigureCaption"/>
      </w:pPr>
    </w:p>
    <w:p w14:paraId="2B59C86E" w14:textId="77777777" w:rsidR="00586911" w:rsidRDefault="00586911" w:rsidP="00586911">
      <w:pPr>
        <w:pStyle w:val="FigureCaption"/>
      </w:pPr>
    </w:p>
    <w:p w14:paraId="59A012C1" w14:textId="77777777" w:rsidR="00586911" w:rsidRDefault="00586911" w:rsidP="00586911">
      <w:pPr>
        <w:pStyle w:val="FigureCaption"/>
      </w:pPr>
    </w:p>
    <w:p w14:paraId="2A684937" w14:textId="77777777" w:rsidR="00586911" w:rsidRDefault="00586911" w:rsidP="00586911">
      <w:pPr>
        <w:pStyle w:val="FigureCaption"/>
      </w:pPr>
    </w:p>
    <w:p w14:paraId="50572061" w14:textId="77777777" w:rsidR="00586911" w:rsidRDefault="00586911" w:rsidP="00586911">
      <w:pPr>
        <w:pStyle w:val="FigureCaption"/>
      </w:pPr>
    </w:p>
    <w:p w14:paraId="4D0A58EF" w14:textId="77777777" w:rsidR="00586911" w:rsidRDefault="00586911" w:rsidP="00586911">
      <w:pPr>
        <w:pStyle w:val="FigureCaption"/>
      </w:pPr>
    </w:p>
    <w:p w14:paraId="002F4284" w14:textId="77777777" w:rsidR="00586911" w:rsidRDefault="00586911" w:rsidP="00586911">
      <w:pPr>
        <w:pStyle w:val="FigureCaption"/>
      </w:pPr>
    </w:p>
    <w:p w14:paraId="0EE9CFAC" w14:textId="77777777" w:rsidR="00586911" w:rsidRDefault="00586911" w:rsidP="00586911">
      <w:pPr>
        <w:pStyle w:val="FigureCaption"/>
      </w:pPr>
    </w:p>
    <w:p w14:paraId="73CFDC4B" w14:textId="77777777" w:rsidR="00586911" w:rsidRDefault="00586911" w:rsidP="00586911">
      <w:pPr>
        <w:pStyle w:val="FigureCaption"/>
      </w:pPr>
    </w:p>
    <w:p w14:paraId="121E8399" w14:textId="77777777" w:rsidR="00586911" w:rsidRDefault="00586911" w:rsidP="00586911">
      <w:pPr>
        <w:pStyle w:val="FigureCaption"/>
      </w:pPr>
    </w:p>
    <w:p w14:paraId="4094F1F9" w14:textId="77777777" w:rsidR="00586911" w:rsidRDefault="00586911" w:rsidP="00586911">
      <w:pPr>
        <w:pStyle w:val="FigureCaption"/>
      </w:pPr>
    </w:p>
    <w:p w14:paraId="670A2030" w14:textId="77777777" w:rsidR="00586911" w:rsidRDefault="00586911" w:rsidP="00586911">
      <w:pPr>
        <w:pStyle w:val="FigureCaption"/>
      </w:pPr>
    </w:p>
    <w:p w14:paraId="2CBCA725" w14:textId="77777777" w:rsidR="00586911" w:rsidRDefault="00586911" w:rsidP="00586911">
      <w:pPr>
        <w:pStyle w:val="FigureCaption"/>
      </w:pPr>
    </w:p>
    <w:p w14:paraId="2C58BA54" w14:textId="65B8A934" w:rsidR="006B02BB" w:rsidRDefault="00586911" w:rsidP="00586911">
      <w:pPr>
        <w:pStyle w:val="FigureCaption"/>
        <w:rPr>
          <w:b w:val="0"/>
          <w:bCs w:val="0"/>
        </w:rPr>
      </w:pPr>
      <w:r w:rsidRPr="00586911">
        <w:t>Figure 2.</w:t>
      </w:r>
      <w:r>
        <w:t xml:space="preserve">2 </w:t>
      </w:r>
      <w:r w:rsidRPr="006B02BB">
        <w:rPr>
          <w:b w:val="0"/>
          <w:bCs w:val="0"/>
        </w:rPr>
        <w:t xml:space="preserve">Schematic of paper composite manufacturing process with designed experiment process values identified (a) and images of materials each stage of the process (b).  </w:t>
      </w:r>
    </w:p>
    <w:p w14:paraId="784013D8" w14:textId="77777777" w:rsidR="006B02BB" w:rsidRDefault="006B02BB">
      <w:pPr>
        <w:spacing w:after="160" w:line="259" w:lineRule="auto"/>
        <w:ind w:firstLine="0"/>
        <w:jc w:val="left"/>
        <w:rPr>
          <w:noProof/>
        </w:rPr>
      </w:pPr>
      <w:r>
        <w:rPr>
          <w:b/>
          <w:bCs/>
        </w:rPr>
        <w:br w:type="page"/>
      </w:r>
    </w:p>
    <w:p w14:paraId="342760C8" w14:textId="77777777" w:rsidR="00586911" w:rsidRPr="006B02BB" w:rsidRDefault="00586911" w:rsidP="006B02BB">
      <w:pPr>
        <w:pStyle w:val="FigureCaption"/>
        <w:jc w:val="both"/>
        <w:rPr>
          <w:b w:val="0"/>
          <w:bCs w:val="0"/>
        </w:rPr>
      </w:pPr>
    </w:p>
    <w:tbl>
      <w:tblPr>
        <w:tblStyle w:val="TableGrid"/>
        <w:tblpPr w:leftFromText="180" w:rightFromText="180" w:vertAnchor="page" w:horzAnchor="margin" w:tblpY="2612"/>
        <w:tblW w:w="5000" w:type="pct"/>
        <w:tblLook w:val="04A0" w:firstRow="1" w:lastRow="0" w:firstColumn="1" w:lastColumn="0" w:noHBand="0" w:noVBand="1"/>
      </w:tblPr>
      <w:tblGrid>
        <w:gridCol w:w="2563"/>
        <w:gridCol w:w="4807"/>
        <w:gridCol w:w="1270"/>
      </w:tblGrid>
      <w:tr w:rsidR="006B02BB" w:rsidRPr="006B02BB" w14:paraId="1CCD555A" w14:textId="77777777" w:rsidTr="006B02BB">
        <w:trPr>
          <w:trHeight w:val="288"/>
        </w:trPr>
        <w:tc>
          <w:tcPr>
            <w:tcW w:w="1483" w:type="pct"/>
            <w:tcBorders>
              <w:top w:val="single" w:sz="4" w:space="0" w:color="auto"/>
              <w:left w:val="nil"/>
              <w:bottom w:val="single" w:sz="4" w:space="0" w:color="auto"/>
              <w:right w:val="nil"/>
            </w:tcBorders>
            <w:vAlign w:val="center"/>
          </w:tcPr>
          <w:p w14:paraId="33D9731C" w14:textId="77777777" w:rsidR="006B02BB" w:rsidRPr="006B02BB" w:rsidRDefault="006B02BB" w:rsidP="006B02BB">
            <w:pPr>
              <w:pStyle w:val="FigureCaption"/>
              <w:jc w:val="left"/>
            </w:pPr>
            <w:r w:rsidRPr="006B02BB">
              <w:t>Sample Type</w:t>
            </w:r>
          </w:p>
        </w:tc>
        <w:tc>
          <w:tcPr>
            <w:tcW w:w="2782" w:type="pct"/>
            <w:tcBorders>
              <w:top w:val="single" w:sz="4" w:space="0" w:color="auto"/>
              <w:left w:val="nil"/>
              <w:bottom w:val="single" w:sz="4" w:space="0" w:color="auto"/>
              <w:right w:val="nil"/>
            </w:tcBorders>
            <w:vAlign w:val="center"/>
          </w:tcPr>
          <w:p w14:paraId="3821C53A" w14:textId="77777777" w:rsidR="006B02BB" w:rsidRPr="006B02BB" w:rsidRDefault="006B02BB" w:rsidP="006B02BB">
            <w:pPr>
              <w:pStyle w:val="FigureCaption"/>
              <w:jc w:val="left"/>
            </w:pPr>
            <w:r w:rsidRPr="006B02BB">
              <w:t>Dimensions (mm)</w:t>
            </w:r>
          </w:p>
        </w:tc>
        <w:tc>
          <w:tcPr>
            <w:tcW w:w="735" w:type="pct"/>
            <w:tcBorders>
              <w:top w:val="single" w:sz="4" w:space="0" w:color="auto"/>
              <w:left w:val="nil"/>
              <w:bottom w:val="single" w:sz="4" w:space="0" w:color="auto"/>
              <w:right w:val="nil"/>
            </w:tcBorders>
            <w:vAlign w:val="center"/>
          </w:tcPr>
          <w:p w14:paraId="02980390" w14:textId="77777777" w:rsidR="006B02BB" w:rsidRPr="006B02BB" w:rsidRDefault="006B02BB" w:rsidP="006B02BB">
            <w:pPr>
              <w:pStyle w:val="FigureCaption"/>
              <w:jc w:val="left"/>
            </w:pPr>
            <w:r w:rsidRPr="006B02BB">
              <w:t>Replicates</w:t>
            </w:r>
          </w:p>
        </w:tc>
      </w:tr>
      <w:tr w:rsidR="006B02BB" w:rsidRPr="006B02BB" w14:paraId="6EA8F3A0" w14:textId="77777777" w:rsidTr="006B02BB">
        <w:trPr>
          <w:trHeight w:val="288"/>
        </w:trPr>
        <w:tc>
          <w:tcPr>
            <w:tcW w:w="1483" w:type="pct"/>
            <w:tcBorders>
              <w:top w:val="single" w:sz="4" w:space="0" w:color="auto"/>
              <w:left w:val="nil"/>
              <w:bottom w:val="nil"/>
              <w:right w:val="nil"/>
            </w:tcBorders>
            <w:vAlign w:val="center"/>
          </w:tcPr>
          <w:p w14:paraId="0C500D5B" w14:textId="77777777" w:rsidR="006B02BB" w:rsidRPr="006B02BB" w:rsidRDefault="006B02BB" w:rsidP="006B02BB">
            <w:pPr>
              <w:pStyle w:val="FigureCaption"/>
              <w:jc w:val="left"/>
              <w:rPr>
                <w:b w:val="0"/>
                <w:bCs w:val="0"/>
              </w:rPr>
            </w:pPr>
            <w:r w:rsidRPr="006B02BB">
              <w:rPr>
                <w:b w:val="0"/>
                <w:bCs w:val="0"/>
              </w:rPr>
              <w:t>Flexural Specimen</w:t>
            </w:r>
          </w:p>
        </w:tc>
        <w:tc>
          <w:tcPr>
            <w:tcW w:w="2782" w:type="pct"/>
            <w:tcBorders>
              <w:top w:val="single" w:sz="4" w:space="0" w:color="auto"/>
              <w:left w:val="nil"/>
              <w:bottom w:val="nil"/>
              <w:right w:val="nil"/>
            </w:tcBorders>
            <w:vAlign w:val="center"/>
          </w:tcPr>
          <w:p w14:paraId="761D1440" w14:textId="77777777" w:rsidR="006B02BB" w:rsidRPr="006B02BB" w:rsidRDefault="006B02BB" w:rsidP="006B02BB">
            <w:pPr>
              <w:pStyle w:val="FigureCaption"/>
              <w:jc w:val="left"/>
              <w:rPr>
                <w:b w:val="0"/>
                <w:bCs w:val="0"/>
              </w:rPr>
            </w:pPr>
            <w:r w:rsidRPr="006B02BB">
              <w:rPr>
                <w:b w:val="0"/>
                <w:bCs w:val="0"/>
              </w:rPr>
              <w:t>60 x 12 x 3</w:t>
            </w:r>
          </w:p>
        </w:tc>
        <w:tc>
          <w:tcPr>
            <w:tcW w:w="735" w:type="pct"/>
            <w:tcBorders>
              <w:top w:val="single" w:sz="4" w:space="0" w:color="auto"/>
              <w:left w:val="nil"/>
              <w:bottom w:val="nil"/>
              <w:right w:val="nil"/>
            </w:tcBorders>
            <w:vAlign w:val="center"/>
          </w:tcPr>
          <w:p w14:paraId="549EE44B" w14:textId="77777777" w:rsidR="006B02BB" w:rsidRPr="006B02BB" w:rsidRDefault="006B02BB" w:rsidP="006B02BB">
            <w:pPr>
              <w:pStyle w:val="FigureCaption"/>
              <w:jc w:val="left"/>
              <w:rPr>
                <w:b w:val="0"/>
                <w:bCs w:val="0"/>
              </w:rPr>
            </w:pPr>
            <w:r w:rsidRPr="006B02BB">
              <w:rPr>
                <w:b w:val="0"/>
                <w:bCs w:val="0"/>
              </w:rPr>
              <w:t>5</w:t>
            </w:r>
          </w:p>
        </w:tc>
      </w:tr>
      <w:tr w:rsidR="006B02BB" w:rsidRPr="006B02BB" w14:paraId="6031FDB9" w14:textId="77777777" w:rsidTr="006B02BB">
        <w:trPr>
          <w:trHeight w:val="288"/>
        </w:trPr>
        <w:tc>
          <w:tcPr>
            <w:tcW w:w="1483" w:type="pct"/>
            <w:tcBorders>
              <w:top w:val="nil"/>
              <w:left w:val="nil"/>
              <w:bottom w:val="nil"/>
              <w:right w:val="nil"/>
            </w:tcBorders>
            <w:vAlign w:val="center"/>
          </w:tcPr>
          <w:p w14:paraId="62972DEB" w14:textId="77777777" w:rsidR="006B02BB" w:rsidRPr="006B02BB" w:rsidRDefault="006B02BB" w:rsidP="006B02BB">
            <w:pPr>
              <w:pStyle w:val="FigureCaption"/>
              <w:jc w:val="left"/>
              <w:rPr>
                <w:b w:val="0"/>
                <w:bCs w:val="0"/>
              </w:rPr>
            </w:pPr>
            <w:r w:rsidRPr="006B02BB">
              <w:rPr>
                <w:b w:val="0"/>
                <w:bCs w:val="0"/>
              </w:rPr>
              <w:t>Water Uptake Specimen</w:t>
            </w:r>
          </w:p>
        </w:tc>
        <w:tc>
          <w:tcPr>
            <w:tcW w:w="2782" w:type="pct"/>
            <w:tcBorders>
              <w:top w:val="nil"/>
              <w:left w:val="nil"/>
              <w:bottom w:val="nil"/>
              <w:right w:val="nil"/>
            </w:tcBorders>
            <w:vAlign w:val="center"/>
          </w:tcPr>
          <w:p w14:paraId="5CC986AE" w14:textId="77777777" w:rsidR="006B02BB" w:rsidRPr="006B02BB" w:rsidRDefault="006B02BB" w:rsidP="006B02BB">
            <w:pPr>
              <w:pStyle w:val="FigureCaption"/>
              <w:jc w:val="left"/>
              <w:rPr>
                <w:b w:val="0"/>
                <w:bCs w:val="0"/>
              </w:rPr>
            </w:pPr>
            <w:r w:rsidRPr="006B02BB">
              <w:rPr>
                <w:b w:val="0"/>
                <w:bCs w:val="0"/>
              </w:rPr>
              <w:t>76.2 x 25.4 x 3</w:t>
            </w:r>
          </w:p>
        </w:tc>
        <w:tc>
          <w:tcPr>
            <w:tcW w:w="735" w:type="pct"/>
            <w:tcBorders>
              <w:top w:val="nil"/>
              <w:left w:val="nil"/>
              <w:bottom w:val="nil"/>
              <w:right w:val="nil"/>
            </w:tcBorders>
            <w:vAlign w:val="center"/>
          </w:tcPr>
          <w:p w14:paraId="3A40BA25" w14:textId="77777777" w:rsidR="006B02BB" w:rsidRPr="006B02BB" w:rsidRDefault="006B02BB" w:rsidP="006B02BB">
            <w:pPr>
              <w:pStyle w:val="FigureCaption"/>
              <w:jc w:val="left"/>
              <w:rPr>
                <w:b w:val="0"/>
                <w:bCs w:val="0"/>
              </w:rPr>
            </w:pPr>
            <w:r w:rsidRPr="006B02BB">
              <w:rPr>
                <w:b w:val="0"/>
                <w:bCs w:val="0"/>
              </w:rPr>
              <w:t>3</w:t>
            </w:r>
          </w:p>
        </w:tc>
      </w:tr>
      <w:tr w:rsidR="006B02BB" w:rsidRPr="006B02BB" w14:paraId="4AA86215" w14:textId="77777777" w:rsidTr="006B02BB">
        <w:trPr>
          <w:trHeight w:val="288"/>
        </w:trPr>
        <w:tc>
          <w:tcPr>
            <w:tcW w:w="1483" w:type="pct"/>
            <w:tcBorders>
              <w:top w:val="nil"/>
              <w:left w:val="nil"/>
              <w:bottom w:val="single" w:sz="4" w:space="0" w:color="auto"/>
              <w:right w:val="nil"/>
            </w:tcBorders>
            <w:vAlign w:val="center"/>
          </w:tcPr>
          <w:p w14:paraId="78DF8BB4" w14:textId="77777777" w:rsidR="006B02BB" w:rsidRPr="006B02BB" w:rsidRDefault="006B02BB" w:rsidP="006B02BB">
            <w:pPr>
              <w:pStyle w:val="FigureCaption"/>
              <w:jc w:val="left"/>
              <w:rPr>
                <w:b w:val="0"/>
                <w:bCs w:val="0"/>
              </w:rPr>
            </w:pPr>
            <w:r w:rsidRPr="006B02BB">
              <w:rPr>
                <w:b w:val="0"/>
                <w:bCs w:val="0"/>
              </w:rPr>
              <w:t>Izod Impact Specimen</w:t>
            </w:r>
          </w:p>
        </w:tc>
        <w:tc>
          <w:tcPr>
            <w:tcW w:w="2782" w:type="pct"/>
            <w:tcBorders>
              <w:top w:val="nil"/>
              <w:left w:val="nil"/>
              <w:bottom w:val="single" w:sz="4" w:space="0" w:color="auto"/>
              <w:right w:val="nil"/>
            </w:tcBorders>
            <w:vAlign w:val="center"/>
          </w:tcPr>
          <w:p w14:paraId="32FF6F01" w14:textId="77777777" w:rsidR="006B02BB" w:rsidRPr="006B02BB" w:rsidRDefault="006B02BB" w:rsidP="006B02BB">
            <w:pPr>
              <w:pStyle w:val="FigureCaption"/>
              <w:jc w:val="left"/>
              <w:rPr>
                <w:b w:val="0"/>
                <w:bCs w:val="0"/>
              </w:rPr>
            </w:pPr>
            <w:r w:rsidRPr="006B02BB">
              <w:rPr>
                <w:b w:val="0"/>
                <w:bCs w:val="0"/>
              </w:rPr>
              <w:t>63.5 x 12.7 x 3 w/45° rounded notch at midpoint</w:t>
            </w:r>
          </w:p>
        </w:tc>
        <w:tc>
          <w:tcPr>
            <w:tcW w:w="735" w:type="pct"/>
            <w:tcBorders>
              <w:top w:val="nil"/>
              <w:left w:val="nil"/>
              <w:bottom w:val="single" w:sz="4" w:space="0" w:color="auto"/>
              <w:right w:val="nil"/>
            </w:tcBorders>
            <w:vAlign w:val="center"/>
          </w:tcPr>
          <w:p w14:paraId="0C524186" w14:textId="77777777" w:rsidR="006B02BB" w:rsidRPr="006B02BB" w:rsidRDefault="006B02BB" w:rsidP="006B02BB">
            <w:pPr>
              <w:pStyle w:val="FigureCaption"/>
              <w:jc w:val="left"/>
              <w:rPr>
                <w:b w:val="0"/>
                <w:bCs w:val="0"/>
              </w:rPr>
            </w:pPr>
            <w:r w:rsidRPr="006B02BB">
              <w:rPr>
                <w:b w:val="0"/>
                <w:bCs w:val="0"/>
              </w:rPr>
              <w:t>6</w:t>
            </w:r>
          </w:p>
        </w:tc>
      </w:tr>
    </w:tbl>
    <w:p w14:paraId="0B62E454" w14:textId="2C7B8BFF" w:rsidR="00586911" w:rsidRDefault="006B02BB" w:rsidP="006B02BB">
      <w:pPr>
        <w:pStyle w:val="TableHeading"/>
        <w:rPr>
          <w:rFonts w:eastAsiaTheme="majorEastAsia"/>
          <w:i/>
          <w:iCs/>
        </w:rPr>
      </w:pPr>
      <w:r w:rsidRPr="006B02BB">
        <w:rPr>
          <w:noProof/>
        </w:rPr>
        <w:t>Table 2.1</w:t>
      </w:r>
      <w:r w:rsidRPr="006B02BB">
        <w:rPr>
          <w:b w:val="0"/>
          <w:bCs w:val="0"/>
          <w:noProof/>
        </w:rPr>
        <w:t xml:space="preserve"> Sample types and associated dimensions for composite specimens studied in this work</w:t>
      </w:r>
      <w:r>
        <w:t>.</w:t>
      </w:r>
      <w:r w:rsidR="00586911">
        <w:br w:type="page"/>
      </w:r>
    </w:p>
    <w:p w14:paraId="13E0BB82" w14:textId="12A97E67" w:rsidR="00586911" w:rsidRDefault="00586911" w:rsidP="00586911">
      <w:pPr>
        <w:pStyle w:val="Heading2"/>
      </w:pPr>
      <w:bookmarkStart w:id="28" w:name="_Toc190951784"/>
      <w:r w:rsidRPr="00586911">
        <w:lastRenderedPageBreak/>
        <w:t>2.2.3 Density Measurement</w:t>
      </w:r>
      <w:bookmarkEnd w:id="28"/>
    </w:p>
    <w:p w14:paraId="198EF28C" w14:textId="77777777" w:rsidR="00586911" w:rsidRPr="00586911" w:rsidRDefault="00586911" w:rsidP="00586911">
      <w:r w:rsidRPr="00586911">
        <w:t>Sample density was measured using a using Mettler Toledo analytical balance and density measurement kit. Sample weight was measured both in air and in water, and the density was calculated using the Archimedes method as shown Equation 2.1:</w:t>
      </w:r>
    </w:p>
    <w:tbl>
      <w:tblPr>
        <w:tblStyle w:val="TableGrid"/>
        <w:tblW w:w="0" w:type="auto"/>
        <w:jc w:val="center"/>
        <w:tblLook w:val="04A0" w:firstRow="1" w:lastRow="0" w:firstColumn="1" w:lastColumn="0" w:noHBand="0" w:noVBand="1"/>
      </w:tblPr>
      <w:tblGrid>
        <w:gridCol w:w="7244"/>
        <w:gridCol w:w="1396"/>
      </w:tblGrid>
      <w:tr w:rsidR="00586911" w:rsidRPr="00586911" w14:paraId="0DD68C32" w14:textId="77777777" w:rsidTr="00586911">
        <w:trPr>
          <w:trHeight w:val="576"/>
          <w:jc w:val="center"/>
        </w:trPr>
        <w:tc>
          <w:tcPr>
            <w:tcW w:w="7244" w:type="dxa"/>
            <w:tcBorders>
              <w:top w:val="nil"/>
              <w:left w:val="nil"/>
              <w:bottom w:val="nil"/>
              <w:right w:val="nil"/>
            </w:tcBorders>
          </w:tcPr>
          <w:p w14:paraId="26094E66" w14:textId="79587D9E" w:rsidR="00586911" w:rsidRPr="00586911" w:rsidRDefault="00586911" w:rsidP="00586911">
            <m:oMathPara>
              <m:oMath>
                <m:r>
                  <w:rPr>
                    <w:rFonts w:ascii="Cambria Math" w:hAnsi="Cambria Math"/>
                  </w:rPr>
                  <m:t>ρ</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A</m:t>
                    </m:r>
                    <m:r>
                      <m:rPr>
                        <m:sty m:val="p"/>
                      </m:rPr>
                      <w:rPr>
                        <w:rFonts w:ascii="Cambria Math" w:hAnsi="Cambria Math"/>
                      </w:rPr>
                      <m:t>-</m:t>
                    </m:r>
                    <m:r>
                      <w:rPr>
                        <w:rFonts w:ascii="Cambria Math" w:hAnsi="Cambria Math"/>
                      </w:rPr>
                      <m:t>B</m:t>
                    </m:r>
                  </m:den>
                </m:f>
                <m:d>
                  <m:dPr>
                    <m:ctrlPr>
                      <w:rPr>
                        <w:rFonts w:ascii="Cambria Math" w:hAnsi="Cambria Math"/>
                      </w:rPr>
                    </m:ctrlPr>
                  </m:dPr>
                  <m:e>
                    <m:sSub>
                      <m:sSubPr>
                        <m:ctrlPr>
                          <w:rPr>
                            <w:rFonts w:ascii="Cambria Math" w:hAnsi="Cambria Math"/>
                          </w:rPr>
                        </m:ctrlPr>
                      </m:sSubPr>
                      <m:e>
                        <m:r>
                          <w:rPr>
                            <w:rFonts w:ascii="Cambria Math" w:hAnsi="Cambria Math"/>
                          </w:rPr>
                          <m:t>ρ</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L</m:t>
                        </m:r>
                      </m:sub>
                    </m:sSub>
                  </m:e>
                </m:d>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L</m:t>
                    </m:r>
                  </m:sub>
                </m:sSub>
              </m:oMath>
            </m:oMathPara>
          </w:p>
        </w:tc>
        <w:tc>
          <w:tcPr>
            <w:tcW w:w="1396" w:type="dxa"/>
            <w:tcBorders>
              <w:top w:val="nil"/>
              <w:left w:val="nil"/>
              <w:bottom w:val="nil"/>
              <w:right w:val="nil"/>
            </w:tcBorders>
            <w:vAlign w:val="center"/>
          </w:tcPr>
          <w:p w14:paraId="4E116EDA" w14:textId="77777777" w:rsidR="00586911" w:rsidRPr="00586911" w:rsidRDefault="00586911" w:rsidP="00586911">
            <w:r w:rsidRPr="00586911">
              <w:t>(2.1)</w:t>
            </w:r>
          </w:p>
        </w:tc>
      </w:tr>
    </w:tbl>
    <w:p w14:paraId="142DD206" w14:textId="4A745CBC" w:rsidR="00586911" w:rsidRPr="00586911" w:rsidRDefault="00586911" w:rsidP="00586911">
      <w:r w:rsidRPr="00586911">
        <w:t xml:space="preserve">where ρ is the density of the sample, </w:t>
      </w:r>
      <m:oMath>
        <m:r>
          <w:rPr>
            <w:rFonts w:ascii="Cambria Math" w:hAnsi="Cambria Math"/>
          </w:rPr>
          <m:t>A</m:t>
        </m:r>
      </m:oMath>
      <w:r w:rsidRPr="00586911">
        <w:t xml:space="preserve"> = sample weight in air, </w:t>
      </w:r>
      <m:oMath>
        <m:r>
          <w:rPr>
            <w:rFonts w:ascii="Cambria Math" w:hAnsi="Cambria Math"/>
          </w:rPr>
          <m:t>B</m:t>
        </m:r>
      </m:oMath>
      <w:r w:rsidRPr="00586911">
        <w:t xml:space="preserve"> = sample weight in water, </w:t>
      </w:r>
      <m:oMath>
        <m:sSub>
          <m:sSubPr>
            <m:ctrlPr>
              <w:rPr>
                <w:rFonts w:ascii="Cambria Math" w:hAnsi="Cambria Math"/>
              </w:rPr>
            </m:ctrlPr>
          </m:sSubPr>
          <m:e>
            <m:r>
              <w:rPr>
                <w:rFonts w:ascii="Cambria Math" w:hAnsi="Cambria Math"/>
              </w:rPr>
              <m:t>ρ</m:t>
            </m:r>
          </m:e>
          <m:sub>
            <m:r>
              <m:rPr>
                <m:sty m:val="p"/>
              </m:rPr>
              <w:rPr>
                <w:rFonts w:ascii="Cambria Math" w:hAnsi="Cambria Math"/>
              </w:rPr>
              <m:t>0</m:t>
            </m:r>
          </m:sub>
        </m:sSub>
      </m:oMath>
      <w:r w:rsidRPr="00586911">
        <w:t xml:space="preserve"> = density of water, and </w:t>
      </w:r>
      <m:oMath>
        <m:sSub>
          <m:sSubPr>
            <m:ctrlPr>
              <w:rPr>
                <w:rFonts w:ascii="Cambria Math" w:hAnsi="Cambria Math"/>
              </w:rPr>
            </m:ctrlPr>
          </m:sSubPr>
          <m:e>
            <m:r>
              <w:rPr>
                <w:rFonts w:ascii="Cambria Math" w:hAnsi="Cambria Math"/>
              </w:rPr>
              <m:t>ρ</m:t>
            </m:r>
          </m:e>
          <m:sub>
            <m:r>
              <w:rPr>
                <w:rFonts w:ascii="Cambria Math" w:hAnsi="Cambria Math"/>
              </w:rPr>
              <m:t>L</m:t>
            </m:r>
          </m:sub>
        </m:sSub>
      </m:oMath>
      <w:r w:rsidRPr="00586911">
        <w:t xml:space="preserve"> = density of air (0.0012 g/cm</w:t>
      </w:r>
      <w:r w:rsidRPr="00586911">
        <w:rPr>
          <w:vertAlign w:val="superscript"/>
        </w:rPr>
        <w:t>3</w:t>
      </w:r>
      <w:r w:rsidRPr="00586911">
        <w:t>). The water temperature during sample measurements was determined to be 20.8 °C (density = 0.998056 g/cm</w:t>
      </w:r>
      <w:r w:rsidRPr="00586911">
        <w:rPr>
          <w:vertAlign w:val="superscript"/>
        </w:rPr>
        <w:t>3</w:t>
      </w:r>
      <w:r w:rsidRPr="00586911">
        <w:t>).</w:t>
      </w:r>
    </w:p>
    <w:p w14:paraId="274D6B98" w14:textId="2239EE58" w:rsidR="00586911" w:rsidRDefault="00586911" w:rsidP="00586911">
      <w:pPr>
        <w:pStyle w:val="Heading2"/>
      </w:pPr>
      <w:bookmarkStart w:id="29" w:name="_Toc190951785"/>
      <w:r>
        <w:t>2.2.4 Water Uptake Measurement</w:t>
      </w:r>
      <w:bookmarkEnd w:id="29"/>
      <w:r>
        <w:t xml:space="preserve"> </w:t>
      </w:r>
    </w:p>
    <w:p w14:paraId="3FA6C8EC" w14:textId="77777777" w:rsidR="00586911" w:rsidRDefault="00586911" w:rsidP="00586911">
      <w:r w:rsidRPr="00586911">
        <w:t xml:space="preserve">Water absorption tests were conducted in accordance with ASTM D570. The samples were dried under vacuum at 80 °C overnight to remove excess moisture. After conditioning, the samples were cooled within a desiccator and weighed using a precision analytical balance to establish their initial weight. Samples were then placed into a temperature-controlled water bath at 23 °C and mass was re-measured at 24 hours of submersion. </w:t>
      </w:r>
    </w:p>
    <w:p w14:paraId="24A4C323" w14:textId="72DE2DEB" w:rsidR="00586911" w:rsidRDefault="00586911" w:rsidP="00586911">
      <w:pPr>
        <w:pStyle w:val="Heading2"/>
      </w:pPr>
      <w:bookmarkStart w:id="30" w:name="_Toc190951786"/>
      <w:r>
        <w:t>2.2.5 Flexural Testing</w:t>
      </w:r>
      <w:bookmarkEnd w:id="30"/>
    </w:p>
    <w:p w14:paraId="0026B1B2" w14:textId="77777777" w:rsidR="00586911" w:rsidRDefault="00586911" w:rsidP="00586911">
      <w:r w:rsidRPr="00586911">
        <w:t>Flexural testing was conducted in accordance with ASTM D790. Prior to testing, samples were conditioned in a temperature and humidity-controlled environment at 25 °C and 65% RH for 88 hours. Samples were observed to reach equilibrium moisture content within this time period, with an average moisture content of 1.61 ± 0.06 wt.%, 3.85 ± 0.06 wt.%, and 3.82 ± 0.06 wt.% for the 45%, 58%, and 70% fiber samples, respectively. Flexural testing was performed using an Instron 5567 with a 3-point bend test fixture and 500 N load cell. The test span and rate were set to 45 mm and 1.125 mm/min, respectively. Samples were tested until 25% strain was reached. An Instron deflectometer was used to measure strain equipped with an extensometer with a 25 mm range.</w:t>
      </w:r>
    </w:p>
    <w:p w14:paraId="15142158" w14:textId="50E08C7B" w:rsidR="00586911" w:rsidRDefault="00586911" w:rsidP="00586911">
      <w:pPr>
        <w:pStyle w:val="Heading2"/>
      </w:pPr>
      <w:bookmarkStart w:id="31" w:name="_Toc190951787"/>
      <w:r>
        <w:lastRenderedPageBreak/>
        <w:t>2.2.6 Izod Impact Testing</w:t>
      </w:r>
      <w:bookmarkEnd w:id="31"/>
      <w:r>
        <w:t xml:space="preserve"> </w:t>
      </w:r>
    </w:p>
    <w:p w14:paraId="54458C75" w14:textId="12A50C36" w:rsidR="00586911" w:rsidRDefault="00586911" w:rsidP="00586911">
      <w:r w:rsidRPr="00586911">
        <w:t>Izod impact testing was conducted in accordance with ASTM D256. Samples were conditioned using the same procedure as described in the flexural testing section. Testing was performed using Tinius Olsen Model Impact 104 instrument equipped with a 25 J weight.</w:t>
      </w:r>
    </w:p>
    <w:p w14:paraId="77F383BE" w14:textId="0DF33273" w:rsidR="00586911" w:rsidRDefault="00586911" w:rsidP="00586911">
      <w:pPr>
        <w:pStyle w:val="Heading2"/>
      </w:pPr>
      <w:bookmarkStart w:id="32" w:name="_Toc190951788"/>
      <w:r>
        <w:t>2.2.7 Experimental Design</w:t>
      </w:r>
      <w:bookmarkEnd w:id="32"/>
    </w:p>
    <w:p w14:paraId="7C798096" w14:textId="77777777" w:rsidR="00586911" w:rsidRPr="00586911" w:rsidRDefault="00586911" w:rsidP="00586911">
      <w:r w:rsidRPr="00586911">
        <w:t xml:space="preserve">The experimental design used in this work was a central composite design so as to allow for analysis of data using response surface methodology </w:t>
      </w:r>
      <w:r w:rsidRPr="00586911">
        <w:fldChar w:fldCharType="begin"/>
      </w:r>
      <w:r w:rsidRPr="00586911">
        <w:instrText xml:space="preserve"> ADDIN ZOTERO_ITEM CSL_CITATION {"citationID":"7xaRzfYO","properties":{"formattedCitation":"[74]","plainCitation":"[74]","noteIndex":0},"citationItems":[{"id":1695,"uris":["http://zotero.org/users/3415649/items/8AZVCLSK"],"itemData":{"id":1695,"type":"article-journal","abstract":"In recent years, response surface methodology (RSM) has brought many attentions of many quality engineers in different industries. Most of the published literature on robust design methodology is basically concerned with optimization of a single response or quality characteristic which is often most critical to consumers. For most products, however, quality is multidimensional, so it is common to observe multiple responses in an experimental situation. Through this paper interested person will be familiarize with this methodology via surveying of the most cited technical papers.","issue":"3","language":"en","source":"Zotero","title":"Statistical Process Optimization Through Multi-Response Surface Methodology","volume":"3","author":[{"family":"Raissi","given":"S"},{"family":"Farsani","given":"R- Eslami"}],"issued":{"date-parts":[["2009"]]}}}],"schema":"https://github.com/citation-style-language/schema/raw/master/csl-citation.json"} </w:instrText>
      </w:r>
      <w:r w:rsidRPr="00586911">
        <w:fldChar w:fldCharType="separate"/>
      </w:r>
      <w:r w:rsidRPr="00586911">
        <w:t>[74]</w:t>
      </w:r>
      <w:r w:rsidRPr="00586911">
        <w:fldChar w:fldCharType="end"/>
      </w:r>
      <w:r w:rsidRPr="00586911">
        <w:t xml:space="preserve">. The factors and levels used in the CCD are shown in </w:t>
      </w:r>
      <w:r w:rsidRPr="00586911">
        <w:rPr>
          <w:b/>
          <w:bCs/>
        </w:rPr>
        <w:t>Table 2.2</w:t>
      </w:r>
      <w:r w:rsidRPr="00586911">
        <w:t xml:space="preserve">. The levels used were determined by preliminary experiments. Processing temperature needed to be high enough to allow for polypropylene fibers to melt and flow but low enough to limit degradation of market pulp. Likewise, compression molding pressure needed to be high enough to enable panel consolidation, while low enough to prevent melt fracture of the materials. Compression molding time was minimized to the lowest duration required to produce panels with integrity after leaving the press at different market pulp fiber loading levels.   </w:t>
      </w:r>
    </w:p>
    <w:p w14:paraId="5C47002A" w14:textId="77777777" w:rsidR="00586911" w:rsidRDefault="00586911" w:rsidP="00586911">
      <w:r w:rsidRPr="00586911">
        <w:t xml:space="preserve">The full CCD and experimental data for each set of processing parameters are shown in </w:t>
      </w:r>
      <w:r w:rsidRPr="00586911">
        <w:rPr>
          <w:b/>
          <w:bCs/>
        </w:rPr>
        <w:t>Table 2.3</w:t>
      </w:r>
      <w:r w:rsidRPr="00586911">
        <w:t xml:space="preserve">. Within the design the symbols ‘+’ and ‘-‘ correspond to the high and low levels of the factorial points, while the letters ‘A’ and ‘a’ correspond to the highest and lowest axial points, and finally, the ‘0’ represents the center point of the design </w:t>
      </w:r>
      <w:r w:rsidRPr="00586911">
        <w:fldChar w:fldCharType="begin"/>
      </w:r>
      <w:r w:rsidRPr="00586911">
        <w:instrText xml:space="preserve"> ADDIN ZOTERO_ITEM CSL_CITATION {"citationID":"rcBbXjNh","properties":{"formattedCitation":"[75]","plainCitation":"[75]","noteIndex":0},"citationItems":[{"id":1740,"uris":["http://zotero.org/users/3415649/items/TT4UEP43"],"itemData":{"id":1740,"type":"article-journal","language":"en","source":"Zotero","title":"Handbook of Design and Analysis of Experiments","author":[{"family":"Dean","given":"Angela"},{"family":"Morris","given":"Max"},{"family":"Stufken","given":"John"},{"family":"Bingham","given":"Derek"}]}}],"schema":"https://github.com/citation-style-language/schema/raw/master/csl-citation.json"} </w:instrText>
      </w:r>
      <w:r w:rsidRPr="00586911">
        <w:fldChar w:fldCharType="separate"/>
      </w:r>
      <w:r w:rsidRPr="00586911">
        <w:t>[75]</w:t>
      </w:r>
      <w:r w:rsidRPr="00586911">
        <w:fldChar w:fldCharType="end"/>
      </w:r>
      <w:r w:rsidRPr="00586911">
        <w:t xml:space="preserve">. Two center point runs (0000) were performed as an indicator of panel-to-panel variability. </w:t>
      </w:r>
      <w:r w:rsidRPr="00586911" w:rsidDel="00FE3799">
        <w:t xml:space="preserve">For each set of processing parameters, </w:t>
      </w:r>
      <w:r w:rsidRPr="00586911">
        <w:t xml:space="preserve">panel thickness, </w:t>
      </w:r>
      <w:r w:rsidRPr="00586911" w:rsidDel="00FE3799">
        <w:t>twenty-four-hour water uptake, density, flexural modulus, yield strength, and Izod impact strength were measured.</w:t>
      </w:r>
    </w:p>
    <w:p w14:paraId="2248267B" w14:textId="77777777" w:rsidR="006B02BB" w:rsidRDefault="006B02BB" w:rsidP="00586911"/>
    <w:p w14:paraId="672F9E10" w14:textId="59DE0661" w:rsidR="006B02BB" w:rsidRDefault="006B02BB" w:rsidP="006B02BB">
      <w:pPr>
        <w:pStyle w:val="MajorHeadings"/>
      </w:pPr>
      <w:bookmarkStart w:id="33" w:name="_Toc190951789"/>
      <w:r>
        <w:t>2.3 Results and Discussion</w:t>
      </w:r>
      <w:bookmarkEnd w:id="33"/>
    </w:p>
    <w:p w14:paraId="776FE9B4" w14:textId="04E99B0F" w:rsidR="006B02BB" w:rsidRPr="00586911" w:rsidRDefault="006B02BB" w:rsidP="006B02BB">
      <w:pPr>
        <w:pStyle w:val="Heading2"/>
      </w:pPr>
      <w:bookmarkStart w:id="34" w:name="_Toc190951790"/>
      <w:r>
        <w:t>2.3.1 Impact of Processing Parameters on Material Properties</w:t>
      </w:r>
      <w:bookmarkEnd w:id="34"/>
      <w:r>
        <w:t xml:space="preserve"> </w:t>
      </w:r>
    </w:p>
    <w:p w14:paraId="28E28639" w14:textId="77777777" w:rsidR="006B02BB" w:rsidRDefault="006B02BB" w:rsidP="006B02BB">
      <w:r w:rsidRPr="006B02BB">
        <w:t xml:space="preserve">In </w:t>
      </w:r>
      <w:r w:rsidRPr="006B02BB">
        <w:rPr>
          <w:b/>
          <w:bCs/>
        </w:rPr>
        <w:t>Table 2.3</w:t>
      </w:r>
      <w:r w:rsidRPr="006B02BB">
        <w:t xml:space="preserve">, the panel thickness, </w:t>
      </w:r>
      <w:r w:rsidRPr="006B02BB" w:rsidDel="00FE3799">
        <w:t xml:space="preserve">twenty-four-hour water uptake, density, flexural modulus, yield strength, and Izod impact strength </w:t>
      </w:r>
      <w:r w:rsidRPr="006B02BB">
        <w:t xml:space="preserve">are reported. The studied range of processing conditions resulted in significant variation in properties. The panel thickness </w:t>
      </w:r>
    </w:p>
    <w:p w14:paraId="6B95DEDE" w14:textId="77777777" w:rsidR="006B02BB" w:rsidRDefault="006B02BB" w:rsidP="006B02BB">
      <w:pPr>
        <w:pStyle w:val="TableHeading"/>
      </w:pPr>
      <w:r w:rsidRPr="006B02BB">
        <w:lastRenderedPageBreak/>
        <w:t xml:space="preserve">Table 2.2 </w:t>
      </w:r>
      <w:r w:rsidRPr="006B02BB">
        <w:rPr>
          <w:b w:val="0"/>
          <w:bCs w:val="0"/>
        </w:rPr>
        <w:t>Levels for each factor studied in the central composite design</w:t>
      </w:r>
      <w:r w:rsidRPr="006B02BB">
        <w:t xml:space="preserve"> </w:t>
      </w:r>
    </w:p>
    <w:tbl>
      <w:tblPr>
        <w:tblStyle w:val="TableGrid"/>
        <w:tblW w:w="5000" w:type="pct"/>
        <w:jc w:val="center"/>
        <w:tblLook w:val="04A0" w:firstRow="1" w:lastRow="0" w:firstColumn="1" w:lastColumn="0" w:noHBand="0" w:noVBand="1"/>
      </w:tblPr>
      <w:tblGrid>
        <w:gridCol w:w="3671"/>
        <w:gridCol w:w="1308"/>
        <w:gridCol w:w="1268"/>
        <w:gridCol w:w="2393"/>
      </w:tblGrid>
      <w:tr w:rsidR="006B02BB" w:rsidRPr="006B02BB" w14:paraId="3488454A" w14:textId="77777777" w:rsidTr="006B02BB">
        <w:trPr>
          <w:trHeight w:val="288"/>
          <w:jc w:val="center"/>
        </w:trPr>
        <w:tc>
          <w:tcPr>
            <w:tcW w:w="2124" w:type="pct"/>
            <w:tcBorders>
              <w:top w:val="single" w:sz="4" w:space="0" w:color="auto"/>
              <w:left w:val="nil"/>
              <w:bottom w:val="single" w:sz="4" w:space="0" w:color="auto"/>
              <w:right w:val="nil"/>
            </w:tcBorders>
            <w:vAlign w:val="center"/>
          </w:tcPr>
          <w:p w14:paraId="13967BDA" w14:textId="77777777" w:rsidR="006B02BB" w:rsidRPr="006B02BB" w:rsidRDefault="006B02BB" w:rsidP="006B02BB">
            <w:pPr>
              <w:spacing w:after="160" w:line="259" w:lineRule="auto"/>
              <w:ind w:firstLine="0"/>
              <w:jc w:val="left"/>
            </w:pPr>
            <w:r w:rsidRPr="006B02BB">
              <w:t>Factor</w:t>
            </w:r>
          </w:p>
        </w:tc>
        <w:tc>
          <w:tcPr>
            <w:tcW w:w="757" w:type="pct"/>
            <w:tcBorders>
              <w:top w:val="single" w:sz="4" w:space="0" w:color="auto"/>
              <w:left w:val="nil"/>
              <w:bottom w:val="single" w:sz="4" w:space="0" w:color="auto"/>
              <w:right w:val="nil"/>
            </w:tcBorders>
            <w:vAlign w:val="center"/>
          </w:tcPr>
          <w:p w14:paraId="0F1A2161" w14:textId="77777777" w:rsidR="006B02BB" w:rsidRPr="006B02BB" w:rsidRDefault="006B02BB" w:rsidP="006B02BB">
            <w:pPr>
              <w:spacing w:after="160" w:line="259" w:lineRule="auto"/>
              <w:ind w:firstLine="0"/>
              <w:jc w:val="left"/>
            </w:pPr>
            <w:r w:rsidRPr="006B02BB">
              <w:t>Low</w:t>
            </w:r>
          </w:p>
        </w:tc>
        <w:tc>
          <w:tcPr>
            <w:tcW w:w="734" w:type="pct"/>
            <w:tcBorders>
              <w:top w:val="single" w:sz="4" w:space="0" w:color="auto"/>
              <w:left w:val="nil"/>
              <w:bottom w:val="single" w:sz="4" w:space="0" w:color="auto"/>
              <w:right w:val="nil"/>
            </w:tcBorders>
            <w:vAlign w:val="center"/>
          </w:tcPr>
          <w:p w14:paraId="787F4F24" w14:textId="77777777" w:rsidR="006B02BB" w:rsidRPr="006B02BB" w:rsidRDefault="006B02BB" w:rsidP="006B02BB">
            <w:pPr>
              <w:spacing w:after="160" w:line="259" w:lineRule="auto"/>
              <w:ind w:firstLine="0"/>
              <w:jc w:val="left"/>
            </w:pPr>
            <w:r w:rsidRPr="006B02BB">
              <w:t>Center</w:t>
            </w:r>
          </w:p>
        </w:tc>
        <w:tc>
          <w:tcPr>
            <w:tcW w:w="1385" w:type="pct"/>
            <w:tcBorders>
              <w:top w:val="single" w:sz="4" w:space="0" w:color="auto"/>
              <w:left w:val="nil"/>
              <w:bottom w:val="single" w:sz="4" w:space="0" w:color="auto"/>
              <w:right w:val="nil"/>
            </w:tcBorders>
            <w:vAlign w:val="center"/>
          </w:tcPr>
          <w:p w14:paraId="470C0E2A" w14:textId="77777777" w:rsidR="006B02BB" w:rsidRPr="006B02BB" w:rsidRDefault="006B02BB" w:rsidP="006B02BB">
            <w:pPr>
              <w:spacing w:after="160" w:line="259" w:lineRule="auto"/>
              <w:ind w:firstLine="0"/>
              <w:jc w:val="left"/>
            </w:pPr>
            <w:r w:rsidRPr="006B02BB">
              <w:t>High</w:t>
            </w:r>
          </w:p>
        </w:tc>
      </w:tr>
      <w:tr w:rsidR="006B02BB" w:rsidRPr="006B02BB" w14:paraId="7378FC50" w14:textId="77777777" w:rsidTr="006B02BB">
        <w:trPr>
          <w:trHeight w:val="288"/>
          <w:jc w:val="center"/>
        </w:trPr>
        <w:tc>
          <w:tcPr>
            <w:tcW w:w="2124" w:type="pct"/>
            <w:tcBorders>
              <w:top w:val="single" w:sz="4" w:space="0" w:color="auto"/>
              <w:left w:val="nil"/>
              <w:bottom w:val="nil"/>
              <w:right w:val="nil"/>
            </w:tcBorders>
            <w:vAlign w:val="center"/>
          </w:tcPr>
          <w:p w14:paraId="6AD6EE2A" w14:textId="77777777" w:rsidR="006B02BB" w:rsidRPr="006B02BB" w:rsidRDefault="006B02BB" w:rsidP="006B02BB">
            <w:pPr>
              <w:spacing w:after="160" w:line="259" w:lineRule="auto"/>
              <w:ind w:firstLine="0"/>
              <w:jc w:val="left"/>
            </w:pPr>
            <w:r w:rsidRPr="006B02BB">
              <w:t>Market Pulp Fiber Content (wt.%)</w:t>
            </w:r>
          </w:p>
        </w:tc>
        <w:tc>
          <w:tcPr>
            <w:tcW w:w="757" w:type="pct"/>
            <w:tcBorders>
              <w:top w:val="single" w:sz="4" w:space="0" w:color="auto"/>
              <w:left w:val="nil"/>
              <w:bottom w:val="nil"/>
              <w:right w:val="nil"/>
            </w:tcBorders>
            <w:vAlign w:val="center"/>
          </w:tcPr>
          <w:p w14:paraId="527BA9A2" w14:textId="77777777" w:rsidR="006B02BB" w:rsidRPr="006B02BB" w:rsidRDefault="006B02BB" w:rsidP="006B02BB">
            <w:pPr>
              <w:spacing w:after="160" w:line="259" w:lineRule="auto"/>
              <w:ind w:firstLine="0"/>
              <w:jc w:val="left"/>
            </w:pPr>
            <w:r w:rsidRPr="006B02BB">
              <w:t>45</w:t>
            </w:r>
          </w:p>
        </w:tc>
        <w:tc>
          <w:tcPr>
            <w:tcW w:w="734" w:type="pct"/>
            <w:tcBorders>
              <w:top w:val="single" w:sz="4" w:space="0" w:color="auto"/>
              <w:left w:val="nil"/>
              <w:bottom w:val="nil"/>
              <w:right w:val="nil"/>
            </w:tcBorders>
            <w:vAlign w:val="center"/>
          </w:tcPr>
          <w:p w14:paraId="6D2786BD" w14:textId="77777777" w:rsidR="006B02BB" w:rsidRPr="006B02BB" w:rsidRDefault="006B02BB" w:rsidP="006B02BB">
            <w:pPr>
              <w:spacing w:after="160" w:line="259" w:lineRule="auto"/>
              <w:ind w:firstLine="0"/>
              <w:jc w:val="left"/>
            </w:pPr>
            <w:r w:rsidRPr="006B02BB">
              <w:t>58</w:t>
            </w:r>
          </w:p>
        </w:tc>
        <w:tc>
          <w:tcPr>
            <w:tcW w:w="1385" w:type="pct"/>
            <w:tcBorders>
              <w:top w:val="single" w:sz="4" w:space="0" w:color="auto"/>
              <w:left w:val="nil"/>
              <w:bottom w:val="nil"/>
              <w:right w:val="nil"/>
            </w:tcBorders>
            <w:vAlign w:val="center"/>
          </w:tcPr>
          <w:p w14:paraId="2068E72A" w14:textId="77777777" w:rsidR="006B02BB" w:rsidRPr="006B02BB" w:rsidRDefault="006B02BB" w:rsidP="006B02BB">
            <w:pPr>
              <w:spacing w:after="160" w:line="259" w:lineRule="auto"/>
              <w:ind w:firstLine="0"/>
              <w:jc w:val="left"/>
            </w:pPr>
            <w:r w:rsidRPr="006B02BB">
              <w:t>70</w:t>
            </w:r>
          </w:p>
        </w:tc>
      </w:tr>
      <w:tr w:rsidR="006B02BB" w:rsidRPr="006B02BB" w14:paraId="5363D941" w14:textId="77777777" w:rsidTr="006B02BB">
        <w:trPr>
          <w:trHeight w:val="288"/>
          <w:jc w:val="center"/>
        </w:trPr>
        <w:tc>
          <w:tcPr>
            <w:tcW w:w="2124" w:type="pct"/>
            <w:tcBorders>
              <w:top w:val="nil"/>
              <w:left w:val="nil"/>
              <w:bottom w:val="nil"/>
              <w:right w:val="nil"/>
            </w:tcBorders>
            <w:vAlign w:val="center"/>
          </w:tcPr>
          <w:p w14:paraId="037482E6" w14:textId="77777777" w:rsidR="006B02BB" w:rsidRPr="006B02BB" w:rsidRDefault="006B02BB" w:rsidP="006B02BB">
            <w:pPr>
              <w:spacing w:after="160" w:line="259" w:lineRule="auto"/>
              <w:ind w:firstLine="0"/>
              <w:jc w:val="left"/>
            </w:pPr>
            <w:r w:rsidRPr="006B02BB">
              <w:t>Temperature (°C)</w:t>
            </w:r>
          </w:p>
        </w:tc>
        <w:tc>
          <w:tcPr>
            <w:tcW w:w="757" w:type="pct"/>
            <w:tcBorders>
              <w:top w:val="nil"/>
              <w:left w:val="nil"/>
              <w:bottom w:val="nil"/>
              <w:right w:val="nil"/>
            </w:tcBorders>
            <w:vAlign w:val="center"/>
          </w:tcPr>
          <w:p w14:paraId="27CE7285" w14:textId="77777777" w:rsidR="006B02BB" w:rsidRPr="006B02BB" w:rsidRDefault="006B02BB" w:rsidP="006B02BB">
            <w:pPr>
              <w:spacing w:after="160" w:line="259" w:lineRule="auto"/>
              <w:ind w:firstLine="0"/>
              <w:jc w:val="left"/>
            </w:pPr>
            <w:r w:rsidRPr="006B02BB">
              <w:t>185</w:t>
            </w:r>
          </w:p>
        </w:tc>
        <w:tc>
          <w:tcPr>
            <w:tcW w:w="734" w:type="pct"/>
            <w:tcBorders>
              <w:top w:val="nil"/>
              <w:left w:val="nil"/>
              <w:bottom w:val="nil"/>
              <w:right w:val="nil"/>
            </w:tcBorders>
            <w:vAlign w:val="center"/>
          </w:tcPr>
          <w:p w14:paraId="360C1E4D" w14:textId="77777777" w:rsidR="006B02BB" w:rsidRPr="006B02BB" w:rsidRDefault="006B02BB" w:rsidP="006B02BB">
            <w:pPr>
              <w:spacing w:after="160" w:line="259" w:lineRule="auto"/>
              <w:ind w:firstLine="0"/>
              <w:jc w:val="left"/>
            </w:pPr>
            <w:r w:rsidRPr="006B02BB">
              <w:t>190</w:t>
            </w:r>
          </w:p>
        </w:tc>
        <w:tc>
          <w:tcPr>
            <w:tcW w:w="1385" w:type="pct"/>
            <w:tcBorders>
              <w:top w:val="nil"/>
              <w:left w:val="nil"/>
              <w:bottom w:val="nil"/>
              <w:right w:val="nil"/>
            </w:tcBorders>
            <w:vAlign w:val="center"/>
          </w:tcPr>
          <w:p w14:paraId="09F33C7A" w14:textId="77777777" w:rsidR="006B02BB" w:rsidRPr="006B02BB" w:rsidRDefault="006B02BB" w:rsidP="006B02BB">
            <w:pPr>
              <w:spacing w:after="160" w:line="259" w:lineRule="auto"/>
              <w:ind w:firstLine="0"/>
              <w:jc w:val="left"/>
            </w:pPr>
            <w:r w:rsidRPr="006B02BB">
              <w:t>195</w:t>
            </w:r>
          </w:p>
        </w:tc>
      </w:tr>
      <w:tr w:rsidR="006B02BB" w:rsidRPr="006B02BB" w14:paraId="5530A210" w14:textId="77777777" w:rsidTr="006B02BB">
        <w:trPr>
          <w:trHeight w:val="288"/>
          <w:jc w:val="center"/>
        </w:trPr>
        <w:tc>
          <w:tcPr>
            <w:tcW w:w="2124" w:type="pct"/>
            <w:tcBorders>
              <w:top w:val="nil"/>
              <w:left w:val="nil"/>
              <w:bottom w:val="nil"/>
              <w:right w:val="nil"/>
            </w:tcBorders>
            <w:vAlign w:val="center"/>
          </w:tcPr>
          <w:p w14:paraId="389270A6" w14:textId="77777777" w:rsidR="006B02BB" w:rsidRPr="006B02BB" w:rsidRDefault="006B02BB" w:rsidP="006B02BB">
            <w:pPr>
              <w:spacing w:after="160" w:line="259" w:lineRule="auto"/>
              <w:ind w:firstLine="0"/>
              <w:jc w:val="left"/>
            </w:pPr>
            <w:r w:rsidRPr="006B02BB">
              <w:t>Pressure (MPa)</w:t>
            </w:r>
          </w:p>
        </w:tc>
        <w:tc>
          <w:tcPr>
            <w:tcW w:w="757" w:type="pct"/>
            <w:tcBorders>
              <w:top w:val="nil"/>
              <w:left w:val="nil"/>
              <w:bottom w:val="nil"/>
              <w:right w:val="nil"/>
            </w:tcBorders>
            <w:vAlign w:val="center"/>
          </w:tcPr>
          <w:p w14:paraId="64F86891" w14:textId="77777777" w:rsidR="006B02BB" w:rsidRPr="006B02BB" w:rsidRDefault="006B02BB" w:rsidP="006B02BB">
            <w:pPr>
              <w:spacing w:after="160" w:line="259" w:lineRule="auto"/>
              <w:ind w:firstLine="0"/>
              <w:jc w:val="left"/>
            </w:pPr>
            <w:r w:rsidRPr="006B02BB">
              <w:t>0.69</w:t>
            </w:r>
          </w:p>
        </w:tc>
        <w:tc>
          <w:tcPr>
            <w:tcW w:w="734" w:type="pct"/>
            <w:tcBorders>
              <w:top w:val="nil"/>
              <w:left w:val="nil"/>
              <w:bottom w:val="nil"/>
              <w:right w:val="nil"/>
            </w:tcBorders>
            <w:vAlign w:val="center"/>
          </w:tcPr>
          <w:p w14:paraId="28D081D5" w14:textId="77777777" w:rsidR="006B02BB" w:rsidRPr="006B02BB" w:rsidRDefault="006B02BB" w:rsidP="006B02BB">
            <w:pPr>
              <w:spacing w:after="160" w:line="259" w:lineRule="auto"/>
              <w:ind w:firstLine="0"/>
              <w:jc w:val="left"/>
            </w:pPr>
            <w:r w:rsidRPr="006B02BB">
              <w:t>1.38</w:t>
            </w:r>
          </w:p>
        </w:tc>
        <w:tc>
          <w:tcPr>
            <w:tcW w:w="1385" w:type="pct"/>
            <w:tcBorders>
              <w:top w:val="nil"/>
              <w:left w:val="nil"/>
              <w:bottom w:val="nil"/>
              <w:right w:val="nil"/>
            </w:tcBorders>
            <w:vAlign w:val="center"/>
          </w:tcPr>
          <w:p w14:paraId="62118538" w14:textId="77777777" w:rsidR="006B02BB" w:rsidRPr="006B02BB" w:rsidRDefault="006B02BB" w:rsidP="006B02BB">
            <w:pPr>
              <w:spacing w:after="160" w:line="259" w:lineRule="auto"/>
              <w:ind w:firstLine="0"/>
              <w:jc w:val="left"/>
            </w:pPr>
            <w:r w:rsidRPr="006B02BB">
              <w:t>2.07</w:t>
            </w:r>
          </w:p>
        </w:tc>
      </w:tr>
      <w:tr w:rsidR="006B02BB" w:rsidRPr="006B02BB" w14:paraId="6A12E3F0" w14:textId="77777777" w:rsidTr="006B02BB">
        <w:trPr>
          <w:trHeight w:val="288"/>
          <w:jc w:val="center"/>
        </w:trPr>
        <w:tc>
          <w:tcPr>
            <w:tcW w:w="2124" w:type="pct"/>
            <w:tcBorders>
              <w:top w:val="nil"/>
              <w:left w:val="nil"/>
              <w:bottom w:val="single" w:sz="4" w:space="0" w:color="auto"/>
              <w:right w:val="nil"/>
            </w:tcBorders>
            <w:vAlign w:val="center"/>
          </w:tcPr>
          <w:p w14:paraId="45C62F28" w14:textId="77777777" w:rsidR="006B02BB" w:rsidRPr="006B02BB" w:rsidRDefault="006B02BB" w:rsidP="006B02BB">
            <w:pPr>
              <w:spacing w:after="160" w:line="259" w:lineRule="auto"/>
              <w:ind w:firstLine="0"/>
              <w:jc w:val="left"/>
            </w:pPr>
            <w:r w:rsidRPr="006B02BB">
              <w:t>Molding Time (min)</w:t>
            </w:r>
          </w:p>
        </w:tc>
        <w:tc>
          <w:tcPr>
            <w:tcW w:w="757" w:type="pct"/>
            <w:tcBorders>
              <w:top w:val="nil"/>
              <w:left w:val="nil"/>
              <w:bottom w:val="single" w:sz="4" w:space="0" w:color="auto"/>
              <w:right w:val="nil"/>
            </w:tcBorders>
            <w:vAlign w:val="center"/>
          </w:tcPr>
          <w:p w14:paraId="5F0BE839" w14:textId="77777777" w:rsidR="006B02BB" w:rsidRPr="006B02BB" w:rsidRDefault="006B02BB" w:rsidP="006B02BB">
            <w:pPr>
              <w:spacing w:after="160" w:line="259" w:lineRule="auto"/>
              <w:ind w:firstLine="0"/>
              <w:jc w:val="left"/>
            </w:pPr>
            <w:r w:rsidRPr="006B02BB">
              <w:t>2</w:t>
            </w:r>
          </w:p>
        </w:tc>
        <w:tc>
          <w:tcPr>
            <w:tcW w:w="734" w:type="pct"/>
            <w:tcBorders>
              <w:top w:val="nil"/>
              <w:left w:val="nil"/>
              <w:bottom w:val="single" w:sz="4" w:space="0" w:color="auto"/>
              <w:right w:val="nil"/>
            </w:tcBorders>
            <w:vAlign w:val="center"/>
          </w:tcPr>
          <w:p w14:paraId="66D8B29D" w14:textId="77777777" w:rsidR="006B02BB" w:rsidRPr="006B02BB" w:rsidRDefault="006B02BB" w:rsidP="006B02BB">
            <w:pPr>
              <w:spacing w:after="160" w:line="259" w:lineRule="auto"/>
              <w:ind w:firstLine="0"/>
              <w:jc w:val="left"/>
            </w:pPr>
            <w:r w:rsidRPr="006B02BB">
              <w:t>5</w:t>
            </w:r>
          </w:p>
        </w:tc>
        <w:tc>
          <w:tcPr>
            <w:tcW w:w="1385" w:type="pct"/>
            <w:tcBorders>
              <w:top w:val="nil"/>
              <w:left w:val="nil"/>
              <w:bottom w:val="single" w:sz="4" w:space="0" w:color="auto"/>
              <w:right w:val="nil"/>
            </w:tcBorders>
            <w:vAlign w:val="center"/>
          </w:tcPr>
          <w:p w14:paraId="22491E0F" w14:textId="77777777" w:rsidR="006B02BB" w:rsidRPr="006B02BB" w:rsidRDefault="006B02BB" w:rsidP="006B02BB">
            <w:pPr>
              <w:spacing w:after="160" w:line="259" w:lineRule="auto"/>
              <w:ind w:firstLine="0"/>
              <w:jc w:val="left"/>
            </w:pPr>
            <w:r w:rsidRPr="006B02BB">
              <w:t>8</w:t>
            </w:r>
          </w:p>
        </w:tc>
      </w:tr>
    </w:tbl>
    <w:p w14:paraId="1BE79812" w14:textId="77777777" w:rsidR="006B02BB" w:rsidRDefault="006B02BB">
      <w:pPr>
        <w:spacing w:after="160" w:line="259" w:lineRule="auto"/>
        <w:ind w:firstLine="0"/>
        <w:jc w:val="left"/>
      </w:pPr>
    </w:p>
    <w:p w14:paraId="09A05A09" w14:textId="77777777" w:rsidR="006B02BB" w:rsidRDefault="006B02BB">
      <w:pPr>
        <w:spacing w:after="160" w:line="259" w:lineRule="auto"/>
        <w:ind w:firstLine="0"/>
        <w:jc w:val="left"/>
      </w:pPr>
      <w:r>
        <w:br w:type="page"/>
      </w:r>
    </w:p>
    <w:p w14:paraId="06299595" w14:textId="77777777" w:rsidR="006B02BB" w:rsidRDefault="006B02BB">
      <w:pPr>
        <w:spacing w:after="160" w:line="259" w:lineRule="auto"/>
        <w:ind w:firstLine="0"/>
        <w:jc w:val="left"/>
        <w:sectPr w:rsidR="006B02BB" w:rsidSect="00970B86">
          <w:pgSz w:w="12240" w:h="15840"/>
          <w:pgMar w:top="1440" w:right="1800" w:bottom="1872" w:left="1800" w:header="720" w:footer="720" w:gutter="0"/>
          <w:pgNumType w:start="1"/>
          <w:cols w:space="720"/>
          <w:docGrid w:linePitch="360"/>
        </w:sectPr>
      </w:pPr>
    </w:p>
    <w:p w14:paraId="0E62704E" w14:textId="18244279" w:rsidR="006B02BB" w:rsidRDefault="006B02BB" w:rsidP="006B02BB">
      <w:pPr>
        <w:pStyle w:val="TableHeading"/>
        <w:rPr>
          <w:b w:val="0"/>
          <w:bCs w:val="0"/>
        </w:rPr>
      </w:pPr>
      <w:r w:rsidRPr="006B02BB">
        <w:lastRenderedPageBreak/>
        <w:t>Table 2.</w:t>
      </w:r>
      <w:r>
        <w:t>3</w:t>
      </w:r>
      <w:r w:rsidRPr="006B02BB">
        <w:t xml:space="preserve"> </w:t>
      </w:r>
      <w:r w:rsidRPr="006B02BB">
        <w:rPr>
          <w:b w:val="0"/>
          <w:bCs w:val="0"/>
        </w:rPr>
        <w:t>Full central composite designed experiment and associated experimental data for each of the studied properties. Standard error was calculated using pooled variance and is reported for each data set is reported.</w:t>
      </w:r>
    </w:p>
    <w:tbl>
      <w:tblPr>
        <w:tblStyle w:val="TableGrid1"/>
        <w:tblW w:w="14837" w:type="dxa"/>
        <w:jc w:val="center"/>
        <w:tblLayout w:type="fixed"/>
        <w:tblLook w:val="04A0" w:firstRow="1" w:lastRow="0" w:firstColumn="1" w:lastColumn="0" w:noHBand="0" w:noVBand="1"/>
      </w:tblPr>
      <w:tblGrid>
        <w:gridCol w:w="715"/>
        <w:gridCol w:w="810"/>
        <w:gridCol w:w="720"/>
        <w:gridCol w:w="900"/>
        <w:gridCol w:w="1260"/>
        <w:gridCol w:w="900"/>
        <w:gridCol w:w="720"/>
        <w:gridCol w:w="1350"/>
        <w:gridCol w:w="1350"/>
        <w:gridCol w:w="1350"/>
        <w:gridCol w:w="1710"/>
        <w:gridCol w:w="1440"/>
        <w:gridCol w:w="1612"/>
      </w:tblGrid>
      <w:tr w:rsidR="006B02BB" w:rsidRPr="006B02BB" w14:paraId="1D4CEBA6" w14:textId="77777777" w:rsidTr="006B02BB">
        <w:trPr>
          <w:trHeight w:val="288"/>
          <w:jc w:val="center"/>
        </w:trPr>
        <w:tc>
          <w:tcPr>
            <w:tcW w:w="2245" w:type="dxa"/>
            <w:gridSpan w:val="3"/>
            <w:tcBorders>
              <w:top w:val="single" w:sz="4" w:space="0" w:color="auto"/>
              <w:bottom w:val="single" w:sz="4" w:space="0" w:color="auto"/>
              <w:right w:val="dashSmallGap" w:sz="4" w:space="0" w:color="auto"/>
            </w:tcBorders>
            <w:vAlign w:val="center"/>
          </w:tcPr>
          <w:p w14:paraId="6A243E6F" w14:textId="77777777" w:rsidR="006B02BB" w:rsidRPr="006B02BB" w:rsidDel="00DB3715" w:rsidRDefault="006B02BB" w:rsidP="006B02BB">
            <w:pPr>
              <w:spacing w:line="240" w:lineRule="auto"/>
              <w:ind w:firstLine="0"/>
              <w:jc w:val="center"/>
              <w:rPr>
                <w:rFonts w:eastAsia="Calibri"/>
                <w:sz w:val="20"/>
                <w:szCs w:val="20"/>
              </w:rPr>
            </w:pPr>
            <w:r w:rsidRPr="006B02BB">
              <w:rPr>
                <w:rFonts w:eastAsia="Calibri"/>
                <w:b/>
                <w:bCs/>
                <w:sz w:val="20"/>
                <w:szCs w:val="20"/>
              </w:rPr>
              <w:t>Panel Identification</w:t>
            </w:r>
          </w:p>
        </w:tc>
        <w:tc>
          <w:tcPr>
            <w:tcW w:w="3780" w:type="dxa"/>
            <w:gridSpan w:val="4"/>
            <w:tcBorders>
              <w:top w:val="single" w:sz="4" w:space="0" w:color="auto"/>
              <w:left w:val="dashSmallGap" w:sz="4" w:space="0" w:color="auto"/>
              <w:right w:val="dashSmallGap" w:sz="4" w:space="0" w:color="auto"/>
            </w:tcBorders>
            <w:noWrap/>
            <w:vAlign w:val="center"/>
          </w:tcPr>
          <w:p w14:paraId="0B7C1F17" w14:textId="77777777" w:rsidR="006B02BB" w:rsidRPr="006B02BB" w:rsidRDefault="006B02BB" w:rsidP="006B02BB">
            <w:pPr>
              <w:spacing w:line="240" w:lineRule="auto"/>
              <w:ind w:firstLine="0"/>
              <w:jc w:val="center"/>
              <w:rPr>
                <w:rFonts w:eastAsia="Calibri"/>
                <w:sz w:val="20"/>
                <w:szCs w:val="20"/>
              </w:rPr>
            </w:pPr>
            <w:r w:rsidRPr="006B02BB">
              <w:rPr>
                <w:rFonts w:eastAsia="Calibri"/>
                <w:b/>
                <w:bCs/>
                <w:sz w:val="20"/>
                <w:szCs w:val="20"/>
              </w:rPr>
              <w:t>Processing Parameters</w:t>
            </w:r>
          </w:p>
        </w:tc>
        <w:tc>
          <w:tcPr>
            <w:tcW w:w="8812" w:type="dxa"/>
            <w:gridSpan w:val="6"/>
            <w:tcBorders>
              <w:top w:val="single" w:sz="4" w:space="0" w:color="auto"/>
              <w:left w:val="dashSmallGap" w:sz="4" w:space="0" w:color="auto"/>
              <w:bottom w:val="single" w:sz="4" w:space="0" w:color="auto"/>
            </w:tcBorders>
          </w:tcPr>
          <w:p w14:paraId="33C16503" w14:textId="77777777" w:rsidR="006B02BB" w:rsidRPr="006B02BB" w:rsidRDefault="006B02BB" w:rsidP="006B02BB">
            <w:pPr>
              <w:spacing w:line="240" w:lineRule="auto"/>
              <w:ind w:firstLine="0"/>
              <w:jc w:val="center"/>
              <w:rPr>
                <w:rFonts w:eastAsia="Calibri"/>
                <w:sz w:val="20"/>
                <w:szCs w:val="20"/>
              </w:rPr>
            </w:pPr>
            <w:r w:rsidRPr="006B02BB">
              <w:rPr>
                <w:rFonts w:eastAsia="Calibri"/>
                <w:b/>
                <w:bCs/>
                <w:sz w:val="20"/>
                <w:szCs w:val="20"/>
              </w:rPr>
              <w:t>Experimental Results</w:t>
            </w:r>
          </w:p>
        </w:tc>
      </w:tr>
      <w:tr w:rsidR="006B02BB" w:rsidRPr="006B02BB" w14:paraId="22CD20F7" w14:textId="77777777" w:rsidTr="006B02BB">
        <w:trPr>
          <w:trHeight w:val="288"/>
          <w:jc w:val="center"/>
        </w:trPr>
        <w:tc>
          <w:tcPr>
            <w:tcW w:w="715" w:type="dxa"/>
            <w:vMerge w:val="restart"/>
            <w:tcBorders>
              <w:top w:val="single" w:sz="4" w:space="0" w:color="auto"/>
            </w:tcBorders>
            <w:vAlign w:val="center"/>
          </w:tcPr>
          <w:p w14:paraId="2AF904B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Serial No.</w:t>
            </w:r>
          </w:p>
        </w:tc>
        <w:tc>
          <w:tcPr>
            <w:tcW w:w="810" w:type="dxa"/>
            <w:vMerge w:val="restart"/>
            <w:tcBorders>
              <w:top w:val="single" w:sz="4" w:space="0" w:color="auto"/>
            </w:tcBorders>
            <w:vAlign w:val="center"/>
          </w:tcPr>
          <w:p w14:paraId="2E35B56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DOE Pattern</w:t>
            </w:r>
          </w:p>
        </w:tc>
        <w:tc>
          <w:tcPr>
            <w:tcW w:w="720" w:type="dxa"/>
            <w:vMerge w:val="restart"/>
            <w:tcBorders>
              <w:top w:val="single" w:sz="4" w:space="0" w:color="auto"/>
              <w:right w:val="dashSmallGap" w:sz="4" w:space="0" w:color="auto"/>
            </w:tcBorders>
            <w:vAlign w:val="center"/>
          </w:tcPr>
          <w:p w14:paraId="5D7DAFC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Run No.</w:t>
            </w:r>
          </w:p>
        </w:tc>
        <w:tc>
          <w:tcPr>
            <w:tcW w:w="900" w:type="dxa"/>
            <w:tcBorders>
              <w:top w:val="single" w:sz="4" w:space="0" w:color="auto"/>
              <w:left w:val="dashSmallGap" w:sz="4" w:space="0" w:color="auto"/>
            </w:tcBorders>
            <w:noWrap/>
            <w:vAlign w:val="center"/>
            <w:hideMark/>
          </w:tcPr>
          <w:p w14:paraId="39CD19F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Fiber Content</w:t>
            </w:r>
          </w:p>
        </w:tc>
        <w:tc>
          <w:tcPr>
            <w:tcW w:w="1260" w:type="dxa"/>
            <w:tcBorders>
              <w:top w:val="single" w:sz="4" w:space="0" w:color="auto"/>
            </w:tcBorders>
            <w:noWrap/>
            <w:vAlign w:val="center"/>
            <w:hideMark/>
          </w:tcPr>
          <w:p w14:paraId="0C6A0D2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Temperature</w:t>
            </w:r>
          </w:p>
        </w:tc>
        <w:tc>
          <w:tcPr>
            <w:tcW w:w="900" w:type="dxa"/>
            <w:tcBorders>
              <w:top w:val="single" w:sz="4" w:space="0" w:color="auto"/>
            </w:tcBorders>
            <w:noWrap/>
            <w:vAlign w:val="center"/>
            <w:hideMark/>
          </w:tcPr>
          <w:p w14:paraId="5B880EC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Pressure</w:t>
            </w:r>
          </w:p>
        </w:tc>
        <w:tc>
          <w:tcPr>
            <w:tcW w:w="720" w:type="dxa"/>
            <w:tcBorders>
              <w:top w:val="single" w:sz="4" w:space="0" w:color="auto"/>
              <w:right w:val="dashSmallGap" w:sz="4" w:space="0" w:color="auto"/>
            </w:tcBorders>
            <w:noWrap/>
            <w:vAlign w:val="center"/>
            <w:hideMark/>
          </w:tcPr>
          <w:p w14:paraId="0DACA2B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Time</w:t>
            </w:r>
          </w:p>
        </w:tc>
        <w:tc>
          <w:tcPr>
            <w:tcW w:w="1350" w:type="dxa"/>
            <w:tcBorders>
              <w:top w:val="single" w:sz="4" w:space="0" w:color="auto"/>
            </w:tcBorders>
            <w:vAlign w:val="center"/>
          </w:tcPr>
          <w:p w14:paraId="32EA406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Panel </w:t>
            </w:r>
            <w:commentRangeStart w:id="35"/>
            <w:r w:rsidRPr="006B02BB">
              <w:rPr>
                <w:rFonts w:eastAsia="Calibri"/>
                <w:sz w:val="20"/>
                <w:szCs w:val="20"/>
              </w:rPr>
              <w:t>Thickness</w:t>
            </w:r>
            <w:commentRangeEnd w:id="35"/>
            <w:r w:rsidRPr="006B02BB">
              <w:rPr>
                <w:rFonts w:eastAsia="Calibri"/>
                <w:sz w:val="16"/>
                <w:szCs w:val="16"/>
              </w:rPr>
              <w:commentReference w:id="35"/>
            </w:r>
            <w:r w:rsidRPr="006B02BB">
              <w:rPr>
                <w:rFonts w:eastAsia="Calibri"/>
                <w:sz w:val="20"/>
                <w:szCs w:val="20"/>
              </w:rPr>
              <w:t xml:space="preserve"> (SE = </w:t>
            </w:r>
            <w:r w:rsidRPr="006B02BB">
              <w:rPr>
                <w:rFonts w:ascii="Calibri" w:eastAsia="Calibri" w:hAnsi="Calibri" w:cs="Calibri"/>
                <w:sz w:val="20"/>
                <w:szCs w:val="20"/>
              </w:rPr>
              <w:t>±</w:t>
            </w:r>
            <w:r w:rsidRPr="006B02BB">
              <w:rPr>
                <w:rFonts w:eastAsia="Calibri"/>
                <w:sz w:val="20"/>
                <w:szCs w:val="20"/>
              </w:rPr>
              <w:t xml:space="preserve">0.024, </w:t>
            </w:r>
            <w:r w:rsidRPr="006B02BB">
              <w:rPr>
                <w:rFonts w:eastAsia="Calibri"/>
                <w:sz w:val="20"/>
                <w:szCs w:val="20"/>
              </w:rPr>
              <w:br/>
              <w:t>n = 6)</w:t>
            </w:r>
          </w:p>
        </w:tc>
        <w:tc>
          <w:tcPr>
            <w:tcW w:w="1350" w:type="dxa"/>
            <w:tcBorders>
              <w:top w:val="single" w:sz="4" w:space="0" w:color="auto"/>
            </w:tcBorders>
            <w:vAlign w:val="center"/>
          </w:tcPr>
          <w:p w14:paraId="5FB6BDE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Water Uptake</w:t>
            </w:r>
          </w:p>
          <w:p w14:paraId="009F85F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(SE = </w:t>
            </w:r>
            <w:r w:rsidRPr="006B02BB">
              <w:rPr>
                <w:rFonts w:ascii="Calibri" w:eastAsia="Calibri" w:hAnsi="Calibri" w:cs="Calibri"/>
                <w:sz w:val="20"/>
                <w:szCs w:val="20"/>
              </w:rPr>
              <w:t>±</w:t>
            </w:r>
            <w:r w:rsidRPr="006B02BB">
              <w:rPr>
                <w:rFonts w:eastAsia="Calibri"/>
                <w:sz w:val="20"/>
                <w:szCs w:val="20"/>
              </w:rPr>
              <w:t xml:space="preserve"> 2.9, </w:t>
            </w:r>
            <w:r w:rsidRPr="006B02BB">
              <w:rPr>
                <w:rFonts w:eastAsia="Calibri"/>
                <w:sz w:val="20"/>
                <w:szCs w:val="20"/>
              </w:rPr>
              <w:br/>
              <w:t>n = 3)</w:t>
            </w:r>
          </w:p>
        </w:tc>
        <w:tc>
          <w:tcPr>
            <w:tcW w:w="1350" w:type="dxa"/>
            <w:tcBorders>
              <w:top w:val="single" w:sz="4" w:space="0" w:color="auto"/>
            </w:tcBorders>
            <w:vAlign w:val="center"/>
          </w:tcPr>
          <w:p w14:paraId="02E2CF5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Density</w:t>
            </w:r>
          </w:p>
          <w:p w14:paraId="5238ED1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(SE = </w:t>
            </w:r>
            <w:r w:rsidRPr="006B02BB">
              <w:rPr>
                <w:rFonts w:ascii="Calibri" w:eastAsia="Calibri" w:hAnsi="Calibri" w:cs="Calibri"/>
                <w:sz w:val="20"/>
                <w:szCs w:val="20"/>
              </w:rPr>
              <w:t>±</w:t>
            </w:r>
            <w:r w:rsidRPr="006B02BB">
              <w:rPr>
                <w:rFonts w:eastAsia="Calibri"/>
                <w:sz w:val="20"/>
                <w:szCs w:val="20"/>
              </w:rPr>
              <w:t>0.020, n = 11)</w:t>
            </w:r>
          </w:p>
        </w:tc>
        <w:tc>
          <w:tcPr>
            <w:tcW w:w="1710" w:type="dxa"/>
            <w:tcBorders>
              <w:top w:val="single" w:sz="4" w:space="0" w:color="auto"/>
            </w:tcBorders>
            <w:vAlign w:val="center"/>
          </w:tcPr>
          <w:p w14:paraId="6CEC37F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Flexural Modulus</w:t>
            </w:r>
            <w:r w:rsidRPr="006B02BB">
              <w:rPr>
                <w:rFonts w:eastAsia="Calibri"/>
                <w:sz w:val="20"/>
                <w:szCs w:val="20"/>
              </w:rPr>
              <w:br/>
              <w:t xml:space="preserve">(SE = </w:t>
            </w:r>
            <w:r w:rsidRPr="006B02BB">
              <w:rPr>
                <w:rFonts w:ascii="Calibri" w:eastAsia="Calibri" w:hAnsi="Calibri" w:cs="Calibri"/>
                <w:sz w:val="20"/>
                <w:szCs w:val="20"/>
              </w:rPr>
              <w:t>±</w:t>
            </w:r>
            <w:r w:rsidRPr="006B02BB">
              <w:rPr>
                <w:rFonts w:eastAsia="Calibri"/>
                <w:sz w:val="20"/>
                <w:szCs w:val="20"/>
              </w:rPr>
              <w:t xml:space="preserve">150, </w:t>
            </w:r>
            <w:r w:rsidRPr="006B02BB">
              <w:rPr>
                <w:rFonts w:eastAsia="Calibri"/>
                <w:sz w:val="20"/>
                <w:szCs w:val="20"/>
              </w:rPr>
              <w:br/>
              <w:t>n = 5)</w:t>
            </w:r>
          </w:p>
        </w:tc>
        <w:tc>
          <w:tcPr>
            <w:tcW w:w="1440" w:type="dxa"/>
            <w:tcBorders>
              <w:top w:val="single" w:sz="4" w:space="0" w:color="auto"/>
            </w:tcBorders>
            <w:vAlign w:val="center"/>
          </w:tcPr>
          <w:p w14:paraId="3D2C27E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Flexural Yield Strength</w:t>
            </w:r>
            <w:r w:rsidRPr="006B02BB">
              <w:rPr>
                <w:rFonts w:eastAsia="Calibri"/>
                <w:sz w:val="20"/>
                <w:szCs w:val="20"/>
              </w:rPr>
              <w:br/>
              <w:t xml:space="preserve">(SE = </w:t>
            </w:r>
            <w:r w:rsidRPr="006B02BB">
              <w:rPr>
                <w:rFonts w:ascii="Calibri" w:eastAsia="Calibri" w:hAnsi="Calibri" w:cs="Calibri"/>
                <w:sz w:val="20"/>
                <w:szCs w:val="20"/>
              </w:rPr>
              <w:t>±</w:t>
            </w:r>
            <w:r w:rsidRPr="006B02BB">
              <w:rPr>
                <w:rFonts w:eastAsia="Calibri"/>
                <w:sz w:val="20"/>
                <w:szCs w:val="20"/>
              </w:rPr>
              <w:t xml:space="preserve">1.1, </w:t>
            </w:r>
            <w:r w:rsidRPr="006B02BB">
              <w:rPr>
                <w:rFonts w:eastAsia="Calibri"/>
                <w:sz w:val="20"/>
                <w:szCs w:val="20"/>
              </w:rPr>
              <w:br/>
              <w:t>n = 5)</w:t>
            </w:r>
          </w:p>
        </w:tc>
        <w:tc>
          <w:tcPr>
            <w:tcW w:w="1612" w:type="dxa"/>
            <w:tcBorders>
              <w:top w:val="single" w:sz="4" w:space="0" w:color="auto"/>
            </w:tcBorders>
            <w:vAlign w:val="center"/>
          </w:tcPr>
          <w:p w14:paraId="620441E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Izod Impact Strength</w:t>
            </w:r>
          </w:p>
          <w:p w14:paraId="58612B7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(SE = </w:t>
            </w:r>
            <w:r w:rsidRPr="006B02BB">
              <w:rPr>
                <w:rFonts w:ascii="Calibri" w:eastAsia="Calibri" w:hAnsi="Calibri" w:cs="Calibri"/>
                <w:sz w:val="20"/>
                <w:szCs w:val="20"/>
              </w:rPr>
              <w:t>±</w:t>
            </w:r>
            <w:r w:rsidRPr="006B02BB">
              <w:rPr>
                <w:rFonts w:eastAsia="Calibri"/>
                <w:sz w:val="20"/>
                <w:szCs w:val="20"/>
              </w:rPr>
              <w:t xml:space="preserve">0.3, </w:t>
            </w:r>
            <w:r w:rsidRPr="006B02BB">
              <w:rPr>
                <w:rFonts w:eastAsia="Calibri"/>
                <w:sz w:val="20"/>
                <w:szCs w:val="20"/>
              </w:rPr>
              <w:br/>
              <w:t>n = 6)</w:t>
            </w:r>
          </w:p>
        </w:tc>
      </w:tr>
      <w:tr w:rsidR="006B02BB" w:rsidRPr="006B02BB" w14:paraId="7C1FB224" w14:textId="77777777" w:rsidTr="006B02BB">
        <w:trPr>
          <w:trHeight w:val="288"/>
          <w:jc w:val="center"/>
        </w:trPr>
        <w:tc>
          <w:tcPr>
            <w:tcW w:w="715" w:type="dxa"/>
            <w:vMerge/>
            <w:tcBorders>
              <w:bottom w:val="single" w:sz="4" w:space="0" w:color="auto"/>
            </w:tcBorders>
            <w:vAlign w:val="center"/>
          </w:tcPr>
          <w:p w14:paraId="32766811" w14:textId="77777777" w:rsidR="006B02BB" w:rsidRPr="006B02BB" w:rsidRDefault="006B02BB" w:rsidP="006B02BB">
            <w:pPr>
              <w:spacing w:line="240" w:lineRule="auto"/>
              <w:ind w:firstLine="0"/>
              <w:jc w:val="center"/>
              <w:rPr>
                <w:rFonts w:eastAsia="Calibri"/>
                <w:sz w:val="20"/>
                <w:szCs w:val="20"/>
              </w:rPr>
            </w:pPr>
          </w:p>
        </w:tc>
        <w:tc>
          <w:tcPr>
            <w:tcW w:w="810" w:type="dxa"/>
            <w:vMerge/>
            <w:tcBorders>
              <w:bottom w:val="single" w:sz="4" w:space="0" w:color="auto"/>
            </w:tcBorders>
            <w:vAlign w:val="center"/>
          </w:tcPr>
          <w:p w14:paraId="038320D5" w14:textId="77777777" w:rsidR="006B02BB" w:rsidRPr="006B02BB" w:rsidRDefault="006B02BB" w:rsidP="006B02BB">
            <w:pPr>
              <w:spacing w:line="240" w:lineRule="auto"/>
              <w:ind w:firstLine="0"/>
              <w:jc w:val="center"/>
              <w:rPr>
                <w:rFonts w:eastAsia="Calibri"/>
                <w:sz w:val="20"/>
                <w:szCs w:val="20"/>
              </w:rPr>
            </w:pPr>
          </w:p>
        </w:tc>
        <w:tc>
          <w:tcPr>
            <w:tcW w:w="720" w:type="dxa"/>
            <w:vMerge/>
            <w:tcBorders>
              <w:bottom w:val="single" w:sz="4" w:space="0" w:color="auto"/>
              <w:right w:val="dashSmallGap" w:sz="4" w:space="0" w:color="auto"/>
            </w:tcBorders>
            <w:vAlign w:val="center"/>
          </w:tcPr>
          <w:p w14:paraId="588F37E3" w14:textId="77777777" w:rsidR="006B02BB" w:rsidRPr="006B02BB" w:rsidRDefault="006B02BB" w:rsidP="006B02BB">
            <w:pPr>
              <w:spacing w:line="240" w:lineRule="auto"/>
              <w:ind w:firstLine="0"/>
              <w:jc w:val="center"/>
              <w:rPr>
                <w:rFonts w:eastAsia="Calibri"/>
                <w:i/>
                <w:iCs/>
                <w:sz w:val="20"/>
                <w:szCs w:val="20"/>
              </w:rPr>
            </w:pPr>
          </w:p>
        </w:tc>
        <w:tc>
          <w:tcPr>
            <w:tcW w:w="900" w:type="dxa"/>
            <w:tcBorders>
              <w:left w:val="dashSmallGap" w:sz="4" w:space="0" w:color="auto"/>
              <w:bottom w:val="single" w:sz="4" w:space="0" w:color="auto"/>
            </w:tcBorders>
            <w:noWrap/>
            <w:vAlign w:val="center"/>
          </w:tcPr>
          <w:p w14:paraId="095FD543"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w:t>
            </w:r>
            <w:proofErr w:type="spellStart"/>
            <w:r w:rsidRPr="006B02BB">
              <w:rPr>
                <w:rFonts w:eastAsia="Calibri"/>
                <w:i/>
                <w:iCs/>
                <w:sz w:val="20"/>
                <w:szCs w:val="20"/>
              </w:rPr>
              <w:t>wt</w:t>
            </w:r>
            <w:proofErr w:type="spellEnd"/>
            <w:r w:rsidRPr="006B02BB">
              <w:rPr>
                <w:rFonts w:eastAsia="Calibri"/>
                <w:i/>
                <w:iCs/>
                <w:sz w:val="20"/>
                <w:szCs w:val="20"/>
              </w:rPr>
              <w:t>%)</w:t>
            </w:r>
          </w:p>
        </w:tc>
        <w:tc>
          <w:tcPr>
            <w:tcW w:w="1260" w:type="dxa"/>
            <w:tcBorders>
              <w:bottom w:val="single" w:sz="4" w:space="0" w:color="auto"/>
            </w:tcBorders>
            <w:noWrap/>
            <w:vAlign w:val="center"/>
          </w:tcPr>
          <w:p w14:paraId="3C851DFE"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(°C)</w:t>
            </w:r>
          </w:p>
        </w:tc>
        <w:tc>
          <w:tcPr>
            <w:tcW w:w="900" w:type="dxa"/>
            <w:tcBorders>
              <w:bottom w:val="single" w:sz="4" w:space="0" w:color="auto"/>
            </w:tcBorders>
            <w:noWrap/>
            <w:vAlign w:val="center"/>
          </w:tcPr>
          <w:p w14:paraId="59DC6B05"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(MPa)</w:t>
            </w:r>
          </w:p>
        </w:tc>
        <w:tc>
          <w:tcPr>
            <w:tcW w:w="720" w:type="dxa"/>
            <w:tcBorders>
              <w:bottom w:val="single" w:sz="4" w:space="0" w:color="auto"/>
              <w:right w:val="dashSmallGap" w:sz="4" w:space="0" w:color="auto"/>
            </w:tcBorders>
            <w:noWrap/>
            <w:vAlign w:val="center"/>
          </w:tcPr>
          <w:p w14:paraId="78027F2C"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(min)</w:t>
            </w:r>
          </w:p>
        </w:tc>
        <w:tc>
          <w:tcPr>
            <w:tcW w:w="1350" w:type="dxa"/>
            <w:tcBorders>
              <w:bottom w:val="single" w:sz="4" w:space="0" w:color="auto"/>
            </w:tcBorders>
            <w:vAlign w:val="center"/>
          </w:tcPr>
          <w:p w14:paraId="12D5AB74"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(mm)</w:t>
            </w:r>
          </w:p>
        </w:tc>
        <w:tc>
          <w:tcPr>
            <w:tcW w:w="1350" w:type="dxa"/>
            <w:tcBorders>
              <w:bottom w:val="single" w:sz="4" w:space="0" w:color="auto"/>
            </w:tcBorders>
            <w:vAlign w:val="center"/>
          </w:tcPr>
          <w:p w14:paraId="2A1F4D58"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w:t>
            </w:r>
            <w:proofErr w:type="spellStart"/>
            <w:r w:rsidRPr="006B02BB">
              <w:rPr>
                <w:rFonts w:eastAsia="Calibri"/>
                <w:i/>
                <w:iCs/>
                <w:sz w:val="20"/>
                <w:szCs w:val="20"/>
              </w:rPr>
              <w:t>wt</w:t>
            </w:r>
            <w:proofErr w:type="spellEnd"/>
            <w:r w:rsidRPr="006B02BB">
              <w:rPr>
                <w:rFonts w:eastAsia="Calibri"/>
                <w:i/>
                <w:iCs/>
                <w:sz w:val="20"/>
                <w:szCs w:val="20"/>
              </w:rPr>
              <w:t>%)</w:t>
            </w:r>
          </w:p>
        </w:tc>
        <w:tc>
          <w:tcPr>
            <w:tcW w:w="1350" w:type="dxa"/>
            <w:tcBorders>
              <w:bottom w:val="single" w:sz="4" w:space="0" w:color="auto"/>
            </w:tcBorders>
            <w:vAlign w:val="center"/>
          </w:tcPr>
          <w:p w14:paraId="0DE6F865"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(g/cm</w:t>
            </w:r>
            <w:r w:rsidRPr="006B02BB">
              <w:rPr>
                <w:rFonts w:eastAsia="Calibri"/>
                <w:i/>
                <w:iCs/>
                <w:sz w:val="20"/>
                <w:szCs w:val="20"/>
                <w:vertAlign w:val="superscript"/>
              </w:rPr>
              <w:t>3</w:t>
            </w:r>
            <w:r w:rsidRPr="006B02BB">
              <w:rPr>
                <w:rFonts w:eastAsia="Calibri"/>
                <w:i/>
                <w:iCs/>
                <w:sz w:val="20"/>
                <w:szCs w:val="20"/>
              </w:rPr>
              <w:t>)</w:t>
            </w:r>
          </w:p>
        </w:tc>
        <w:tc>
          <w:tcPr>
            <w:tcW w:w="1710" w:type="dxa"/>
            <w:tcBorders>
              <w:bottom w:val="single" w:sz="4" w:space="0" w:color="auto"/>
            </w:tcBorders>
            <w:vAlign w:val="center"/>
          </w:tcPr>
          <w:p w14:paraId="70D402D8"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(MPa)</w:t>
            </w:r>
          </w:p>
        </w:tc>
        <w:tc>
          <w:tcPr>
            <w:tcW w:w="1440" w:type="dxa"/>
            <w:tcBorders>
              <w:bottom w:val="single" w:sz="4" w:space="0" w:color="auto"/>
            </w:tcBorders>
            <w:vAlign w:val="center"/>
          </w:tcPr>
          <w:p w14:paraId="107E159A"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(MPa)</w:t>
            </w:r>
          </w:p>
        </w:tc>
        <w:tc>
          <w:tcPr>
            <w:tcW w:w="1612" w:type="dxa"/>
            <w:tcBorders>
              <w:bottom w:val="single" w:sz="4" w:space="0" w:color="auto"/>
            </w:tcBorders>
            <w:vAlign w:val="center"/>
          </w:tcPr>
          <w:p w14:paraId="500F759C" w14:textId="77777777" w:rsidR="006B02BB" w:rsidRPr="006B02BB" w:rsidRDefault="006B02BB" w:rsidP="006B02BB">
            <w:pPr>
              <w:spacing w:line="240" w:lineRule="auto"/>
              <w:ind w:firstLine="0"/>
              <w:jc w:val="center"/>
              <w:rPr>
                <w:rFonts w:eastAsia="Calibri"/>
                <w:i/>
                <w:iCs/>
                <w:sz w:val="20"/>
                <w:szCs w:val="20"/>
              </w:rPr>
            </w:pPr>
            <w:r w:rsidRPr="006B02BB">
              <w:rPr>
                <w:rFonts w:eastAsia="Calibri"/>
                <w:i/>
                <w:iCs/>
                <w:sz w:val="20"/>
                <w:szCs w:val="20"/>
              </w:rPr>
              <w:t>(kJ/m</w:t>
            </w:r>
            <w:r w:rsidRPr="006B02BB">
              <w:rPr>
                <w:rFonts w:eastAsia="Calibri"/>
                <w:i/>
                <w:iCs/>
                <w:sz w:val="20"/>
                <w:szCs w:val="20"/>
                <w:vertAlign w:val="superscript"/>
              </w:rPr>
              <w:t>2</w:t>
            </w:r>
            <w:r w:rsidRPr="006B02BB">
              <w:rPr>
                <w:rFonts w:eastAsia="Calibri"/>
                <w:i/>
                <w:iCs/>
                <w:sz w:val="20"/>
                <w:szCs w:val="20"/>
              </w:rPr>
              <w:t>)</w:t>
            </w:r>
          </w:p>
        </w:tc>
      </w:tr>
      <w:tr w:rsidR="006B02BB" w:rsidRPr="006B02BB" w14:paraId="185DAB3D" w14:textId="77777777" w:rsidTr="006B02BB">
        <w:trPr>
          <w:trHeight w:val="288"/>
          <w:jc w:val="center"/>
        </w:trPr>
        <w:tc>
          <w:tcPr>
            <w:tcW w:w="715" w:type="dxa"/>
            <w:tcBorders>
              <w:top w:val="single" w:sz="4" w:space="0" w:color="auto"/>
            </w:tcBorders>
            <w:vAlign w:val="center"/>
          </w:tcPr>
          <w:p w14:paraId="6702126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w:t>
            </w:r>
          </w:p>
        </w:tc>
        <w:tc>
          <w:tcPr>
            <w:tcW w:w="810" w:type="dxa"/>
            <w:tcBorders>
              <w:top w:val="single" w:sz="4" w:space="0" w:color="auto"/>
            </w:tcBorders>
            <w:vAlign w:val="center"/>
          </w:tcPr>
          <w:p w14:paraId="5589C97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top w:val="single" w:sz="4" w:space="0" w:color="auto"/>
              <w:right w:val="dashSmallGap" w:sz="4" w:space="0" w:color="auto"/>
            </w:tcBorders>
            <w:vAlign w:val="center"/>
          </w:tcPr>
          <w:p w14:paraId="2202F3B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w:t>
            </w:r>
          </w:p>
        </w:tc>
        <w:tc>
          <w:tcPr>
            <w:tcW w:w="900" w:type="dxa"/>
            <w:tcBorders>
              <w:top w:val="single" w:sz="4" w:space="0" w:color="auto"/>
              <w:left w:val="dashSmallGap" w:sz="4" w:space="0" w:color="auto"/>
            </w:tcBorders>
            <w:shd w:val="clear" w:color="auto" w:fill="auto"/>
            <w:noWrap/>
            <w:vAlign w:val="center"/>
          </w:tcPr>
          <w:p w14:paraId="664B5A6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tcBorders>
              <w:top w:val="single" w:sz="4" w:space="0" w:color="auto"/>
            </w:tcBorders>
            <w:shd w:val="clear" w:color="auto" w:fill="auto"/>
            <w:noWrap/>
            <w:vAlign w:val="center"/>
          </w:tcPr>
          <w:p w14:paraId="73D8662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tcBorders>
              <w:top w:val="single" w:sz="4" w:space="0" w:color="auto"/>
            </w:tcBorders>
            <w:shd w:val="clear" w:color="auto" w:fill="auto"/>
            <w:noWrap/>
            <w:vAlign w:val="center"/>
          </w:tcPr>
          <w:p w14:paraId="4FD4CC1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top w:val="single" w:sz="4" w:space="0" w:color="auto"/>
              <w:right w:val="dashSmallGap" w:sz="4" w:space="0" w:color="auto"/>
            </w:tcBorders>
            <w:noWrap/>
            <w:vAlign w:val="center"/>
          </w:tcPr>
          <w:p w14:paraId="31A6CFB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Borders>
              <w:top w:val="single" w:sz="4" w:space="0" w:color="auto"/>
            </w:tcBorders>
          </w:tcPr>
          <w:p w14:paraId="677CA51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3.240</w:t>
            </w:r>
          </w:p>
        </w:tc>
        <w:tc>
          <w:tcPr>
            <w:tcW w:w="1350" w:type="dxa"/>
            <w:tcBorders>
              <w:top w:val="single" w:sz="4" w:space="0" w:color="auto"/>
            </w:tcBorders>
            <w:vAlign w:val="center"/>
          </w:tcPr>
          <w:p w14:paraId="33D6EB0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4.7</w:t>
            </w:r>
          </w:p>
        </w:tc>
        <w:tc>
          <w:tcPr>
            <w:tcW w:w="1350" w:type="dxa"/>
            <w:tcBorders>
              <w:top w:val="single" w:sz="4" w:space="0" w:color="auto"/>
            </w:tcBorders>
            <w:vAlign w:val="center"/>
          </w:tcPr>
          <w:p w14:paraId="57034CC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0.98</w:t>
            </w:r>
          </w:p>
        </w:tc>
        <w:tc>
          <w:tcPr>
            <w:tcW w:w="1710" w:type="dxa"/>
            <w:tcBorders>
              <w:top w:val="single" w:sz="4" w:space="0" w:color="auto"/>
            </w:tcBorders>
            <w:vAlign w:val="center"/>
          </w:tcPr>
          <w:p w14:paraId="34A6257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2210</w:t>
            </w:r>
          </w:p>
        </w:tc>
        <w:tc>
          <w:tcPr>
            <w:tcW w:w="1440" w:type="dxa"/>
            <w:tcBorders>
              <w:top w:val="single" w:sz="4" w:space="0" w:color="auto"/>
            </w:tcBorders>
            <w:vAlign w:val="center"/>
          </w:tcPr>
          <w:p w14:paraId="64F853F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20.5</w:t>
            </w:r>
          </w:p>
        </w:tc>
        <w:tc>
          <w:tcPr>
            <w:tcW w:w="1612" w:type="dxa"/>
            <w:tcBorders>
              <w:top w:val="single" w:sz="4" w:space="0" w:color="auto"/>
            </w:tcBorders>
            <w:vAlign w:val="center"/>
          </w:tcPr>
          <w:p w14:paraId="25BB2A9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12.2</w:t>
            </w:r>
          </w:p>
        </w:tc>
      </w:tr>
      <w:tr w:rsidR="006B02BB" w:rsidRPr="006B02BB" w14:paraId="1605DAC4" w14:textId="77777777" w:rsidTr="006B02BB">
        <w:trPr>
          <w:trHeight w:val="288"/>
          <w:jc w:val="center"/>
        </w:trPr>
        <w:tc>
          <w:tcPr>
            <w:tcW w:w="715" w:type="dxa"/>
            <w:vAlign w:val="center"/>
          </w:tcPr>
          <w:p w14:paraId="5C7F087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810" w:type="dxa"/>
            <w:vAlign w:val="center"/>
          </w:tcPr>
          <w:p w14:paraId="1074BE1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69ADFBD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900" w:type="dxa"/>
            <w:tcBorders>
              <w:left w:val="dashSmallGap" w:sz="4" w:space="0" w:color="auto"/>
            </w:tcBorders>
            <w:shd w:val="clear" w:color="auto" w:fill="auto"/>
            <w:noWrap/>
            <w:vAlign w:val="center"/>
          </w:tcPr>
          <w:p w14:paraId="52A2F50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509F789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10E231A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509732E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5389797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3.518</w:t>
            </w:r>
          </w:p>
        </w:tc>
        <w:tc>
          <w:tcPr>
            <w:tcW w:w="1350" w:type="dxa"/>
            <w:vAlign w:val="center"/>
          </w:tcPr>
          <w:p w14:paraId="5C060CD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6.8</w:t>
            </w:r>
          </w:p>
        </w:tc>
        <w:tc>
          <w:tcPr>
            <w:tcW w:w="1350" w:type="dxa"/>
            <w:vAlign w:val="center"/>
          </w:tcPr>
          <w:p w14:paraId="6F26A36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0.94 </w:t>
            </w:r>
          </w:p>
        </w:tc>
        <w:tc>
          <w:tcPr>
            <w:tcW w:w="1710" w:type="dxa"/>
            <w:vAlign w:val="center"/>
          </w:tcPr>
          <w:p w14:paraId="3857EC2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2460</w:t>
            </w:r>
          </w:p>
        </w:tc>
        <w:tc>
          <w:tcPr>
            <w:tcW w:w="1440" w:type="dxa"/>
            <w:vAlign w:val="center"/>
          </w:tcPr>
          <w:p w14:paraId="200B7B7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18.7</w:t>
            </w:r>
          </w:p>
        </w:tc>
        <w:tc>
          <w:tcPr>
            <w:tcW w:w="1612" w:type="dxa"/>
            <w:vAlign w:val="center"/>
          </w:tcPr>
          <w:p w14:paraId="738D7D1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25.8</w:t>
            </w:r>
          </w:p>
        </w:tc>
      </w:tr>
      <w:tr w:rsidR="006B02BB" w:rsidRPr="006B02BB" w14:paraId="400BA1C7" w14:textId="77777777" w:rsidTr="006B02BB">
        <w:trPr>
          <w:trHeight w:val="288"/>
          <w:jc w:val="center"/>
        </w:trPr>
        <w:tc>
          <w:tcPr>
            <w:tcW w:w="715" w:type="dxa"/>
            <w:vAlign w:val="center"/>
          </w:tcPr>
          <w:p w14:paraId="79A6563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w:t>
            </w:r>
          </w:p>
        </w:tc>
        <w:tc>
          <w:tcPr>
            <w:tcW w:w="810" w:type="dxa"/>
            <w:vAlign w:val="center"/>
          </w:tcPr>
          <w:p w14:paraId="7D463A9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0A43B9E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6</w:t>
            </w:r>
          </w:p>
        </w:tc>
        <w:tc>
          <w:tcPr>
            <w:tcW w:w="900" w:type="dxa"/>
            <w:tcBorders>
              <w:left w:val="dashSmallGap" w:sz="4" w:space="0" w:color="auto"/>
            </w:tcBorders>
            <w:shd w:val="clear" w:color="auto" w:fill="auto"/>
            <w:noWrap/>
            <w:vAlign w:val="center"/>
          </w:tcPr>
          <w:p w14:paraId="633FD28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227C1EF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0EBCE41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7F87119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7BBA690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3.242</w:t>
            </w:r>
          </w:p>
        </w:tc>
        <w:tc>
          <w:tcPr>
            <w:tcW w:w="1350" w:type="dxa"/>
            <w:vAlign w:val="center"/>
          </w:tcPr>
          <w:p w14:paraId="395D158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5.7</w:t>
            </w:r>
          </w:p>
        </w:tc>
        <w:tc>
          <w:tcPr>
            <w:tcW w:w="1350" w:type="dxa"/>
            <w:vAlign w:val="center"/>
          </w:tcPr>
          <w:p w14:paraId="430FB4F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1.01</w:t>
            </w:r>
          </w:p>
        </w:tc>
        <w:tc>
          <w:tcPr>
            <w:tcW w:w="1710" w:type="dxa"/>
            <w:vAlign w:val="center"/>
          </w:tcPr>
          <w:p w14:paraId="4C9EF25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1660</w:t>
            </w:r>
          </w:p>
        </w:tc>
        <w:tc>
          <w:tcPr>
            <w:tcW w:w="1440" w:type="dxa"/>
            <w:vAlign w:val="center"/>
          </w:tcPr>
          <w:p w14:paraId="08C33EA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17.8</w:t>
            </w:r>
          </w:p>
        </w:tc>
        <w:tc>
          <w:tcPr>
            <w:tcW w:w="1612" w:type="dxa"/>
            <w:vAlign w:val="center"/>
          </w:tcPr>
          <w:p w14:paraId="4546969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24.1</w:t>
            </w:r>
          </w:p>
        </w:tc>
      </w:tr>
      <w:tr w:rsidR="006B02BB" w:rsidRPr="006B02BB" w14:paraId="2D751528" w14:textId="77777777" w:rsidTr="006B02BB">
        <w:trPr>
          <w:trHeight w:val="288"/>
          <w:jc w:val="center"/>
        </w:trPr>
        <w:tc>
          <w:tcPr>
            <w:tcW w:w="715" w:type="dxa"/>
            <w:vAlign w:val="center"/>
          </w:tcPr>
          <w:p w14:paraId="194A2C5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w:t>
            </w:r>
          </w:p>
        </w:tc>
        <w:tc>
          <w:tcPr>
            <w:tcW w:w="810" w:type="dxa"/>
            <w:vAlign w:val="center"/>
          </w:tcPr>
          <w:p w14:paraId="4D94697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519EBBD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w:t>
            </w:r>
          </w:p>
        </w:tc>
        <w:tc>
          <w:tcPr>
            <w:tcW w:w="900" w:type="dxa"/>
            <w:tcBorders>
              <w:left w:val="dashSmallGap" w:sz="4" w:space="0" w:color="auto"/>
            </w:tcBorders>
            <w:shd w:val="clear" w:color="auto" w:fill="auto"/>
            <w:noWrap/>
            <w:vAlign w:val="center"/>
          </w:tcPr>
          <w:p w14:paraId="519A11F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1EB0BE5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7D823E7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08A2F33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6E5916E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3.538</w:t>
            </w:r>
          </w:p>
        </w:tc>
        <w:tc>
          <w:tcPr>
            <w:tcW w:w="1350" w:type="dxa"/>
            <w:vAlign w:val="center"/>
          </w:tcPr>
          <w:p w14:paraId="6ACFEC1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5.6</w:t>
            </w:r>
          </w:p>
        </w:tc>
        <w:tc>
          <w:tcPr>
            <w:tcW w:w="1350" w:type="dxa"/>
            <w:vAlign w:val="center"/>
          </w:tcPr>
          <w:p w14:paraId="45A1F2D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0.96</w:t>
            </w:r>
          </w:p>
        </w:tc>
        <w:tc>
          <w:tcPr>
            <w:tcW w:w="1710" w:type="dxa"/>
            <w:vAlign w:val="center"/>
          </w:tcPr>
          <w:p w14:paraId="70EF22D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2510 </w:t>
            </w:r>
          </w:p>
        </w:tc>
        <w:tc>
          <w:tcPr>
            <w:tcW w:w="1440" w:type="dxa"/>
            <w:vAlign w:val="center"/>
          </w:tcPr>
          <w:p w14:paraId="2119479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23.5</w:t>
            </w:r>
          </w:p>
        </w:tc>
        <w:tc>
          <w:tcPr>
            <w:tcW w:w="1612" w:type="dxa"/>
            <w:vAlign w:val="center"/>
          </w:tcPr>
          <w:p w14:paraId="61DB19A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20.3</w:t>
            </w:r>
          </w:p>
        </w:tc>
      </w:tr>
      <w:tr w:rsidR="006B02BB" w:rsidRPr="006B02BB" w14:paraId="2B8B1158" w14:textId="77777777" w:rsidTr="006B02BB">
        <w:trPr>
          <w:trHeight w:val="288"/>
          <w:jc w:val="center"/>
        </w:trPr>
        <w:tc>
          <w:tcPr>
            <w:tcW w:w="715" w:type="dxa"/>
            <w:vAlign w:val="center"/>
          </w:tcPr>
          <w:p w14:paraId="7FB97D6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810" w:type="dxa"/>
            <w:vAlign w:val="center"/>
          </w:tcPr>
          <w:p w14:paraId="0A0D3C3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38CB518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11</w:t>
            </w:r>
          </w:p>
        </w:tc>
        <w:tc>
          <w:tcPr>
            <w:tcW w:w="900" w:type="dxa"/>
            <w:tcBorders>
              <w:left w:val="dashSmallGap" w:sz="4" w:space="0" w:color="auto"/>
            </w:tcBorders>
            <w:shd w:val="clear" w:color="auto" w:fill="auto"/>
            <w:noWrap/>
            <w:vAlign w:val="center"/>
          </w:tcPr>
          <w:p w14:paraId="6B04BD6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2FE30C2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345732F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104B7AB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3AB056F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2.840</w:t>
            </w:r>
          </w:p>
        </w:tc>
        <w:tc>
          <w:tcPr>
            <w:tcW w:w="1350" w:type="dxa"/>
            <w:vAlign w:val="center"/>
          </w:tcPr>
          <w:p w14:paraId="1A040A7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3.8</w:t>
            </w:r>
          </w:p>
        </w:tc>
        <w:tc>
          <w:tcPr>
            <w:tcW w:w="1350" w:type="dxa"/>
            <w:vAlign w:val="center"/>
          </w:tcPr>
          <w:p w14:paraId="2811F91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1.03</w:t>
            </w:r>
          </w:p>
        </w:tc>
        <w:tc>
          <w:tcPr>
            <w:tcW w:w="1710" w:type="dxa"/>
            <w:vAlign w:val="center"/>
          </w:tcPr>
          <w:p w14:paraId="548E490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2150</w:t>
            </w:r>
          </w:p>
        </w:tc>
        <w:tc>
          <w:tcPr>
            <w:tcW w:w="1440" w:type="dxa"/>
            <w:vAlign w:val="center"/>
          </w:tcPr>
          <w:p w14:paraId="7194E25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20.0</w:t>
            </w:r>
          </w:p>
        </w:tc>
        <w:tc>
          <w:tcPr>
            <w:tcW w:w="1612" w:type="dxa"/>
            <w:vAlign w:val="center"/>
          </w:tcPr>
          <w:p w14:paraId="77BD12E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14.4</w:t>
            </w:r>
          </w:p>
        </w:tc>
      </w:tr>
      <w:tr w:rsidR="006B02BB" w:rsidRPr="006B02BB" w14:paraId="24F9E083" w14:textId="77777777" w:rsidTr="006B02BB">
        <w:trPr>
          <w:trHeight w:val="288"/>
          <w:jc w:val="center"/>
        </w:trPr>
        <w:tc>
          <w:tcPr>
            <w:tcW w:w="715" w:type="dxa"/>
            <w:vAlign w:val="center"/>
          </w:tcPr>
          <w:p w14:paraId="1125265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6</w:t>
            </w:r>
          </w:p>
        </w:tc>
        <w:tc>
          <w:tcPr>
            <w:tcW w:w="810" w:type="dxa"/>
            <w:vAlign w:val="center"/>
          </w:tcPr>
          <w:p w14:paraId="593C115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7071687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15</w:t>
            </w:r>
          </w:p>
        </w:tc>
        <w:tc>
          <w:tcPr>
            <w:tcW w:w="900" w:type="dxa"/>
            <w:tcBorders>
              <w:left w:val="dashSmallGap" w:sz="4" w:space="0" w:color="auto"/>
            </w:tcBorders>
            <w:shd w:val="clear" w:color="auto" w:fill="auto"/>
            <w:noWrap/>
            <w:vAlign w:val="center"/>
          </w:tcPr>
          <w:p w14:paraId="49C1190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0FEA418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28E0373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3CB3707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vAlign w:val="center"/>
          </w:tcPr>
          <w:p w14:paraId="4AEEF24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3.338</w:t>
            </w:r>
          </w:p>
        </w:tc>
        <w:tc>
          <w:tcPr>
            <w:tcW w:w="1350" w:type="dxa"/>
            <w:vAlign w:val="center"/>
          </w:tcPr>
          <w:p w14:paraId="4BD2691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10.3</w:t>
            </w:r>
          </w:p>
        </w:tc>
        <w:tc>
          <w:tcPr>
            <w:tcW w:w="1350" w:type="dxa"/>
            <w:vAlign w:val="center"/>
          </w:tcPr>
          <w:p w14:paraId="6216472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0.95</w:t>
            </w:r>
          </w:p>
        </w:tc>
        <w:tc>
          <w:tcPr>
            <w:tcW w:w="1710" w:type="dxa"/>
            <w:vAlign w:val="center"/>
          </w:tcPr>
          <w:p w14:paraId="0BB4C56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2140 </w:t>
            </w:r>
          </w:p>
        </w:tc>
        <w:tc>
          <w:tcPr>
            <w:tcW w:w="1440" w:type="dxa"/>
            <w:vAlign w:val="center"/>
          </w:tcPr>
          <w:p w14:paraId="31054A7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19.4</w:t>
            </w:r>
          </w:p>
        </w:tc>
        <w:tc>
          <w:tcPr>
            <w:tcW w:w="1612" w:type="dxa"/>
            <w:vAlign w:val="center"/>
          </w:tcPr>
          <w:p w14:paraId="3306BFD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41.4</w:t>
            </w:r>
          </w:p>
        </w:tc>
      </w:tr>
      <w:tr w:rsidR="006B02BB" w:rsidRPr="006B02BB" w14:paraId="5A920DC4" w14:textId="77777777" w:rsidTr="006B02BB">
        <w:trPr>
          <w:trHeight w:val="288"/>
          <w:jc w:val="center"/>
        </w:trPr>
        <w:tc>
          <w:tcPr>
            <w:tcW w:w="715" w:type="dxa"/>
            <w:vAlign w:val="center"/>
          </w:tcPr>
          <w:p w14:paraId="2126D9C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w:t>
            </w:r>
          </w:p>
        </w:tc>
        <w:tc>
          <w:tcPr>
            <w:tcW w:w="810" w:type="dxa"/>
            <w:vAlign w:val="center"/>
          </w:tcPr>
          <w:p w14:paraId="6A7D9F7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705BF2A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w:t>
            </w:r>
          </w:p>
        </w:tc>
        <w:tc>
          <w:tcPr>
            <w:tcW w:w="900" w:type="dxa"/>
            <w:tcBorders>
              <w:left w:val="dashSmallGap" w:sz="4" w:space="0" w:color="auto"/>
            </w:tcBorders>
            <w:shd w:val="clear" w:color="auto" w:fill="auto"/>
            <w:noWrap/>
            <w:vAlign w:val="center"/>
          </w:tcPr>
          <w:p w14:paraId="1278904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3644338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7179E1A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6BD2265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7816E39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4.282</w:t>
            </w:r>
          </w:p>
        </w:tc>
        <w:tc>
          <w:tcPr>
            <w:tcW w:w="1350" w:type="dxa"/>
            <w:vAlign w:val="center"/>
          </w:tcPr>
          <w:p w14:paraId="212663B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32.9</w:t>
            </w:r>
          </w:p>
        </w:tc>
        <w:tc>
          <w:tcPr>
            <w:tcW w:w="1350" w:type="dxa"/>
            <w:vAlign w:val="center"/>
          </w:tcPr>
          <w:p w14:paraId="58CD069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1.03</w:t>
            </w:r>
          </w:p>
        </w:tc>
        <w:tc>
          <w:tcPr>
            <w:tcW w:w="1710" w:type="dxa"/>
            <w:vAlign w:val="center"/>
          </w:tcPr>
          <w:p w14:paraId="4C82291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1600 </w:t>
            </w:r>
          </w:p>
        </w:tc>
        <w:tc>
          <w:tcPr>
            <w:tcW w:w="1440" w:type="dxa"/>
            <w:vAlign w:val="center"/>
          </w:tcPr>
          <w:p w14:paraId="386F429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10.9</w:t>
            </w:r>
          </w:p>
        </w:tc>
        <w:tc>
          <w:tcPr>
            <w:tcW w:w="1612" w:type="dxa"/>
            <w:vAlign w:val="center"/>
          </w:tcPr>
          <w:p w14:paraId="1F59FED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33.6</w:t>
            </w:r>
          </w:p>
        </w:tc>
      </w:tr>
      <w:tr w:rsidR="006B02BB" w:rsidRPr="006B02BB" w14:paraId="58D2111E" w14:textId="77777777" w:rsidTr="006B02BB">
        <w:trPr>
          <w:trHeight w:val="288"/>
          <w:jc w:val="center"/>
        </w:trPr>
        <w:tc>
          <w:tcPr>
            <w:tcW w:w="715" w:type="dxa"/>
            <w:vAlign w:val="center"/>
          </w:tcPr>
          <w:p w14:paraId="3026F09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810" w:type="dxa"/>
            <w:vAlign w:val="center"/>
          </w:tcPr>
          <w:p w14:paraId="60E9C42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a000</w:t>
            </w:r>
          </w:p>
        </w:tc>
        <w:tc>
          <w:tcPr>
            <w:tcW w:w="720" w:type="dxa"/>
            <w:tcBorders>
              <w:right w:val="dashSmallGap" w:sz="4" w:space="0" w:color="auto"/>
            </w:tcBorders>
            <w:vAlign w:val="center"/>
          </w:tcPr>
          <w:p w14:paraId="0315DA9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21</w:t>
            </w:r>
          </w:p>
        </w:tc>
        <w:tc>
          <w:tcPr>
            <w:tcW w:w="900" w:type="dxa"/>
            <w:tcBorders>
              <w:left w:val="dashSmallGap" w:sz="4" w:space="0" w:color="auto"/>
            </w:tcBorders>
            <w:shd w:val="clear" w:color="auto" w:fill="auto"/>
            <w:noWrap/>
            <w:vAlign w:val="center"/>
          </w:tcPr>
          <w:p w14:paraId="786F99F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6C725AA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7A0D3D0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68EBB0A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34E3DE0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3.373</w:t>
            </w:r>
          </w:p>
        </w:tc>
        <w:tc>
          <w:tcPr>
            <w:tcW w:w="1350" w:type="dxa"/>
            <w:vAlign w:val="center"/>
          </w:tcPr>
          <w:p w14:paraId="24C9FF6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3.5</w:t>
            </w:r>
          </w:p>
        </w:tc>
        <w:tc>
          <w:tcPr>
            <w:tcW w:w="1350" w:type="dxa"/>
            <w:vAlign w:val="center"/>
          </w:tcPr>
          <w:p w14:paraId="7457B6C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0.76</w:t>
            </w:r>
          </w:p>
        </w:tc>
        <w:tc>
          <w:tcPr>
            <w:tcW w:w="1710" w:type="dxa"/>
            <w:vAlign w:val="center"/>
          </w:tcPr>
          <w:p w14:paraId="640B0DF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1240</w:t>
            </w:r>
          </w:p>
        </w:tc>
        <w:tc>
          <w:tcPr>
            <w:tcW w:w="1440" w:type="dxa"/>
            <w:vAlign w:val="center"/>
          </w:tcPr>
          <w:p w14:paraId="172470C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11.9</w:t>
            </w:r>
          </w:p>
        </w:tc>
        <w:tc>
          <w:tcPr>
            <w:tcW w:w="1612" w:type="dxa"/>
            <w:vAlign w:val="center"/>
          </w:tcPr>
          <w:p w14:paraId="6C06B81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16.5</w:t>
            </w:r>
          </w:p>
        </w:tc>
      </w:tr>
      <w:tr w:rsidR="006B02BB" w:rsidRPr="006B02BB" w14:paraId="79D0EFB4" w14:textId="77777777" w:rsidTr="006B02BB">
        <w:trPr>
          <w:trHeight w:val="288"/>
          <w:jc w:val="center"/>
        </w:trPr>
        <w:tc>
          <w:tcPr>
            <w:tcW w:w="715" w:type="dxa"/>
            <w:vAlign w:val="center"/>
          </w:tcPr>
          <w:p w14:paraId="0DE78AF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9</w:t>
            </w:r>
          </w:p>
        </w:tc>
        <w:tc>
          <w:tcPr>
            <w:tcW w:w="810" w:type="dxa"/>
            <w:vAlign w:val="center"/>
          </w:tcPr>
          <w:p w14:paraId="06CBAC4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4E9D0B9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25</w:t>
            </w:r>
          </w:p>
        </w:tc>
        <w:tc>
          <w:tcPr>
            <w:tcW w:w="900" w:type="dxa"/>
            <w:tcBorders>
              <w:left w:val="dashSmallGap" w:sz="4" w:space="0" w:color="auto"/>
            </w:tcBorders>
            <w:shd w:val="clear" w:color="auto" w:fill="auto"/>
            <w:noWrap/>
            <w:vAlign w:val="center"/>
          </w:tcPr>
          <w:p w14:paraId="79D36E7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w:t>
            </w:r>
          </w:p>
        </w:tc>
        <w:tc>
          <w:tcPr>
            <w:tcW w:w="1260" w:type="dxa"/>
            <w:shd w:val="clear" w:color="auto" w:fill="auto"/>
            <w:noWrap/>
            <w:vAlign w:val="center"/>
          </w:tcPr>
          <w:p w14:paraId="3F426CD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7255DC8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62F9126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08432B6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2.722</w:t>
            </w:r>
          </w:p>
        </w:tc>
        <w:tc>
          <w:tcPr>
            <w:tcW w:w="1350" w:type="dxa"/>
            <w:vAlign w:val="center"/>
          </w:tcPr>
          <w:p w14:paraId="13E57E5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5.2 </w:t>
            </w:r>
          </w:p>
        </w:tc>
        <w:tc>
          <w:tcPr>
            <w:tcW w:w="1350" w:type="dxa"/>
            <w:vAlign w:val="center"/>
          </w:tcPr>
          <w:p w14:paraId="662C9A9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1.05</w:t>
            </w:r>
          </w:p>
        </w:tc>
        <w:tc>
          <w:tcPr>
            <w:tcW w:w="1710" w:type="dxa"/>
            <w:vAlign w:val="center"/>
          </w:tcPr>
          <w:p w14:paraId="583425B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3780</w:t>
            </w:r>
          </w:p>
        </w:tc>
        <w:tc>
          <w:tcPr>
            <w:tcW w:w="1440" w:type="dxa"/>
            <w:vAlign w:val="center"/>
          </w:tcPr>
          <w:p w14:paraId="6396DB0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30.5</w:t>
            </w:r>
          </w:p>
        </w:tc>
        <w:tc>
          <w:tcPr>
            <w:tcW w:w="1612" w:type="dxa"/>
            <w:vAlign w:val="center"/>
          </w:tcPr>
          <w:p w14:paraId="2D5D92A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13.5</w:t>
            </w:r>
          </w:p>
        </w:tc>
      </w:tr>
      <w:tr w:rsidR="006B02BB" w:rsidRPr="006B02BB" w14:paraId="44F007EE" w14:textId="77777777" w:rsidTr="006B02BB">
        <w:trPr>
          <w:trHeight w:val="288"/>
          <w:jc w:val="center"/>
        </w:trPr>
        <w:tc>
          <w:tcPr>
            <w:tcW w:w="715" w:type="dxa"/>
            <w:vAlign w:val="center"/>
          </w:tcPr>
          <w:p w14:paraId="5F88CC1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w:t>
            </w:r>
          </w:p>
        </w:tc>
        <w:tc>
          <w:tcPr>
            <w:tcW w:w="810" w:type="dxa"/>
            <w:vAlign w:val="center"/>
          </w:tcPr>
          <w:p w14:paraId="1E0995C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0000</w:t>
            </w:r>
          </w:p>
        </w:tc>
        <w:tc>
          <w:tcPr>
            <w:tcW w:w="720" w:type="dxa"/>
            <w:tcBorders>
              <w:right w:val="dashSmallGap" w:sz="4" w:space="0" w:color="auto"/>
            </w:tcBorders>
            <w:vAlign w:val="center"/>
          </w:tcPr>
          <w:p w14:paraId="70C482F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w:t>
            </w:r>
          </w:p>
        </w:tc>
        <w:tc>
          <w:tcPr>
            <w:tcW w:w="900" w:type="dxa"/>
            <w:tcBorders>
              <w:left w:val="dashSmallGap" w:sz="4" w:space="0" w:color="auto"/>
            </w:tcBorders>
            <w:shd w:val="clear" w:color="auto" w:fill="auto"/>
            <w:noWrap/>
            <w:vAlign w:val="center"/>
          </w:tcPr>
          <w:p w14:paraId="3DE1C92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19EE9B4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71C8093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2217ABE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012A73B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3.487</w:t>
            </w:r>
          </w:p>
        </w:tc>
        <w:tc>
          <w:tcPr>
            <w:tcW w:w="1350" w:type="dxa"/>
            <w:vAlign w:val="center"/>
          </w:tcPr>
          <w:p w14:paraId="54A51EA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12.7</w:t>
            </w:r>
          </w:p>
        </w:tc>
        <w:tc>
          <w:tcPr>
            <w:tcW w:w="1350" w:type="dxa"/>
            <w:vAlign w:val="center"/>
          </w:tcPr>
          <w:p w14:paraId="5D96905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0.97</w:t>
            </w:r>
          </w:p>
        </w:tc>
        <w:tc>
          <w:tcPr>
            <w:tcW w:w="1710" w:type="dxa"/>
            <w:vAlign w:val="center"/>
          </w:tcPr>
          <w:p w14:paraId="742D29F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2670</w:t>
            </w:r>
          </w:p>
        </w:tc>
        <w:tc>
          <w:tcPr>
            <w:tcW w:w="1440" w:type="dxa"/>
            <w:vAlign w:val="center"/>
          </w:tcPr>
          <w:p w14:paraId="03AF849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1612" w:type="dxa"/>
            <w:vAlign w:val="center"/>
          </w:tcPr>
          <w:p w14:paraId="7F7EF7A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21.5</w:t>
            </w:r>
          </w:p>
        </w:tc>
      </w:tr>
      <w:tr w:rsidR="006B02BB" w:rsidRPr="006B02BB" w14:paraId="3F60D075" w14:textId="77777777" w:rsidTr="006B02BB">
        <w:trPr>
          <w:trHeight w:val="288"/>
          <w:jc w:val="center"/>
        </w:trPr>
        <w:tc>
          <w:tcPr>
            <w:tcW w:w="715" w:type="dxa"/>
            <w:vAlign w:val="center"/>
          </w:tcPr>
          <w:p w14:paraId="476D00E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11</w:t>
            </w:r>
          </w:p>
        </w:tc>
        <w:tc>
          <w:tcPr>
            <w:tcW w:w="810" w:type="dxa"/>
            <w:vAlign w:val="center"/>
          </w:tcPr>
          <w:p w14:paraId="3BC8E77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0A00</w:t>
            </w:r>
          </w:p>
        </w:tc>
        <w:tc>
          <w:tcPr>
            <w:tcW w:w="720" w:type="dxa"/>
            <w:tcBorders>
              <w:right w:val="dashSmallGap" w:sz="4" w:space="0" w:color="auto"/>
            </w:tcBorders>
            <w:vAlign w:val="center"/>
          </w:tcPr>
          <w:p w14:paraId="2564FE5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w:t>
            </w:r>
          </w:p>
        </w:tc>
        <w:tc>
          <w:tcPr>
            <w:tcW w:w="900" w:type="dxa"/>
            <w:tcBorders>
              <w:left w:val="dashSmallGap" w:sz="4" w:space="0" w:color="auto"/>
            </w:tcBorders>
            <w:shd w:val="clear" w:color="auto" w:fill="auto"/>
            <w:noWrap/>
            <w:vAlign w:val="center"/>
          </w:tcPr>
          <w:p w14:paraId="2E7D892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210440B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3B337D4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4158F91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0D59807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3.392</w:t>
            </w:r>
          </w:p>
        </w:tc>
        <w:tc>
          <w:tcPr>
            <w:tcW w:w="1350" w:type="dxa"/>
            <w:vAlign w:val="center"/>
          </w:tcPr>
          <w:p w14:paraId="3DA302A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12.0</w:t>
            </w:r>
          </w:p>
        </w:tc>
        <w:tc>
          <w:tcPr>
            <w:tcW w:w="1350" w:type="dxa"/>
            <w:vAlign w:val="center"/>
          </w:tcPr>
          <w:p w14:paraId="31AA29F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1.02</w:t>
            </w:r>
          </w:p>
        </w:tc>
        <w:tc>
          <w:tcPr>
            <w:tcW w:w="1710" w:type="dxa"/>
            <w:vAlign w:val="center"/>
          </w:tcPr>
          <w:p w14:paraId="6819E73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3410</w:t>
            </w:r>
          </w:p>
        </w:tc>
        <w:tc>
          <w:tcPr>
            <w:tcW w:w="1440" w:type="dxa"/>
            <w:vAlign w:val="center"/>
          </w:tcPr>
          <w:p w14:paraId="44C8F39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25.2</w:t>
            </w:r>
          </w:p>
        </w:tc>
        <w:tc>
          <w:tcPr>
            <w:tcW w:w="1612" w:type="dxa"/>
            <w:vAlign w:val="center"/>
          </w:tcPr>
          <w:p w14:paraId="6C34C46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17.9</w:t>
            </w:r>
          </w:p>
        </w:tc>
      </w:tr>
      <w:tr w:rsidR="006B02BB" w:rsidRPr="006B02BB" w14:paraId="70F811C2" w14:textId="77777777" w:rsidTr="006B02BB">
        <w:trPr>
          <w:trHeight w:val="288"/>
          <w:jc w:val="center"/>
        </w:trPr>
        <w:tc>
          <w:tcPr>
            <w:tcW w:w="715" w:type="dxa"/>
            <w:vAlign w:val="center"/>
          </w:tcPr>
          <w:p w14:paraId="0029F55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12</w:t>
            </w:r>
          </w:p>
        </w:tc>
        <w:tc>
          <w:tcPr>
            <w:tcW w:w="810" w:type="dxa"/>
            <w:vAlign w:val="center"/>
          </w:tcPr>
          <w:p w14:paraId="64B5E67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00a0</w:t>
            </w:r>
          </w:p>
        </w:tc>
        <w:tc>
          <w:tcPr>
            <w:tcW w:w="720" w:type="dxa"/>
            <w:tcBorders>
              <w:right w:val="dashSmallGap" w:sz="4" w:space="0" w:color="auto"/>
            </w:tcBorders>
            <w:vAlign w:val="center"/>
          </w:tcPr>
          <w:p w14:paraId="3157579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9</w:t>
            </w:r>
          </w:p>
        </w:tc>
        <w:tc>
          <w:tcPr>
            <w:tcW w:w="900" w:type="dxa"/>
            <w:tcBorders>
              <w:left w:val="dashSmallGap" w:sz="4" w:space="0" w:color="auto"/>
            </w:tcBorders>
            <w:shd w:val="clear" w:color="auto" w:fill="auto"/>
            <w:noWrap/>
            <w:vAlign w:val="center"/>
          </w:tcPr>
          <w:p w14:paraId="7EC84DD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655E1E7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66C3CFD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01083FD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34852C4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3.680</w:t>
            </w:r>
          </w:p>
        </w:tc>
        <w:tc>
          <w:tcPr>
            <w:tcW w:w="1350" w:type="dxa"/>
            <w:vAlign w:val="center"/>
          </w:tcPr>
          <w:p w14:paraId="7400D3E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1350" w:type="dxa"/>
            <w:vAlign w:val="center"/>
          </w:tcPr>
          <w:p w14:paraId="5ECEDD3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0.91</w:t>
            </w:r>
          </w:p>
        </w:tc>
        <w:tc>
          <w:tcPr>
            <w:tcW w:w="1710" w:type="dxa"/>
            <w:vAlign w:val="center"/>
          </w:tcPr>
          <w:p w14:paraId="4108519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2460</w:t>
            </w:r>
          </w:p>
        </w:tc>
        <w:tc>
          <w:tcPr>
            <w:tcW w:w="1440" w:type="dxa"/>
            <w:vAlign w:val="center"/>
          </w:tcPr>
          <w:p w14:paraId="772E7E1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15.7</w:t>
            </w:r>
          </w:p>
        </w:tc>
        <w:tc>
          <w:tcPr>
            <w:tcW w:w="1612" w:type="dxa"/>
            <w:vAlign w:val="center"/>
          </w:tcPr>
          <w:p w14:paraId="4DA93F8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17.9</w:t>
            </w:r>
          </w:p>
        </w:tc>
      </w:tr>
      <w:tr w:rsidR="006B02BB" w:rsidRPr="006B02BB" w14:paraId="012E76A4" w14:textId="77777777" w:rsidTr="006B02BB">
        <w:trPr>
          <w:trHeight w:val="288"/>
          <w:jc w:val="center"/>
        </w:trPr>
        <w:tc>
          <w:tcPr>
            <w:tcW w:w="715" w:type="dxa"/>
            <w:vAlign w:val="center"/>
          </w:tcPr>
          <w:p w14:paraId="77CE443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w:t>
            </w:r>
          </w:p>
        </w:tc>
        <w:tc>
          <w:tcPr>
            <w:tcW w:w="810" w:type="dxa"/>
            <w:vAlign w:val="center"/>
          </w:tcPr>
          <w:p w14:paraId="3F1D1FF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0a00</w:t>
            </w:r>
          </w:p>
        </w:tc>
        <w:tc>
          <w:tcPr>
            <w:tcW w:w="720" w:type="dxa"/>
            <w:tcBorders>
              <w:right w:val="dashSmallGap" w:sz="4" w:space="0" w:color="auto"/>
            </w:tcBorders>
            <w:vAlign w:val="center"/>
          </w:tcPr>
          <w:p w14:paraId="5B613DE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w:t>
            </w:r>
          </w:p>
        </w:tc>
        <w:tc>
          <w:tcPr>
            <w:tcW w:w="900" w:type="dxa"/>
            <w:tcBorders>
              <w:left w:val="dashSmallGap" w:sz="4" w:space="0" w:color="auto"/>
            </w:tcBorders>
            <w:shd w:val="clear" w:color="auto" w:fill="auto"/>
            <w:noWrap/>
            <w:vAlign w:val="center"/>
          </w:tcPr>
          <w:p w14:paraId="3C90663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0AAF092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77FEF29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0AAD410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33A48FF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3.355</w:t>
            </w:r>
          </w:p>
        </w:tc>
        <w:tc>
          <w:tcPr>
            <w:tcW w:w="1350" w:type="dxa"/>
            <w:vAlign w:val="center"/>
          </w:tcPr>
          <w:p w14:paraId="4B34028C" w14:textId="77777777" w:rsidR="006B02BB" w:rsidRPr="006B02BB" w:rsidRDefault="006B02BB" w:rsidP="006B02BB">
            <w:pPr>
              <w:spacing w:line="240" w:lineRule="auto"/>
              <w:ind w:firstLine="0"/>
              <w:jc w:val="center"/>
              <w:rPr>
                <w:rFonts w:eastAsia="Calibri"/>
                <w:b/>
                <w:bCs/>
                <w:sz w:val="20"/>
                <w:szCs w:val="20"/>
              </w:rPr>
            </w:pPr>
            <w:r w:rsidRPr="006B02BB">
              <w:rPr>
                <w:rFonts w:eastAsia="Calibri"/>
                <w:sz w:val="20"/>
                <w:szCs w:val="20"/>
              </w:rPr>
              <w:t>15.3</w:t>
            </w:r>
          </w:p>
        </w:tc>
        <w:tc>
          <w:tcPr>
            <w:tcW w:w="1350" w:type="dxa"/>
            <w:vAlign w:val="center"/>
          </w:tcPr>
          <w:p w14:paraId="25528C7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0.98</w:t>
            </w:r>
          </w:p>
        </w:tc>
        <w:tc>
          <w:tcPr>
            <w:tcW w:w="1710" w:type="dxa"/>
            <w:vAlign w:val="center"/>
          </w:tcPr>
          <w:p w14:paraId="6AE2FE9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2890</w:t>
            </w:r>
          </w:p>
        </w:tc>
        <w:tc>
          <w:tcPr>
            <w:tcW w:w="1440" w:type="dxa"/>
            <w:vAlign w:val="center"/>
          </w:tcPr>
          <w:p w14:paraId="214D55B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20.4</w:t>
            </w:r>
          </w:p>
        </w:tc>
        <w:tc>
          <w:tcPr>
            <w:tcW w:w="1612" w:type="dxa"/>
            <w:vAlign w:val="center"/>
          </w:tcPr>
          <w:p w14:paraId="2EDD771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22.7</w:t>
            </w:r>
          </w:p>
        </w:tc>
      </w:tr>
      <w:tr w:rsidR="006B02BB" w:rsidRPr="006B02BB" w14:paraId="4CB3335B" w14:textId="77777777" w:rsidTr="006B02BB">
        <w:trPr>
          <w:trHeight w:val="288"/>
          <w:jc w:val="center"/>
        </w:trPr>
        <w:tc>
          <w:tcPr>
            <w:tcW w:w="715" w:type="dxa"/>
            <w:vAlign w:val="center"/>
          </w:tcPr>
          <w:p w14:paraId="6E8A176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14</w:t>
            </w:r>
          </w:p>
        </w:tc>
        <w:tc>
          <w:tcPr>
            <w:tcW w:w="810" w:type="dxa"/>
            <w:vAlign w:val="center"/>
          </w:tcPr>
          <w:p w14:paraId="42B1334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000A</w:t>
            </w:r>
          </w:p>
        </w:tc>
        <w:tc>
          <w:tcPr>
            <w:tcW w:w="720" w:type="dxa"/>
            <w:tcBorders>
              <w:right w:val="dashSmallGap" w:sz="4" w:space="0" w:color="auto"/>
            </w:tcBorders>
            <w:vAlign w:val="center"/>
          </w:tcPr>
          <w:p w14:paraId="2309BE4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14</w:t>
            </w:r>
          </w:p>
        </w:tc>
        <w:tc>
          <w:tcPr>
            <w:tcW w:w="900" w:type="dxa"/>
            <w:tcBorders>
              <w:left w:val="dashSmallGap" w:sz="4" w:space="0" w:color="auto"/>
            </w:tcBorders>
            <w:shd w:val="clear" w:color="auto" w:fill="auto"/>
            <w:noWrap/>
            <w:vAlign w:val="center"/>
          </w:tcPr>
          <w:p w14:paraId="47D68C0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0CC7C72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672F393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19B2F95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0213D92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3.258</w:t>
            </w:r>
          </w:p>
        </w:tc>
        <w:tc>
          <w:tcPr>
            <w:tcW w:w="1350" w:type="dxa"/>
            <w:vAlign w:val="center"/>
          </w:tcPr>
          <w:p w14:paraId="4E7E1AC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11.5</w:t>
            </w:r>
          </w:p>
        </w:tc>
        <w:tc>
          <w:tcPr>
            <w:tcW w:w="1350" w:type="dxa"/>
            <w:vAlign w:val="center"/>
          </w:tcPr>
          <w:p w14:paraId="56D7642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1.03</w:t>
            </w:r>
          </w:p>
        </w:tc>
        <w:tc>
          <w:tcPr>
            <w:tcW w:w="1710" w:type="dxa"/>
            <w:vAlign w:val="center"/>
          </w:tcPr>
          <w:p w14:paraId="2029D45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2990</w:t>
            </w:r>
          </w:p>
        </w:tc>
        <w:tc>
          <w:tcPr>
            <w:tcW w:w="1440" w:type="dxa"/>
            <w:vAlign w:val="center"/>
          </w:tcPr>
          <w:p w14:paraId="7FC3822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23.5</w:t>
            </w:r>
          </w:p>
        </w:tc>
        <w:tc>
          <w:tcPr>
            <w:tcW w:w="1612" w:type="dxa"/>
            <w:vAlign w:val="center"/>
          </w:tcPr>
          <w:p w14:paraId="0A6480F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20.0</w:t>
            </w:r>
          </w:p>
        </w:tc>
      </w:tr>
      <w:tr w:rsidR="006B02BB" w:rsidRPr="006B02BB" w14:paraId="01A3617D" w14:textId="77777777" w:rsidTr="006B02BB">
        <w:trPr>
          <w:trHeight w:val="288"/>
          <w:jc w:val="center"/>
        </w:trPr>
        <w:tc>
          <w:tcPr>
            <w:tcW w:w="715" w:type="dxa"/>
            <w:vAlign w:val="center"/>
          </w:tcPr>
          <w:p w14:paraId="11C5FE6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15</w:t>
            </w:r>
          </w:p>
        </w:tc>
        <w:tc>
          <w:tcPr>
            <w:tcW w:w="810" w:type="dxa"/>
            <w:vAlign w:val="center"/>
          </w:tcPr>
          <w:p w14:paraId="73BE89A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00A0</w:t>
            </w:r>
          </w:p>
        </w:tc>
        <w:tc>
          <w:tcPr>
            <w:tcW w:w="720" w:type="dxa"/>
            <w:tcBorders>
              <w:right w:val="dashSmallGap" w:sz="4" w:space="0" w:color="auto"/>
            </w:tcBorders>
            <w:vAlign w:val="center"/>
          </w:tcPr>
          <w:p w14:paraId="6FB4387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w:t>
            </w:r>
          </w:p>
        </w:tc>
        <w:tc>
          <w:tcPr>
            <w:tcW w:w="900" w:type="dxa"/>
            <w:tcBorders>
              <w:left w:val="dashSmallGap" w:sz="4" w:space="0" w:color="auto"/>
            </w:tcBorders>
            <w:shd w:val="clear" w:color="auto" w:fill="auto"/>
            <w:noWrap/>
            <w:vAlign w:val="center"/>
          </w:tcPr>
          <w:p w14:paraId="6FE6204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6A719D9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23B844B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6F30C83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3D7CE3F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3.490</w:t>
            </w:r>
          </w:p>
        </w:tc>
        <w:tc>
          <w:tcPr>
            <w:tcW w:w="1350" w:type="dxa"/>
            <w:vAlign w:val="center"/>
          </w:tcPr>
          <w:p w14:paraId="7B42E87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10.5</w:t>
            </w:r>
          </w:p>
        </w:tc>
        <w:tc>
          <w:tcPr>
            <w:tcW w:w="1350" w:type="dxa"/>
            <w:vAlign w:val="center"/>
          </w:tcPr>
          <w:p w14:paraId="50DD776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0.99</w:t>
            </w:r>
          </w:p>
        </w:tc>
        <w:tc>
          <w:tcPr>
            <w:tcW w:w="1710" w:type="dxa"/>
            <w:vAlign w:val="center"/>
          </w:tcPr>
          <w:p w14:paraId="5B3B41A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3030</w:t>
            </w:r>
          </w:p>
        </w:tc>
        <w:tc>
          <w:tcPr>
            <w:tcW w:w="1440" w:type="dxa"/>
            <w:vAlign w:val="center"/>
          </w:tcPr>
          <w:p w14:paraId="0B5362B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22.3</w:t>
            </w:r>
          </w:p>
        </w:tc>
        <w:tc>
          <w:tcPr>
            <w:tcW w:w="1612" w:type="dxa"/>
            <w:vAlign w:val="center"/>
          </w:tcPr>
          <w:p w14:paraId="18FECA4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18.2</w:t>
            </w:r>
          </w:p>
        </w:tc>
      </w:tr>
      <w:tr w:rsidR="006B02BB" w:rsidRPr="006B02BB" w14:paraId="4A81B121" w14:textId="77777777" w:rsidTr="006B02BB">
        <w:trPr>
          <w:trHeight w:val="288"/>
          <w:jc w:val="center"/>
        </w:trPr>
        <w:tc>
          <w:tcPr>
            <w:tcW w:w="715" w:type="dxa"/>
            <w:vAlign w:val="center"/>
          </w:tcPr>
          <w:p w14:paraId="73DF9B6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16</w:t>
            </w:r>
          </w:p>
        </w:tc>
        <w:tc>
          <w:tcPr>
            <w:tcW w:w="810" w:type="dxa"/>
            <w:vAlign w:val="center"/>
          </w:tcPr>
          <w:p w14:paraId="6459919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0000</w:t>
            </w:r>
          </w:p>
        </w:tc>
        <w:tc>
          <w:tcPr>
            <w:tcW w:w="720" w:type="dxa"/>
            <w:tcBorders>
              <w:right w:val="dashSmallGap" w:sz="4" w:space="0" w:color="auto"/>
            </w:tcBorders>
            <w:vAlign w:val="center"/>
          </w:tcPr>
          <w:p w14:paraId="5B3324B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22</w:t>
            </w:r>
          </w:p>
        </w:tc>
        <w:tc>
          <w:tcPr>
            <w:tcW w:w="900" w:type="dxa"/>
            <w:tcBorders>
              <w:left w:val="dashSmallGap" w:sz="4" w:space="0" w:color="auto"/>
            </w:tcBorders>
            <w:shd w:val="clear" w:color="auto" w:fill="auto"/>
            <w:noWrap/>
            <w:vAlign w:val="center"/>
          </w:tcPr>
          <w:p w14:paraId="5413AE8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58</w:t>
            </w:r>
          </w:p>
        </w:tc>
        <w:tc>
          <w:tcPr>
            <w:tcW w:w="1260" w:type="dxa"/>
            <w:shd w:val="clear" w:color="auto" w:fill="auto"/>
            <w:noWrap/>
            <w:vAlign w:val="center"/>
          </w:tcPr>
          <w:p w14:paraId="121A960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20F989F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202EAE4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39DFF88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3.577</w:t>
            </w:r>
          </w:p>
        </w:tc>
        <w:tc>
          <w:tcPr>
            <w:tcW w:w="1350" w:type="dxa"/>
            <w:vAlign w:val="center"/>
          </w:tcPr>
          <w:p w14:paraId="604E827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15.1</w:t>
            </w:r>
          </w:p>
        </w:tc>
        <w:tc>
          <w:tcPr>
            <w:tcW w:w="1350" w:type="dxa"/>
            <w:vAlign w:val="center"/>
          </w:tcPr>
          <w:p w14:paraId="3EEF581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0.91</w:t>
            </w:r>
          </w:p>
        </w:tc>
        <w:tc>
          <w:tcPr>
            <w:tcW w:w="1710" w:type="dxa"/>
            <w:vAlign w:val="center"/>
          </w:tcPr>
          <w:p w14:paraId="7F13037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2620</w:t>
            </w:r>
          </w:p>
        </w:tc>
        <w:tc>
          <w:tcPr>
            <w:tcW w:w="1440" w:type="dxa"/>
            <w:vAlign w:val="center"/>
          </w:tcPr>
          <w:p w14:paraId="1778739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1612" w:type="dxa"/>
            <w:vAlign w:val="center"/>
          </w:tcPr>
          <w:p w14:paraId="02F6A0C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24.2</w:t>
            </w:r>
          </w:p>
        </w:tc>
      </w:tr>
      <w:tr w:rsidR="006B02BB" w:rsidRPr="006B02BB" w14:paraId="2CE28FCF" w14:textId="77777777" w:rsidTr="006B02BB">
        <w:trPr>
          <w:trHeight w:val="288"/>
          <w:jc w:val="center"/>
        </w:trPr>
        <w:tc>
          <w:tcPr>
            <w:tcW w:w="715" w:type="dxa"/>
            <w:vAlign w:val="center"/>
          </w:tcPr>
          <w:p w14:paraId="6C750E7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w:t>
            </w:r>
          </w:p>
        </w:tc>
        <w:tc>
          <w:tcPr>
            <w:tcW w:w="810" w:type="dxa"/>
            <w:vAlign w:val="center"/>
          </w:tcPr>
          <w:p w14:paraId="61B9B78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2CC2F2C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900" w:type="dxa"/>
            <w:tcBorders>
              <w:left w:val="dashSmallGap" w:sz="4" w:space="0" w:color="auto"/>
            </w:tcBorders>
            <w:shd w:val="clear" w:color="auto" w:fill="auto"/>
            <w:noWrap/>
            <w:vAlign w:val="center"/>
          </w:tcPr>
          <w:p w14:paraId="4DE8F81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7D815EF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672626A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3DA6334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2C0A1DB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5.095</w:t>
            </w:r>
          </w:p>
        </w:tc>
        <w:tc>
          <w:tcPr>
            <w:tcW w:w="1350" w:type="dxa"/>
            <w:vAlign w:val="center"/>
          </w:tcPr>
          <w:p w14:paraId="1B23813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66.2</w:t>
            </w:r>
          </w:p>
        </w:tc>
        <w:tc>
          <w:tcPr>
            <w:tcW w:w="1350" w:type="dxa"/>
            <w:vAlign w:val="center"/>
          </w:tcPr>
          <w:p w14:paraId="3C205B7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0.71</w:t>
            </w:r>
          </w:p>
        </w:tc>
        <w:tc>
          <w:tcPr>
            <w:tcW w:w="1710" w:type="dxa"/>
            <w:vAlign w:val="center"/>
          </w:tcPr>
          <w:p w14:paraId="4060D6B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 xml:space="preserve">870 </w:t>
            </w:r>
          </w:p>
        </w:tc>
        <w:tc>
          <w:tcPr>
            <w:tcW w:w="1440" w:type="dxa"/>
            <w:vAlign w:val="center"/>
          </w:tcPr>
          <w:p w14:paraId="5E19199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3.5</w:t>
            </w:r>
          </w:p>
        </w:tc>
        <w:tc>
          <w:tcPr>
            <w:tcW w:w="1612" w:type="dxa"/>
            <w:vAlign w:val="center"/>
          </w:tcPr>
          <w:p w14:paraId="03F6C4A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17.9</w:t>
            </w:r>
          </w:p>
        </w:tc>
      </w:tr>
      <w:tr w:rsidR="006B02BB" w:rsidRPr="006B02BB" w14:paraId="34D6811C" w14:textId="77777777" w:rsidTr="006B02BB">
        <w:trPr>
          <w:trHeight w:val="288"/>
          <w:jc w:val="center"/>
        </w:trPr>
        <w:tc>
          <w:tcPr>
            <w:tcW w:w="715" w:type="dxa"/>
            <w:vAlign w:val="center"/>
          </w:tcPr>
          <w:p w14:paraId="0AB3D5F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w:t>
            </w:r>
          </w:p>
        </w:tc>
        <w:tc>
          <w:tcPr>
            <w:tcW w:w="810" w:type="dxa"/>
            <w:vAlign w:val="center"/>
          </w:tcPr>
          <w:p w14:paraId="3023149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4CD95B0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w:t>
            </w:r>
          </w:p>
        </w:tc>
        <w:tc>
          <w:tcPr>
            <w:tcW w:w="900" w:type="dxa"/>
            <w:tcBorders>
              <w:left w:val="dashSmallGap" w:sz="4" w:space="0" w:color="auto"/>
            </w:tcBorders>
            <w:shd w:val="clear" w:color="auto" w:fill="auto"/>
            <w:noWrap/>
            <w:vAlign w:val="center"/>
          </w:tcPr>
          <w:p w14:paraId="4986705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45908E0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55A6576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6973B34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16B09E3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6.212</w:t>
            </w:r>
          </w:p>
        </w:tc>
        <w:tc>
          <w:tcPr>
            <w:tcW w:w="1350" w:type="dxa"/>
            <w:vAlign w:val="center"/>
          </w:tcPr>
          <w:p w14:paraId="10B2FA3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117.1</w:t>
            </w:r>
          </w:p>
        </w:tc>
        <w:tc>
          <w:tcPr>
            <w:tcW w:w="1350" w:type="dxa"/>
            <w:vAlign w:val="center"/>
          </w:tcPr>
          <w:p w14:paraId="3D355C4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0.68</w:t>
            </w:r>
          </w:p>
        </w:tc>
        <w:tc>
          <w:tcPr>
            <w:tcW w:w="1710" w:type="dxa"/>
            <w:vAlign w:val="center"/>
          </w:tcPr>
          <w:p w14:paraId="4322034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320</w:t>
            </w:r>
          </w:p>
        </w:tc>
        <w:tc>
          <w:tcPr>
            <w:tcW w:w="1440" w:type="dxa"/>
            <w:vAlign w:val="center"/>
          </w:tcPr>
          <w:p w14:paraId="0AE3D14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w:t>
            </w:r>
          </w:p>
        </w:tc>
        <w:tc>
          <w:tcPr>
            <w:tcW w:w="1612" w:type="dxa"/>
            <w:vAlign w:val="center"/>
          </w:tcPr>
          <w:p w14:paraId="60E10DA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15.7</w:t>
            </w:r>
          </w:p>
        </w:tc>
      </w:tr>
      <w:tr w:rsidR="006B02BB" w:rsidRPr="006B02BB" w14:paraId="1EC35BD8" w14:textId="77777777" w:rsidTr="006B02BB">
        <w:trPr>
          <w:trHeight w:val="288"/>
          <w:jc w:val="center"/>
        </w:trPr>
        <w:tc>
          <w:tcPr>
            <w:tcW w:w="715" w:type="dxa"/>
            <w:vAlign w:val="center"/>
          </w:tcPr>
          <w:p w14:paraId="2423F22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w:t>
            </w:r>
          </w:p>
        </w:tc>
        <w:tc>
          <w:tcPr>
            <w:tcW w:w="810" w:type="dxa"/>
            <w:vAlign w:val="center"/>
          </w:tcPr>
          <w:p w14:paraId="120D99F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2ED92DE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900" w:type="dxa"/>
            <w:tcBorders>
              <w:left w:val="dashSmallGap" w:sz="4" w:space="0" w:color="auto"/>
            </w:tcBorders>
            <w:shd w:val="clear" w:color="auto" w:fill="auto"/>
            <w:noWrap/>
            <w:vAlign w:val="center"/>
          </w:tcPr>
          <w:p w14:paraId="5CC2596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26EC622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557EC35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7B19CC6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27C2A04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4.563</w:t>
            </w:r>
          </w:p>
        </w:tc>
        <w:tc>
          <w:tcPr>
            <w:tcW w:w="1350" w:type="dxa"/>
            <w:vAlign w:val="center"/>
          </w:tcPr>
          <w:p w14:paraId="708B5AC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23.7</w:t>
            </w:r>
          </w:p>
        </w:tc>
        <w:tc>
          <w:tcPr>
            <w:tcW w:w="1350" w:type="dxa"/>
            <w:vAlign w:val="center"/>
          </w:tcPr>
          <w:p w14:paraId="2D2714E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0.71</w:t>
            </w:r>
          </w:p>
        </w:tc>
        <w:tc>
          <w:tcPr>
            <w:tcW w:w="1710" w:type="dxa"/>
            <w:vAlign w:val="center"/>
          </w:tcPr>
          <w:p w14:paraId="4F58F4B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1340</w:t>
            </w:r>
          </w:p>
        </w:tc>
        <w:tc>
          <w:tcPr>
            <w:tcW w:w="1440" w:type="dxa"/>
            <w:vAlign w:val="center"/>
          </w:tcPr>
          <w:p w14:paraId="22B22AA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7.1</w:t>
            </w:r>
          </w:p>
        </w:tc>
        <w:tc>
          <w:tcPr>
            <w:tcW w:w="1612" w:type="dxa"/>
            <w:vAlign w:val="center"/>
          </w:tcPr>
          <w:p w14:paraId="281A949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22.4</w:t>
            </w:r>
          </w:p>
        </w:tc>
      </w:tr>
      <w:tr w:rsidR="006B02BB" w:rsidRPr="006B02BB" w14:paraId="2AD9E7DD" w14:textId="77777777" w:rsidTr="006B02BB">
        <w:trPr>
          <w:trHeight w:val="288"/>
          <w:jc w:val="center"/>
        </w:trPr>
        <w:tc>
          <w:tcPr>
            <w:tcW w:w="715" w:type="dxa"/>
            <w:vAlign w:val="center"/>
          </w:tcPr>
          <w:p w14:paraId="47A7320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w:t>
            </w:r>
          </w:p>
        </w:tc>
        <w:tc>
          <w:tcPr>
            <w:tcW w:w="810" w:type="dxa"/>
            <w:vAlign w:val="center"/>
          </w:tcPr>
          <w:p w14:paraId="7437181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00A463F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12</w:t>
            </w:r>
          </w:p>
        </w:tc>
        <w:tc>
          <w:tcPr>
            <w:tcW w:w="900" w:type="dxa"/>
            <w:tcBorders>
              <w:left w:val="dashSmallGap" w:sz="4" w:space="0" w:color="auto"/>
            </w:tcBorders>
            <w:shd w:val="clear" w:color="auto" w:fill="auto"/>
            <w:noWrap/>
            <w:vAlign w:val="center"/>
          </w:tcPr>
          <w:p w14:paraId="3D9B5EA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0C8A424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2F1D391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0F231F8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517CB25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3.302</w:t>
            </w:r>
          </w:p>
        </w:tc>
        <w:tc>
          <w:tcPr>
            <w:tcW w:w="1350" w:type="dxa"/>
            <w:vAlign w:val="center"/>
          </w:tcPr>
          <w:p w14:paraId="37D3887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16.7</w:t>
            </w:r>
          </w:p>
        </w:tc>
        <w:tc>
          <w:tcPr>
            <w:tcW w:w="1350" w:type="dxa"/>
            <w:vAlign w:val="center"/>
          </w:tcPr>
          <w:p w14:paraId="4926AED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1.03</w:t>
            </w:r>
          </w:p>
        </w:tc>
        <w:tc>
          <w:tcPr>
            <w:tcW w:w="1710" w:type="dxa"/>
            <w:vAlign w:val="center"/>
          </w:tcPr>
          <w:p w14:paraId="6C0E731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2600</w:t>
            </w:r>
          </w:p>
        </w:tc>
        <w:tc>
          <w:tcPr>
            <w:tcW w:w="1440" w:type="dxa"/>
            <w:vAlign w:val="center"/>
          </w:tcPr>
          <w:p w14:paraId="0162961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17.0</w:t>
            </w:r>
          </w:p>
        </w:tc>
        <w:tc>
          <w:tcPr>
            <w:tcW w:w="1612" w:type="dxa"/>
            <w:vAlign w:val="center"/>
          </w:tcPr>
          <w:p w14:paraId="3E24F50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25.8</w:t>
            </w:r>
          </w:p>
        </w:tc>
      </w:tr>
      <w:tr w:rsidR="006B02BB" w:rsidRPr="006B02BB" w14:paraId="42DDBAB3" w14:textId="77777777" w:rsidTr="006B02BB">
        <w:trPr>
          <w:trHeight w:val="288"/>
          <w:jc w:val="center"/>
        </w:trPr>
        <w:tc>
          <w:tcPr>
            <w:tcW w:w="715" w:type="dxa"/>
            <w:vAlign w:val="center"/>
          </w:tcPr>
          <w:p w14:paraId="04A0DD0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21</w:t>
            </w:r>
          </w:p>
        </w:tc>
        <w:tc>
          <w:tcPr>
            <w:tcW w:w="810" w:type="dxa"/>
            <w:vAlign w:val="center"/>
          </w:tcPr>
          <w:p w14:paraId="2A4D3EC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706DFFD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16</w:t>
            </w:r>
          </w:p>
        </w:tc>
        <w:tc>
          <w:tcPr>
            <w:tcW w:w="900" w:type="dxa"/>
            <w:tcBorders>
              <w:left w:val="dashSmallGap" w:sz="4" w:space="0" w:color="auto"/>
            </w:tcBorders>
            <w:shd w:val="clear" w:color="auto" w:fill="auto"/>
            <w:noWrap/>
            <w:vAlign w:val="center"/>
          </w:tcPr>
          <w:p w14:paraId="46FD4AC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7E2B770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shd w:val="clear" w:color="auto" w:fill="auto"/>
            <w:noWrap/>
            <w:vAlign w:val="center"/>
          </w:tcPr>
          <w:p w14:paraId="64816E1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5468D3E6"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5496083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4.033</w:t>
            </w:r>
          </w:p>
        </w:tc>
        <w:tc>
          <w:tcPr>
            <w:tcW w:w="1350" w:type="dxa"/>
            <w:vAlign w:val="center"/>
          </w:tcPr>
          <w:p w14:paraId="1AC5911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89.0</w:t>
            </w:r>
          </w:p>
        </w:tc>
        <w:tc>
          <w:tcPr>
            <w:tcW w:w="1350" w:type="dxa"/>
            <w:vAlign w:val="center"/>
          </w:tcPr>
          <w:p w14:paraId="285B6C1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0.78</w:t>
            </w:r>
          </w:p>
        </w:tc>
        <w:tc>
          <w:tcPr>
            <w:tcW w:w="1710" w:type="dxa"/>
            <w:vAlign w:val="center"/>
          </w:tcPr>
          <w:p w14:paraId="564F185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760</w:t>
            </w:r>
          </w:p>
        </w:tc>
        <w:tc>
          <w:tcPr>
            <w:tcW w:w="1440" w:type="dxa"/>
            <w:vAlign w:val="center"/>
          </w:tcPr>
          <w:p w14:paraId="33663F0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4.2</w:t>
            </w:r>
          </w:p>
        </w:tc>
        <w:tc>
          <w:tcPr>
            <w:tcW w:w="1612" w:type="dxa"/>
            <w:vAlign w:val="center"/>
          </w:tcPr>
          <w:p w14:paraId="748C3BC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27.9</w:t>
            </w:r>
          </w:p>
        </w:tc>
      </w:tr>
      <w:tr w:rsidR="006B02BB" w:rsidRPr="006B02BB" w14:paraId="0BAB39F5" w14:textId="77777777" w:rsidTr="006B02BB">
        <w:trPr>
          <w:trHeight w:val="288"/>
          <w:jc w:val="center"/>
        </w:trPr>
        <w:tc>
          <w:tcPr>
            <w:tcW w:w="715" w:type="dxa"/>
            <w:vAlign w:val="center"/>
          </w:tcPr>
          <w:p w14:paraId="4F503F77"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22</w:t>
            </w:r>
          </w:p>
        </w:tc>
        <w:tc>
          <w:tcPr>
            <w:tcW w:w="810" w:type="dxa"/>
            <w:vAlign w:val="center"/>
          </w:tcPr>
          <w:p w14:paraId="549F9B4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0A151E4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w:t>
            </w:r>
          </w:p>
        </w:tc>
        <w:tc>
          <w:tcPr>
            <w:tcW w:w="900" w:type="dxa"/>
            <w:tcBorders>
              <w:left w:val="dashSmallGap" w:sz="4" w:space="0" w:color="auto"/>
            </w:tcBorders>
            <w:shd w:val="clear" w:color="auto" w:fill="auto"/>
            <w:noWrap/>
            <w:vAlign w:val="center"/>
          </w:tcPr>
          <w:p w14:paraId="6738678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79E9AEE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14E747C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right w:val="dashSmallGap" w:sz="4" w:space="0" w:color="auto"/>
            </w:tcBorders>
            <w:noWrap/>
            <w:vAlign w:val="center"/>
          </w:tcPr>
          <w:p w14:paraId="07B98D5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w:t>
            </w:r>
          </w:p>
        </w:tc>
        <w:tc>
          <w:tcPr>
            <w:tcW w:w="1350" w:type="dxa"/>
          </w:tcPr>
          <w:p w14:paraId="746EFEB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3.263</w:t>
            </w:r>
          </w:p>
        </w:tc>
        <w:tc>
          <w:tcPr>
            <w:tcW w:w="1350" w:type="dxa"/>
            <w:vAlign w:val="center"/>
          </w:tcPr>
          <w:p w14:paraId="612FA03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33.3</w:t>
            </w:r>
          </w:p>
        </w:tc>
        <w:tc>
          <w:tcPr>
            <w:tcW w:w="1350" w:type="dxa"/>
            <w:vAlign w:val="center"/>
          </w:tcPr>
          <w:p w14:paraId="7B21DB5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0.96</w:t>
            </w:r>
          </w:p>
        </w:tc>
        <w:tc>
          <w:tcPr>
            <w:tcW w:w="1710" w:type="dxa"/>
            <w:vAlign w:val="center"/>
          </w:tcPr>
          <w:p w14:paraId="5CE9248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1090</w:t>
            </w:r>
          </w:p>
        </w:tc>
        <w:tc>
          <w:tcPr>
            <w:tcW w:w="1440" w:type="dxa"/>
            <w:vAlign w:val="center"/>
          </w:tcPr>
          <w:p w14:paraId="772BFDA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3.8</w:t>
            </w:r>
          </w:p>
        </w:tc>
        <w:tc>
          <w:tcPr>
            <w:tcW w:w="1612" w:type="dxa"/>
            <w:vAlign w:val="center"/>
          </w:tcPr>
          <w:p w14:paraId="6DAFC87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26.5</w:t>
            </w:r>
          </w:p>
        </w:tc>
      </w:tr>
      <w:tr w:rsidR="006B02BB" w:rsidRPr="006B02BB" w14:paraId="2C40A75F" w14:textId="77777777" w:rsidTr="006B02BB">
        <w:trPr>
          <w:trHeight w:val="288"/>
          <w:jc w:val="center"/>
        </w:trPr>
        <w:tc>
          <w:tcPr>
            <w:tcW w:w="715" w:type="dxa"/>
            <w:vAlign w:val="center"/>
          </w:tcPr>
          <w:p w14:paraId="42DB17B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23</w:t>
            </w:r>
          </w:p>
        </w:tc>
        <w:tc>
          <w:tcPr>
            <w:tcW w:w="810" w:type="dxa"/>
            <w:vAlign w:val="center"/>
          </w:tcPr>
          <w:p w14:paraId="6A2890C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A000</w:t>
            </w:r>
          </w:p>
        </w:tc>
        <w:tc>
          <w:tcPr>
            <w:tcW w:w="720" w:type="dxa"/>
            <w:tcBorders>
              <w:right w:val="dashSmallGap" w:sz="4" w:space="0" w:color="auto"/>
            </w:tcBorders>
            <w:vAlign w:val="center"/>
          </w:tcPr>
          <w:p w14:paraId="31480ED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w:t>
            </w:r>
          </w:p>
        </w:tc>
        <w:tc>
          <w:tcPr>
            <w:tcW w:w="900" w:type="dxa"/>
            <w:tcBorders>
              <w:left w:val="dashSmallGap" w:sz="4" w:space="0" w:color="auto"/>
            </w:tcBorders>
            <w:shd w:val="clear" w:color="auto" w:fill="auto"/>
            <w:noWrap/>
            <w:vAlign w:val="center"/>
          </w:tcPr>
          <w:p w14:paraId="346D5BEA"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626C00B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190</w:t>
            </w:r>
          </w:p>
        </w:tc>
        <w:tc>
          <w:tcPr>
            <w:tcW w:w="900" w:type="dxa"/>
            <w:shd w:val="clear" w:color="auto" w:fill="auto"/>
            <w:noWrap/>
            <w:vAlign w:val="center"/>
          </w:tcPr>
          <w:p w14:paraId="64653F9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1.38</w:t>
            </w:r>
          </w:p>
        </w:tc>
        <w:tc>
          <w:tcPr>
            <w:tcW w:w="720" w:type="dxa"/>
            <w:tcBorders>
              <w:right w:val="dashSmallGap" w:sz="4" w:space="0" w:color="auto"/>
            </w:tcBorders>
            <w:noWrap/>
            <w:vAlign w:val="center"/>
          </w:tcPr>
          <w:p w14:paraId="1B45FB3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5</w:t>
            </w:r>
          </w:p>
        </w:tc>
        <w:tc>
          <w:tcPr>
            <w:tcW w:w="1350" w:type="dxa"/>
          </w:tcPr>
          <w:p w14:paraId="66C2777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3.603</w:t>
            </w:r>
          </w:p>
        </w:tc>
        <w:tc>
          <w:tcPr>
            <w:tcW w:w="1350" w:type="dxa"/>
            <w:vAlign w:val="center"/>
          </w:tcPr>
          <w:p w14:paraId="4D6EFDC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27.5</w:t>
            </w:r>
          </w:p>
        </w:tc>
        <w:tc>
          <w:tcPr>
            <w:tcW w:w="1350" w:type="dxa"/>
            <w:vAlign w:val="center"/>
          </w:tcPr>
          <w:p w14:paraId="360BAA4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0.89</w:t>
            </w:r>
          </w:p>
        </w:tc>
        <w:tc>
          <w:tcPr>
            <w:tcW w:w="1710" w:type="dxa"/>
            <w:vAlign w:val="center"/>
          </w:tcPr>
          <w:p w14:paraId="7890CCA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2010</w:t>
            </w:r>
          </w:p>
        </w:tc>
        <w:tc>
          <w:tcPr>
            <w:tcW w:w="1440" w:type="dxa"/>
            <w:vAlign w:val="center"/>
          </w:tcPr>
          <w:p w14:paraId="6607C82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7.9</w:t>
            </w:r>
          </w:p>
        </w:tc>
        <w:tc>
          <w:tcPr>
            <w:tcW w:w="1612" w:type="dxa"/>
            <w:vAlign w:val="center"/>
          </w:tcPr>
          <w:p w14:paraId="5395934C"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27.1</w:t>
            </w:r>
          </w:p>
        </w:tc>
      </w:tr>
      <w:tr w:rsidR="006B02BB" w:rsidRPr="006B02BB" w14:paraId="7970463B" w14:textId="77777777" w:rsidTr="006B02BB">
        <w:trPr>
          <w:trHeight w:val="288"/>
          <w:jc w:val="center"/>
        </w:trPr>
        <w:tc>
          <w:tcPr>
            <w:tcW w:w="715" w:type="dxa"/>
            <w:vAlign w:val="center"/>
          </w:tcPr>
          <w:p w14:paraId="4761BC6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24</w:t>
            </w:r>
          </w:p>
        </w:tc>
        <w:tc>
          <w:tcPr>
            <w:tcW w:w="810" w:type="dxa"/>
            <w:vAlign w:val="center"/>
          </w:tcPr>
          <w:p w14:paraId="0B85B3E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right w:val="dashSmallGap" w:sz="4" w:space="0" w:color="auto"/>
            </w:tcBorders>
            <w:vAlign w:val="center"/>
          </w:tcPr>
          <w:p w14:paraId="235381C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23</w:t>
            </w:r>
          </w:p>
        </w:tc>
        <w:tc>
          <w:tcPr>
            <w:tcW w:w="900" w:type="dxa"/>
            <w:tcBorders>
              <w:left w:val="dashSmallGap" w:sz="4" w:space="0" w:color="auto"/>
            </w:tcBorders>
            <w:shd w:val="clear" w:color="auto" w:fill="auto"/>
            <w:noWrap/>
            <w:vAlign w:val="center"/>
          </w:tcPr>
          <w:p w14:paraId="55A5A4F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shd w:val="clear" w:color="auto" w:fill="auto"/>
            <w:noWrap/>
            <w:vAlign w:val="center"/>
          </w:tcPr>
          <w:p w14:paraId="4EB6D8D2"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195</w:t>
            </w:r>
          </w:p>
        </w:tc>
        <w:tc>
          <w:tcPr>
            <w:tcW w:w="900" w:type="dxa"/>
            <w:shd w:val="clear" w:color="auto" w:fill="auto"/>
            <w:noWrap/>
            <w:vAlign w:val="center"/>
          </w:tcPr>
          <w:p w14:paraId="57A8CD8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0.69</w:t>
            </w:r>
          </w:p>
        </w:tc>
        <w:tc>
          <w:tcPr>
            <w:tcW w:w="720" w:type="dxa"/>
            <w:tcBorders>
              <w:right w:val="dashSmallGap" w:sz="4" w:space="0" w:color="auto"/>
            </w:tcBorders>
            <w:noWrap/>
            <w:vAlign w:val="center"/>
          </w:tcPr>
          <w:p w14:paraId="01E07FD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Pr>
          <w:p w14:paraId="1C953AD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3.815</w:t>
            </w:r>
          </w:p>
        </w:tc>
        <w:tc>
          <w:tcPr>
            <w:tcW w:w="1350" w:type="dxa"/>
            <w:vAlign w:val="center"/>
          </w:tcPr>
          <w:p w14:paraId="24000F6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30.6</w:t>
            </w:r>
          </w:p>
        </w:tc>
        <w:tc>
          <w:tcPr>
            <w:tcW w:w="1350" w:type="dxa"/>
            <w:vAlign w:val="center"/>
          </w:tcPr>
          <w:p w14:paraId="315A8D4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0.83</w:t>
            </w:r>
          </w:p>
        </w:tc>
        <w:tc>
          <w:tcPr>
            <w:tcW w:w="1710" w:type="dxa"/>
            <w:vAlign w:val="center"/>
          </w:tcPr>
          <w:p w14:paraId="79E98CA4"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1860</w:t>
            </w:r>
          </w:p>
        </w:tc>
        <w:tc>
          <w:tcPr>
            <w:tcW w:w="1440" w:type="dxa"/>
            <w:vAlign w:val="center"/>
          </w:tcPr>
          <w:p w14:paraId="0FC558D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10.3</w:t>
            </w:r>
          </w:p>
        </w:tc>
        <w:tc>
          <w:tcPr>
            <w:tcW w:w="1612" w:type="dxa"/>
            <w:vAlign w:val="center"/>
          </w:tcPr>
          <w:p w14:paraId="20EE84FB"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18.0</w:t>
            </w:r>
          </w:p>
        </w:tc>
      </w:tr>
      <w:tr w:rsidR="006B02BB" w:rsidRPr="006B02BB" w14:paraId="7950AE1C" w14:textId="77777777" w:rsidTr="006B02BB">
        <w:trPr>
          <w:trHeight w:val="288"/>
          <w:jc w:val="center"/>
        </w:trPr>
        <w:tc>
          <w:tcPr>
            <w:tcW w:w="715" w:type="dxa"/>
            <w:tcBorders>
              <w:bottom w:val="single" w:sz="4" w:space="0" w:color="auto"/>
            </w:tcBorders>
            <w:vAlign w:val="center"/>
          </w:tcPr>
          <w:p w14:paraId="6343365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25</w:t>
            </w:r>
          </w:p>
        </w:tc>
        <w:tc>
          <w:tcPr>
            <w:tcW w:w="810" w:type="dxa"/>
            <w:tcBorders>
              <w:bottom w:val="single" w:sz="4" w:space="0" w:color="auto"/>
            </w:tcBorders>
            <w:vAlign w:val="center"/>
          </w:tcPr>
          <w:p w14:paraId="2488EA5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w:t>
            </w:r>
          </w:p>
        </w:tc>
        <w:tc>
          <w:tcPr>
            <w:tcW w:w="720" w:type="dxa"/>
            <w:tcBorders>
              <w:bottom w:val="single" w:sz="4" w:space="0" w:color="auto"/>
              <w:right w:val="dashSmallGap" w:sz="4" w:space="0" w:color="auto"/>
            </w:tcBorders>
            <w:vAlign w:val="center"/>
          </w:tcPr>
          <w:p w14:paraId="33930F08"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24</w:t>
            </w:r>
          </w:p>
        </w:tc>
        <w:tc>
          <w:tcPr>
            <w:tcW w:w="900" w:type="dxa"/>
            <w:tcBorders>
              <w:left w:val="dashSmallGap" w:sz="4" w:space="0" w:color="auto"/>
              <w:bottom w:val="single" w:sz="4" w:space="0" w:color="auto"/>
            </w:tcBorders>
            <w:shd w:val="clear" w:color="auto" w:fill="auto"/>
            <w:noWrap/>
            <w:vAlign w:val="center"/>
          </w:tcPr>
          <w:p w14:paraId="2BB47050"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70</w:t>
            </w:r>
          </w:p>
        </w:tc>
        <w:tc>
          <w:tcPr>
            <w:tcW w:w="1260" w:type="dxa"/>
            <w:tcBorders>
              <w:bottom w:val="single" w:sz="4" w:space="0" w:color="auto"/>
            </w:tcBorders>
            <w:shd w:val="clear" w:color="auto" w:fill="auto"/>
            <w:noWrap/>
            <w:vAlign w:val="center"/>
          </w:tcPr>
          <w:p w14:paraId="44456EB3"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185</w:t>
            </w:r>
          </w:p>
        </w:tc>
        <w:tc>
          <w:tcPr>
            <w:tcW w:w="900" w:type="dxa"/>
            <w:tcBorders>
              <w:bottom w:val="single" w:sz="4" w:space="0" w:color="auto"/>
            </w:tcBorders>
            <w:shd w:val="clear" w:color="auto" w:fill="auto"/>
            <w:noWrap/>
            <w:vAlign w:val="center"/>
          </w:tcPr>
          <w:p w14:paraId="36B4A75D"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w:t>
            </w:r>
          </w:p>
        </w:tc>
        <w:tc>
          <w:tcPr>
            <w:tcW w:w="720" w:type="dxa"/>
            <w:tcBorders>
              <w:bottom w:val="single" w:sz="4" w:space="0" w:color="auto"/>
              <w:right w:val="dashSmallGap" w:sz="4" w:space="0" w:color="auto"/>
            </w:tcBorders>
            <w:noWrap/>
            <w:vAlign w:val="center"/>
          </w:tcPr>
          <w:p w14:paraId="4B85688F"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8</w:t>
            </w:r>
          </w:p>
        </w:tc>
        <w:tc>
          <w:tcPr>
            <w:tcW w:w="1350" w:type="dxa"/>
            <w:tcBorders>
              <w:bottom w:val="single" w:sz="4" w:space="0" w:color="auto"/>
            </w:tcBorders>
          </w:tcPr>
          <w:p w14:paraId="5809249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3.500</w:t>
            </w:r>
          </w:p>
        </w:tc>
        <w:tc>
          <w:tcPr>
            <w:tcW w:w="1350" w:type="dxa"/>
            <w:tcBorders>
              <w:bottom w:val="single" w:sz="4" w:space="0" w:color="auto"/>
            </w:tcBorders>
            <w:vAlign w:val="center"/>
          </w:tcPr>
          <w:p w14:paraId="71CEA619"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21.9</w:t>
            </w:r>
          </w:p>
        </w:tc>
        <w:tc>
          <w:tcPr>
            <w:tcW w:w="1350" w:type="dxa"/>
            <w:tcBorders>
              <w:bottom w:val="single" w:sz="4" w:space="0" w:color="auto"/>
            </w:tcBorders>
            <w:vAlign w:val="center"/>
          </w:tcPr>
          <w:p w14:paraId="1FC7121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0.76</w:t>
            </w:r>
          </w:p>
        </w:tc>
        <w:tc>
          <w:tcPr>
            <w:tcW w:w="1710" w:type="dxa"/>
            <w:tcBorders>
              <w:bottom w:val="single" w:sz="4" w:space="0" w:color="auto"/>
            </w:tcBorders>
            <w:vAlign w:val="center"/>
          </w:tcPr>
          <w:p w14:paraId="330D72FE"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2070</w:t>
            </w:r>
          </w:p>
        </w:tc>
        <w:tc>
          <w:tcPr>
            <w:tcW w:w="1440" w:type="dxa"/>
            <w:tcBorders>
              <w:bottom w:val="single" w:sz="4" w:space="0" w:color="auto"/>
            </w:tcBorders>
            <w:vAlign w:val="center"/>
          </w:tcPr>
          <w:p w14:paraId="26013911"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11.4</w:t>
            </w:r>
          </w:p>
        </w:tc>
        <w:tc>
          <w:tcPr>
            <w:tcW w:w="1612" w:type="dxa"/>
            <w:tcBorders>
              <w:bottom w:val="single" w:sz="4" w:space="0" w:color="auto"/>
            </w:tcBorders>
            <w:vAlign w:val="center"/>
          </w:tcPr>
          <w:p w14:paraId="17F6FCE5" w14:textId="77777777" w:rsidR="006B02BB" w:rsidRPr="006B02BB" w:rsidRDefault="006B02BB" w:rsidP="006B02BB">
            <w:pPr>
              <w:spacing w:line="240" w:lineRule="auto"/>
              <w:ind w:firstLine="0"/>
              <w:jc w:val="center"/>
              <w:rPr>
                <w:rFonts w:eastAsia="Calibri"/>
                <w:sz w:val="20"/>
                <w:szCs w:val="20"/>
              </w:rPr>
            </w:pPr>
            <w:r w:rsidRPr="006B02BB">
              <w:rPr>
                <w:rFonts w:eastAsia="Calibri"/>
                <w:sz w:val="20"/>
                <w:szCs w:val="20"/>
              </w:rPr>
              <w:t>32.1</w:t>
            </w:r>
          </w:p>
        </w:tc>
      </w:tr>
    </w:tbl>
    <w:p w14:paraId="6E1E26D3" w14:textId="48B5771B" w:rsidR="006B02BB" w:rsidRDefault="006B02BB">
      <w:pPr>
        <w:spacing w:after="160" w:line="259" w:lineRule="auto"/>
        <w:ind w:firstLine="0"/>
        <w:jc w:val="left"/>
      </w:pPr>
    </w:p>
    <w:p w14:paraId="045C28E9" w14:textId="77777777" w:rsidR="006B02BB" w:rsidRDefault="006B02BB" w:rsidP="006B02BB">
      <w:pPr>
        <w:sectPr w:rsidR="006B02BB" w:rsidSect="006B02BB">
          <w:pgSz w:w="15840" w:h="12240" w:orient="landscape"/>
          <w:pgMar w:top="720" w:right="720" w:bottom="720" w:left="720" w:header="720" w:footer="720" w:gutter="0"/>
          <w:cols w:space="720"/>
          <w:docGrid w:linePitch="360"/>
        </w:sectPr>
      </w:pPr>
    </w:p>
    <w:p w14:paraId="3017CA02" w14:textId="1544091C" w:rsidR="006B02BB" w:rsidRPr="006B02BB" w:rsidRDefault="006B02BB" w:rsidP="006B02BB">
      <w:pPr>
        <w:ind w:firstLine="0"/>
      </w:pPr>
      <w:r w:rsidRPr="006B02BB">
        <w:lastRenderedPageBreak/>
        <w:t>ranged from 2.722 to 6.212 mm. The density of the panel ranged from 0.68 to 1.05 g/cm</w:t>
      </w:r>
      <w:r w:rsidRPr="006B02BB">
        <w:rPr>
          <w:vertAlign w:val="superscript"/>
        </w:rPr>
        <w:t>3</w:t>
      </w:r>
      <w:r w:rsidRPr="006B02BB">
        <w:t>. The twenty-four-hour water uptake ranged from 4% to 117%. The flexural modulus ranged from 320 to 3800 MPa.  The yield strength ranged from 1.8 to 30.5 MPa. The Izod impact strength ranged from 12.2 to 41.4 kJ/m</w:t>
      </w:r>
      <w:r w:rsidRPr="006B02BB">
        <w:rPr>
          <w:vertAlign w:val="superscript"/>
        </w:rPr>
        <w:t>2</w:t>
      </w:r>
      <w:r w:rsidRPr="006B02BB">
        <w:t>. For all six measured properties, the measured range includes values that fall below and above acceptable thresholds for automotive applications. Thresholding will be discussed further in the optimization section.</w:t>
      </w:r>
    </w:p>
    <w:p w14:paraId="653B6E3F" w14:textId="7D22D592" w:rsidR="006B02BB" w:rsidRDefault="006B02BB" w:rsidP="006B02BB">
      <w:r w:rsidRPr="006B02BB">
        <w:t xml:space="preserve">In </w:t>
      </w:r>
      <w:r w:rsidRPr="006B02BB">
        <w:rPr>
          <w:b/>
          <w:bCs/>
        </w:rPr>
        <w:t>Table 2.4</w:t>
      </w:r>
      <w:r w:rsidRPr="006B02BB">
        <w:t>, we report the Pearson correlation coefficients between the four process variables and the five measured material properties. Pearson correlation coefficients range from -1 to 1, with values closer to |1| indicating a greater correlation between two variables. Positive correlation coefficients indicate a direct relationship, while</w:t>
      </w:r>
      <w:r>
        <w:t xml:space="preserve"> </w:t>
      </w:r>
      <w:r w:rsidRPr="006B02BB">
        <w:t xml:space="preserve">negative coefficients indicate an inverse relationship </w:t>
      </w:r>
      <w:r w:rsidRPr="006B02BB">
        <w:fldChar w:fldCharType="begin"/>
      </w:r>
      <w:r w:rsidRPr="006B02BB">
        <w:instrText xml:space="preserve"> ADDIN ZOTERO_ITEM CSL_CITATION {"citationID":"TtTEs1t4","properties":{"formattedCitation":"[76]","plainCitation":"[76]","noteIndex":0},"citationItems":[{"id":1732,"uris":["http://zotero.org/users/3415649/items/MUDQBIT8"],"itemData":{"id":1732,"type":"chapter","container-title":"Encyclopedia of Public Health","event-place":"Dordrecht","ISBN":"978-1-4020-5613-0","language":"en","note":"DOI: 10.1007/978-1-4020-5614-7_2569","page":"1090-1091","publisher":"Springer Netherlands","publisher-place":"Dordrecht","source":"DOI.org (Crossref)","title":"Pearson’s Correlation Coefficient","URL":"https://link.springer.com/10.1007/978-1-4020-5614-7_2569","editor":[{"family":"Kirch","given":"Wilhelm"}],"accessed":{"date-parts":[["2023",11,9]]},"issued":{"date-parts":[["2008"]]}}}],"schema":"https://github.com/citation-style-language/schema/raw/master/csl-citation.json"} </w:instrText>
      </w:r>
      <w:r w:rsidRPr="006B02BB">
        <w:fldChar w:fldCharType="separate"/>
      </w:r>
      <w:r w:rsidRPr="006B02BB">
        <w:t>[76]</w:t>
      </w:r>
      <w:r w:rsidRPr="006B02BB">
        <w:fldChar w:fldCharType="end"/>
      </w:r>
      <w:r w:rsidRPr="006B02BB">
        <w:t xml:space="preserve">. For the majority of properties, fiber content has the largest correlation coefficient, indicating that has the greatest impact on those properties. The exception to this is Izod impact strength, for which temperature has the largest correlation coefficient. The correlation coefficients of the remaining three process variables are more challenging to compare, as they are very similar.  The average correlation coefficients for temperature, time, and pressure are 0.34, 0.31, and 0.31, respectively. It should be noted however, that correlation coefficients in this range only indicate a low degree of linear correlation, which limits the ability to draw strong conclusions from this data alone </w:t>
      </w:r>
      <w:r w:rsidRPr="006B02BB">
        <w:fldChar w:fldCharType="begin"/>
      </w:r>
      <w:r w:rsidRPr="006B02BB">
        <w:instrText xml:space="preserve"> ADDIN ZOTERO_ITEM CSL_CITATION {"citationID":"zxkVeQJk","properties":{"formattedCitation":"[77]","plainCitation":"[77]","noteIndex":0},"citationItems":[{"id":1697,"uris":["http://zotero.org/users/3415649/items/YXETAXUH"],"itemData":{"id":1697,"type":"article-journal","container-title":"Critical Reviews in Analytical Chemistry","DOI":"10.1080/10408340500526766","ISSN":"1040-8347, 1547-6510","issue":"1","journalAbbreviation":"Critical Reviews in Analytical Chemistry","language":"en","page":"41-59","source":"DOI.org (Crossref)","title":"The Correlation Coefficient: An Overview","title-short":"The Correlation Coefficient","volume":"36","author":[{"family":"Asuero","given":"A. G."},{"family":"Sayago","given":"A."},{"family":"González","given":"A. G."}],"issued":{"date-parts":[["2006",1]]}}}],"schema":"https://github.com/citation-style-language/schema/raw/master/csl-citation.json"} </w:instrText>
      </w:r>
      <w:r w:rsidRPr="006B02BB">
        <w:fldChar w:fldCharType="separate"/>
      </w:r>
      <w:r w:rsidRPr="006B02BB">
        <w:t>[77]</w:t>
      </w:r>
      <w:r w:rsidRPr="006B02BB">
        <w:fldChar w:fldCharType="end"/>
      </w:r>
      <w:r w:rsidRPr="006B02BB">
        <w:t xml:space="preserve">. </w:t>
      </w:r>
    </w:p>
    <w:p w14:paraId="16C2D645" w14:textId="77777777" w:rsidR="00195CAD" w:rsidRDefault="006B02BB" w:rsidP="006B02BB">
      <w:r w:rsidRPr="006B02BB">
        <w:t xml:space="preserve">Fiber content has the greatest impact on composite performance, considering that composite mechanical properties and water uptake are dominated by paper fibers rather than the matrix. Only the paper fibers provide mechanical reinforcement and absorb moisture given the hydrophobic nature of polypropylene. Density is also largely a function of the proportions of the two materials used, as paper fibers have a higher inherent density. The processing parameters dictate consolidation and resulting void volume during molding. The remaining composite properties depend largely on the relationship between polymer viscosity, time, temperature, and shear rate. These interactions are not captured by the individual correlation coefficients which convolutes the interpretation of this data. Time appears to have the largest impact on performance beyond fiber content. This arises from a wide processing range studied in comparison to pressure and temperature. Both the </w:t>
      </w:r>
    </w:p>
    <w:p w14:paraId="2BC5A1D9" w14:textId="77777777" w:rsidR="00195CAD" w:rsidRDefault="00195CAD" w:rsidP="00195CAD">
      <w:pPr>
        <w:pStyle w:val="TableHeading"/>
      </w:pPr>
      <w:r w:rsidRPr="00195CAD">
        <w:lastRenderedPageBreak/>
        <w:t xml:space="preserve">Table 2.4 </w:t>
      </w:r>
      <w:r w:rsidRPr="00195CAD">
        <w:rPr>
          <w:b w:val="0"/>
          <w:bCs w:val="0"/>
        </w:rPr>
        <w:t>Pearson’s correlation coefficients for material properties vs process variables</w:t>
      </w:r>
      <w:r w:rsidRPr="00195CAD" w:rsidDel="00B30D17">
        <w:t xml:space="preserve"> </w:t>
      </w:r>
    </w:p>
    <w:tbl>
      <w:tblPr>
        <w:tblStyle w:val="TableGrid"/>
        <w:tblW w:w="5019" w:type="pct"/>
        <w:jc w:val="center"/>
        <w:tblLook w:val="04A0" w:firstRow="1" w:lastRow="0" w:firstColumn="1" w:lastColumn="0" w:noHBand="0" w:noVBand="1"/>
      </w:tblPr>
      <w:tblGrid>
        <w:gridCol w:w="3345"/>
        <w:gridCol w:w="1075"/>
        <w:gridCol w:w="1577"/>
        <w:gridCol w:w="1108"/>
        <w:gridCol w:w="1568"/>
      </w:tblGrid>
      <w:tr w:rsidR="00195CAD" w:rsidRPr="00195CAD" w14:paraId="1498E55A" w14:textId="77777777" w:rsidTr="00585B95">
        <w:trPr>
          <w:trHeight w:val="360"/>
          <w:jc w:val="center"/>
        </w:trPr>
        <w:tc>
          <w:tcPr>
            <w:tcW w:w="1928" w:type="pct"/>
            <w:vMerge w:val="restart"/>
            <w:tcBorders>
              <w:top w:val="single" w:sz="4" w:space="0" w:color="auto"/>
              <w:left w:val="nil"/>
              <w:right w:val="nil"/>
            </w:tcBorders>
            <w:vAlign w:val="center"/>
          </w:tcPr>
          <w:p w14:paraId="25A741D2" w14:textId="77777777" w:rsidR="00195CAD" w:rsidRPr="00195CAD" w:rsidRDefault="00195CAD" w:rsidP="00195CAD">
            <w:pPr>
              <w:pStyle w:val="TableHeading"/>
            </w:pPr>
            <w:r w:rsidRPr="00195CAD">
              <w:t>Material Properties</w:t>
            </w:r>
          </w:p>
        </w:tc>
        <w:tc>
          <w:tcPr>
            <w:tcW w:w="3072" w:type="pct"/>
            <w:gridSpan w:val="4"/>
            <w:tcBorders>
              <w:top w:val="single" w:sz="4" w:space="0" w:color="auto"/>
              <w:left w:val="nil"/>
              <w:bottom w:val="nil"/>
              <w:right w:val="nil"/>
            </w:tcBorders>
            <w:vAlign w:val="center"/>
          </w:tcPr>
          <w:p w14:paraId="1C94D415" w14:textId="77777777" w:rsidR="00195CAD" w:rsidRPr="00195CAD" w:rsidRDefault="00195CAD" w:rsidP="00195CAD">
            <w:pPr>
              <w:pStyle w:val="TableHeading"/>
              <w:rPr>
                <w:b w:val="0"/>
                <w:bCs w:val="0"/>
              </w:rPr>
            </w:pPr>
            <w:r w:rsidRPr="00195CAD">
              <w:rPr>
                <w:b w:val="0"/>
                <w:bCs w:val="0"/>
              </w:rPr>
              <w:t>Process Variables</w:t>
            </w:r>
          </w:p>
        </w:tc>
      </w:tr>
      <w:tr w:rsidR="00195CAD" w:rsidRPr="00195CAD" w14:paraId="285820E0" w14:textId="77777777" w:rsidTr="00585B95">
        <w:trPr>
          <w:trHeight w:val="360"/>
          <w:jc w:val="center"/>
        </w:trPr>
        <w:tc>
          <w:tcPr>
            <w:tcW w:w="1928" w:type="pct"/>
            <w:vMerge/>
            <w:tcBorders>
              <w:left w:val="nil"/>
              <w:bottom w:val="single" w:sz="4" w:space="0" w:color="auto"/>
              <w:right w:val="nil"/>
            </w:tcBorders>
            <w:vAlign w:val="center"/>
          </w:tcPr>
          <w:p w14:paraId="48A35841" w14:textId="77777777" w:rsidR="00195CAD" w:rsidRPr="00195CAD" w:rsidRDefault="00195CAD" w:rsidP="00195CAD">
            <w:pPr>
              <w:pStyle w:val="TableHeading"/>
              <w:rPr>
                <w:b w:val="0"/>
                <w:bCs w:val="0"/>
              </w:rPr>
            </w:pPr>
          </w:p>
        </w:tc>
        <w:tc>
          <w:tcPr>
            <w:tcW w:w="620" w:type="pct"/>
            <w:tcBorders>
              <w:top w:val="nil"/>
              <w:left w:val="nil"/>
              <w:bottom w:val="single" w:sz="4" w:space="0" w:color="auto"/>
              <w:right w:val="nil"/>
            </w:tcBorders>
            <w:vAlign w:val="center"/>
          </w:tcPr>
          <w:p w14:paraId="3D7D960C" w14:textId="77777777" w:rsidR="00195CAD" w:rsidRPr="00195CAD" w:rsidRDefault="00195CAD" w:rsidP="00195CAD">
            <w:pPr>
              <w:pStyle w:val="TableHeading"/>
              <w:rPr>
                <w:b w:val="0"/>
                <w:bCs w:val="0"/>
              </w:rPr>
            </w:pPr>
            <w:r w:rsidRPr="00195CAD">
              <w:rPr>
                <w:b w:val="0"/>
                <w:bCs w:val="0"/>
              </w:rPr>
              <w:t xml:space="preserve">Fiber </w:t>
            </w:r>
            <w:r w:rsidRPr="00195CAD">
              <w:rPr>
                <w:b w:val="0"/>
                <w:bCs w:val="0"/>
              </w:rPr>
              <w:br/>
              <w:t>Content</w:t>
            </w:r>
          </w:p>
        </w:tc>
        <w:tc>
          <w:tcPr>
            <w:tcW w:w="909" w:type="pct"/>
            <w:tcBorders>
              <w:top w:val="nil"/>
              <w:left w:val="nil"/>
              <w:bottom w:val="single" w:sz="4" w:space="0" w:color="auto"/>
              <w:right w:val="nil"/>
            </w:tcBorders>
            <w:vAlign w:val="center"/>
          </w:tcPr>
          <w:p w14:paraId="15F21B6F" w14:textId="77777777" w:rsidR="00195CAD" w:rsidRPr="00195CAD" w:rsidRDefault="00195CAD" w:rsidP="00195CAD">
            <w:pPr>
              <w:pStyle w:val="TableHeading"/>
              <w:rPr>
                <w:b w:val="0"/>
                <w:bCs w:val="0"/>
              </w:rPr>
            </w:pPr>
            <w:r w:rsidRPr="00195CAD">
              <w:rPr>
                <w:b w:val="0"/>
                <w:bCs w:val="0"/>
              </w:rPr>
              <w:t>Temperature</w:t>
            </w:r>
          </w:p>
        </w:tc>
        <w:tc>
          <w:tcPr>
            <w:tcW w:w="639" w:type="pct"/>
            <w:tcBorders>
              <w:top w:val="nil"/>
              <w:left w:val="nil"/>
              <w:bottom w:val="single" w:sz="4" w:space="0" w:color="auto"/>
              <w:right w:val="nil"/>
            </w:tcBorders>
            <w:vAlign w:val="center"/>
          </w:tcPr>
          <w:p w14:paraId="04133956" w14:textId="77777777" w:rsidR="00195CAD" w:rsidRPr="00195CAD" w:rsidRDefault="00195CAD" w:rsidP="00195CAD">
            <w:pPr>
              <w:pStyle w:val="TableHeading"/>
              <w:rPr>
                <w:b w:val="0"/>
                <w:bCs w:val="0"/>
              </w:rPr>
            </w:pPr>
            <w:r w:rsidRPr="00195CAD">
              <w:rPr>
                <w:b w:val="0"/>
                <w:bCs w:val="0"/>
              </w:rPr>
              <w:t>Pressure</w:t>
            </w:r>
          </w:p>
        </w:tc>
        <w:tc>
          <w:tcPr>
            <w:tcW w:w="903" w:type="pct"/>
            <w:tcBorders>
              <w:top w:val="nil"/>
              <w:left w:val="nil"/>
              <w:bottom w:val="single" w:sz="4" w:space="0" w:color="auto"/>
              <w:right w:val="nil"/>
            </w:tcBorders>
            <w:vAlign w:val="center"/>
          </w:tcPr>
          <w:p w14:paraId="708B3AB5" w14:textId="77777777" w:rsidR="00195CAD" w:rsidRPr="00195CAD" w:rsidRDefault="00195CAD" w:rsidP="00195CAD">
            <w:pPr>
              <w:pStyle w:val="TableHeading"/>
              <w:rPr>
                <w:b w:val="0"/>
                <w:bCs w:val="0"/>
              </w:rPr>
            </w:pPr>
            <w:r w:rsidRPr="00195CAD">
              <w:rPr>
                <w:b w:val="0"/>
                <w:bCs w:val="0"/>
              </w:rPr>
              <w:t>Time</w:t>
            </w:r>
          </w:p>
        </w:tc>
      </w:tr>
      <w:tr w:rsidR="00195CAD" w:rsidRPr="00195CAD" w14:paraId="0D8182C1" w14:textId="77777777" w:rsidTr="00585B95">
        <w:trPr>
          <w:trHeight w:val="360"/>
          <w:jc w:val="center"/>
        </w:trPr>
        <w:tc>
          <w:tcPr>
            <w:tcW w:w="1928" w:type="pct"/>
            <w:tcBorders>
              <w:top w:val="single" w:sz="4" w:space="0" w:color="auto"/>
              <w:left w:val="nil"/>
              <w:bottom w:val="nil"/>
              <w:right w:val="nil"/>
            </w:tcBorders>
            <w:vAlign w:val="center"/>
          </w:tcPr>
          <w:p w14:paraId="57F1F33C" w14:textId="77777777" w:rsidR="00195CAD" w:rsidRPr="00195CAD" w:rsidRDefault="00195CAD" w:rsidP="00195CAD">
            <w:pPr>
              <w:pStyle w:val="TableHeading"/>
              <w:rPr>
                <w:b w:val="0"/>
                <w:bCs w:val="0"/>
              </w:rPr>
            </w:pPr>
            <w:r w:rsidRPr="00195CAD">
              <w:rPr>
                <w:b w:val="0"/>
                <w:bCs w:val="0"/>
              </w:rPr>
              <w:t>Panel Thickness</w:t>
            </w:r>
          </w:p>
        </w:tc>
        <w:tc>
          <w:tcPr>
            <w:tcW w:w="620" w:type="pct"/>
            <w:tcBorders>
              <w:top w:val="single" w:sz="4" w:space="0" w:color="auto"/>
              <w:left w:val="nil"/>
              <w:bottom w:val="nil"/>
              <w:right w:val="nil"/>
            </w:tcBorders>
            <w:vAlign w:val="center"/>
          </w:tcPr>
          <w:p w14:paraId="780D3809" w14:textId="77777777" w:rsidR="00195CAD" w:rsidRPr="00195CAD" w:rsidRDefault="00195CAD" w:rsidP="00195CAD">
            <w:pPr>
              <w:pStyle w:val="TableHeading"/>
              <w:rPr>
                <w:b w:val="0"/>
                <w:bCs w:val="0"/>
              </w:rPr>
            </w:pPr>
            <w:r w:rsidRPr="00195CAD">
              <w:rPr>
                <w:b w:val="0"/>
                <w:bCs w:val="0"/>
              </w:rPr>
              <w:t>0.4634</w:t>
            </w:r>
          </w:p>
        </w:tc>
        <w:tc>
          <w:tcPr>
            <w:tcW w:w="909" w:type="pct"/>
            <w:tcBorders>
              <w:top w:val="single" w:sz="4" w:space="0" w:color="auto"/>
              <w:left w:val="nil"/>
              <w:bottom w:val="nil"/>
              <w:right w:val="nil"/>
            </w:tcBorders>
            <w:vAlign w:val="center"/>
          </w:tcPr>
          <w:p w14:paraId="2E2B990C" w14:textId="77777777" w:rsidR="00195CAD" w:rsidRPr="00195CAD" w:rsidRDefault="00195CAD" w:rsidP="00195CAD">
            <w:pPr>
              <w:pStyle w:val="TableHeading"/>
              <w:rPr>
                <w:b w:val="0"/>
                <w:bCs w:val="0"/>
              </w:rPr>
            </w:pPr>
            <w:r w:rsidRPr="00195CAD">
              <w:rPr>
                <w:b w:val="0"/>
                <w:bCs w:val="0"/>
              </w:rPr>
              <w:t>-0.3201</w:t>
            </w:r>
          </w:p>
        </w:tc>
        <w:tc>
          <w:tcPr>
            <w:tcW w:w="639" w:type="pct"/>
            <w:tcBorders>
              <w:top w:val="single" w:sz="4" w:space="0" w:color="auto"/>
              <w:left w:val="nil"/>
              <w:bottom w:val="nil"/>
              <w:right w:val="nil"/>
            </w:tcBorders>
            <w:vAlign w:val="center"/>
          </w:tcPr>
          <w:p w14:paraId="599B2ADD" w14:textId="77777777" w:rsidR="00195CAD" w:rsidRPr="00195CAD" w:rsidRDefault="00195CAD" w:rsidP="00195CAD">
            <w:pPr>
              <w:pStyle w:val="TableHeading"/>
              <w:rPr>
                <w:b w:val="0"/>
                <w:bCs w:val="0"/>
              </w:rPr>
            </w:pPr>
            <w:r w:rsidRPr="00195CAD">
              <w:rPr>
                <w:b w:val="0"/>
                <w:bCs w:val="0"/>
              </w:rPr>
              <w:t>-0.5436</w:t>
            </w:r>
          </w:p>
        </w:tc>
        <w:tc>
          <w:tcPr>
            <w:tcW w:w="903" w:type="pct"/>
            <w:tcBorders>
              <w:top w:val="single" w:sz="4" w:space="0" w:color="auto"/>
              <w:left w:val="nil"/>
              <w:bottom w:val="nil"/>
              <w:right w:val="nil"/>
            </w:tcBorders>
            <w:vAlign w:val="center"/>
          </w:tcPr>
          <w:p w14:paraId="30C84165" w14:textId="77777777" w:rsidR="00195CAD" w:rsidRPr="00195CAD" w:rsidRDefault="00195CAD" w:rsidP="00195CAD">
            <w:pPr>
              <w:pStyle w:val="TableHeading"/>
              <w:rPr>
                <w:b w:val="0"/>
                <w:bCs w:val="0"/>
              </w:rPr>
            </w:pPr>
            <w:r w:rsidRPr="00195CAD">
              <w:rPr>
                <w:b w:val="0"/>
                <w:bCs w:val="0"/>
              </w:rPr>
              <w:t>-0.3791</w:t>
            </w:r>
          </w:p>
        </w:tc>
      </w:tr>
      <w:tr w:rsidR="00195CAD" w:rsidRPr="00195CAD" w14:paraId="453D5792" w14:textId="77777777" w:rsidTr="00585B95">
        <w:trPr>
          <w:trHeight w:val="360"/>
          <w:jc w:val="center"/>
        </w:trPr>
        <w:tc>
          <w:tcPr>
            <w:tcW w:w="1928" w:type="pct"/>
            <w:tcBorders>
              <w:top w:val="nil"/>
              <w:left w:val="nil"/>
              <w:bottom w:val="nil"/>
              <w:right w:val="nil"/>
            </w:tcBorders>
            <w:vAlign w:val="center"/>
          </w:tcPr>
          <w:p w14:paraId="3C81EF65" w14:textId="77777777" w:rsidR="00195CAD" w:rsidRPr="00195CAD" w:rsidRDefault="00195CAD" w:rsidP="00195CAD">
            <w:pPr>
              <w:pStyle w:val="TableHeading"/>
              <w:rPr>
                <w:b w:val="0"/>
                <w:bCs w:val="0"/>
              </w:rPr>
            </w:pPr>
            <w:r w:rsidRPr="00195CAD">
              <w:rPr>
                <w:b w:val="0"/>
                <w:bCs w:val="0"/>
              </w:rPr>
              <w:t>Flexural Modulus</w:t>
            </w:r>
          </w:p>
        </w:tc>
        <w:tc>
          <w:tcPr>
            <w:tcW w:w="620" w:type="pct"/>
            <w:tcBorders>
              <w:top w:val="nil"/>
              <w:left w:val="nil"/>
              <w:bottom w:val="nil"/>
              <w:right w:val="nil"/>
            </w:tcBorders>
            <w:vAlign w:val="center"/>
          </w:tcPr>
          <w:p w14:paraId="5FC9C1E4" w14:textId="77777777" w:rsidR="00195CAD" w:rsidRPr="00195CAD" w:rsidRDefault="00195CAD" w:rsidP="00195CAD">
            <w:pPr>
              <w:pStyle w:val="TableHeading"/>
              <w:rPr>
                <w:b w:val="0"/>
                <w:bCs w:val="0"/>
              </w:rPr>
            </w:pPr>
            <w:r w:rsidRPr="00195CAD">
              <w:rPr>
                <w:b w:val="0"/>
                <w:bCs w:val="0"/>
              </w:rPr>
              <w:t>-0.3730</w:t>
            </w:r>
          </w:p>
        </w:tc>
        <w:tc>
          <w:tcPr>
            <w:tcW w:w="909" w:type="pct"/>
            <w:tcBorders>
              <w:top w:val="nil"/>
              <w:left w:val="nil"/>
              <w:bottom w:val="nil"/>
              <w:right w:val="nil"/>
            </w:tcBorders>
            <w:vAlign w:val="center"/>
          </w:tcPr>
          <w:p w14:paraId="5A203D9D" w14:textId="77777777" w:rsidR="00195CAD" w:rsidRPr="00195CAD" w:rsidRDefault="00195CAD" w:rsidP="00195CAD">
            <w:pPr>
              <w:pStyle w:val="TableHeading"/>
              <w:rPr>
                <w:b w:val="0"/>
                <w:bCs w:val="0"/>
              </w:rPr>
            </w:pPr>
            <w:r w:rsidRPr="00195CAD">
              <w:rPr>
                <w:b w:val="0"/>
                <w:bCs w:val="0"/>
              </w:rPr>
              <w:t>0.2963</w:t>
            </w:r>
          </w:p>
        </w:tc>
        <w:tc>
          <w:tcPr>
            <w:tcW w:w="639" w:type="pct"/>
            <w:tcBorders>
              <w:top w:val="nil"/>
              <w:left w:val="nil"/>
              <w:bottom w:val="nil"/>
              <w:right w:val="nil"/>
            </w:tcBorders>
            <w:vAlign w:val="center"/>
          </w:tcPr>
          <w:p w14:paraId="21E89E8E" w14:textId="77777777" w:rsidR="00195CAD" w:rsidRPr="00195CAD" w:rsidRDefault="00195CAD" w:rsidP="00195CAD">
            <w:pPr>
              <w:pStyle w:val="TableHeading"/>
              <w:rPr>
                <w:b w:val="0"/>
                <w:bCs w:val="0"/>
              </w:rPr>
            </w:pPr>
            <w:r w:rsidRPr="00195CAD">
              <w:rPr>
                <w:b w:val="0"/>
                <w:bCs w:val="0"/>
              </w:rPr>
              <w:t>0.2062</w:t>
            </w:r>
          </w:p>
        </w:tc>
        <w:tc>
          <w:tcPr>
            <w:tcW w:w="903" w:type="pct"/>
            <w:tcBorders>
              <w:top w:val="nil"/>
              <w:left w:val="nil"/>
              <w:bottom w:val="nil"/>
              <w:right w:val="nil"/>
            </w:tcBorders>
            <w:vAlign w:val="center"/>
          </w:tcPr>
          <w:p w14:paraId="7417845A" w14:textId="77777777" w:rsidR="00195CAD" w:rsidRPr="00195CAD" w:rsidRDefault="00195CAD" w:rsidP="00195CAD">
            <w:pPr>
              <w:pStyle w:val="TableHeading"/>
              <w:rPr>
                <w:b w:val="0"/>
                <w:bCs w:val="0"/>
              </w:rPr>
            </w:pPr>
            <w:r w:rsidRPr="00195CAD">
              <w:rPr>
                <w:b w:val="0"/>
                <w:bCs w:val="0"/>
              </w:rPr>
              <w:t>0.4313</w:t>
            </w:r>
          </w:p>
        </w:tc>
      </w:tr>
      <w:tr w:rsidR="00195CAD" w:rsidRPr="00195CAD" w14:paraId="110C7D69" w14:textId="77777777" w:rsidTr="00585B95">
        <w:trPr>
          <w:trHeight w:val="360"/>
          <w:jc w:val="center"/>
        </w:trPr>
        <w:tc>
          <w:tcPr>
            <w:tcW w:w="1928" w:type="pct"/>
            <w:tcBorders>
              <w:top w:val="nil"/>
              <w:left w:val="nil"/>
              <w:bottom w:val="nil"/>
              <w:right w:val="nil"/>
            </w:tcBorders>
            <w:vAlign w:val="center"/>
          </w:tcPr>
          <w:p w14:paraId="5D556503" w14:textId="77777777" w:rsidR="00195CAD" w:rsidRPr="00195CAD" w:rsidRDefault="00195CAD" w:rsidP="00195CAD">
            <w:pPr>
              <w:pStyle w:val="TableHeading"/>
              <w:rPr>
                <w:b w:val="0"/>
                <w:bCs w:val="0"/>
              </w:rPr>
            </w:pPr>
            <w:r w:rsidRPr="00195CAD">
              <w:rPr>
                <w:b w:val="0"/>
                <w:bCs w:val="0"/>
              </w:rPr>
              <w:t>Izod Impact Strength</w:t>
            </w:r>
          </w:p>
        </w:tc>
        <w:tc>
          <w:tcPr>
            <w:tcW w:w="620" w:type="pct"/>
            <w:tcBorders>
              <w:top w:val="nil"/>
              <w:left w:val="nil"/>
              <w:bottom w:val="nil"/>
              <w:right w:val="nil"/>
            </w:tcBorders>
            <w:vAlign w:val="center"/>
          </w:tcPr>
          <w:p w14:paraId="3011104A" w14:textId="77777777" w:rsidR="00195CAD" w:rsidRPr="00195CAD" w:rsidRDefault="00195CAD" w:rsidP="00195CAD">
            <w:pPr>
              <w:pStyle w:val="TableHeading"/>
              <w:rPr>
                <w:b w:val="0"/>
                <w:bCs w:val="0"/>
              </w:rPr>
            </w:pPr>
            <w:r w:rsidRPr="00195CAD">
              <w:rPr>
                <w:b w:val="0"/>
                <w:bCs w:val="0"/>
              </w:rPr>
              <w:t>0.0773</w:t>
            </w:r>
          </w:p>
        </w:tc>
        <w:tc>
          <w:tcPr>
            <w:tcW w:w="909" w:type="pct"/>
            <w:tcBorders>
              <w:top w:val="nil"/>
              <w:left w:val="nil"/>
              <w:bottom w:val="nil"/>
              <w:right w:val="nil"/>
            </w:tcBorders>
            <w:vAlign w:val="center"/>
          </w:tcPr>
          <w:p w14:paraId="19AAA573" w14:textId="77777777" w:rsidR="00195CAD" w:rsidRPr="00195CAD" w:rsidRDefault="00195CAD" w:rsidP="00195CAD">
            <w:pPr>
              <w:pStyle w:val="TableHeading"/>
              <w:rPr>
                <w:b w:val="0"/>
                <w:bCs w:val="0"/>
              </w:rPr>
            </w:pPr>
            <w:r w:rsidRPr="00195CAD">
              <w:rPr>
                <w:b w:val="0"/>
                <w:bCs w:val="0"/>
              </w:rPr>
              <w:t>-0.5554</w:t>
            </w:r>
          </w:p>
        </w:tc>
        <w:tc>
          <w:tcPr>
            <w:tcW w:w="639" w:type="pct"/>
            <w:tcBorders>
              <w:top w:val="nil"/>
              <w:left w:val="nil"/>
              <w:bottom w:val="nil"/>
              <w:right w:val="nil"/>
            </w:tcBorders>
            <w:vAlign w:val="center"/>
          </w:tcPr>
          <w:p w14:paraId="4299F9F4" w14:textId="77777777" w:rsidR="00195CAD" w:rsidRPr="00195CAD" w:rsidRDefault="00195CAD" w:rsidP="00195CAD">
            <w:pPr>
              <w:pStyle w:val="TableHeading"/>
              <w:rPr>
                <w:b w:val="0"/>
                <w:bCs w:val="0"/>
              </w:rPr>
            </w:pPr>
            <w:r w:rsidRPr="00195CAD">
              <w:rPr>
                <w:b w:val="0"/>
                <w:bCs w:val="0"/>
              </w:rPr>
              <w:t>0.2828</w:t>
            </w:r>
          </w:p>
        </w:tc>
        <w:tc>
          <w:tcPr>
            <w:tcW w:w="903" w:type="pct"/>
            <w:tcBorders>
              <w:top w:val="nil"/>
              <w:left w:val="nil"/>
              <w:bottom w:val="nil"/>
              <w:right w:val="nil"/>
            </w:tcBorders>
            <w:vAlign w:val="center"/>
          </w:tcPr>
          <w:p w14:paraId="2816E2EE" w14:textId="77777777" w:rsidR="00195CAD" w:rsidRPr="00195CAD" w:rsidRDefault="00195CAD" w:rsidP="00195CAD">
            <w:pPr>
              <w:pStyle w:val="TableHeading"/>
              <w:rPr>
                <w:b w:val="0"/>
                <w:bCs w:val="0"/>
              </w:rPr>
            </w:pPr>
            <w:r w:rsidRPr="00195CAD">
              <w:rPr>
                <w:b w:val="0"/>
                <w:bCs w:val="0"/>
              </w:rPr>
              <w:t>-0.1903</w:t>
            </w:r>
          </w:p>
        </w:tc>
      </w:tr>
      <w:tr w:rsidR="00195CAD" w:rsidRPr="00195CAD" w14:paraId="201889F6" w14:textId="77777777" w:rsidTr="00585B95">
        <w:trPr>
          <w:trHeight w:val="360"/>
          <w:jc w:val="center"/>
        </w:trPr>
        <w:tc>
          <w:tcPr>
            <w:tcW w:w="1928" w:type="pct"/>
            <w:tcBorders>
              <w:top w:val="nil"/>
              <w:left w:val="nil"/>
              <w:bottom w:val="nil"/>
              <w:right w:val="nil"/>
            </w:tcBorders>
            <w:vAlign w:val="center"/>
          </w:tcPr>
          <w:p w14:paraId="2733DA6C" w14:textId="77777777" w:rsidR="00195CAD" w:rsidRPr="00195CAD" w:rsidRDefault="00195CAD" w:rsidP="00195CAD">
            <w:pPr>
              <w:pStyle w:val="TableHeading"/>
              <w:rPr>
                <w:b w:val="0"/>
                <w:bCs w:val="0"/>
              </w:rPr>
            </w:pPr>
            <w:r w:rsidRPr="00195CAD">
              <w:rPr>
                <w:b w:val="0"/>
                <w:bCs w:val="0"/>
              </w:rPr>
              <w:t>Density</w:t>
            </w:r>
          </w:p>
        </w:tc>
        <w:tc>
          <w:tcPr>
            <w:tcW w:w="620" w:type="pct"/>
            <w:tcBorders>
              <w:top w:val="nil"/>
              <w:left w:val="nil"/>
              <w:bottom w:val="nil"/>
              <w:right w:val="nil"/>
            </w:tcBorders>
            <w:vAlign w:val="center"/>
          </w:tcPr>
          <w:p w14:paraId="0B4F1A55" w14:textId="77777777" w:rsidR="00195CAD" w:rsidRPr="00195CAD" w:rsidRDefault="00195CAD" w:rsidP="00195CAD">
            <w:pPr>
              <w:pStyle w:val="TableHeading"/>
              <w:rPr>
                <w:b w:val="0"/>
                <w:bCs w:val="0"/>
              </w:rPr>
            </w:pPr>
            <w:r w:rsidRPr="00195CAD">
              <w:rPr>
                <w:b w:val="0"/>
                <w:bCs w:val="0"/>
              </w:rPr>
              <w:t>-0.5555</w:t>
            </w:r>
          </w:p>
        </w:tc>
        <w:tc>
          <w:tcPr>
            <w:tcW w:w="909" w:type="pct"/>
            <w:tcBorders>
              <w:top w:val="nil"/>
              <w:left w:val="nil"/>
              <w:bottom w:val="nil"/>
              <w:right w:val="nil"/>
            </w:tcBorders>
            <w:vAlign w:val="center"/>
          </w:tcPr>
          <w:p w14:paraId="74B1F216" w14:textId="77777777" w:rsidR="00195CAD" w:rsidRPr="00195CAD" w:rsidRDefault="00195CAD" w:rsidP="00195CAD">
            <w:pPr>
              <w:pStyle w:val="TableHeading"/>
              <w:rPr>
                <w:b w:val="0"/>
                <w:bCs w:val="0"/>
              </w:rPr>
            </w:pPr>
            <w:r w:rsidRPr="00195CAD">
              <w:rPr>
                <w:b w:val="0"/>
                <w:bCs w:val="0"/>
              </w:rPr>
              <w:t>0.2959</w:t>
            </w:r>
          </w:p>
        </w:tc>
        <w:tc>
          <w:tcPr>
            <w:tcW w:w="639" w:type="pct"/>
            <w:tcBorders>
              <w:top w:val="nil"/>
              <w:left w:val="nil"/>
              <w:bottom w:val="nil"/>
              <w:right w:val="nil"/>
            </w:tcBorders>
            <w:vAlign w:val="center"/>
          </w:tcPr>
          <w:p w14:paraId="69A13392" w14:textId="77777777" w:rsidR="00195CAD" w:rsidRPr="00195CAD" w:rsidRDefault="00195CAD" w:rsidP="00195CAD">
            <w:pPr>
              <w:pStyle w:val="TableHeading"/>
              <w:rPr>
                <w:b w:val="0"/>
                <w:bCs w:val="0"/>
              </w:rPr>
            </w:pPr>
            <w:r w:rsidRPr="00195CAD">
              <w:rPr>
                <w:b w:val="0"/>
                <w:bCs w:val="0"/>
              </w:rPr>
              <w:t>0.3379</w:t>
            </w:r>
          </w:p>
        </w:tc>
        <w:tc>
          <w:tcPr>
            <w:tcW w:w="903" w:type="pct"/>
            <w:tcBorders>
              <w:top w:val="nil"/>
              <w:left w:val="nil"/>
              <w:bottom w:val="nil"/>
              <w:right w:val="nil"/>
            </w:tcBorders>
            <w:vAlign w:val="center"/>
          </w:tcPr>
          <w:p w14:paraId="6844525C" w14:textId="77777777" w:rsidR="00195CAD" w:rsidRPr="00195CAD" w:rsidRDefault="00195CAD" w:rsidP="00195CAD">
            <w:pPr>
              <w:pStyle w:val="TableHeading"/>
              <w:rPr>
                <w:b w:val="0"/>
                <w:bCs w:val="0"/>
              </w:rPr>
            </w:pPr>
            <w:r w:rsidRPr="00195CAD">
              <w:rPr>
                <w:b w:val="0"/>
                <w:bCs w:val="0"/>
              </w:rPr>
              <w:t>0.1362</w:t>
            </w:r>
          </w:p>
        </w:tc>
      </w:tr>
      <w:tr w:rsidR="00195CAD" w:rsidRPr="00195CAD" w14:paraId="72D69EF1" w14:textId="77777777" w:rsidTr="00585B95">
        <w:trPr>
          <w:trHeight w:val="360"/>
          <w:jc w:val="center"/>
        </w:trPr>
        <w:tc>
          <w:tcPr>
            <w:tcW w:w="1928" w:type="pct"/>
            <w:tcBorders>
              <w:top w:val="nil"/>
              <w:left w:val="nil"/>
              <w:bottom w:val="nil"/>
              <w:right w:val="nil"/>
            </w:tcBorders>
            <w:vAlign w:val="center"/>
          </w:tcPr>
          <w:p w14:paraId="6871637A" w14:textId="77777777" w:rsidR="00195CAD" w:rsidRPr="00195CAD" w:rsidRDefault="00195CAD" w:rsidP="00195CAD">
            <w:pPr>
              <w:pStyle w:val="TableHeading"/>
              <w:rPr>
                <w:b w:val="0"/>
                <w:bCs w:val="0"/>
              </w:rPr>
            </w:pPr>
            <w:r w:rsidRPr="00195CAD">
              <w:rPr>
                <w:b w:val="0"/>
                <w:bCs w:val="0"/>
              </w:rPr>
              <w:t>Water Uptake</w:t>
            </w:r>
          </w:p>
        </w:tc>
        <w:tc>
          <w:tcPr>
            <w:tcW w:w="620" w:type="pct"/>
            <w:tcBorders>
              <w:top w:val="nil"/>
              <w:left w:val="nil"/>
              <w:bottom w:val="nil"/>
              <w:right w:val="nil"/>
            </w:tcBorders>
            <w:vAlign w:val="center"/>
          </w:tcPr>
          <w:p w14:paraId="6102399A" w14:textId="77777777" w:rsidR="00195CAD" w:rsidRPr="00195CAD" w:rsidRDefault="00195CAD" w:rsidP="00195CAD">
            <w:pPr>
              <w:pStyle w:val="TableHeading"/>
              <w:rPr>
                <w:b w:val="0"/>
                <w:bCs w:val="0"/>
              </w:rPr>
            </w:pPr>
            <w:r w:rsidRPr="00195CAD">
              <w:rPr>
                <w:b w:val="0"/>
                <w:bCs w:val="0"/>
              </w:rPr>
              <w:t>0.5981</w:t>
            </w:r>
          </w:p>
        </w:tc>
        <w:tc>
          <w:tcPr>
            <w:tcW w:w="909" w:type="pct"/>
            <w:tcBorders>
              <w:top w:val="nil"/>
              <w:left w:val="nil"/>
              <w:bottom w:val="nil"/>
              <w:right w:val="nil"/>
            </w:tcBorders>
            <w:vAlign w:val="center"/>
          </w:tcPr>
          <w:p w14:paraId="2D68B392" w14:textId="77777777" w:rsidR="00195CAD" w:rsidRPr="00195CAD" w:rsidRDefault="00195CAD" w:rsidP="00195CAD">
            <w:pPr>
              <w:pStyle w:val="TableHeading"/>
              <w:rPr>
                <w:b w:val="0"/>
                <w:bCs w:val="0"/>
              </w:rPr>
            </w:pPr>
            <w:r w:rsidRPr="00195CAD">
              <w:rPr>
                <w:b w:val="0"/>
                <w:bCs w:val="0"/>
              </w:rPr>
              <w:t>-0.2503</w:t>
            </w:r>
          </w:p>
        </w:tc>
        <w:tc>
          <w:tcPr>
            <w:tcW w:w="639" w:type="pct"/>
            <w:tcBorders>
              <w:top w:val="nil"/>
              <w:left w:val="nil"/>
              <w:bottom w:val="nil"/>
              <w:right w:val="nil"/>
            </w:tcBorders>
            <w:vAlign w:val="center"/>
          </w:tcPr>
          <w:p w14:paraId="24BDADB9" w14:textId="77777777" w:rsidR="00195CAD" w:rsidRPr="00195CAD" w:rsidRDefault="00195CAD" w:rsidP="00195CAD">
            <w:pPr>
              <w:pStyle w:val="TableHeading"/>
              <w:rPr>
                <w:b w:val="0"/>
                <w:bCs w:val="0"/>
              </w:rPr>
            </w:pPr>
            <w:r w:rsidRPr="00195CAD">
              <w:rPr>
                <w:b w:val="0"/>
                <w:bCs w:val="0"/>
              </w:rPr>
              <w:t>-0.1965</w:t>
            </w:r>
          </w:p>
        </w:tc>
        <w:tc>
          <w:tcPr>
            <w:tcW w:w="903" w:type="pct"/>
            <w:tcBorders>
              <w:top w:val="nil"/>
              <w:left w:val="nil"/>
              <w:bottom w:val="nil"/>
              <w:right w:val="nil"/>
            </w:tcBorders>
            <w:vAlign w:val="center"/>
          </w:tcPr>
          <w:p w14:paraId="1BBE6934" w14:textId="77777777" w:rsidR="00195CAD" w:rsidRPr="00195CAD" w:rsidRDefault="00195CAD" w:rsidP="00195CAD">
            <w:pPr>
              <w:pStyle w:val="TableHeading"/>
              <w:rPr>
                <w:b w:val="0"/>
                <w:bCs w:val="0"/>
              </w:rPr>
            </w:pPr>
            <w:r w:rsidRPr="00195CAD">
              <w:rPr>
                <w:b w:val="0"/>
                <w:bCs w:val="0"/>
              </w:rPr>
              <w:t>-0.4551</w:t>
            </w:r>
          </w:p>
        </w:tc>
      </w:tr>
      <w:tr w:rsidR="00195CAD" w:rsidRPr="00195CAD" w14:paraId="3833EAAF" w14:textId="77777777" w:rsidTr="00585B95">
        <w:trPr>
          <w:trHeight w:val="360"/>
          <w:jc w:val="center"/>
        </w:trPr>
        <w:tc>
          <w:tcPr>
            <w:tcW w:w="1928" w:type="pct"/>
            <w:tcBorders>
              <w:top w:val="nil"/>
              <w:left w:val="nil"/>
              <w:bottom w:val="single" w:sz="4" w:space="0" w:color="auto"/>
              <w:right w:val="nil"/>
            </w:tcBorders>
            <w:vAlign w:val="center"/>
          </w:tcPr>
          <w:p w14:paraId="2E9C8674" w14:textId="77777777" w:rsidR="00195CAD" w:rsidRPr="00195CAD" w:rsidRDefault="00195CAD" w:rsidP="00195CAD">
            <w:pPr>
              <w:pStyle w:val="TableHeading"/>
              <w:rPr>
                <w:b w:val="0"/>
                <w:bCs w:val="0"/>
              </w:rPr>
            </w:pPr>
            <w:r w:rsidRPr="00195CAD">
              <w:rPr>
                <w:b w:val="0"/>
                <w:bCs w:val="0"/>
              </w:rPr>
              <w:t xml:space="preserve">Average Correlation Coefficient </w:t>
            </w:r>
          </w:p>
        </w:tc>
        <w:tc>
          <w:tcPr>
            <w:tcW w:w="620" w:type="pct"/>
            <w:tcBorders>
              <w:top w:val="nil"/>
              <w:left w:val="nil"/>
              <w:bottom w:val="single" w:sz="4" w:space="0" w:color="auto"/>
              <w:right w:val="nil"/>
            </w:tcBorders>
            <w:vAlign w:val="center"/>
          </w:tcPr>
          <w:p w14:paraId="45DED034" w14:textId="77777777" w:rsidR="00195CAD" w:rsidRPr="00195CAD" w:rsidRDefault="00195CAD" w:rsidP="00195CAD">
            <w:pPr>
              <w:pStyle w:val="TableHeading"/>
              <w:rPr>
                <w:b w:val="0"/>
                <w:bCs w:val="0"/>
              </w:rPr>
            </w:pPr>
            <w:r w:rsidRPr="00195CAD">
              <w:rPr>
                <w:b w:val="0"/>
                <w:bCs w:val="0"/>
              </w:rPr>
              <w:t>0.41</w:t>
            </w:r>
          </w:p>
        </w:tc>
        <w:tc>
          <w:tcPr>
            <w:tcW w:w="909" w:type="pct"/>
            <w:tcBorders>
              <w:top w:val="nil"/>
              <w:left w:val="nil"/>
              <w:bottom w:val="single" w:sz="4" w:space="0" w:color="auto"/>
              <w:right w:val="nil"/>
            </w:tcBorders>
            <w:vAlign w:val="center"/>
          </w:tcPr>
          <w:p w14:paraId="0FE64059" w14:textId="77777777" w:rsidR="00195CAD" w:rsidRPr="00195CAD" w:rsidRDefault="00195CAD" w:rsidP="00195CAD">
            <w:pPr>
              <w:pStyle w:val="TableHeading"/>
              <w:rPr>
                <w:b w:val="0"/>
                <w:bCs w:val="0"/>
              </w:rPr>
            </w:pPr>
            <w:r w:rsidRPr="00195CAD">
              <w:rPr>
                <w:b w:val="0"/>
                <w:bCs w:val="0"/>
              </w:rPr>
              <w:t>0.34</w:t>
            </w:r>
          </w:p>
        </w:tc>
        <w:tc>
          <w:tcPr>
            <w:tcW w:w="639" w:type="pct"/>
            <w:tcBorders>
              <w:top w:val="nil"/>
              <w:left w:val="nil"/>
              <w:bottom w:val="single" w:sz="4" w:space="0" w:color="auto"/>
              <w:right w:val="nil"/>
            </w:tcBorders>
            <w:vAlign w:val="center"/>
          </w:tcPr>
          <w:p w14:paraId="0F3F4790" w14:textId="77777777" w:rsidR="00195CAD" w:rsidRPr="00195CAD" w:rsidRDefault="00195CAD" w:rsidP="00195CAD">
            <w:pPr>
              <w:pStyle w:val="TableHeading"/>
              <w:rPr>
                <w:b w:val="0"/>
                <w:bCs w:val="0"/>
              </w:rPr>
            </w:pPr>
            <w:r w:rsidRPr="00195CAD">
              <w:rPr>
                <w:b w:val="0"/>
                <w:bCs w:val="0"/>
              </w:rPr>
              <w:t>0.31</w:t>
            </w:r>
          </w:p>
        </w:tc>
        <w:tc>
          <w:tcPr>
            <w:tcW w:w="903" w:type="pct"/>
            <w:tcBorders>
              <w:top w:val="nil"/>
              <w:left w:val="nil"/>
              <w:bottom w:val="single" w:sz="4" w:space="0" w:color="auto"/>
              <w:right w:val="nil"/>
            </w:tcBorders>
            <w:vAlign w:val="center"/>
          </w:tcPr>
          <w:p w14:paraId="09A91FC1" w14:textId="77777777" w:rsidR="00195CAD" w:rsidRPr="00195CAD" w:rsidRDefault="00195CAD" w:rsidP="00195CAD">
            <w:pPr>
              <w:pStyle w:val="TableHeading"/>
              <w:rPr>
                <w:b w:val="0"/>
                <w:bCs w:val="0"/>
              </w:rPr>
            </w:pPr>
            <w:r w:rsidRPr="00195CAD">
              <w:rPr>
                <w:b w:val="0"/>
                <w:bCs w:val="0"/>
              </w:rPr>
              <w:t>0.31</w:t>
            </w:r>
          </w:p>
        </w:tc>
      </w:tr>
    </w:tbl>
    <w:p w14:paraId="3E591527" w14:textId="23D13406" w:rsidR="00195CAD" w:rsidRDefault="00195CAD" w:rsidP="00195CAD">
      <w:pPr>
        <w:pStyle w:val="TableHeading"/>
      </w:pPr>
      <w:r>
        <w:br w:type="page"/>
      </w:r>
    </w:p>
    <w:p w14:paraId="29D85C00" w14:textId="4BA2C47F" w:rsidR="006B02BB" w:rsidRDefault="006B02BB" w:rsidP="00195CAD">
      <w:pPr>
        <w:ind w:firstLine="0"/>
      </w:pPr>
      <w:r w:rsidRPr="006B02BB">
        <w:lastRenderedPageBreak/>
        <w:t>temperature and shear range studied in this work were limited by the capabilities of the paper fibers, which will degrade under high temperature or shear conditions. The relationships between process variables will be described more in depth in the following section.</w:t>
      </w:r>
    </w:p>
    <w:p w14:paraId="4A5EB5A6" w14:textId="77777777" w:rsidR="00195CAD" w:rsidRDefault="00195CAD" w:rsidP="006B02BB">
      <w:pPr>
        <w:pStyle w:val="Heading2"/>
      </w:pPr>
      <w:bookmarkStart w:id="36" w:name="_Toc190951791"/>
      <w:r>
        <w:t>2.3.2 Model Fit Comparison by Material Property</w:t>
      </w:r>
      <w:bookmarkEnd w:id="36"/>
    </w:p>
    <w:p w14:paraId="3BECB9CF" w14:textId="77777777" w:rsidR="00195CAD" w:rsidRPr="00195CAD" w:rsidRDefault="00195CAD" w:rsidP="00195CAD">
      <w:r w:rsidRPr="00195CAD">
        <w:t xml:space="preserve">To develop a model from which optimal processing parameters could be interpolated, the experimentally obtained material properties shown in </w:t>
      </w:r>
      <w:r w:rsidRPr="00195CAD">
        <w:rPr>
          <w:b/>
          <w:bCs/>
        </w:rPr>
        <w:t>Table 2.3</w:t>
      </w:r>
      <w:r w:rsidRPr="00195CAD">
        <w:t xml:space="preserve"> were investigated via two machine learning algorithms:  regression and a neural network (NN). The application of a NN was motivated by the successful use of such a model for process optimization from response surface methodology </w:t>
      </w:r>
      <w:r w:rsidRPr="00195CAD">
        <w:fldChar w:fldCharType="begin"/>
      </w:r>
      <w:r w:rsidRPr="00195CAD">
        <w:instrText xml:space="preserve"> ADDIN ZOTERO_ITEM CSL_CITATION {"citationID":"4B8Fq9NZ","properties":{"formattedCitation":"[78]","plainCitation":"[78]","noteIndex":0},"citationItems":[{"id":1693,"uris":["http://zotero.org/users/3415649/items/R63SNDFG"],"itemData":{"id":1693,"type":"article-journal","abstract":"This research work investigated the optimization of biodiesel production from Sweet Almond (Prunus amygdalus) Seed oil (SASO) using Response Surface Methodology (RSM) and Artiﬁcial Neural Networks (ANN) models through base (NaOH) transesteriﬁcation. The Central Composite Design (CCD) optimization conditions were temperature (30  C to 70  C), catalyst concentration (0.5%w/w to 2.5% w/w), reaction time (45 mine65 min) and oil/methanol molar ratio (1:3 mol/mol to 1:7 mol/mol). The physicochemical properties of the seed oil and the methyl ester were carried out using standard methods. The fatty acids were determined using GC-MS and characterized using FT-IR techniques. An optimized biodiesel yield of 94.36% from the RSM and 95.45% from the ANN models respectively were obtained at catalyst concentration of 1.5w/w%, reaction time of 65 min, oil/methanol molar ratio of 1:5 mol/mol and temperature of 50  C. The quality of the RSM model was analyzed using Analysis of Variance (ANOVA). Model statistics of the ANN showed comfortable values of Mean Squared Error (MSE) of 6.005, Mean Absolute Error (MAE) of 2.786 and Mean Absolute Deviation (MAD) of 1.89306. The RSM and ANN models gave coefﬁcient of determination (R2) of 0.9446 and correlation coefﬁcient (R) of 0.96637 respectively.","container-title":"Renewable Energy","DOI":"10.1016/j.renene.2018.06.036","ISSN":"09601481","journalAbbreviation":"Renewable Energy","language":"en","page":"61-72","source":"DOI.org (Crossref)","title":"Optimization of methyl ester production from Prunus Amygdalus seed oil using response surface methodology and Artificial Neural Networks","volume":"130","author":[{"family":"Esonye","given":"Chizoo"},{"family":"Onukwuli","given":"Okechukwu Dominic"},{"family":"Ofoefule","given":"Akuzuo Uwaoma"}],"issued":{"date-parts":[["2019",1]]}}}],"schema":"https://github.com/citation-style-language/schema/raw/master/csl-citation.json"} </w:instrText>
      </w:r>
      <w:r w:rsidRPr="00195CAD">
        <w:fldChar w:fldCharType="separate"/>
      </w:r>
      <w:r w:rsidRPr="00195CAD">
        <w:t>[78]</w:t>
      </w:r>
      <w:r w:rsidRPr="00195CAD">
        <w:fldChar w:fldCharType="end"/>
      </w:r>
      <w:r w:rsidRPr="00195CAD">
        <w:t>. For this work, the regression model provided a superior fit to the data regardless of the tuning parameters used in the NN. For this reason, in the discussion below, we only provide results based on the regression model.</w:t>
      </w:r>
    </w:p>
    <w:p w14:paraId="03A0FFE3" w14:textId="77777777" w:rsidR="00195CAD" w:rsidRPr="00195CAD" w:rsidRDefault="00195CAD" w:rsidP="00195CAD">
      <w:r w:rsidRPr="00195CAD">
        <w:t xml:space="preserve">  The material properties were regressed using the least squares fit, from which model parameter estimates were obtained. The regression model contained linear terms for each of the four process variables (fiber content (F), compression molding pressure (P), compression molding temperature (T) and compression molding time (S)).  The original regression model as proposed also contained quadratic terms for each pairwise combination of processing variables, including self-terms, e.g. F*F, and cross terms, e.g. S*F.  In the final regression model, all terms with p-values greater than 0.05 were removed as they were not considered statistically significant. All linear terms were retained as were 7 of the 10 quadratic terms. The T*T, P*P and T*P terms were dropped. The results of this regression analysis are shown in </w:t>
      </w:r>
      <w:r w:rsidRPr="00195CAD">
        <w:rPr>
          <w:b/>
          <w:bCs/>
        </w:rPr>
        <w:t>Table 2.5</w:t>
      </w:r>
      <w:r w:rsidRPr="00195CAD">
        <w:t xml:space="preserve">. The table is arranged in terms of model parameter significance based on </w:t>
      </w:r>
      <w:proofErr w:type="spellStart"/>
      <w:r w:rsidRPr="00195CAD">
        <w:t>LogWorth</w:t>
      </w:r>
      <w:proofErr w:type="spellEnd"/>
      <w:r w:rsidRPr="00195CAD">
        <w:t xml:space="preserve">. </w:t>
      </w:r>
    </w:p>
    <w:p w14:paraId="27A5CFBD" w14:textId="77777777" w:rsidR="00195CAD" w:rsidRDefault="00195CAD" w:rsidP="00195CAD">
      <w:r w:rsidRPr="00195CAD">
        <w:t xml:space="preserve">The degree of importance of model parameters were compared using </w:t>
      </w:r>
      <w:proofErr w:type="spellStart"/>
      <w:r w:rsidRPr="00195CAD">
        <w:t>LogWorth</w:t>
      </w:r>
      <w:proofErr w:type="spellEnd"/>
      <w:r w:rsidRPr="00195CAD">
        <w:t>, a statistical metric calculated from the -log</w:t>
      </w:r>
      <w:r w:rsidRPr="00195CAD">
        <w:rPr>
          <w:vertAlign w:val="subscript"/>
        </w:rPr>
        <w:t>10</w:t>
      </w:r>
      <w:r w:rsidRPr="00195CAD">
        <w:t xml:space="preserve"> of the p-value, for which higher values are indicative of higher importance </w:t>
      </w:r>
      <w:r w:rsidRPr="00195CAD">
        <w:fldChar w:fldCharType="begin"/>
      </w:r>
      <w:r w:rsidRPr="00195CAD">
        <w:instrText xml:space="preserve"> ADDIN ZOTERO_ITEM CSL_CITATION {"citationID":"D9ljR3yd","properties":{"formattedCitation":"[79]","plainCitation":"[79]","noteIndex":0},"citationItems":[{"id":1738,"uris":["http://zotero.org/users/3415649/items/T8ZS2U52"],"itemData":{"id":1738,"type":"article-journal","container-title":"The American Statistician","DOI":"10.1080/00031305.2018.1529625","ISSN":"0003-1305, 1537-2731","issue":"sup1","journalAbbreviation":"The American Statistician","language":"en","page":"106-114","source":"DOI.org (Crossref)","title":"Valid &lt;i&gt;P&lt;/i&gt; -Values Behave Exactly as They Should: Some Misleading Criticisms of &lt;i&gt;P&lt;/i&gt; -Values and Their Resolution With &lt;i&gt;S&lt;/i&gt; -Values","title-short":"Valid &lt;i&gt;P&lt;/i&gt; -Values Behave Exactly as They Should","volume":"73","author":[{"family":"Greenland","given":"Sander"}],"issued":{"date-parts":[["2019",3,29]]}}}],"schema":"https://github.com/citation-style-language/schema/raw/master/csl-citation.json"} </w:instrText>
      </w:r>
      <w:r w:rsidRPr="00195CAD">
        <w:fldChar w:fldCharType="separate"/>
      </w:r>
      <w:r w:rsidRPr="00195CAD">
        <w:t>[79]</w:t>
      </w:r>
      <w:r w:rsidRPr="00195CAD">
        <w:fldChar w:fldCharType="end"/>
      </w:r>
      <w:r w:rsidRPr="00195CAD">
        <w:t xml:space="preserve">. Overall, the regression model indicated that fiber content was the parameter with the highest impact on material parameters, as was the case with the Pearson correlation coefficients discussed in the previous section. Compression molding time had the second highest </w:t>
      </w:r>
      <w:proofErr w:type="spellStart"/>
      <w:r w:rsidRPr="00195CAD">
        <w:t>LogWorth</w:t>
      </w:r>
      <w:proofErr w:type="spellEnd"/>
      <w:r w:rsidRPr="00195CAD">
        <w:t xml:space="preserve"> value, likewise, indicating its high degree </w:t>
      </w:r>
    </w:p>
    <w:p w14:paraId="4C0C73CA" w14:textId="77777777" w:rsidR="00195CAD" w:rsidRDefault="00195CAD">
      <w:pPr>
        <w:spacing w:after="160" w:line="259" w:lineRule="auto"/>
        <w:ind w:firstLine="0"/>
        <w:jc w:val="left"/>
        <w:sectPr w:rsidR="00195CAD" w:rsidSect="006B02BB">
          <w:pgSz w:w="12240" w:h="15840"/>
          <w:pgMar w:top="1440" w:right="1800" w:bottom="1872" w:left="1800" w:header="720" w:footer="720" w:gutter="0"/>
          <w:cols w:space="720"/>
          <w:docGrid w:linePitch="360"/>
        </w:sectPr>
      </w:pPr>
    </w:p>
    <w:p w14:paraId="13943895" w14:textId="77777777" w:rsidR="00195CAD" w:rsidRDefault="00195CAD" w:rsidP="00195CAD">
      <w:pPr>
        <w:pStyle w:val="TableHeading"/>
      </w:pPr>
      <w:r w:rsidRPr="00C66E6F">
        <w:lastRenderedPageBreak/>
        <w:t xml:space="preserve">Table </w:t>
      </w:r>
      <w:r>
        <w:t>2.</w:t>
      </w:r>
      <w:r w:rsidRPr="00C66E6F">
        <w:t>5 Regression coefficients from least squares fit model analysis</w:t>
      </w:r>
      <w:r>
        <w:t xml:space="preserve"> </w:t>
      </w:r>
    </w:p>
    <w:tbl>
      <w:tblPr>
        <w:tblStyle w:val="TableGrid"/>
        <w:tblW w:w="5000" w:type="pct"/>
        <w:jc w:val="center"/>
        <w:tblLook w:val="04A0" w:firstRow="1" w:lastRow="0" w:firstColumn="1" w:lastColumn="0" w:noHBand="0" w:noVBand="1"/>
      </w:tblPr>
      <w:tblGrid>
        <w:gridCol w:w="2070"/>
        <w:gridCol w:w="1760"/>
        <w:gridCol w:w="1394"/>
        <w:gridCol w:w="1322"/>
        <w:gridCol w:w="1287"/>
        <w:gridCol w:w="1227"/>
        <w:gridCol w:w="1535"/>
        <w:gridCol w:w="1184"/>
        <w:gridCol w:w="1293"/>
        <w:gridCol w:w="1328"/>
      </w:tblGrid>
      <w:tr w:rsidR="00195CAD" w:rsidRPr="00195CAD" w14:paraId="31EE2A1B" w14:textId="77777777" w:rsidTr="000164F3">
        <w:trPr>
          <w:trHeight w:val="288"/>
          <w:jc w:val="center"/>
        </w:trPr>
        <w:tc>
          <w:tcPr>
            <w:tcW w:w="1330" w:type="pct"/>
            <w:gridSpan w:val="2"/>
            <w:tcBorders>
              <w:top w:val="single" w:sz="4" w:space="0" w:color="auto"/>
              <w:left w:val="nil"/>
              <w:bottom w:val="single" w:sz="4" w:space="0" w:color="auto"/>
              <w:right w:val="nil"/>
            </w:tcBorders>
            <w:vAlign w:val="center"/>
          </w:tcPr>
          <w:p w14:paraId="0E6F869C" w14:textId="77777777" w:rsidR="00195CAD" w:rsidRPr="00195CAD" w:rsidRDefault="00195CAD" w:rsidP="00195CAD">
            <w:pPr>
              <w:pStyle w:val="TableHeading"/>
            </w:pPr>
            <w:r w:rsidRPr="00195CAD">
              <w:t>Model Information</w:t>
            </w:r>
          </w:p>
        </w:tc>
        <w:tc>
          <w:tcPr>
            <w:tcW w:w="943" w:type="pct"/>
            <w:gridSpan w:val="2"/>
            <w:tcBorders>
              <w:top w:val="single" w:sz="4" w:space="0" w:color="auto"/>
              <w:left w:val="nil"/>
              <w:bottom w:val="single" w:sz="4" w:space="0" w:color="auto"/>
              <w:right w:val="nil"/>
            </w:tcBorders>
            <w:vAlign w:val="center"/>
          </w:tcPr>
          <w:p w14:paraId="678BC96A" w14:textId="77777777" w:rsidR="00195CAD" w:rsidRPr="00195CAD" w:rsidRDefault="00195CAD" w:rsidP="00195CAD">
            <w:pPr>
              <w:pStyle w:val="TableHeading"/>
            </w:pPr>
            <w:r w:rsidRPr="00195CAD">
              <w:t>Statistical Values</w:t>
            </w:r>
          </w:p>
        </w:tc>
        <w:tc>
          <w:tcPr>
            <w:tcW w:w="2727" w:type="pct"/>
            <w:gridSpan w:val="6"/>
            <w:tcBorders>
              <w:top w:val="single" w:sz="4" w:space="0" w:color="auto"/>
              <w:left w:val="nil"/>
              <w:bottom w:val="single" w:sz="4" w:space="0" w:color="auto"/>
              <w:right w:val="nil"/>
            </w:tcBorders>
          </w:tcPr>
          <w:p w14:paraId="78BAD0EE" w14:textId="77777777" w:rsidR="00195CAD" w:rsidRPr="00195CAD" w:rsidRDefault="00195CAD" w:rsidP="00195CAD">
            <w:pPr>
              <w:pStyle w:val="TableHeading"/>
            </w:pPr>
            <w:r w:rsidRPr="00195CAD">
              <w:t>Model Parameters from Regression Analysis</w:t>
            </w:r>
          </w:p>
        </w:tc>
      </w:tr>
      <w:tr w:rsidR="00195CAD" w:rsidRPr="00195CAD" w14:paraId="2AED8AD2" w14:textId="77777777" w:rsidTr="00195CAD">
        <w:trPr>
          <w:trHeight w:val="288"/>
          <w:jc w:val="center"/>
        </w:trPr>
        <w:tc>
          <w:tcPr>
            <w:tcW w:w="719" w:type="pct"/>
            <w:tcBorders>
              <w:top w:val="single" w:sz="4" w:space="0" w:color="auto"/>
              <w:left w:val="nil"/>
              <w:bottom w:val="single" w:sz="4" w:space="0" w:color="auto"/>
              <w:right w:val="nil"/>
            </w:tcBorders>
            <w:vAlign w:val="center"/>
          </w:tcPr>
          <w:p w14:paraId="18D21A2A" w14:textId="77777777" w:rsidR="00195CAD" w:rsidRPr="00195CAD" w:rsidRDefault="00195CAD" w:rsidP="00195CAD">
            <w:pPr>
              <w:pStyle w:val="TableHeading"/>
              <w:rPr>
                <w:b w:val="0"/>
                <w:bCs w:val="0"/>
              </w:rPr>
            </w:pPr>
            <w:r w:rsidRPr="00195CAD">
              <w:rPr>
                <w:b w:val="0"/>
                <w:bCs w:val="0"/>
              </w:rPr>
              <w:t>Term</w:t>
            </w:r>
          </w:p>
        </w:tc>
        <w:tc>
          <w:tcPr>
            <w:tcW w:w="611" w:type="pct"/>
            <w:tcBorders>
              <w:top w:val="single" w:sz="4" w:space="0" w:color="auto"/>
              <w:left w:val="nil"/>
              <w:bottom w:val="single" w:sz="4" w:space="0" w:color="auto"/>
              <w:right w:val="nil"/>
            </w:tcBorders>
            <w:vAlign w:val="center"/>
          </w:tcPr>
          <w:p w14:paraId="4F427441" w14:textId="77777777" w:rsidR="00195CAD" w:rsidRPr="00195CAD" w:rsidRDefault="00195CAD" w:rsidP="00195CAD">
            <w:pPr>
              <w:pStyle w:val="TableHeading"/>
              <w:rPr>
                <w:b w:val="0"/>
                <w:bCs w:val="0"/>
              </w:rPr>
            </w:pPr>
            <w:r w:rsidRPr="00195CAD">
              <w:rPr>
                <w:b w:val="0"/>
                <w:bCs w:val="0"/>
              </w:rPr>
              <w:t>Units</w:t>
            </w:r>
          </w:p>
        </w:tc>
        <w:tc>
          <w:tcPr>
            <w:tcW w:w="484" w:type="pct"/>
            <w:tcBorders>
              <w:top w:val="single" w:sz="4" w:space="0" w:color="auto"/>
              <w:left w:val="nil"/>
              <w:bottom w:val="single" w:sz="4" w:space="0" w:color="auto"/>
              <w:right w:val="nil"/>
            </w:tcBorders>
            <w:vAlign w:val="center"/>
          </w:tcPr>
          <w:p w14:paraId="4372C7E4" w14:textId="77777777" w:rsidR="00195CAD" w:rsidRPr="00195CAD" w:rsidRDefault="00195CAD" w:rsidP="00195CAD">
            <w:pPr>
              <w:pStyle w:val="TableHeading"/>
              <w:rPr>
                <w:b w:val="0"/>
                <w:bCs w:val="0"/>
              </w:rPr>
            </w:pPr>
            <w:proofErr w:type="spellStart"/>
            <w:r w:rsidRPr="00195CAD">
              <w:rPr>
                <w:b w:val="0"/>
                <w:bCs w:val="0"/>
              </w:rPr>
              <w:t>LogWorth</w:t>
            </w:r>
            <w:proofErr w:type="spellEnd"/>
          </w:p>
        </w:tc>
        <w:tc>
          <w:tcPr>
            <w:tcW w:w="459" w:type="pct"/>
            <w:tcBorders>
              <w:top w:val="single" w:sz="4" w:space="0" w:color="auto"/>
              <w:left w:val="nil"/>
              <w:bottom w:val="single" w:sz="4" w:space="0" w:color="auto"/>
              <w:right w:val="nil"/>
            </w:tcBorders>
            <w:vAlign w:val="center"/>
          </w:tcPr>
          <w:p w14:paraId="256B4D59" w14:textId="77777777" w:rsidR="00195CAD" w:rsidRPr="00195CAD" w:rsidRDefault="00195CAD" w:rsidP="00195CAD">
            <w:pPr>
              <w:pStyle w:val="TableHeading"/>
              <w:rPr>
                <w:b w:val="0"/>
                <w:bCs w:val="0"/>
              </w:rPr>
            </w:pPr>
            <w:r w:rsidRPr="00195CAD">
              <w:rPr>
                <w:b w:val="0"/>
                <w:bCs w:val="0"/>
              </w:rPr>
              <w:t>P-value</w:t>
            </w:r>
          </w:p>
        </w:tc>
        <w:tc>
          <w:tcPr>
            <w:tcW w:w="447" w:type="pct"/>
            <w:tcBorders>
              <w:top w:val="single" w:sz="4" w:space="0" w:color="auto"/>
              <w:left w:val="nil"/>
              <w:bottom w:val="single" w:sz="4" w:space="0" w:color="auto"/>
              <w:right w:val="nil"/>
            </w:tcBorders>
            <w:vAlign w:val="center"/>
          </w:tcPr>
          <w:p w14:paraId="208308CE" w14:textId="77777777" w:rsidR="00195CAD" w:rsidRPr="00195CAD" w:rsidRDefault="00195CAD" w:rsidP="00195CAD">
            <w:pPr>
              <w:pStyle w:val="TableHeading"/>
              <w:rPr>
                <w:b w:val="0"/>
                <w:bCs w:val="0"/>
              </w:rPr>
            </w:pPr>
            <w:r w:rsidRPr="00195CAD">
              <w:rPr>
                <w:b w:val="0"/>
                <w:bCs w:val="0"/>
              </w:rPr>
              <w:t>Panel Thickness</w:t>
            </w:r>
          </w:p>
        </w:tc>
        <w:tc>
          <w:tcPr>
            <w:tcW w:w="426" w:type="pct"/>
            <w:tcBorders>
              <w:top w:val="single" w:sz="4" w:space="0" w:color="auto"/>
              <w:left w:val="nil"/>
              <w:bottom w:val="single" w:sz="4" w:space="0" w:color="auto"/>
              <w:right w:val="nil"/>
            </w:tcBorders>
            <w:vAlign w:val="center"/>
          </w:tcPr>
          <w:p w14:paraId="5DF58686" w14:textId="77777777" w:rsidR="00195CAD" w:rsidRPr="00195CAD" w:rsidRDefault="00195CAD" w:rsidP="00195CAD">
            <w:pPr>
              <w:pStyle w:val="TableHeading"/>
              <w:rPr>
                <w:b w:val="0"/>
                <w:bCs w:val="0"/>
              </w:rPr>
            </w:pPr>
            <w:r w:rsidRPr="00195CAD">
              <w:rPr>
                <w:b w:val="0"/>
                <w:bCs w:val="0"/>
              </w:rPr>
              <w:t>Flexural Modulus</w:t>
            </w:r>
          </w:p>
        </w:tc>
        <w:tc>
          <w:tcPr>
            <w:tcW w:w="533" w:type="pct"/>
            <w:tcBorders>
              <w:top w:val="single" w:sz="4" w:space="0" w:color="auto"/>
              <w:left w:val="nil"/>
              <w:bottom w:val="single" w:sz="4" w:space="0" w:color="auto"/>
              <w:right w:val="nil"/>
            </w:tcBorders>
            <w:vAlign w:val="center"/>
          </w:tcPr>
          <w:p w14:paraId="2F36ABA8" w14:textId="77777777" w:rsidR="00195CAD" w:rsidRPr="00195CAD" w:rsidRDefault="00195CAD" w:rsidP="00195CAD">
            <w:pPr>
              <w:pStyle w:val="TableHeading"/>
              <w:rPr>
                <w:b w:val="0"/>
                <w:bCs w:val="0"/>
              </w:rPr>
            </w:pPr>
            <w:r w:rsidRPr="00195CAD">
              <w:rPr>
                <w:b w:val="0"/>
                <w:bCs w:val="0"/>
              </w:rPr>
              <w:t>Flexural Yield Strength</w:t>
            </w:r>
          </w:p>
        </w:tc>
        <w:tc>
          <w:tcPr>
            <w:tcW w:w="411" w:type="pct"/>
            <w:tcBorders>
              <w:top w:val="single" w:sz="4" w:space="0" w:color="auto"/>
              <w:left w:val="nil"/>
              <w:bottom w:val="single" w:sz="4" w:space="0" w:color="auto"/>
              <w:right w:val="nil"/>
            </w:tcBorders>
            <w:vAlign w:val="center"/>
          </w:tcPr>
          <w:p w14:paraId="5F6411DD" w14:textId="77777777" w:rsidR="00195CAD" w:rsidRPr="00195CAD" w:rsidRDefault="00195CAD" w:rsidP="00195CAD">
            <w:pPr>
              <w:pStyle w:val="TableHeading"/>
              <w:rPr>
                <w:b w:val="0"/>
                <w:bCs w:val="0"/>
              </w:rPr>
            </w:pPr>
            <w:r w:rsidRPr="00195CAD">
              <w:rPr>
                <w:b w:val="0"/>
                <w:bCs w:val="0"/>
              </w:rPr>
              <w:t>Izod Impact Strength</w:t>
            </w:r>
          </w:p>
        </w:tc>
        <w:tc>
          <w:tcPr>
            <w:tcW w:w="449" w:type="pct"/>
            <w:tcBorders>
              <w:top w:val="single" w:sz="4" w:space="0" w:color="auto"/>
              <w:left w:val="nil"/>
              <w:bottom w:val="single" w:sz="4" w:space="0" w:color="auto"/>
              <w:right w:val="nil"/>
            </w:tcBorders>
            <w:vAlign w:val="center"/>
          </w:tcPr>
          <w:p w14:paraId="1D0E3037" w14:textId="77777777" w:rsidR="00195CAD" w:rsidRPr="00195CAD" w:rsidRDefault="00195CAD" w:rsidP="00195CAD">
            <w:pPr>
              <w:pStyle w:val="TableHeading"/>
              <w:rPr>
                <w:b w:val="0"/>
                <w:bCs w:val="0"/>
              </w:rPr>
            </w:pPr>
            <w:r w:rsidRPr="00195CAD">
              <w:rPr>
                <w:b w:val="0"/>
                <w:bCs w:val="0"/>
              </w:rPr>
              <w:t>Density</w:t>
            </w:r>
          </w:p>
        </w:tc>
        <w:tc>
          <w:tcPr>
            <w:tcW w:w="461" w:type="pct"/>
            <w:tcBorders>
              <w:top w:val="single" w:sz="4" w:space="0" w:color="auto"/>
              <w:left w:val="nil"/>
              <w:bottom w:val="single" w:sz="4" w:space="0" w:color="auto"/>
              <w:right w:val="nil"/>
            </w:tcBorders>
            <w:vAlign w:val="center"/>
          </w:tcPr>
          <w:p w14:paraId="445C7B28" w14:textId="77777777" w:rsidR="00195CAD" w:rsidRPr="00195CAD" w:rsidRDefault="00195CAD" w:rsidP="00195CAD">
            <w:pPr>
              <w:pStyle w:val="TableHeading"/>
              <w:rPr>
                <w:b w:val="0"/>
                <w:bCs w:val="0"/>
              </w:rPr>
            </w:pPr>
            <w:r w:rsidRPr="00195CAD">
              <w:rPr>
                <w:b w:val="0"/>
                <w:bCs w:val="0"/>
              </w:rPr>
              <w:t>Water Uptake</w:t>
            </w:r>
          </w:p>
        </w:tc>
      </w:tr>
      <w:tr w:rsidR="00195CAD" w:rsidRPr="00195CAD" w14:paraId="0706D405" w14:textId="77777777" w:rsidTr="00195CAD">
        <w:trPr>
          <w:trHeight w:val="288"/>
          <w:jc w:val="center"/>
        </w:trPr>
        <w:tc>
          <w:tcPr>
            <w:tcW w:w="719" w:type="pct"/>
            <w:tcBorders>
              <w:top w:val="single" w:sz="4" w:space="0" w:color="auto"/>
              <w:left w:val="nil"/>
              <w:bottom w:val="nil"/>
              <w:right w:val="nil"/>
            </w:tcBorders>
            <w:vAlign w:val="center"/>
          </w:tcPr>
          <w:p w14:paraId="75F3533B" w14:textId="77777777" w:rsidR="00195CAD" w:rsidRPr="00195CAD" w:rsidRDefault="00195CAD" w:rsidP="00195CAD">
            <w:pPr>
              <w:pStyle w:val="TableHeading"/>
              <w:rPr>
                <w:b w:val="0"/>
                <w:bCs w:val="0"/>
              </w:rPr>
            </w:pPr>
            <w:r w:rsidRPr="00195CAD">
              <w:rPr>
                <w:b w:val="0"/>
                <w:bCs w:val="0"/>
              </w:rPr>
              <w:t>Intercept</w:t>
            </w:r>
          </w:p>
        </w:tc>
        <w:tc>
          <w:tcPr>
            <w:tcW w:w="611" w:type="pct"/>
            <w:tcBorders>
              <w:top w:val="single" w:sz="4" w:space="0" w:color="auto"/>
              <w:left w:val="nil"/>
              <w:bottom w:val="nil"/>
              <w:right w:val="nil"/>
            </w:tcBorders>
            <w:vAlign w:val="center"/>
          </w:tcPr>
          <w:p w14:paraId="12CD0070" w14:textId="77777777" w:rsidR="00195CAD" w:rsidRPr="00195CAD" w:rsidRDefault="00195CAD" w:rsidP="00195CAD">
            <w:pPr>
              <w:pStyle w:val="TableHeading"/>
              <w:rPr>
                <w:b w:val="0"/>
                <w:bCs w:val="0"/>
              </w:rPr>
            </w:pPr>
            <w:r w:rsidRPr="00195CAD">
              <w:rPr>
                <w:b w:val="0"/>
                <w:bCs w:val="0"/>
              </w:rPr>
              <w:t>-</w:t>
            </w:r>
          </w:p>
        </w:tc>
        <w:tc>
          <w:tcPr>
            <w:tcW w:w="484" w:type="pct"/>
            <w:tcBorders>
              <w:top w:val="single" w:sz="4" w:space="0" w:color="auto"/>
              <w:left w:val="nil"/>
              <w:bottom w:val="nil"/>
              <w:right w:val="nil"/>
            </w:tcBorders>
            <w:vAlign w:val="center"/>
          </w:tcPr>
          <w:p w14:paraId="5D9681DB" w14:textId="77777777" w:rsidR="00195CAD" w:rsidRPr="00195CAD" w:rsidRDefault="00195CAD" w:rsidP="00195CAD">
            <w:pPr>
              <w:pStyle w:val="TableHeading"/>
              <w:rPr>
                <w:b w:val="0"/>
                <w:bCs w:val="0"/>
              </w:rPr>
            </w:pPr>
            <w:r w:rsidRPr="00195CAD">
              <w:rPr>
                <w:b w:val="0"/>
                <w:bCs w:val="0"/>
              </w:rPr>
              <w:t>N/A</w:t>
            </w:r>
          </w:p>
        </w:tc>
        <w:tc>
          <w:tcPr>
            <w:tcW w:w="459" w:type="pct"/>
            <w:tcBorders>
              <w:top w:val="single" w:sz="4" w:space="0" w:color="auto"/>
              <w:left w:val="nil"/>
              <w:bottom w:val="nil"/>
              <w:right w:val="nil"/>
            </w:tcBorders>
            <w:vAlign w:val="center"/>
          </w:tcPr>
          <w:p w14:paraId="72009F19" w14:textId="77777777" w:rsidR="00195CAD" w:rsidRPr="00195CAD" w:rsidRDefault="00195CAD" w:rsidP="00195CAD">
            <w:pPr>
              <w:pStyle w:val="TableHeading"/>
              <w:rPr>
                <w:b w:val="0"/>
                <w:bCs w:val="0"/>
              </w:rPr>
            </w:pPr>
            <w:r w:rsidRPr="00195CAD">
              <w:rPr>
                <w:b w:val="0"/>
                <w:bCs w:val="0"/>
              </w:rPr>
              <w:t>N/A</w:t>
            </w:r>
          </w:p>
        </w:tc>
        <w:tc>
          <w:tcPr>
            <w:tcW w:w="447" w:type="pct"/>
            <w:tcBorders>
              <w:top w:val="single" w:sz="4" w:space="0" w:color="auto"/>
              <w:left w:val="nil"/>
              <w:bottom w:val="nil"/>
              <w:right w:val="nil"/>
            </w:tcBorders>
            <w:vAlign w:val="center"/>
          </w:tcPr>
          <w:p w14:paraId="1CE47B8B" w14:textId="77777777" w:rsidR="00195CAD" w:rsidRPr="00195CAD" w:rsidRDefault="00195CAD" w:rsidP="00195CAD">
            <w:pPr>
              <w:pStyle w:val="TableHeading"/>
              <w:rPr>
                <w:b w:val="0"/>
                <w:bCs w:val="0"/>
              </w:rPr>
            </w:pPr>
            <w:r w:rsidRPr="00195CAD">
              <w:rPr>
                <w:b w:val="0"/>
                <w:bCs w:val="0"/>
              </w:rPr>
              <w:t>13.1</w:t>
            </w:r>
          </w:p>
        </w:tc>
        <w:tc>
          <w:tcPr>
            <w:tcW w:w="426" w:type="pct"/>
            <w:tcBorders>
              <w:top w:val="single" w:sz="4" w:space="0" w:color="auto"/>
              <w:left w:val="nil"/>
              <w:bottom w:val="nil"/>
              <w:right w:val="nil"/>
            </w:tcBorders>
            <w:vAlign w:val="center"/>
          </w:tcPr>
          <w:p w14:paraId="046447E9" w14:textId="77777777" w:rsidR="00195CAD" w:rsidRPr="00195CAD" w:rsidRDefault="00195CAD" w:rsidP="00195CAD">
            <w:pPr>
              <w:pStyle w:val="TableHeading"/>
              <w:rPr>
                <w:b w:val="0"/>
                <w:bCs w:val="0"/>
              </w:rPr>
            </w:pPr>
            <w:r w:rsidRPr="00195CAD">
              <w:rPr>
                <w:b w:val="0"/>
                <w:bCs w:val="0"/>
              </w:rPr>
              <w:t>-7620</w:t>
            </w:r>
          </w:p>
        </w:tc>
        <w:tc>
          <w:tcPr>
            <w:tcW w:w="533" w:type="pct"/>
            <w:tcBorders>
              <w:top w:val="single" w:sz="4" w:space="0" w:color="auto"/>
              <w:left w:val="nil"/>
              <w:bottom w:val="nil"/>
              <w:right w:val="nil"/>
            </w:tcBorders>
            <w:vAlign w:val="center"/>
          </w:tcPr>
          <w:p w14:paraId="162762E7" w14:textId="77777777" w:rsidR="00195CAD" w:rsidRPr="00195CAD" w:rsidRDefault="00195CAD" w:rsidP="00195CAD">
            <w:pPr>
              <w:pStyle w:val="TableHeading"/>
              <w:rPr>
                <w:b w:val="0"/>
                <w:bCs w:val="0"/>
              </w:rPr>
            </w:pPr>
            <w:r w:rsidRPr="00195CAD">
              <w:rPr>
                <w:b w:val="0"/>
                <w:bCs w:val="0"/>
              </w:rPr>
              <w:t>-51.3</w:t>
            </w:r>
          </w:p>
        </w:tc>
        <w:tc>
          <w:tcPr>
            <w:tcW w:w="411" w:type="pct"/>
            <w:tcBorders>
              <w:top w:val="single" w:sz="4" w:space="0" w:color="auto"/>
              <w:left w:val="nil"/>
              <w:bottom w:val="nil"/>
              <w:right w:val="nil"/>
            </w:tcBorders>
            <w:vAlign w:val="center"/>
          </w:tcPr>
          <w:p w14:paraId="000A06AC" w14:textId="77777777" w:rsidR="00195CAD" w:rsidRPr="00195CAD" w:rsidRDefault="00195CAD" w:rsidP="00195CAD">
            <w:pPr>
              <w:pStyle w:val="TableHeading"/>
              <w:rPr>
                <w:b w:val="0"/>
                <w:bCs w:val="0"/>
              </w:rPr>
            </w:pPr>
            <w:r w:rsidRPr="00195CAD">
              <w:rPr>
                <w:b w:val="0"/>
                <w:bCs w:val="0"/>
              </w:rPr>
              <w:t>179</w:t>
            </w:r>
          </w:p>
        </w:tc>
        <w:tc>
          <w:tcPr>
            <w:tcW w:w="449" w:type="pct"/>
            <w:tcBorders>
              <w:top w:val="single" w:sz="4" w:space="0" w:color="auto"/>
              <w:left w:val="nil"/>
              <w:bottom w:val="nil"/>
              <w:right w:val="nil"/>
            </w:tcBorders>
            <w:vAlign w:val="center"/>
          </w:tcPr>
          <w:p w14:paraId="1BAEA44B" w14:textId="77777777" w:rsidR="00195CAD" w:rsidRPr="00195CAD" w:rsidRDefault="00195CAD" w:rsidP="00195CAD">
            <w:pPr>
              <w:pStyle w:val="TableHeading"/>
              <w:rPr>
                <w:b w:val="0"/>
                <w:bCs w:val="0"/>
              </w:rPr>
            </w:pPr>
            <w:r w:rsidRPr="00195CAD">
              <w:rPr>
                <w:b w:val="0"/>
                <w:bCs w:val="0"/>
              </w:rPr>
              <w:t>-0.350</w:t>
            </w:r>
          </w:p>
        </w:tc>
        <w:tc>
          <w:tcPr>
            <w:tcW w:w="461" w:type="pct"/>
            <w:tcBorders>
              <w:top w:val="single" w:sz="4" w:space="0" w:color="auto"/>
              <w:left w:val="nil"/>
              <w:bottom w:val="nil"/>
              <w:right w:val="nil"/>
            </w:tcBorders>
            <w:vAlign w:val="center"/>
          </w:tcPr>
          <w:p w14:paraId="15E18061" w14:textId="77777777" w:rsidR="00195CAD" w:rsidRPr="00195CAD" w:rsidRDefault="00195CAD" w:rsidP="00195CAD">
            <w:pPr>
              <w:pStyle w:val="TableHeading"/>
              <w:rPr>
                <w:b w:val="0"/>
                <w:bCs w:val="0"/>
              </w:rPr>
            </w:pPr>
            <w:r w:rsidRPr="00195CAD">
              <w:rPr>
                <w:b w:val="0"/>
                <w:bCs w:val="0"/>
              </w:rPr>
              <w:t>2.54</w:t>
            </w:r>
          </w:p>
        </w:tc>
      </w:tr>
      <w:tr w:rsidR="00195CAD" w:rsidRPr="00195CAD" w14:paraId="02AFB77F" w14:textId="77777777" w:rsidTr="00195CAD">
        <w:trPr>
          <w:trHeight w:val="288"/>
          <w:jc w:val="center"/>
        </w:trPr>
        <w:tc>
          <w:tcPr>
            <w:tcW w:w="719" w:type="pct"/>
            <w:tcBorders>
              <w:top w:val="nil"/>
              <w:left w:val="nil"/>
              <w:bottom w:val="nil"/>
              <w:right w:val="nil"/>
            </w:tcBorders>
            <w:vAlign w:val="center"/>
          </w:tcPr>
          <w:p w14:paraId="2C0081EF" w14:textId="77777777" w:rsidR="00195CAD" w:rsidRPr="00195CAD" w:rsidRDefault="00195CAD" w:rsidP="00195CAD">
            <w:pPr>
              <w:pStyle w:val="TableHeading"/>
              <w:rPr>
                <w:b w:val="0"/>
                <w:bCs w:val="0"/>
              </w:rPr>
            </w:pPr>
            <w:r w:rsidRPr="00195CAD">
              <w:rPr>
                <w:b w:val="0"/>
                <w:bCs w:val="0"/>
              </w:rPr>
              <w:t>F</w:t>
            </w:r>
          </w:p>
        </w:tc>
        <w:tc>
          <w:tcPr>
            <w:tcW w:w="611" w:type="pct"/>
            <w:tcBorders>
              <w:top w:val="nil"/>
              <w:left w:val="nil"/>
              <w:bottom w:val="nil"/>
              <w:right w:val="nil"/>
            </w:tcBorders>
            <w:vAlign w:val="center"/>
          </w:tcPr>
          <w:p w14:paraId="2A85778E" w14:textId="77777777" w:rsidR="00195CAD" w:rsidRPr="00195CAD" w:rsidRDefault="00195CAD" w:rsidP="00195CAD">
            <w:pPr>
              <w:pStyle w:val="TableHeading"/>
              <w:rPr>
                <w:b w:val="0"/>
                <w:bCs w:val="0"/>
              </w:rPr>
            </w:pPr>
            <w:r w:rsidRPr="00195CAD">
              <w:rPr>
                <w:b w:val="0"/>
                <w:bCs w:val="0"/>
              </w:rPr>
              <w:t>wt.%</w:t>
            </w:r>
            <w:r w:rsidRPr="00195CAD">
              <w:rPr>
                <w:b w:val="0"/>
                <w:bCs w:val="0"/>
                <w:vertAlign w:val="superscript"/>
              </w:rPr>
              <w:t>-1</w:t>
            </w:r>
          </w:p>
        </w:tc>
        <w:tc>
          <w:tcPr>
            <w:tcW w:w="484" w:type="pct"/>
            <w:tcBorders>
              <w:top w:val="nil"/>
              <w:left w:val="nil"/>
              <w:bottom w:val="nil"/>
              <w:right w:val="nil"/>
            </w:tcBorders>
            <w:vAlign w:val="center"/>
          </w:tcPr>
          <w:p w14:paraId="5D48523C" w14:textId="77777777" w:rsidR="00195CAD" w:rsidRPr="00195CAD" w:rsidRDefault="00195CAD" w:rsidP="00195CAD">
            <w:pPr>
              <w:pStyle w:val="TableHeading"/>
              <w:rPr>
                <w:b w:val="0"/>
                <w:bCs w:val="0"/>
              </w:rPr>
            </w:pPr>
            <w:r w:rsidRPr="00195CAD">
              <w:rPr>
                <w:b w:val="0"/>
                <w:bCs w:val="0"/>
              </w:rPr>
              <w:t>6.896</w:t>
            </w:r>
          </w:p>
        </w:tc>
        <w:tc>
          <w:tcPr>
            <w:tcW w:w="459" w:type="pct"/>
            <w:tcBorders>
              <w:top w:val="nil"/>
              <w:left w:val="nil"/>
              <w:bottom w:val="nil"/>
              <w:right w:val="nil"/>
            </w:tcBorders>
            <w:vAlign w:val="center"/>
          </w:tcPr>
          <w:p w14:paraId="3A87A4DC" w14:textId="77777777" w:rsidR="00195CAD" w:rsidRPr="00195CAD" w:rsidRDefault="00195CAD" w:rsidP="00195CAD">
            <w:pPr>
              <w:pStyle w:val="TableHeading"/>
              <w:rPr>
                <w:b w:val="0"/>
                <w:bCs w:val="0"/>
              </w:rPr>
            </w:pPr>
            <w:r w:rsidRPr="00195CAD">
              <w:rPr>
                <w:b w:val="0"/>
                <w:bCs w:val="0"/>
              </w:rPr>
              <w:t>&gt;0.00000</w:t>
            </w:r>
          </w:p>
        </w:tc>
        <w:tc>
          <w:tcPr>
            <w:tcW w:w="447" w:type="pct"/>
            <w:tcBorders>
              <w:top w:val="nil"/>
              <w:left w:val="nil"/>
              <w:bottom w:val="nil"/>
              <w:right w:val="nil"/>
            </w:tcBorders>
            <w:vAlign w:val="center"/>
          </w:tcPr>
          <w:p w14:paraId="00CC5654" w14:textId="77777777" w:rsidR="00195CAD" w:rsidRPr="00195CAD" w:rsidRDefault="00195CAD" w:rsidP="00195CAD">
            <w:pPr>
              <w:pStyle w:val="TableHeading"/>
              <w:rPr>
                <w:b w:val="0"/>
                <w:bCs w:val="0"/>
              </w:rPr>
            </w:pPr>
            <w:r w:rsidRPr="00195CAD">
              <w:rPr>
                <w:b w:val="0"/>
                <w:bCs w:val="0"/>
              </w:rPr>
              <w:t>3.13</w:t>
            </w:r>
          </w:p>
        </w:tc>
        <w:tc>
          <w:tcPr>
            <w:tcW w:w="426" w:type="pct"/>
            <w:tcBorders>
              <w:top w:val="nil"/>
              <w:left w:val="nil"/>
              <w:bottom w:val="nil"/>
              <w:right w:val="nil"/>
            </w:tcBorders>
            <w:vAlign w:val="center"/>
          </w:tcPr>
          <w:p w14:paraId="3A189627" w14:textId="77777777" w:rsidR="00195CAD" w:rsidRPr="00195CAD" w:rsidRDefault="00195CAD" w:rsidP="00195CAD">
            <w:pPr>
              <w:pStyle w:val="TableHeading"/>
              <w:rPr>
                <w:b w:val="0"/>
                <w:bCs w:val="0"/>
              </w:rPr>
            </w:pPr>
            <w:r w:rsidRPr="00195CAD">
              <w:rPr>
                <w:b w:val="0"/>
                <w:bCs w:val="0"/>
              </w:rPr>
              <w:t>-3160</w:t>
            </w:r>
          </w:p>
        </w:tc>
        <w:tc>
          <w:tcPr>
            <w:tcW w:w="533" w:type="pct"/>
            <w:tcBorders>
              <w:top w:val="nil"/>
              <w:left w:val="nil"/>
              <w:bottom w:val="nil"/>
              <w:right w:val="nil"/>
            </w:tcBorders>
            <w:vAlign w:val="center"/>
          </w:tcPr>
          <w:p w14:paraId="5C453481" w14:textId="77777777" w:rsidR="00195CAD" w:rsidRPr="00195CAD" w:rsidRDefault="00195CAD" w:rsidP="00195CAD">
            <w:pPr>
              <w:pStyle w:val="TableHeading"/>
              <w:rPr>
                <w:b w:val="0"/>
                <w:bCs w:val="0"/>
              </w:rPr>
            </w:pPr>
            <w:r w:rsidRPr="00195CAD">
              <w:rPr>
                <w:b w:val="0"/>
                <w:bCs w:val="0"/>
              </w:rPr>
              <w:t>-48.4</w:t>
            </w:r>
          </w:p>
        </w:tc>
        <w:tc>
          <w:tcPr>
            <w:tcW w:w="411" w:type="pct"/>
            <w:tcBorders>
              <w:top w:val="nil"/>
              <w:left w:val="nil"/>
              <w:bottom w:val="nil"/>
              <w:right w:val="nil"/>
            </w:tcBorders>
            <w:vAlign w:val="center"/>
          </w:tcPr>
          <w:p w14:paraId="65FC121A" w14:textId="77777777" w:rsidR="00195CAD" w:rsidRPr="00195CAD" w:rsidRDefault="00195CAD" w:rsidP="00195CAD">
            <w:pPr>
              <w:pStyle w:val="TableHeading"/>
              <w:rPr>
                <w:b w:val="0"/>
                <w:bCs w:val="0"/>
              </w:rPr>
            </w:pPr>
            <w:r w:rsidRPr="00195CAD">
              <w:rPr>
                <w:b w:val="0"/>
                <w:bCs w:val="0"/>
              </w:rPr>
              <w:t>6.28</w:t>
            </w:r>
          </w:p>
        </w:tc>
        <w:tc>
          <w:tcPr>
            <w:tcW w:w="449" w:type="pct"/>
            <w:tcBorders>
              <w:top w:val="nil"/>
              <w:left w:val="nil"/>
              <w:bottom w:val="nil"/>
              <w:right w:val="nil"/>
            </w:tcBorders>
            <w:vAlign w:val="center"/>
          </w:tcPr>
          <w:p w14:paraId="124F561A" w14:textId="77777777" w:rsidR="00195CAD" w:rsidRPr="00195CAD" w:rsidRDefault="00195CAD" w:rsidP="00195CAD">
            <w:pPr>
              <w:pStyle w:val="TableHeading"/>
              <w:rPr>
                <w:b w:val="0"/>
                <w:bCs w:val="0"/>
              </w:rPr>
            </w:pPr>
            <w:r w:rsidRPr="00195CAD">
              <w:rPr>
                <w:b w:val="0"/>
                <w:bCs w:val="0"/>
              </w:rPr>
              <w:t>-0.628</w:t>
            </w:r>
          </w:p>
        </w:tc>
        <w:tc>
          <w:tcPr>
            <w:tcW w:w="461" w:type="pct"/>
            <w:tcBorders>
              <w:top w:val="nil"/>
              <w:left w:val="nil"/>
              <w:bottom w:val="nil"/>
              <w:right w:val="nil"/>
            </w:tcBorders>
            <w:vAlign w:val="center"/>
          </w:tcPr>
          <w:p w14:paraId="08A6D115" w14:textId="77777777" w:rsidR="00195CAD" w:rsidRPr="00195CAD" w:rsidRDefault="00195CAD" w:rsidP="00195CAD">
            <w:pPr>
              <w:pStyle w:val="TableHeading"/>
              <w:rPr>
                <w:b w:val="0"/>
                <w:bCs w:val="0"/>
              </w:rPr>
            </w:pPr>
            <w:r w:rsidRPr="00195CAD">
              <w:rPr>
                <w:b w:val="0"/>
                <w:bCs w:val="0"/>
              </w:rPr>
              <w:t>1.51</w:t>
            </w:r>
          </w:p>
        </w:tc>
      </w:tr>
      <w:tr w:rsidR="00195CAD" w:rsidRPr="00195CAD" w14:paraId="5BE31335" w14:textId="77777777" w:rsidTr="00195CAD">
        <w:trPr>
          <w:trHeight w:val="288"/>
          <w:jc w:val="center"/>
        </w:trPr>
        <w:tc>
          <w:tcPr>
            <w:tcW w:w="719" w:type="pct"/>
            <w:tcBorders>
              <w:top w:val="nil"/>
              <w:left w:val="nil"/>
              <w:bottom w:val="nil"/>
              <w:right w:val="nil"/>
            </w:tcBorders>
            <w:vAlign w:val="center"/>
          </w:tcPr>
          <w:p w14:paraId="2A1F44B3" w14:textId="77777777" w:rsidR="00195CAD" w:rsidRPr="00195CAD" w:rsidRDefault="00195CAD" w:rsidP="00195CAD">
            <w:pPr>
              <w:pStyle w:val="TableHeading"/>
              <w:rPr>
                <w:b w:val="0"/>
                <w:bCs w:val="0"/>
              </w:rPr>
            </w:pPr>
            <w:r w:rsidRPr="00195CAD">
              <w:rPr>
                <w:b w:val="0"/>
                <w:bCs w:val="0"/>
              </w:rPr>
              <w:t>S</w:t>
            </w:r>
          </w:p>
        </w:tc>
        <w:tc>
          <w:tcPr>
            <w:tcW w:w="611" w:type="pct"/>
            <w:tcBorders>
              <w:top w:val="nil"/>
              <w:left w:val="nil"/>
              <w:bottom w:val="nil"/>
              <w:right w:val="nil"/>
            </w:tcBorders>
            <w:vAlign w:val="center"/>
          </w:tcPr>
          <w:p w14:paraId="0C9B5E66" w14:textId="77777777" w:rsidR="00195CAD" w:rsidRPr="00195CAD" w:rsidRDefault="00195CAD" w:rsidP="00195CAD">
            <w:pPr>
              <w:pStyle w:val="TableHeading"/>
              <w:rPr>
                <w:b w:val="0"/>
                <w:bCs w:val="0"/>
              </w:rPr>
            </w:pPr>
            <w:r w:rsidRPr="00195CAD">
              <w:rPr>
                <w:b w:val="0"/>
                <w:bCs w:val="0"/>
              </w:rPr>
              <w:t>min</w:t>
            </w:r>
            <w:r w:rsidRPr="00195CAD">
              <w:rPr>
                <w:b w:val="0"/>
                <w:bCs w:val="0"/>
                <w:vertAlign w:val="superscript"/>
              </w:rPr>
              <w:t>-1</w:t>
            </w:r>
          </w:p>
        </w:tc>
        <w:tc>
          <w:tcPr>
            <w:tcW w:w="484" w:type="pct"/>
            <w:tcBorders>
              <w:top w:val="nil"/>
              <w:left w:val="nil"/>
              <w:bottom w:val="nil"/>
              <w:right w:val="nil"/>
            </w:tcBorders>
            <w:vAlign w:val="center"/>
          </w:tcPr>
          <w:p w14:paraId="3F813197" w14:textId="77777777" w:rsidR="00195CAD" w:rsidRPr="00195CAD" w:rsidRDefault="00195CAD" w:rsidP="00195CAD">
            <w:pPr>
              <w:pStyle w:val="TableHeading"/>
              <w:rPr>
                <w:b w:val="0"/>
                <w:bCs w:val="0"/>
              </w:rPr>
            </w:pPr>
            <w:r w:rsidRPr="00195CAD">
              <w:rPr>
                <w:b w:val="0"/>
                <w:bCs w:val="0"/>
              </w:rPr>
              <w:t>5.364</w:t>
            </w:r>
          </w:p>
        </w:tc>
        <w:tc>
          <w:tcPr>
            <w:tcW w:w="459" w:type="pct"/>
            <w:tcBorders>
              <w:top w:val="nil"/>
              <w:left w:val="nil"/>
              <w:bottom w:val="nil"/>
              <w:right w:val="nil"/>
            </w:tcBorders>
            <w:vAlign w:val="center"/>
          </w:tcPr>
          <w:p w14:paraId="5A585315" w14:textId="77777777" w:rsidR="00195CAD" w:rsidRPr="00195CAD" w:rsidRDefault="00195CAD" w:rsidP="00195CAD">
            <w:pPr>
              <w:pStyle w:val="TableHeading"/>
              <w:rPr>
                <w:b w:val="0"/>
                <w:bCs w:val="0"/>
              </w:rPr>
            </w:pPr>
            <w:r w:rsidRPr="00195CAD">
              <w:rPr>
                <w:b w:val="0"/>
                <w:bCs w:val="0"/>
              </w:rPr>
              <w:t>&gt;0.00000</w:t>
            </w:r>
          </w:p>
        </w:tc>
        <w:tc>
          <w:tcPr>
            <w:tcW w:w="447" w:type="pct"/>
            <w:tcBorders>
              <w:top w:val="nil"/>
              <w:left w:val="nil"/>
              <w:bottom w:val="nil"/>
              <w:right w:val="nil"/>
            </w:tcBorders>
            <w:vAlign w:val="center"/>
          </w:tcPr>
          <w:p w14:paraId="097835AF" w14:textId="77777777" w:rsidR="00195CAD" w:rsidRPr="00195CAD" w:rsidRDefault="00195CAD" w:rsidP="00195CAD">
            <w:pPr>
              <w:pStyle w:val="TableHeading"/>
              <w:rPr>
                <w:b w:val="0"/>
                <w:bCs w:val="0"/>
              </w:rPr>
            </w:pPr>
            <w:r w:rsidRPr="00195CAD">
              <w:rPr>
                <w:b w:val="0"/>
                <w:bCs w:val="0"/>
              </w:rPr>
              <w:t>-0.0960</w:t>
            </w:r>
          </w:p>
        </w:tc>
        <w:tc>
          <w:tcPr>
            <w:tcW w:w="426" w:type="pct"/>
            <w:tcBorders>
              <w:top w:val="nil"/>
              <w:left w:val="nil"/>
              <w:bottom w:val="nil"/>
              <w:right w:val="nil"/>
            </w:tcBorders>
            <w:vAlign w:val="center"/>
          </w:tcPr>
          <w:p w14:paraId="63B02103" w14:textId="77777777" w:rsidR="00195CAD" w:rsidRPr="00195CAD" w:rsidRDefault="00195CAD" w:rsidP="00195CAD">
            <w:pPr>
              <w:pStyle w:val="TableHeading"/>
              <w:rPr>
                <w:b w:val="0"/>
                <w:bCs w:val="0"/>
              </w:rPr>
            </w:pPr>
            <w:r w:rsidRPr="00195CAD">
              <w:rPr>
                <w:b w:val="0"/>
                <w:bCs w:val="0"/>
              </w:rPr>
              <w:t>133</w:t>
            </w:r>
          </w:p>
        </w:tc>
        <w:tc>
          <w:tcPr>
            <w:tcW w:w="533" w:type="pct"/>
            <w:tcBorders>
              <w:top w:val="nil"/>
              <w:left w:val="nil"/>
              <w:bottom w:val="nil"/>
              <w:right w:val="nil"/>
            </w:tcBorders>
            <w:vAlign w:val="center"/>
          </w:tcPr>
          <w:p w14:paraId="76EF50E5" w14:textId="77777777" w:rsidR="00195CAD" w:rsidRPr="00195CAD" w:rsidRDefault="00195CAD" w:rsidP="00195CAD">
            <w:pPr>
              <w:pStyle w:val="TableHeading"/>
              <w:rPr>
                <w:b w:val="0"/>
                <w:bCs w:val="0"/>
              </w:rPr>
            </w:pPr>
            <w:r w:rsidRPr="00195CAD">
              <w:rPr>
                <w:b w:val="0"/>
                <w:bCs w:val="0"/>
              </w:rPr>
              <w:t>0.999</w:t>
            </w:r>
          </w:p>
        </w:tc>
        <w:tc>
          <w:tcPr>
            <w:tcW w:w="411" w:type="pct"/>
            <w:tcBorders>
              <w:top w:val="nil"/>
              <w:left w:val="nil"/>
              <w:bottom w:val="nil"/>
              <w:right w:val="nil"/>
            </w:tcBorders>
            <w:vAlign w:val="center"/>
          </w:tcPr>
          <w:p w14:paraId="55FF551B" w14:textId="77777777" w:rsidR="00195CAD" w:rsidRPr="00195CAD" w:rsidRDefault="00195CAD" w:rsidP="00195CAD">
            <w:pPr>
              <w:pStyle w:val="TableHeading"/>
              <w:rPr>
                <w:b w:val="0"/>
                <w:bCs w:val="0"/>
              </w:rPr>
            </w:pPr>
            <w:r w:rsidRPr="00195CAD">
              <w:rPr>
                <w:b w:val="0"/>
                <w:bCs w:val="0"/>
              </w:rPr>
              <w:t>-0.458</w:t>
            </w:r>
          </w:p>
        </w:tc>
        <w:tc>
          <w:tcPr>
            <w:tcW w:w="449" w:type="pct"/>
            <w:tcBorders>
              <w:top w:val="nil"/>
              <w:left w:val="nil"/>
              <w:bottom w:val="nil"/>
              <w:right w:val="nil"/>
            </w:tcBorders>
            <w:vAlign w:val="center"/>
          </w:tcPr>
          <w:p w14:paraId="3F70C6A6" w14:textId="77777777" w:rsidR="00195CAD" w:rsidRPr="00195CAD" w:rsidRDefault="00195CAD" w:rsidP="00195CAD">
            <w:pPr>
              <w:pStyle w:val="TableHeading"/>
              <w:rPr>
                <w:b w:val="0"/>
                <w:bCs w:val="0"/>
              </w:rPr>
            </w:pPr>
            <w:r w:rsidRPr="00195CAD">
              <w:rPr>
                <w:b w:val="0"/>
                <w:bCs w:val="0"/>
              </w:rPr>
              <w:t>0.00599</w:t>
            </w:r>
          </w:p>
        </w:tc>
        <w:tc>
          <w:tcPr>
            <w:tcW w:w="461" w:type="pct"/>
            <w:tcBorders>
              <w:top w:val="nil"/>
              <w:left w:val="nil"/>
              <w:bottom w:val="nil"/>
              <w:right w:val="nil"/>
            </w:tcBorders>
            <w:vAlign w:val="center"/>
          </w:tcPr>
          <w:p w14:paraId="64819FFA" w14:textId="77777777" w:rsidR="00195CAD" w:rsidRPr="00195CAD" w:rsidRDefault="00195CAD" w:rsidP="00195CAD">
            <w:pPr>
              <w:pStyle w:val="TableHeading"/>
              <w:rPr>
                <w:b w:val="0"/>
                <w:bCs w:val="0"/>
              </w:rPr>
            </w:pPr>
            <w:r w:rsidRPr="00195CAD">
              <w:rPr>
                <w:b w:val="0"/>
                <w:bCs w:val="0"/>
              </w:rPr>
              <w:t>-0.0472</w:t>
            </w:r>
          </w:p>
        </w:tc>
      </w:tr>
      <w:tr w:rsidR="00195CAD" w:rsidRPr="00195CAD" w14:paraId="2720F033" w14:textId="77777777" w:rsidTr="00195CAD">
        <w:trPr>
          <w:trHeight w:val="288"/>
          <w:jc w:val="center"/>
        </w:trPr>
        <w:tc>
          <w:tcPr>
            <w:tcW w:w="719" w:type="pct"/>
            <w:tcBorders>
              <w:top w:val="nil"/>
              <w:left w:val="nil"/>
              <w:bottom w:val="nil"/>
              <w:right w:val="nil"/>
            </w:tcBorders>
            <w:vAlign w:val="center"/>
          </w:tcPr>
          <w:p w14:paraId="3164CCD8" w14:textId="77777777" w:rsidR="00195CAD" w:rsidRPr="00195CAD" w:rsidRDefault="00195CAD" w:rsidP="00195CAD">
            <w:pPr>
              <w:pStyle w:val="TableHeading"/>
              <w:rPr>
                <w:b w:val="0"/>
                <w:bCs w:val="0"/>
              </w:rPr>
            </w:pPr>
            <w:r w:rsidRPr="00195CAD">
              <w:rPr>
                <w:b w:val="0"/>
                <w:bCs w:val="0"/>
              </w:rPr>
              <w:t>P</w:t>
            </w:r>
          </w:p>
        </w:tc>
        <w:tc>
          <w:tcPr>
            <w:tcW w:w="611" w:type="pct"/>
            <w:tcBorders>
              <w:top w:val="nil"/>
              <w:left w:val="nil"/>
              <w:bottom w:val="nil"/>
              <w:right w:val="nil"/>
            </w:tcBorders>
            <w:vAlign w:val="center"/>
          </w:tcPr>
          <w:p w14:paraId="0313463A" w14:textId="77777777" w:rsidR="00195CAD" w:rsidRPr="00195CAD" w:rsidRDefault="00195CAD" w:rsidP="00195CAD">
            <w:pPr>
              <w:pStyle w:val="TableHeading"/>
              <w:rPr>
                <w:b w:val="0"/>
                <w:bCs w:val="0"/>
              </w:rPr>
            </w:pPr>
            <w:r w:rsidRPr="00195CAD">
              <w:rPr>
                <w:b w:val="0"/>
                <w:bCs w:val="0"/>
              </w:rPr>
              <w:t>MPa</w:t>
            </w:r>
            <w:r w:rsidRPr="00195CAD">
              <w:rPr>
                <w:b w:val="0"/>
                <w:bCs w:val="0"/>
                <w:vertAlign w:val="superscript"/>
              </w:rPr>
              <w:t>-1</w:t>
            </w:r>
          </w:p>
        </w:tc>
        <w:tc>
          <w:tcPr>
            <w:tcW w:w="484" w:type="pct"/>
            <w:tcBorders>
              <w:top w:val="nil"/>
              <w:left w:val="nil"/>
              <w:bottom w:val="nil"/>
              <w:right w:val="nil"/>
            </w:tcBorders>
            <w:vAlign w:val="center"/>
          </w:tcPr>
          <w:p w14:paraId="1579C4B0" w14:textId="77777777" w:rsidR="00195CAD" w:rsidRPr="00195CAD" w:rsidRDefault="00195CAD" w:rsidP="00195CAD">
            <w:pPr>
              <w:pStyle w:val="TableHeading"/>
              <w:rPr>
                <w:b w:val="0"/>
                <w:bCs w:val="0"/>
              </w:rPr>
            </w:pPr>
            <w:r w:rsidRPr="00195CAD">
              <w:rPr>
                <w:b w:val="0"/>
                <w:bCs w:val="0"/>
              </w:rPr>
              <w:t>4.527</w:t>
            </w:r>
          </w:p>
        </w:tc>
        <w:tc>
          <w:tcPr>
            <w:tcW w:w="459" w:type="pct"/>
            <w:tcBorders>
              <w:top w:val="nil"/>
              <w:left w:val="nil"/>
              <w:bottom w:val="nil"/>
              <w:right w:val="nil"/>
            </w:tcBorders>
            <w:vAlign w:val="center"/>
          </w:tcPr>
          <w:p w14:paraId="7B7B4E75" w14:textId="77777777" w:rsidR="00195CAD" w:rsidRPr="00195CAD" w:rsidRDefault="00195CAD" w:rsidP="00195CAD">
            <w:pPr>
              <w:pStyle w:val="TableHeading"/>
              <w:rPr>
                <w:b w:val="0"/>
                <w:bCs w:val="0"/>
              </w:rPr>
            </w:pPr>
            <w:r w:rsidRPr="00195CAD">
              <w:rPr>
                <w:b w:val="0"/>
                <w:bCs w:val="0"/>
              </w:rPr>
              <w:t>0.00003</w:t>
            </w:r>
          </w:p>
        </w:tc>
        <w:tc>
          <w:tcPr>
            <w:tcW w:w="447" w:type="pct"/>
            <w:tcBorders>
              <w:top w:val="nil"/>
              <w:left w:val="nil"/>
              <w:bottom w:val="nil"/>
              <w:right w:val="nil"/>
            </w:tcBorders>
            <w:vAlign w:val="center"/>
          </w:tcPr>
          <w:p w14:paraId="447DCA07" w14:textId="77777777" w:rsidR="00195CAD" w:rsidRPr="00195CAD" w:rsidRDefault="00195CAD" w:rsidP="00195CAD">
            <w:pPr>
              <w:pStyle w:val="TableHeading"/>
              <w:rPr>
                <w:b w:val="0"/>
                <w:bCs w:val="0"/>
              </w:rPr>
            </w:pPr>
            <w:r w:rsidRPr="00195CAD">
              <w:rPr>
                <w:b w:val="0"/>
                <w:bCs w:val="0"/>
              </w:rPr>
              <w:t>-0.00449</w:t>
            </w:r>
          </w:p>
        </w:tc>
        <w:tc>
          <w:tcPr>
            <w:tcW w:w="426" w:type="pct"/>
            <w:tcBorders>
              <w:top w:val="nil"/>
              <w:left w:val="nil"/>
              <w:bottom w:val="nil"/>
              <w:right w:val="nil"/>
            </w:tcBorders>
            <w:vAlign w:val="center"/>
          </w:tcPr>
          <w:p w14:paraId="28BC3B32" w14:textId="77777777" w:rsidR="00195CAD" w:rsidRPr="00195CAD" w:rsidRDefault="00195CAD" w:rsidP="00195CAD">
            <w:pPr>
              <w:pStyle w:val="TableHeading"/>
              <w:rPr>
                <w:b w:val="0"/>
                <w:bCs w:val="0"/>
              </w:rPr>
            </w:pPr>
            <w:r w:rsidRPr="00195CAD">
              <w:rPr>
                <w:b w:val="0"/>
                <w:bCs w:val="0"/>
              </w:rPr>
              <w:t>2.07</w:t>
            </w:r>
          </w:p>
        </w:tc>
        <w:tc>
          <w:tcPr>
            <w:tcW w:w="533" w:type="pct"/>
            <w:tcBorders>
              <w:top w:val="nil"/>
              <w:left w:val="nil"/>
              <w:bottom w:val="nil"/>
              <w:right w:val="nil"/>
            </w:tcBorders>
            <w:vAlign w:val="center"/>
          </w:tcPr>
          <w:p w14:paraId="5837C009" w14:textId="77777777" w:rsidR="00195CAD" w:rsidRPr="00195CAD" w:rsidRDefault="00195CAD" w:rsidP="00195CAD">
            <w:pPr>
              <w:pStyle w:val="TableHeading"/>
              <w:rPr>
                <w:b w:val="0"/>
                <w:bCs w:val="0"/>
              </w:rPr>
            </w:pPr>
            <w:r w:rsidRPr="00195CAD">
              <w:rPr>
                <w:b w:val="0"/>
                <w:bCs w:val="0"/>
              </w:rPr>
              <w:t>0.0194</w:t>
            </w:r>
          </w:p>
        </w:tc>
        <w:tc>
          <w:tcPr>
            <w:tcW w:w="411" w:type="pct"/>
            <w:tcBorders>
              <w:top w:val="nil"/>
              <w:left w:val="nil"/>
              <w:bottom w:val="nil"/>
              <w:right w:val="nil"/>
            </w:tcBorders>
            <w:vAlign w:val="center"/>
          </w:tcPr>
          <w:p w14:paraId="6DCEEF0F" w14:textId="77777777" w:rsidR="00195CAD" w:rsidRPr="00195CAD" w:rsidRDefault="00195CAD" w:rsidP="00195CAD">
            <w:pPr>
              <w:pStyle w:val="TableHeading"/>
              <w:rPr>
                <w:b w:val="0"/>
                <w:bCs w:val="0"/>
              </w:rPr>
            </w:pPr>
            <w:r w:rsidRPr="00195CAD">
              <w:rPr>
                <w:b w:val="0"/>
                <w:bCs w:val="0"/>
              </w:rPr>
              <w:t>0.0222</w:t>
            </w:r>
          </w:p>
        </w:tc>
        <w:tc>
          <w:tcPr>
            <w:tcW w:w="449" w:type="pct"/>
            <w:tcBorders>
              <w:top w:val="nil"/>
              <w:left w:val="nil"/>
              <w:bottom w:val="nil"/>
              <w:right w:val="nil"/>
            </w:tcBorders>
            <w:vAlign w:val="center"/>
          </w:tcPr>
          <w:p w14:paraId="36B611D4" w14:textId="77777777" w:rsidR="00195CAD" w:rsidRPr="00195CAD" w:rsidRDefault="00195CAD" w:rsidP="00195CAD">
            <w:pPr>
              <w:pStyle w:val="TableHeading"/>
              <w:rPr>
                <w:b w:val="0"/>
                <w:bCs w:val="0"/>
              </w:rPr>
            </w:pPr>
            <w:r w:rsidRPr="00195CAD">
              <w:rPr>
                <w:b w:val="0"/>
                <w:bCs w:val="0"/>
              </w:rPr>
              <w:t>0.000460</w:t>
            </w:r>
          </w:p>
        </w:tc>
        <w:tc>
          <w:tcPr>
            <w:tcW w:w="461" w:type="pct"/>
            <w:tcBorders>
              <w:top w:val="nil"/>
              <w:left w:val="nil"/>
              <w:bottom w:val="nil"/>
              <w:right w:val="nil"/>
            </w:tcBorders>
            <w:vAlign w:val="center"/>
          </w:tcPr>
          <w:p w14:paraId="01D6C3C4" w14:textId="77777777" w:rsidR="00195CAD" w:rsidRPr="00195CAD" w:rsidRDefault="00195CAD" w:rsidP="00195CAD">
            <w:pPr>
              <w:pStyle w:val="TableHeading"/>
              <w:rPr>
                <w:b w:val="0"/>
                <w:bCs w:val="0"/>
              </w:rPr>
            </w:pPr>
            <w:r w:rsidRPr="00195CAD">
              <w:rPr>
                <w:b w:val="0"/>
                <w:bCs w:val="0"/>
              </w:rPr>
              <w:t>-0.000613</w:t>
            </w:r>
          </w:p>
        </w:tc>
      </w:tr>
      <w:tr w:rsidR="00195CAD" w:rsidRPr="00195CAD" w14:paraId="68D83C0D" w14:textId="77777777" w:rsidTr="00195CAD">
        <w:trPr>
          <w:trHeight w:val="288"/>
          <w:jc w:val="center"/>
        </w:trPr>
        <w:tc>
          <w:tcPr>
            <w:tcW w:w="719" w:type="pct"/>
            <w:tcBorders>
              <w:top w:val="nil"/>
              <w:left w:val="nil"/>
              <w:bottom w:val="nil"/>
              <w:right w:val="nil"/>
            </w:tcBorders>
            <w:vAlign w:val="center"/>
          </w:tcPr>
          <w:p w14:paraId="35AB9EA2" w14:textId="77777777" w:rsidR="00195CAD" w:rsidRPr="00195CAD" w:rsidRDefault="00195CAD" w:rsidP="00195CAD">
            <w:pPr>
              <w:pStyle w:val="TableHeading"/>
              <w:rPr>
                <w:b w:val="0"/>
                <w:bCs w:val="0"/>
              </w:rPr>
            </w:pPr>
            <w:r w:rsidRPr="00195CAD">
              <w:rPr>
                <w:b w:val="0"/>
                <w:bCs w:val="0"/>
              </w:rPr>
              <w:t>(</w:t>
            </w:r>
            <w:r w:rsidRPr="00195CAD">
              <w:rPr>
                <w:b w:val="0"/>
                <w:bCs w:val="0"/>
                <w:i/>
              </w:rPr>
              <w:t>F</w:t>
            </w:r>
            <w:r w:rsidRPr="00195CAD">
              <w:rPr>
                <w:b w:val="0"/>
                <w:bCs w:val="0"/>
              </w:rPr>
              <w:t>-0.58)*(</w:t>
            </w:r>
            <w:r w:rsidRPr="00195CAD">
              <w:rPr>
                <w:b w:val="0"/>
                <w:bCs w:val="0"/>
                <w:i/>
              </w:rPr>
              <w:t>S</w:t>
            </w:r>
            <w:r w:rsidRPr="00195CAD">
              <w:rPr>
                <w:b w:val="0"/>
                <w:bCs w:val="0"/>
              </w:rPr>
              <w:t>-5)</w:t>
            </w:r>
          </w:p>
        </w:tc>
        <w:tc>
          <w:tcPr>
            <w:tcW w:w="611" w:type="pct"/>
            <w:tcBorders>
              <w:top w:val="nil"/>
              <w:left w:val="nil"/>
              <w:bottom w:val="nil"/>
              <w:right w:val="nil"/>
            </w:tcBorders>
            <w:vAlign w:val="center"/>
          </w:tcPr>
          <w:p w14:paraId="13F18FFC" w14:textId="77777777" w:rsidR="00195CAD" w:rsidRPr="00195CAD" w:rsidRDefault="00195CAD" w:rsidP="00195CAD">
            <w:pPr>
              <w:pStyle w:val="TableHeading"/>
              <w:rPr>
                <w:b w:val="0"/>
                <w:bCs w:val="0"/>
              </w:rPr>
            </w:pPr>
            <w:r w:rsidRPr="00195CAD">
              <w:rPr>
                <w:b w:val="0"/>
                <w:bCs w:val="0"/>
              </w:rPr>
              <w:t>(wt.%*min)</w:t>
            </w:r>
            <w:r w:rsidRPr="00195CAD">
              <w:rPr>
                <w:b w:val="0"/>
                <w:bCs w:val="0"/>
                <w:vertAlign w:val="superscript"/>
              </w:rPr>
              <w:t>-1</w:t>
            </w:r>
          </w:p>
        </w:tc>
        <w:tc>
          <w:tcPr>
            <w:tcW w:w="484" w:type="pct"/>
            <w:tcBorders>
              <w:top w:val="nil"/>
              <w:left w:val="nil"/>
              <w:bottom w:val="nil"/>
              <w:right w:val="nil"/>
            </w:tcBorders>
            <w:vAlign w:val="center"/>
          </w:tcPr>
          <w:p w14:paraId="352D75F0" w14:textId="77777777" w:rsidR="00195CAD" w:rsidRPr="00195CAD" w:rsidRDefault="00195CAD" w:rsidP="00195CAD">
            <w:pPr>
              <w:pStyle w:val="TableHeading"/>
              <w:rPr>
                <w:b w:val="0"/>
                <w:bCs w:val="0"/>
              </w:rPr>
            </w:pPr>
            <w:r w:rsidRPr="00195CAD">
              <w:rPr>
                <w:b w:val="0"/>
                <w:bCs w:val="0"/>
              </w:rPr>
              <w:t>4.265</w:t>
            </w:r>
          </w:p>
        </w:tc>
        <w:tc>
          <w:tcPr>
            <w:tcW w:w="459" w:type="pct"/>
            <w:tcBorders>
              <w:top w:val="nil"/>
              <w:left w:val="nil"/>
              <w:bottom w:val="nil"/>
              <w:right w:val="nil"/>
            </w:tcBorders>
            <w:vAlign w:val="center"/>
          </w:tcPr>
          <w:p w14:paraId="2C12454A" w14:textId="77777777" w:rsidR="00195CAD" w:rsidRPr="00195CAD" w:rsidRDefault="00195CAD" w:rsidP="00195CAD">
            <w:pPr>
              <w:pStyle w:val="TableHeading"/>
              <w:rPr>
                <w:b w:val="0"/>
                <w:bCs w:val="0"/>
              </w:rPr>
            </w:pPr>
            <w:r w:rsidRPr="00195CAD">
              <w:rPr>
                <w:b w:val="0"/>
                <w:bCs w:val="0"/>
              </w:rPr>
              <w:t>0.00005</w:t>
            </w:r>
          </w:p>
        </w:tc>
        <w:tc>
          <w:tcPr>
            <w:tcW w:w="447" w:type="pct"/>
            <w:tcBorders>
              <w:top w:val="nil"/>
              <w:left w:val="nil"/>
              <w:bottom w:val="nil"/>
              <w:right w:val="nil"/>
            </w:tcBorders>
            <w:vAlign w:val="center"/>
          </w:tcPr>
          <w:p w14:paraId="53F8FE33" w14:textId="77777777" w:rsidR="00195CAD" w:rsidRPr="00195CAD" w:rsidRDefault="00195CAD" w:rsidP="00195CAD">
            <w:pPr>
              <w:pStyle w:val="TableHeading"/>
              <w:rPr>
                <w:b w:val="0"/>
                <w:bCs w:val="0"/>
              </w:rPr>
            </w:pPr>
            <w:r w:rsidRPr="00195CAD">
              <w:rPr>
                <w:b w:val="0"/>
                <w:bCs w:val="0"/>
              </w:rPr>
              <w:t>-0.358</w:t>
            </w:r>
          </w:p>
        </w:tc>
        <w:tc>
          <w:tcPr>
            <w:tcW w:w="426" w:type="pct"/>
            <w:tcBorders>
              <w:top w:val="nil"/>
              <w:left w:val="nil"/>
              <w:bottom w:val="nil"/>
              <w:right w:val="nil"/>
            </w:tcBorders>
            <w:vAlign w:val="center"/>
          </w:tcPr>
          <w:p w14:paraId="123CCDF6" w14:textId="77777777" w:rsidR="00195CAD" w:rsidRPr="00195CAD" w:rsidRDefault="00195CAD" w:rsidP="00195CAD">
            <w:pPr>
              <w:pStyle w:val="TableHeading"/>
              <w:rPr>
                <w:b w:val="0"/>
                <w:bCs w:val="0"/>
              </w:rPr>
            </w:pPr>
            <w:r w:rsidRPr="00195CAD">
              <w:rPr>
                <w:b w:val="0"/>
                <w:bCs w:val="0"/>
              </w:rPr>
              <w:t>519</w:t>
            </w:r>
          </w:p>
        </w:tc>
        <w:tc>
          <w:tcPr>
            <w:tcW w:w="533" w:type="pct"/>
            <w:tcBorders>
              <w:top w:val="nil"/>
              <w:left w:val="nil"/>
              <w:bottom w:val="nil"/>
              <w:right w:val="nil"/>
            </w:tcBorders>
            <w:vAlign w:val="center"/>
          </w:tcPr>
          <w:p w14:paraId="41B60B44" w14:textId="77777777" w:rsidR="00195CAD" w:rsidRPr="00195CAD" w:rsidRDefault="00195CAD" w:rsidP="00195CAD">
            <w:pPr>
              <w:pStyle w:val="TableHeading"/>
              <w:rPr>
                <w:b w:val="0"/>
                <w:bCs w:val="0"/>
              </w:rPr>
            </w:pPr>
            <w:r w:rsidRPr="00195CAD">
              <w:rPr>
                <w:b w:val="0"/>
                <w:bCs w:val="0"/>
              </w:rPr>
              <w:t>3.16</w:t>
            </w:r>
          </w:p>
        </w:tc>
        <w:tc>
          <w:tcPr>
            <w:tcW w:w="411" w:type="pct"/>
            <w:tcBorders>
              <w:top w:val="nil"/>
              <w:left w:val="nil"/>
              <w:bottom w:val="nil"/>
              <w:right w:val="nil"/>
            </w:tcBorders>
            <w:vAlign w:val="center"/>
          </w:tcPr>
          <w:p w14:paraId="7FDB12AE" w14:textId="77777777" w:rsidR="00195CAD" w:rsidRPr="00195CAD" w:rsidRDefault="00195CAD" w:rsidP="00195CAD">
            <w:pPr>
              <w:pStyle w:val="TableHeading"/>
              <w:rPr>
                <w:b w:val="0"/>
                <w:bCs w:val="0"/>
              </w:rPr>
            </w:pPr>
            <w:r w:rsidRPr="00195CAD">
              <w:rPr>
                <w:b w:val="0"/>
                <w:bCs w:val="0"/>
              </w:rPr>
              <w:t>7.47</w:t>
            </w:r>
          </w:p>
        </w:tc>
        <w:tc>
          <w:tcPr>
            <w:tcW w:w="449" w:type="pct"/>
            <w:tcBorders>
              <w:top w:val="nil"/>
              <w:left w:val="nil"/>
              <w:bottom w:val="nil"/>
              <w:right w:val="nil"/>
            </w:tcBorders>
            <w:vAlign w:val="center"/>
          </w:tcPr>
          <w:p w14:paraId="12689B65" w14:textId="77777777" w:rsidR="00195CAD" w:rsidRPr="00195CAD" w:rsidRDefault="00195CAD" w:rsidP="00195CAD">
            <w:pPr>
              <w:pStyle w:val="TableHeading"/>
              <w:rPr>
                <w:b w:val="0"/>
                <w:bCs w:val="0"/>
              </w:rPr>
            </w:pPr>
            <w:r w:rsidRPr="00195CAD">
              <w:rPr>
                <w:b w:val="0"/>
                <w:bCs w:val="0"/>
              </w:rPr>
              <w:t>0.0310</w:t>
            </w:r>
          </w:p>
        </w:tc>
        <w:tc>
          <w:tcPr>
            <w:tcW w:w="461" w:type="pct"/>
            <w:tcBorders>
              <w:top w:val="nil"/>
              <w:left w:val="nil"/>
              <w:bottom w:val="nil"/>
              <w:right w:val="nil"/>
            </w:tcBorders>
            <w:vAlign w:val="center"/>
          </w:tcPr>
          <w:p w14:paraId="521E20AC" w14:textId="77777777" w:rsidR="00195CAD" w:rsidRPr="00195CAD" w:rsidRDefault="00195CAD" w:rsidP="00195CAD">
            <w:pPr>
              <w:pStyle w:val="TableHeading"/>
              <w:rPr>
                <w:b w:val="0"/>
                <w:bCs w:val="0"/>
              </w:rPr>
            </w:pPr>
            <w:r w:rsidRPr="00195CAD">
              <w:rPr>
                <w:b w:val="0"/>
                <w:bCs w:val="0"/>
              </w:rPr>
              <w:t>-0.302</w:t>
            </w:r>
          </w:p>
        </w:tc>
      </w:tr>
      <w:tr w:rsidR="00195CAD" w:rsidRPr="00195CAD" w14:paraId="014223D8" w14:textId="77777777" w:rsidTr="00195CAD">
        <w:trPr>
          <w:trHeight w:val="288"/>
          <w:jc w:val="center"/>
        </w:trPr>
        <w:tc>
          <w:tcPr>
            <w:tcW w:w="719" w:type="pct"/>
            <w:tcBorders>
              <w:top w:val="nil"/>
              <w:left w:val="nil"/>
              <w:bottom w:val="nil"/>
              <w:right w:val="nil"/>
            </w:tcBorders>
            <w:vAlign w:val="center"/>
          </w:tcPr>
          <w:p w14:paraId="4A84A932" w14:textId="77777777" w:rsidR="00195CAD" w:rsidRPr="00195CAD" w:rsidRDefault="00195CAD" w:rsidP="00195CAD">
            <w:pPr>
              <w:pStyle w:val="TableHeading"/>
              <w:rPr>
                <w:b w:val="0"/>
                <w:bCs w:val="0"/>
              </w:rPr>
            </w:pPr>
            <w:r w:rsidRPr="00195CAD">
              <w:rPr>
                <w:b w:val="0"/>
                <w:bCs w:val="0"/>
              </w:rPr>
              <w:t>T</w:t>
            </w:r>
          </w:p>
        </w:tc>
        <w:tc>
          <w:tcPr>
            <w:tcW w:w="611" w:type="pct"/>
            <w:tcBorders>
              <w:top w:val="nil"/>
              <w:left w:val="nil"/>
              <w:bottom w:val="nil"/>
              <w:right w:val="nil"/>
            </w:tcBorders>
            <w:vAlign w:val="center"/>
          </w:tcPr>
          <w:p w14:paraId="5E5BC146" w14:textId="77777777" w:rsidR="00195CAD" w:rsidRPr="00195CAD" w:rsidRDefault="00195CAD" w:rsidP="00195CAD">
            <w:pPr>
              <w:pStyle w:val="TableHeading"/>
              <w:rPr>
                <w:b w:val="0"/>
                <w:bCs w:val="0"/>
                <w:vertAlign w:val="subscript"/>
              </w:rPr>
            </w:pPr>
            <w:r w:rsidRPr="00195CAD">
              <w:rPr>
                <w:b w:val="0"/>
                <w:bCs w:val="0"/>
              </w:rPr>
              <w:t>°C</w:t>
            </w:r>
            <w:r w:rsidRPr="00195CAD">
              <w:rPr>
                <w:b w:val="0"/>
                <w:bCs w:val="0"/>
                <w:vertAlign w:val="superscript"/>
              </w:rPr>
              <w:t>-1</w:t>
            </w:r>
            <w:r w:rsidRPr="00195CAD">
              <w:rPr>
                <w:b w:val="0"/>
                <w:bCs w:val="0"/>
              </w:rPr>
              <w:t xml:space="preserve">  </w:t>
            </w:r>
          </w:p>
        </w:tc>
        <w:tc>
          <w:tcPr>
            <w:tcW w:w="484" w:type="pct"/>
            <w:tcBorders>
              <w:top w:val="nil"/>
              <w:left w:val="nil"/>
              <w:bottom w:val="nil"/>
              <w:right w:val="nil"/>
            </w:tcBorders>
            <w:vAlign w:val="center"/>
          </w:tcPr>
          <w:p w14:paraId="011279AB" w14:textId="77777777" w:rsidR="00195CAD" w:rsidRPr="00195CAD" w:rsidRDefault="00195CAD" w:rsidP="00195CAD">
            <w:pPr>
              <w:pStyle w:val="TableHeading"/>
              <w:rPr>
                <w:b w:val="0"/>
                <w:bCs w:val="0"/>
              </w:rPr>
            </w:pPr>
            <w:r w:rsidRPr="00195CAD">
              <w:rPr>
                <w:b w:val="0"/>
                <w:bCs w:val="0"/>
              </w:rPr>
              <w:t>3.396</w:t>
            </w:r>
          </w:p>
        </w:tc>
        <w:tc>
          <w:tcPr>
            <w:tcW w:w="459" w:type="pct"/>
            <w:tcBorders>
              <w:top w:val="nil"/>
              <w:left w:val="nil"/>
              <w:bottom w:val="nil"/>
              <w:right w:val="nil"/>
            </w:tcBorders>
            <w:vAlign w:val="center"/>
          </w:tcPr>
          <w:p w14:paraId="3CD2436D" w14:textId="77777777" w:rsidR="00195CAD" w:rsidRPr="00195CAD" w:rsidRDefault="00195CAD" w:rsidP="00195CAD">
            <w:pPr>
              <w:pStyle w:val="TableHeading"/>
              <w:rPr>
                <w:b w:val="0"/>
                <w:bCs w:val="0"/>
              </w:rPr>
            </w:pPr>
            <w:r w:rsidRPr="00195CAD">
              <w:rPr>
                <w:b w:val="0"/>
                <w:bCs w:val="0"/>
              </w:rPr>
              <w:t>0.00040</w:t>
            </w:r>
          </w:p>
        </w:tc>
        <w:tc>
          <w:tcPr>
            <w:tcW w:w="447" w:type="pct"/>
            <w:tcBorders>
              <w:top w:val="nil"/>
              <w:left w:val="nil"/>
              <w:bottom w:val="nil"/>
              <w:right w:val="nil"/>
            </w:tcBorders>
            <w:vAlign w:val="center"/>
          </w:tcPr>
          <w:p w14:paraId="6971902D" w14:textId="77777777" w:rsidR="00195CAD" w:rsidRPr="00195CAD" w:rsidRDefault="00195CAD" w:rsidP="00195CAD">
            <w:pPr>
              <w:pStyle w:val="TableHeading"/>
              <w:rPr>
                <w:b w:val="0"/>
                <w:bCs w:val="0"/>
              </w:rPr>
            </w:pPr>
            <w:r w:rsidRPr="00195CAD">
              <w:rPr>
                <w:b w:val="0"/>
                <w:bCs w:val="0"/>
              </w:rPr>
              <w:t>-0.0531</w:t>
            </w:r>
          </w:p>
        </w:tc>
        <w:tc>
          <w:tcPr>
            <w:tcW w:w="426" w:type="pct"/>
            <w:tcBorders>
              <w:top w:val="nil"/>
              <w:left w:val="nil"/>
              <w:bottom w:val="nil"/>
              <w:right w:val="nil"/>
            </w:tcBorders>
            <w:vAlign w:val="center"/>
          </w:tcPr>
          <w:p w14:paraId="44B50303" w14:textId="77777777" w:rsidR="00195CAD" w:rsidRPr="00195CAD" w:rsidRDefault="00195CAD" w:rsidP="00195CAD">
            <w:pPr>
              <w:pStyle w:val="TableHeading"/>
              <w:rPr>
                <w:b w:val="0"/>
                <w:bCs w:val="0"/>
              </w:rPr>
            </w:pPr>
            <w:r w:rsidRPr="00195CAD">
              <w:rPr>
                <w:b w:val="0"/>
                <w:bCs w:val="0"/>
              </w:rPr>
              <w:t>58.9</w:t>
            </w:r>
          </w:p>
        </w:tc>
        <w:tc>
          <w:tcPr>
            <w:tcW w:w="533" w:type="pct"/>
            <w:tcBorders>
              <w:top w:val="nil"/>
              <w:left w:val="nil"/>
              <w:bottom w:val="nil"/>
              <w:right w:val="nil"/>
            </w:tcBorders>
            <w:vAlign w:val="center"/>
          </w:tcPr>
          <w:p w14:paraId="6F415CCF" w14:textId="77777777" w:rsidR="00195CAD" w:rsidRPr="00195CAD" w:rsidRDefault="00195CAD" w:rsidP="00195CAD">
            <w:pPr>
              <w:pStyle w:val="TableHeading"/>
              <w:rPr>
                <w:b w:val="0"/>
                <w:bCs w:val="0"/>
              </w:rPr>
            </w:pPr>
            <w:r w:rsidRPr="00195CAD">
              <w:rPr>
                <w:b w:val="0"/>
                <w:bCs w:val="0"/>
              </w:rPr>
              <w:t>0.476</w:t>
            </w:r>
          </w:p>
        </w:tc>
        <w:tc>
          <w:tcPr>
            <w:tcW w:w="411" w:type="pct"/>
            <w:tcBorders>
              <w:top w:val="nil"/>
              <w:left w:val="nil"/>
              <w:bottom w:val="nil"/>
              <w:right w:val="nil"/>
            </w:tcBorders>
            <w:vAlign w:val="center"/>
          </w:tcPr>
          <w:p w14:paraId="39925F6B" w14:textId="77777777" w:rsidR="00195CAD" w:rsidRPr="00195CAD" w:rsidRDefault="00195CAD" w:rsidP="00195CAD">
            <w:pPr>
              <w:pStyle w:val="TableHeading"/>
              <w:rPr>
                <w:b w:val="0"/>
                <w:bCs w:val="0"/>
              </w:rPr>
            </w:pPr>
            <w:r w:rsidRPr="00195CAD">
              <w:rPr>
                <w:b w:val="0"/>
                <w:bCs w:val="0"/>
              </w:rPr>
              <w:t>-0.866</w:t>
            </w:r>
          </w:p>
        </w:tc>
        <w:tc>
          <w:tcPr>
            <w:tcW w:w="449" w:type="pct"/>
            <w:tcBorders>
              <w:top w:val="nil"/>
              <w:left w:val="nil"/>
              <w:bottom w:val="nil"/>
              <w:right w:val="nil"/>
            </w:tcBorders>
            <w:vAlign w:val="center"/>
          </w:tcPr>
          <w:p w14:paraId="3F636D34" w14:textId="77777777" w:rsidR="00195CAD" w:rsidRPr="00195CAD" w:rsidRDefault="00195CAD" w:rsidP="00195CAD">
            <w:pPr>
              <w:pStyle w:val="TableHeading"/>
              <w:rPr>
                <w:b w:val="0"/>
                <w:bCs w:val="0"/>
              </w:rPr>
            </w:pPr>
            <w:r w:rsidRPr="00195CAD">
              <w:rPr>
                <w:b w:val="0"/>
                <w:bCs w:val="0"/>
              </w:rPr>
              <w:t>0.00817</w:t>
            </w:r>
          </w:p>
        </w:tc>
        <w:tc>
          <w:tcPr>
            <w:tcW w:w="461" w:type="pct"/>
            <w:tcBorders>
              <w:top w:val="nil"/>
              <w:left w:val="nil"/>
              <w:bottom w:val="nil"/>
              <w:right w:val="nil"/>
            </w:tcBorders>
            <w:vAlign w:val="center"/>
          </w:tcPr>
          <w:p w14:paraId="64613BDB" w14:textId="77777777" w:rsidR="00195CAD" w:rsidRPr="00195CAD" w:rsidRDefault="00195CAD" w:rsidP="00195CAD">
            <w:pPr>
              <w:pStyle w:val="TableHeading"/>
              <w:rPr>
                <w:b w:val="0"/>
                <w:bCs w:val="0"/>
              </w:rPr>
            </w:pPr>
            <w:r w:rsidRPr="00195CAD">
              <w:rPr>
                <w:b w:val="0"/>
                <w:bCs w:val="0"/>
              </w:rPr>
              <w:t>-0.0154</w:t>
            </w:r>
          </w:p>
        </w:tc>
      </w:tr>
      <w:tr w:rsidR="00195CAD" w:rsidRPr="00195CAD" w14:paraId="37D6B323" w14:textId="77777777" w:rsidTr="00195CAD">
        <w:trPr>
          <w:trHeight w:val="288"/>
          <w:jc w:val="center"/>
        </w:trPr>
        <w:tc>
          <w:tcPr>
            <w:tcW w:w="719" w:type="pct"/>
            <w:tcBorders>
              <w:top w:val="nil"/>
              <w:left w:val="nil"/>
              <w:bottom w:val="nil"/>
              <w:right w:val="nil"/>
            </w:tcBorders>
            <w:vAlign w:val="center"/>
          </w:tcPr>
          <w:p w14:paraId="6165BC6E" w14:textId="77777777" w:rsidR="00195CAD" w:rsidRPr="00195CAD" w:rsidRDefault="00195CAD" w:rsidP="00195CAD">
            <w:pPr>
              <w:pStyle w:val="TableHeading"/>
              <w:rPr>
                <w:b w:val="0"/>
                <w:bCs w:val="0"/>
              </w:rPr>
            </w:pPr>
            <w:r w:rsidRPr="00195CAD">
              <w:rPr>
                <w:b w:val="0"/>
                <w:bCs w:val="0"/>
              </w:rPr>
              <w:t>(</w:t>
            </w:r>
            <w:r w:rsidRPr="00195CAD">
              <w:rPr>
                <w:b w:val="0"/>
                <w:bCs w:val="0"/>
                <w:i/>
              </w:rPr>
              <w:t>T</w:t>
            </w:r>
            <w:r w:rsidRPr="00195CAD">
              <w:rPr>
                <w:b w:val="0"/>
                <w:bCs w:val="0"/>
              </w:rPr>
              <w:t>-190)*(</w:t>
            </w:r>
            <w:r w:rsidRPr="00195CAD">
              <w:rPr>
                <w:b w:val="0"/>
                <w:bCs w:val="0"/>
                <w:i/>
              </w:rPr>
              <w:t>S</w:t>
            </w:r>
            <w:r w:rsidRPr="00195CAD">
              <w:rPr>
                <w:b w:val="0"/>
                <w:bCs w:val="0"/>
              </w:rPr>
              <w:t>-5)</w:t>
            </w:r>
          </w:p>
        </w:tc>
        <w:tc>
          <w:tcPr>
            <w:tcW w:w="611" w:type="pct"/>
            <w:tcBorders>
              <w:top w:val="nil"/>
              <w:left w:val="nil"/>
              <w:bottom w:val="nil"/>
              <w:right w:val="nil"/>
            </w:tcBorders>
            <w:vAlign w:val="center"/>
          </w:tcPr>
          <w:p w14:paraId="16FAB330" w14:textId="77777777" w:rsidR="00195CAD" w:rsidRPr="00195CAD" w:rsidRDefault="00195CAD" w:rsidP="00195CAD">
            <w:pPr>
              <w:pStyle w:val="TableHeading"/>
              <w:rPr>
                <w:b w:val="0"/>
                <w:bCs w:val="0"/>
                <w:i/>
                <w:iCs/>
              </w:rPr>
            </w:pPr>
            <w:r w:rsidRPr="00195CAD">
              <w:rPr>
                <w:b w:val="0"/>
                <w:bCs w:val="0"/>
              </w:rPr>
              <w:t>(°C*min)</w:t>
            </w:r>
            <w:r w:rsidRPr="00195CAD">
              <w:rPr>
                <w:b w:val="0"/>
                <w:bCs w:val="0"/>
                <w:vertAlign w:val="superscript"/>
              </w:rPr>
              <w:t>-1</w:t>
            </w:r>
            <w:r w:rsidRPr="00195CAD">
              <w:rPr>
                <w:b w:val="0"/>
                <w:bCs w:val="0"/>
              </w:rPr>
              <w:t xml:space="preserve"> </w:t>
            </w:r>
          </w:p>
        </w:tc>
        <w:tc>
          <w:tcPr>
            <w:tcW w:w="484" w:type="pct"/>
            <w:tcBorders>
              <w:top w:val="nil"/>
              <w:left w:val="nil"/>
              <w:bottom w:val="nil"/>
              <w:right w:val="nil"/>
            </w:tcBorders>
            <w:vAlign w:val="center"/>
          </w:tcPr>
          <w:p w14:paraId="2AB8F49B" w14:textId="77777777" w:rsidR="00195CAD" w:rsidRPr="00195CAD" w:rsidRDefault="00195CAD" w:rsidP="00195CAD">
            <w:pPr>
              <w:pStyle w:val="TableHeading"/>
              <w:rPr>
                <w:b w:val="0"/>
                <w:bCs w:val="0"/>
              </w:rPr>
            </w:pPr>
            <w:r w:rsidRPr="00195CAD">
              <w:rPr>
                <w:b w:val="0"/>
                <w:bCs w:val="0"/>
              </w:rPr>
              <w:t>3.228</w:t>
            </w:r>
          </w:p>
        </w:tc>
        <w:tc>
          <w:tcPr>
            <w:tcW w:w="459" w:type="pct"/>
            <w:tcBorders>
              <w:top w:val="nil"/>
              <w:left w:val="nil"/>
              <w:bottom w:val="nil"/>
              <w:right w:val="nil"/>
            </w:tcBorders>
            <w:vAlign w:val="center"/>
          </w:tcPr>
          <w:p w14:paraId="148CB2AE" w14:textId="77777777" w:rsidR="00195CAD" w:rsidRPr="00195CAD" w:rsidRDefault="00195CAD" w:rsidP="00195CAD">
            <w:pPr>
              <w:pStyle w:val="TableHeading"/>
              <w:rPr>
                <w:b w:val="0"/>
                <w:bCs w:val="0"/>
              </w:rPr>
            </w:pPr>
            <w:r w:rsidRPr="00195CAD">
              <w:rPr>
                <w:b w:val="0"/>
                <w:bCs w:val="0"/>
              </w:rPr>
              <w:t>0.00059</w:t>
            </w:r>
          </w:p>
        </w:tc>
        <w:tc>
          <w:tcPr>
            <w:tcW w:w="447" w:type="pct"/>
            <w:tcBorders>
              <w:top w:val="nil"/>
              <w:left w:val="nil"/>
              <w:bottom w:val="nil"/>
              <w:right w:val="nil"/>
            </w:tcBorders>
            <w:vAlign w:val="center"/>
          </w:tcPr>
          <w:p w14:paraId="74AF84EA" w14:textId="77777777" w:rsidR="00195CAD" w:rsidRPr="00195CAD" w:rsidRDefault="00195CAD" w:rsidP="00195CAD">
            <w:pPr>
              <w:pStyle w:val="TableHeading"/>
              <w:rPr>
                <w:b w:val="0"/>
                <w:bCs w:val="0"/>
              </w:rPr>
            </w:pPr>
            <w:r w:rsidRPr="00195CAD">
              <w:rPr>
                <w:b w:val="0"/>
                <w:bCs w:val="0"/>
              </w:rPr>
              <w:t>0.00576</w:t>
            </w:r>
          </w:p>
        </w:tc>
        <w:tc>
          <w:tcPr>
            <w:tcW w:w="426" w:type="pct"/>
            <w:tcBorders>
              <w:top w:val="nil"/>
              <w:left w:val="nil"/>
              <w:bottom w:val="nil"/>
              <w:right w:val="nil"/>
            </w:tcBorders>
            <w:vAlign w:val="center"/>
          </w:tcPr>
          <w:p w14:paraId="0C8AFEB2" w14:textId="77777777" w:rsidR="00195CAD" w:rsidRPr="00195CAD" w:rsidRDefault="00195CAD" w:rsidP="00195CAD">
            <w:pPr>
              <w:pStyle w:val="TableHeading"/>
              <w:rPr>
                <w:b w:val="0"/>
                <w:bCs w:val="0"/>
              </w:rPr>
            </w:pPr>
            <w:r w:rsidRPr="00195CAD">
              <w:rPr>
                <w:b w:val="0"/>
                <w:bCs w:val="0"/>
              </w:rPr>
              <w:t>4.73</w:t>
            </w:r>
          </w:p>
        </w:tc>
        <w:tc>
          <w:tcPr>
            <w:tcW w:w="533" w:type="pct"/>
            <w:tcBorders>
              <w:top w:val="nil"/>
              <w:left w:val="nil"/>
              <w:bottom w:val="nil"/>
              <w:right w:val="nil"/>
            </w:tcBorders>
            <w:vAlign w:val="center"/>
          </w:tcPr>
          <w:p w14:paraId="4B59A58A" w14:textId="77777777" w:rsidR="00195CAD" w:rsidRPr="00195CAD" w:rsidRDefault="00195CAD" w:rsidP="00195CAD">
            <w:pPr>
              <w:pStyle w:val="TableHeading"/>
              <w:rPr>
                <w:b w:val="0"/>
                <w:bCs w:val="0"/>
              </w:rPr>
            </w:pPr>
            <w:r w:rsidRPr="00195CAD">
              <w:rPr>
                <w:b w:val="0"/>
                <w:bCs w:val="0"/>
              </w:rPr>
              <w:t>0.0365</w:t>
            </w:r>
          </w:p>
        </w:tc>
        <w:tc>
          <w:tcPr>
            <w:tcW w:w="411" w:type="pct"/>
            <w:tcBorders>
              <w:top w:val="nil"/>
              <w:left w:val="nil"/>
              <w:bottom w:val="nil"/>
              <w:right w:val="nil"/>
            </w:tcBorders>
            <w:vAlign w:val="center"/>
          </w:tcPr>
          <w:p w14:paraId="493085C9" w14:textId="77777777" w:rsidR="00195CAD" w:rsidRPr="00195CAD" w:rsidRDefault="00195CAD" w:rsidP="00195CAD">
            <w:pPr>
              <w:pStyle w:val="TableHeading"/>
              <w:rPr>
                <w:b w:val="0"/>
                <w:bCs w:val="0"/>
              </w:rPr>
            </w:pPr>
            <w:r w:rsidRPr="00195CAD">
              <w:rPr>
                <w:b w:val="0"/>
                <w:bCs w:val="0"/>
              </w:rPr>
              <w:t>0.189</w:t>
            </w:r>
          </w:p>
        </w:tc>
        <w:tc>
          <w:tcPr>
            <w:tcW w:w="449" w:type="pct"/>
            <w:tcBorders>
              <w:top w:val="nil"/>
              <w:left w:val="nil"/>
              <w:bottom w:val="nil"/>
              <w:right w:val="nil"/>
            </w:tcBorders>
            <w:vAlign w:val="center"/>
          </w:tcPr>
          <w:p w14:paraId="65894403" w14:textId="77777777" w:rsidR="00195CAD" w:rsidRPr="00195CAD" w:rsidRDefault="00195CAD" w:rsidP="00195CAD">
            <w:pPr>
              <w:pStyle w:val="TableHeading"/>
              <w:rPr>
                <w:b w:val="0"/>
                <w:bCs w:val="0"/>
              </w:rPr>
            </w:pPr>
            <w:r w:rsidRPr="00195CAD">
              <w:rPr>
                <w:b w:val="0"/>
                <w:bCs w:val="0"/>
              </w:rPr>
              <w:t>0.00102</w:t>
            </w:r>
          </w:p>
        </w:tc>
        <w:tc>
          <w:tcPr>
            <w:tcW w:w="461" w:type="pct"/>
            <w:tcBorders>
              <w:top w:val="nil"/>
              <w:left w:val="nil"/>
              <w:bottom w:val="nil"/>
              <w:right w:val="nil"/>
            </w:tcBorders>
            <w:vAlign w:val="center"/>
          </w:tcPr>
          <w:p w14:paraId="5E0318AE" w14:textId="77777777" w:rsidR="00195CAD" w:rsidRPr="00195CAD" w:rsidRDefault="00195CAD" w:rsidP="00195CAD">
            <w:pPr>
              <w:pStyle w:val="TableHeading"/>
              <w:rPr>
                <w:b w:val="0"/>
                <w:bCs w:val="0"/>
              </w:rPr>
            </w:pPr>
            <w:r w:rsidRPr="00195CAD">
              <w:rPr>
                <w:b w:val="0"/>
                <w:bCs w:val="0"/>
              </w:rPr>
              <w:t>0.00579</w:t>
            </w:r>
          </w:p>
        </w:tc>
      </w:tr>
      <w:tr w:rsidR="00195CAD" w:rsidRPr="00195CAD" w14:paraId="39309A97" w14:textId="77777777" w:rsidTr="00195CAD">
        <w:trPr>
          <w:trHeight w:val="288"/>
          <w:jc w:val="center"/>
        </w:trPr>
        <w:tc>
          <w:tcPr>
            <w:tcW w:w="719" w:type="pct"/>
            <w:tcBorders>
              <w:top w:val="nil"/>
              <w:left w:val="nil"/>
              <w:bottom w:val="nil"/>
              <w:right w:val="nil"/>
            </w:tcBorders>
            <w:vAlign w:val="center"/>
          </w:tcPr>
          <w:p w14:paraId="42A31D15" w14:textId="77777777" w:rsidR="00195CAD" w:rsidRPr="00195CAD" w:rsidRDefault="00195CAD" w:rsidP="00195CAD">
            <w:pPr>
              <w:pStyle w:val="TableHeading"/>
              <w:rPr>
                <w:b w:val="0"/>
                <w:bCs w:val="0"/>
              </w:rPr>
            </w:pPr>
            <w:r w:rsidRPr="00195CAD">
              <w:rPr>
                <w:b w:val="0"/>
                <w:bCs w:val="0"/>
              </w:rPr>
              <w:t>(</w:t>
            </w:r>
            <w:r w:rsidRPr="00195CAD">
              <w:rPr>
                <w:b w:val="0"/>
                <w:bCs w:val="0"/>
                <w:i/>
                <w:iCs/>
              </w:rPr>
              <w:t>F</w:t>
            </w:r>
            <w:r w:rsidRPr="00195CAD">
              <w:rPr>
                <w:b w:val="0"/>
                <w:bCs w:val="0"/>
              </w:rPr>
              <w:t>-0.58)</w:t>
            </w:r>
            <w:r w:rsidRPr="00195CAD">
              <w:rPr>
                <w:b w:val="0"/>
                <w:bCs w:val="0"/>
                <w:vertAlign w:val="superscript"/>
              </w:rPr>
              <w:t>2</w:t>
            </w:r>
          </w:p>
        </w:tc>
        <w:tc>
          <w:tcPr>
            <w:tcW w:w="611" w:type="pct"/>
            <w:tcBorders>
              <w:top w:val="nil"/>
              <w:left w:val="nil"/>
              <w:bottom w:val="nil"/>
              <w:right w:val="nil"/>
            </w:tcBorders>
            <w:vAlign w:val="center"/>
          </w:tcPr>
          <w:p w14:paraId="069F8088" w14:textId="77777777" w:rsidR="00195CAD" w:rsidRPr="00195CAD" w:rsidRDefault="00195CAD" w:rsidP="00195CAD">
            <w:pPr>
              <w:pStyle w:val="TableHeading"/>
              <w:rPr>
                <w:b w:val="0"/>
                <w:bCs w:val="0"/>
                <w:i/>
                <w:iCs/>
              </w:rPr>
            </w:pPr>
            <w:r w:rsidRPr="00195CAD">
              <w:rPr>
                <w:b w:val="0"/>
                <w:bCs w:val="0"/>
              </w:rPr>
              <w:t>(wt.%)</w:t>
            </w:r>
            <w:r w:rsidRPr="00195CAD">
              <w:rPr>
                <w:b w:val="0"/>
                <w:bCs w:val="0"/>
                <w:vertAlign w:val="superscript"/>
              </w:rPr>
              <w:t>-2</w:t>
            </w:r>
          </w:p>
        </w:tc>
        <w:tc>
          <w:tcPr>
            <w:tcW w:w="484" w:type="pct"/>
            <w:tcBorders>
              <w:top w:val="nil"/>
              <w:left w:val="nil"/>
              <w:bottom w:val="nil"/>
              <w:right w:val="nil"/>
            </w:tcBorders>
            <w:vAlign w:val="center"/>
          </w:tcPr>
          <w:p w14:paraId="301282FA" w14:textId="77777777" w:rsidR="00195CAD" w:rsidRPr="00195CAD" w:rsidRDefault="00195CAD" w:rsidP="00195CAD">
            <w:pPr>
              <w:pStyle w:val="TableHeading"/>
              <w:rPr>
                <w:b w:val="0"/>
                <w:bCs w:val="0"/>
              </w:rPr>
            </w:pPr>
            <w:r w:rsidRPr="00195CAD">
              <w:rPr>
                <w:b w:val="0"/>
                <w:bCs w:val="0"/>
              </w:rPr>
              <w:t>3.148</w:t>
            </w:r>
          </w:p>
        </w:tc>
        <w:tc>
          <w:tcPr>
            <w:tcW w:w="459" w:type="pct"/>
            <w:tcBorders>
              <w:top w:val="nil"/>
              <w:left w:val="nil"/>
              <w:bottom w:val="nil"/>
              <w:right w:val="nil"/>
            </w:tcBorders>
            <w:vAlign w:val="center"/>
          </w:tcPr>
          <w:p w14:paraId="513772AE" w14:textId="77777777" w:rsidR="00195CAD" w:rsidRPr="00195CAD" w:rsidRDefault="00195CAD" w:rsidP="00195CAD">
            <w:pPr>
              <w:pStyle w:val="TableHeading"/>
              <w:rPr>
                <w:b w:val="0"/>
                <w:bCs w:val="0"/>
              </w:rPr>
            </w:pPr>
            <w:r w:rsidRPr="00195CAD">
              <w:rPr>
                <w:b w:val="0"/>
                <w:bCs w:val="0"/>
              </w:rPr>
              <w:t>0.00071</w:t>
            </w:r>
          </w:p>
        </w:tc>
        <w:tc>
          <w:tcPr>
            <w:tcW w:w="447" w:type="pct"/>
            <w:tcBorders>
              <w:top w:val="nil"/>
              <w:left w:val="nil"/>
              <w:bottom w:val="nil"/>
              <w:right w:val="nil"/>
            </w:tcBorders>
            <w:vAlign w:val="center"/>
          </w:tcPr>
          <w:p w14:paraId="57377073" w14:textId="77777777" w:rsidR="00195CAD" w:rsidRPr="00195CAD" w:rsidRDefault="00195CAD" w:rsidP="00195CAD">
            <w:pPr>
              <w:pStyle w:val="TableHeading"/>
              <w:rPr>
                <w:b w:val="0"/>
                <w:bCs w:val="0"/>
              </w:rPr>
            </w:pPr>
            <w:r w:rsidRPr="00195CAD">
              <w:rPr>
                <w:b w:val="0"/>
                <w:bCs w:val="0"/>
              </w:rPr>
              <w:t>10.6</w:t>
            </w:r>
          </w:p>
        </w:tc>
        <w:tc>
          <w:tcPr>
            <w:tcW w:w="426" w:type="pct"/>
            <w:tcBorders>
              <w:top w:val="nil"/>
              <w:left w:val="nil"/>
              <w:bottom w:val="nil"/>
              <w:right w:val="nil"/>
            </w:tcBorders>
            <w:vAlign w:val="center"/>
          </w:tcPr>
          <w:p w14:paraId="04E1D38F" w14:textId="77777777" w:rsidR="00195CAD" w:rsidRPr="00195CAD" w:rsidRDefault="00195CAD" w:rsidP="00195CAD">
            <w:pPr>
              <w:pStyle w:val="TableHeading"/>
              <w:rPr>
                <w:b w:val="0"/>
                <w:bCs w:val="0"/>
              </w:rPr>
            </w:pPr>
            <w:r w:rsidRPr="00195CAD">
              <w:rPr>
                <w:b w:val="0"/>
                <w:bCs w:val="0"/>
              </w:rPr>
              <w:t>-67700</w:t>
            </w:r>
          </w:p>
        </w:tc>
        <w:tc>
          <w:tcPr>
            <w:tcW w:w="533" w:type="pct"/>
            <w:tcBorders>
              <w:top w:val="nil"/>
              <w:left w:val="nil"/>
              <w:bottom w:val="nil"/>
              <w:right w:val="nil"/>
            </w:tcBorders>
            <w:vAlign w:val="center"/>
          </w:tcPr>
          <w:p w14:paraId="667DB803" w14:textId="77777777" w:rsidR="00195CAD" w:rsidRPr="00195CAD" w:rsidRDefault="00195CAD" w:rsidP="00195CAD">
            <w:pPr>
              <w:pStyle w:val="TableHeading"/>
              <w:rPr>
                <w:b w:val="0"/>
                <w:bCs w:val="0"/>
              </w:rPr>
            </w:pPr>
            <w:r w:rsidRPr="00195CAD">
              <w:rPr>
                <w:b w:val="0"/>
                <w:bCs w:val="0"/>
              </w:rPr>
              <w:t>-595</w:t>
            </w:r>
          </w:p>
        </w:tc>
        <w:tc>
          <w:tcPr>
            <w:tcW w:w="411" w:type="pct"/>
            <w:tcBorders>
              <w:top w:val="nil"/>
              <w:left w:val="nil"/>
              <w:bottom w:val="nil"/>
              <w:right w:val="nil"/>
            </w:tcBorders>
            <w:vAlign w:val="center"/>
          </w:tcPr>
          <w:p w14:paraId="00094B99" w14:textId="77777777" w:rsidR="00195CAD" w:rsidRPr="00195CAD" w:rsidRDefault="00195CAD" w:rsidP="00195CAD">
            <w:pPr>
              <w:pStyle w:val="TableHeading"/>
              <w:rPr>
                <w:b w:val="0"/>
                <w:bCs w:val="0"/>
              </w:rPr>
            </w:pPr>
            <w:r w:rsidRPr="00195CAD">
              <w:rPr>
                <w:b w:val="0"/>
                <w:bCs w:val="0"/>
              </w:rPr>
              <w:t>102</w:t>
            </w:r>
          </w:p>
        </w:tc>
        <w:tc>
          <w:tcPr>
            <w:tcW w:w="449" w:type="pct"/>
            <w:tcBorders>
              <w:top w:val="nil"/>
              <w:left w:val="nil"/>
              <w:bottom w:val="nil"/>
              <w:right w:val="nil"/>
            </w:tcBorders>
            <w:vAlign w:val="center"/>
          </w:tcPr>
          <w:p w14:paraId="7FA5CD66" w14:textId="77777777" w:rsidR="00195CAD" w:rsidRPr="00195CAD" w:rsidRDefault="00195CAD" w:rsidP="00195CAD">
            <w:pPr>
              <w:pStyle w:val="TableHeading"/>
              <w:rPr>
                <w:b w:val="0"/>
                <w:bCs w:val="0"/>
              </w:rPr>
            </w:pPr>
            <w:r w:rsidRPr="00195CAD">
              <w:rPr>
                <w:b w:val="0"/>
                <w:bCs w:val="0"/>
              </w:rPr>
              <w:t>-8.54</w:t>
            </w:r>
          </w:p>
        </w:tc>
        <w:tc>
          <w:tcPr>
            <w:tcW w:w="461" w:type="pct"/>
            <w:tcBorders>
              <w:top w:val="nil"/>
              <w:left w:val="nil"/>
              <w:bottom w:val="nil"/>
              <w:right w:val="nil"/>
            </w:tcBorders>
            <w:vAlign w:val="center"/>
          </w:tcPr>
          <w:p w14:paraId="16C5B154" w14:textId="77777777" w:rsidR="00195CAD" w:rsidRPr="00195CAD" w:rsidRDefault="00195CAD" w:rsidP="00195CAD">
            <w:pPr>
              <w:pStyle w:val="TableHeading"/>
              <w:rPr>
                <w:b w:val="0"/>
                <w:bCs w:val="0"/>
              </w:rPr>
            </w:pPr>
            <w:r w:rsidRPr="00195CAD">
              <w:rPr>
                <w:b w:val="0"/>
                <w:bCs w:val="0"/>
              </w:rPr>
              <w:t>1.99</w:t>
            </w:r>
          </w:p>
        </w:tc>
      </w:tr>
      <w:tr w:rsidR="00195CAD" w:rsidRPr="00195CAD" w14:paraId="6F6CDF5D" w14:textId="77777777" w:rsidTr="00195CAD">
        <w:trPr>
          <w:trHeight w:val="288"/>
          <w:jc w:val="center"/>
        </w:trPr>
        <w:tc>
          <w:tcPr>
            <w:tcW w:w="719" w:type="pct"/>
            <w:tcBorders>
              <w:top w:val="nil"/>
              <w:left w:val="nil"/>
              <w:bottom w:val="nil"/>
              <w:right w:val="nil"/>
            </w:tcBorders>
            <w:vAlign w:val="center"/>
          </w:tcPr>
          <w:p w14:paraId="18A759BE" w14:textId="77777777" w:rsidR="00195CAD" w:rsidRPr="00195CAD" w:rsidRDefault="00195CAD" w:rsidP="00195CAD">
            <w:pPr>
              <w:pStyle w:val="TableHeading"/>
              <w:rPr>
                <w:b w:val="0"/>
                <w:bCs w:val="0"/>
              </w:rPr>
            </w:pPr>
            <w:r w:rsidRPr="00195CAD">
              <w:rPr>
                <w:b w:val="0"/>
                <w:bCs w:val="0"/>
              </w:rPr>
              <w:t>(</w:t>
            </w:r>
            <w:r w:rsidRPr="00195CAD">
              <w:rPr>
                <w:b w:val="0"/>
                <w:bCs w:val="0"/>
                <w:i/>
                <w:iCs/>
              </w:rPr>
              <w:t>F</w:t>
            </w:r>
            <w:r w:rsidRPr="00195CAD">
              <w:rPr>
                <w:b w:val="0"/>
                <w:bCs w:val="0"/>
              </w:rPr>
              <w:t>-0.58)*(</w:t>
            </w:r>
            <w:r w:rsidRPr="00195CAD">
              <w:rPr>
                <w:b w:val="0"/>
                <w:bCs w:val="0"/>
                <w:i/>
              </w:rPr>
              <w:t>T</w:t>
            </w:r>
            <w:r w:rsidRPr="00195CAD">
              <w:rPr>
                <w:b w:val="0"/>
                <w:bCs w:val="0"/>
              </w:rPr>
              <w:t>-190)</w:t>
            </w:r>
          </w:p>
        </w:tc>
        <w:tc>
          <w:tcPr>
            <w:tcW w:w="611" w:type="pct"/>
            <w:tcBorders>
              <w:top w:val="nil"/>
              <w:left w:val="nil"/>
              <w:bottom w:val="nil"/>
              <w:right w:val="nil"/>
            </w:tcBorders>
            <w:vAlign w:val="center"/>
          </w:tcPr>
          <w:p w14:paraId="672A7B0E" w14:textId="77777777" w:rsidR="00195CAD" w:rsidRPr="00195CAD" w:rsidRDefault="00195CAD" w:rsidP="00195CAD">
            <w:pPr>
              <w:pStyle w:val="TableHeading"/>
              <w:rPr>
                <w:b w:val="0"/>
                <w:bCs w:val="0"/>
                <w:vertAlign w:val="superscript"/>
              </w:rPr>
            </w:pPr>
            <w:r w:rsidRPr="00195CAD">
              <w:rPr>
                <w:b w:val="0"/>
                <w:bCs w:val="0"/>
              </w:rPr>
              <w:t>(wt.%* °C)</w:t>
            </w:r>
            <w:r w:rsidRPr="00195CAD">
              <w:rPr>
                <w:b w:val="0"/>
                <w:bCs w:val="0"/>
                <w:vertAlign w:val="superscript"/>
              </w:rPr>
              <w:t>-1</w:t>
            </w:r>
            <w:r w:rsidRPr="00195CAD" w:rsidDel="00790250">
              <w:rPr>
                <w:b w:val="0"/>
                <w:bCs w:val="0"/>
              </w:rPr>
              <w:t xml:space="preserve"> </w:t>
            </w:r>
          </w:p>
        </w:tc>
        <w:tc>
          <w:tcPr>
            <w:tcW w:w="484" w:type="pct"/>
            <w:tcBorders>
              <w:top w:val="nil"/>
              <w:left w:val="nil"/>
              <w:bottom w:val="nil"/>
              <w:right w:val="nil"/>
            </w:tcBorders>
            <w:vAlign w:val="center"/>
          </w:tcPr>
          <w:p w14:paraId="63BFA84B" w14:textId="77777777" w:rsidR="00195CAD" w:rsidRPr="00195CAD" w:rsidRDefault="00195CAD" w:rsidP="00195CAD">
            <w:pPr>
              <w:pStyle w:val="TableHeading"/>
              <w:rPr>
                <w:b w:val="0"/>
                <w:bCs w:val="0"/>
              </w:rPr>
            </w:pPr>
            <w:r w:rsidRPr="00195CAD">
              <w:rPr>
                <w:b w:val="0"/>
                <w:bCs w:val="0"/>
              </w:rPr>
              <w:t>2.427</w:t>
            </w:r>
          </w:p>
        </w:tc>
        <w:tc>
          <w:tcPr>
            <w:tcW w:w="459" w:type="pct"/>
            <w:tcBorders>
              <w:top w:val="nil"/>
              <w:left w:val="nil"/>
              <w:bottom w:val="nil"/>
              <w:right w:val="nil"/>
            </w:tcBorders>
            <w:vAlign w:val="center"/>
          </w:tcPr>
          <w:p w14:paraId="4AA827C7" w14:textId="77777777" w:rsidR="00195CAD" w:rsidRPr="00195CAD" w:rsidRDefault="00195CAD" w:rsidP="00195CAD">
            <w:pPr>
              <w:pStyle w:val="TableHeading"/>
              <w:rPr>
                <w:b w:val="0"/>
                <w:bCs w:val="0"/>
              </w:rPr>
            </w:pPr>
            <w:r w:rsidRPr="00195CAD">
              <w:rPr>
                <w:b w:val="0"/>
                <w:bCs w:val="0"/>
              </w:rPr>
              <w:t>0.00374</w:t>
            </w:r>
          </w:p>
        </w:tc>
        <w:tc>
          <w:tcPr>
            <w:tcW w:w="447" w:type="pct"/>
            <w:tcBorders>
              <w:top w:val="nil"/>
              <w:left w:val="nil"/>
              <w:bottom w:val="nil"/>
              <w:right w:val="nil"/>
            </w:tcBorders>
            <w:vAlign w:val="center"/>
          </w:tcPr>
          <w:p w14:paraId="300AD1AA" w14:textId="77777777" w:rsidR="00195CAD" w:rsidRPr="00195CAD" w:rsidRDefault="00195CAD" w:rsidP="00195CAD">
            <w:pPr>
              <w:pStyle w:val="TableHeading"/>
              <w:rPr>
                <w:b w:val="0"/>
                <w:bCs w:val="0"/>
              </w:rPr>
            </w:pPr>
            <w:r w:rsidRPr="00195CAD">
              <w:rPr>
                <w:b w:val="0"/>
                <w:bCs w:val="0"/>
              </w:rPr>
              <w:t>-0.0770</w:t>
            </w:r>
          </w:p>
        </w:tc>
        <w:tc>
          <w:tcPr>
            <w:tcW w:w="426" w:type="pct"/>
            <w:tcBorders>
              <w:top w:val="nil"/>
              <w:left w:val="nil"/>
              <w:bottom w:val="nil"/>
              <w:right w:val="nil"/>
            </w:tcBorders>
            <w:vAlign w:val="center"/>
          </w:tcPr>
          <w:p w14:paraId="2A1A2E77" w14:textId="77777777" w:rsidR="00195CAD" w:rsidRPr="00195CAD" w:rsidRDefault="00195CAD" w:rsidP="00195CAD">
            <w:pPr>
              <w:pStyle w:val="TableHeading"/>
              <w:rPr>
                <w:b w:val="0"/>
                <w:bCs w:val="0"/>
              </w:rPr>
            </w:pPr>
            <w:r w:rsidRPr="00195CAD">
              <w:rPr>
                <w:b w:val="0"/>
                <w:bCs w:val="0"/>
              </w:rPr>
              <w:t>-83.3</w:t>
            </w:r>
          </w:p>
        </w:tc>
        <w:tc>
          <w:tcPr>
            <w:tcW w:w="533" w:type="pct"/>
            <w:tcBorders>
              <w:top w:val="nil"/>
              <w:left w:val="nil"/>
              <w:bottom w:val="nil"/>
              <w:right w:val="nil"/>
            </w:tcBorders>
            <w:vAlign w:val="center"/>
          </w:tcPr>
          <w:p w14:paraId="49755E8D" w14:textId="77777777" w:rsidR="00195CAD" w:rsidRPr="00195CAD" w:rsidRDefault="00195CAD" w:rsidP="00195CAD">
            <w:pPr>
              <w:pStyle w:val="TableHeading"/>
              <w:rPr>
                <w:b w:val="0"/>
                <w:bCs w:val="0"/>
              </w:rPr>
            </w:pPr>
            <w:r w:rsidRPr="00195CAD">
              <w:rPr>
                <w:b w:val="0"/>
                <w:bCs w:val="0"/>
              </w:rPr>
              <w:t>-1.76</w:t>
            </w:r>
          </w:p>
        </w:tc>
        <w:tc>
          <w:tcPr>
            <w:tcW w:w="411" w:type="pct"/>
            <w:tcBorders>
              <w:top w:val="nil"/>
              <w:left w:val="nil"/>
              <w:bottom w:val="nil"/>
              <w:right w:val="nil"/>
            </w:tcBorders>
            <w:vAlign w:val="center"/>
          </w:tcPr>
          <w:p w14:paraId="36B92077" w14:textId="77777777" w:rsidR="00195CAD" w:rsidRPr="00195CAD" w:rsidRDefault="00195CAD" w:rsidP="00195CAD">
            <w:pPr>
              <w:pStyle w:val="TableHeading"/>
              <w:rPr>
                <w:b w:val="0"/>
                <w:bCs w:val="0"/>
              </w:rPr>
            </w:pPr>
            <w:r w:rsidRPr="00195CAD">
              <w:rPr>
                <w:b w:val="0"/>
                <w:bCs w:val="0"/>
              </w:rPr>
              <w:t>5.48</w:t>
            </w:r>
          </w:p>
        </w:tc>
        <w:tc>
          <w:tcPr>
            <w:tcW w:w="449" w:type="pct"/>
            <w:tcBorders>
              <w:top w:val="nil"/>
              <w:left w:val="nil"/>
              <w:bottom w:val="nil"/>
              <w:right w:val="nil"/>
            </w:tcBorders>
            <w:vAlign w:val="center"/>
          </w:tcPr>
          <w:p w14:paraId="771F3584" w14:textId="77777777" w:rsidR="00195CAD" w:rsidRPr="00195CAD" w:rsidRDefault="00195CAD" w:rsidP="00195CAD">
            <w:pPr>
              <w:pStyle w:val="TableHeading"/>
              <w:rPr>
                <w:b w:val="0"/>
                <w:bCs w:val="0"/>
              </w:rPr>
            </w:pPr>
            <w:r w:rsidRPr="00195CAD">
              <w:rPr>
                <w:b w:val="0"/>
                <w:bCs w:val="0"/>
              </w:rPr>
              <w:t>0.0518</w:t>
            </w:r>
          </w:p>
        </w:tc>
        <w:tc>
          <w:tcPr>
            <w:tcW w:w="461" w:type="pct"/>
            <w:tcBorders>
              <w:top w:val="nil"/>
              <w:left w:val="nil"/>
              <w:bottom w:val="nil"/>
              <w:right w:val="nil"/>
            </w:tcBorders>
            <w:vAlign w:val="center"/>
          </w:tcPr>
          <w:p w14:paraId="03550351" w14:textId="77777777" w:rsidR="00195CAD" w:rsidRPr="00195CAD" w:rsidRDefault="00195CAD" w:rsidP="00195CAD">
            <w:pPr>
              <w:pStyle w:val="TableHeading"/>
              <w:rPr>
                <w:b w:val="0"/>
                <w:bCs w:val="0"/>
              </w:rPr>
            </w:pPr>
            <w:r w:rsidRPr="00195CAD">
              <w:rPr>
                <w:b w:val="0"/>
                <w:bCs w:val="0"/>
              </w:rPr>
              <w:t>-0.0685</w:t>
            </w:r>
          </w:p>
        </w:tc>
      </w:tr>
      <w:tr w:rsidR="00195CAD" w:rsidRPr="00195CAD" w14:paraId="2417F530" w14:textId="77777777" w:rsidTr="00195CAD">
        <w:trPr>
          <w:trHeight w:val="288"/>
          <w:jc w:val="center"/>
        </w:trPr>
        <w:tc>
          <w:tcPr>
            <w:tcW w:w="719" w:type="pct"/>
            <w:tcBorders>
              <w:top w:val="nil"/>
              <w:left w:val="nil"/>
              <w:bottom w:val="nil"/>
              <w:right w:val="nil"/>
            </w:tcBorders>
            <w:vAlign w:val="center"/>
          </w:tcPr>
          <w:p w14:paraId="3EC1E1AF" w14:textId="77777777" w:rsidR="00195CAD" w:rsidRPr="00195CAD" w:rsidRDefault="00195CAD" w:rsidP="00195CAD">
            <w:pPr>
              <w:pStyle w:val="TableHeading"/>
              <w:rPr>
                <w:b w:val="0"/>
                <w:bCs w:val="0"/>
              </w:rPr>
            </w:pPr>
            <w:r w:rsidRPr="00195CAD">
              <w:rPr>
                <w:b w:val="0"/>
                <w:bCs w:val="0"/>
              </w:rPr>
              <w:t>(</w:t>
            </w:r>
            <w:r w:rsidRPr="00195CAD">
              <w:rPr>
                <w:b w:val="0"/>
                <w:bCs w:val="0"/>
                <w:i/>
              </w:rPr>
              <w:t>S</w:t>
            </w:r>
            <w:r w:rsidRPr="00195CAD">
              <w:rPr>
                <w:b w:val="0"/>
                <w:bCs w:val="0"/>
              </w:rPr>
              <w:t>-5)</w:t>
            </w:r>
            <w:r w:rsidRPr="00195CAD">
              <w:rPr>
                <w:b w:val="0"/>
                <w:bCs w:val="0"/>
                <w:vertAlign w:val="superscript"/>
              </w:rPr>
              <w:t>2</w:t>
            </w:r>
          </w:p>
        </w:tc>
        <w:tc>
          <w:tcPr>
            <w:tcW w:w="611" w:type="pct"/>
            <w:tcBorders>
              <w:top w:val="nil"/>
              <w:left w:val="nil"/>
              <w:bottom w:val="nil"/>
              <w:right w:val="nil"/>
            </w:tcBorders>
            <w:vAlign w:val="center"/>
          </w:tcPr>
          <w:p w14:paraId="2EFBBA89" w14:textId="77777777" w:rsidR="00195CAD" w:rsidRPr="00195CAD" w:rsidRDefault="00195CAD" w:rsidP="00195CAD">
            <w:pPr>
              <w:pStyle w:val="TableHeading"/>
              <w:rPr>
                <w:b w:val="0"/>
                <w:bCs w:val="0"/>
              </w:rPr>
            </w:pPr>
            <w:r w:rsidRPr="00195CAD">
              <w:rPr>
                <w:b w:val="0"/>
                <w:bCs w:val="0"/>
              </w:rPr>
              <w:t>min</w:t>
            </w:r>
            <w:r w:rsidRPr="00195CAD">
              <w:rPr>
                <w:b w:val="0"/>
                <w:bCs w:val="0"/>
                <w:vertAlign w:val="superscript"/>
              </w:rPr>
              <w:t>-2</w:t>
            </w:r>
          </w:p>
        </w:tc>
        <w:tc>
          <w:tcPr>
            <w:tcW w:w="484" w:type="pct"/>
            <w:tcBorders>
              <w:top w:val="nil"/>
              <w:left w:val="nil"/>
              <w:bottom w:val="nil"/>
              <w:right w:val="nil"/>
            </w:tcBorders>
            <w:vAlign w:val="center"/>
          </w:tcPr>
          <w:p w14:paraId="0A2FE9F2" w14:textId="77777777" w:rsidR="00195CAD" w:rsidRPr="00195CAD" w:rsidRDefault="00195CAD" w:rsidP="00195CAD">
            <w:pPr>
              <w:pStyle w:val="TableHeading"/>
              <w:rPr>
                <w:b w:val="0"/>
                <w:bCs w:val="0"/>
              </w:rPr>
            </w:pPr>
            <w:r w:rsidRPr="00195CAD">
              <w:rPr>
                <w:b w:val="0"/>
                <w:bCs w:val="0"/>
              </w:rPr>
              <w:t>1.859</w:t>
            </w:r>
          </w:p>
        </w:tc>
        <w:tc>
          <w:tcPr>
            <w:tcW w:w="459" w:type="pct"/>
            <w:tcBorders>
              <w:top w:val="nil"/>
              <w:left w:val="nil"/>
              <w:bottom w:val="nil"/>
              <w:right w:val="nil"/>
            </w:tcBorders>
            <w:vAlign w:val="center"/>
          </w:tcPr>
          <w:p w14:paraId="6B2EAA06" w14:textId="77777777" w:rsidR="00195CAD" w:rsidRPr="00195CAD" w:rsidRDefault="00195CAD" w:rsidP="00195CAD">
            <w:pPr>
              <w:pStyle w:val="TableHeading"/>
              <w:rPr>
                <w:b w:val="0"/>
                <w:bCs w:val="0"/>
              </w:rPr>
            </w:pPr>
            <w:r w:rsidRPr="00195CAD">
              <w:rPr>
                <w:b w:val="0"/>
                <w:bCs w:val="0"/>
              </w:rPr>
              <w:t>0.01384</w:t>
            </w:r>
          </w:p>
        </w:tc>
        <w:tc>
          <w:tcPr>
            <w:tcW w:w="447" w:type="pct"/>
            <w:tcBorders>
              <w:top w:val="nil"/>
              <w:left w:val="nil"/>
              <w:bottom w:val="nil"/>
              <w:right w:val="nil"/>
            </w:tcBorders>
            <w:vAlign w:val="center"/>
          </w:tcPr>
          <w:p w14:paraId="783DA276" w14:textId="77777777" w:rsidR="00195CAD" w:rsidRPr="00195CAD" w:rsidRDefault="00195CAD" w:rsidP="00195CAD">
            <w:pPr>
              <w:pStyle w:val="TableHeading"/>
              <w:rPr>
                <w:b w:val="0"/>
                <w:bCs w:val="0"/>
              </w:rPr>
            </w:pPr>
            <w:r w:rsidRPr="00195CAD">
              <w:rPr>
                <w:b w:val="0"/>
                <w:bCs w:val="0"/>
              </w:rPr>
              <w:t>0.0157</w:t>
            </w:r>
          </w:p>
        </w:tc>
        <w:tc>
          <w:tcPr>
            <w:tcW w:w="426" w:type="pct"/>
            <w:tcBorders>
              <w:top w:val="nil"/>
              <w:left w:val="nil"/>
              <w:bottom w:val="nil"/>
              <w:right w:val="nil"/>
            </w:tcBorders>
            <w:vAlign w:val="center"/>
          </w:tcPr>
          <w:p w14:paraId="6F8E737D" w14:textId="77777777" w:rsidR="00195CAD" w:rsidRPr="00195CAD" w:rsidRDefault="00195CAD" w:rsidP="00195CAD">
            <w:pPr>
              <w:pStyle w:val="TableHeading"/>
              <w:rPr>
                <w:b w:val="0"/>
                <w:bCs w:val="0"/>
              </w:rPr>
            </w:pPr>
            <w:r w:rsidRPr="00195CAD">
              <w:rPr>
                <w:b w:val="0"/>
                <w:bCs w:val="0"/>
              </w:rPr>
              <w:t>6.85</w:t>
            </w:r>
          </w:p>
        </w:tc>
        <w:tc>
          <w:tcPr>
            <w:tcW w:w="533" w:type="pct"/>
            <w:tcBorders>
              <w:top w:val="nil"/>
              <w:left w:val="nil"/>
              <w:bottom w:val="nil"/>
              <w:right w:val="nil"/>
            </w:tcBorders>
            <w:vAlign w:val="center"/>
          </w:tcPr>
          <w:p w14:paraId="46F16E88" w14:textId="77777777" w:rsidR="00195CAD" w:rsidRPr="00195CAD" w:rsidRDefault="00195CAD" w:rsidP="00195CAD">
            <w:pPr>
              <w:pStyle w:val="TableHeading"/>
              <w:rPr>
                <w:b w:val="0"/>
                <w:bCs w:val="0"/>
              </w:rPr>
            </w:pPr>
            <w:r w:rsidRPr="00195CAD">
              <w:rPr>
                <w:b w:val="0"/>
                <w:bCs w:val="0"/>
              </w:rPr>
              <w:t>0.304</w:t>
            </w:r>
          </w:p>
        </w:tc>
        <w:tc>
          <w:tcPr>
            <w:tcW w:w="411" w:type="pct"/>
            <w:tcBorders>
              <w:top w:val="nil"/>
              <w:left w:val="nil"/>
              <w:bottom w:val="nil"/>
              <w:right w:val="nil"/>
            </w:tcBorders>
            <w:vAlign w:val="center"/>
          </w:tcPr>
          <w:p w14:paraId="372A3571" w14:textId="77777777" w:rsidR="00195CAD" w:rsidRPr="00195CAD" w:rsidRDefault="00195CAD" w:rsidP="00195CAD">
            <w:pPr>
              <w:pStyle w:val="TableHeading"/>
              <w:rPr>
                <w:b w:val="0"/>
                <w:bCs w:val="0"/>
              </w:rPr>
            </w:pPr>
            <w:r w:rsidRPr="00195CAD">
              <w:rPr>
                <w:b w:val="0"/>
                <w:bCs w:val="0"/>
              </w:rPr>
              <w:t>0.137</w:t>
            </w:r>
          </w:p>
        </w:tc>
        <w:tc>
          <w:tcPr>
            <w:tcW w:w="449" w:type="pct"/>
            <w:tcBorders>
              <w:top w:val="nil"/>
              <w:left w:val="nil"/>
              <w:bottom w:val="nil"/>
              <w:right w:val="nil"/>
            </w:tcBorders>
            <w:vAlign w:val="center"/>
          </w:tcPr>
          <w:p w14:paraId="69510850" w14:textId="77777777" w:rsidR="00195CAD" w:rsidRPr="00195CAD" w:rsidRDefault="00195CAD" w:rsidP="00195CAD">
            <w:pPr>
              <w:pStyle w:val="TableHeading"/>
              <w:rPr>
                <w:b w:val="0"/>
                <w:bCs w:val="0"/>
              </w:rPr>
            </w:pPr>
            <w:r w:rsidRPr="00195CAD">
              <w:rPr>
                <w:b w:val="0"/>
                <w:bCs w:val="0"/>
              </w:rPr>
              <w:t>0.00803</w:t>
            </w:r>
          </w:p>
        </w:tc>
        <w:tc>
          <w:tcPr>
            <w:tcW w:w="461" w:type="pct"/>
            <w:tcBorders>
              <w:top w:val="nil"/>
              <w:left w:val="nil"/>
              <w:bottom w:val="nil"/>
              <w:right w:val="nil"/>
            </w:tcBorders>
            <w:vAlign w:val="center"/>
          </w:tcPr>
          <w:p w14:paraId="64B8E437" w14:textId="77777777" w:rsidR="00195CAD" w:rsidRPr="00195CAD" w:rsidRDefault="00195CAD" w:rsidP="00195CAD">
            <w:pPr>
              <w:pStyle w:val="TableHeading"/>
              <w:rPr>
                <w:b w:val="0"/>
                <w:bCs w:val="0"/>
              </w:rPr>
            </w:pPr>
            <w:r w:rsidRPr="00195CAD">
              <w:rPr>
                <w:b w:val="0"/>
                <w:bCs w:val="0"/>
              </w:rPr>
              <w:t>.0148</w:t>
            </w:r>
          </w:p>
        </w:tc>
      </w:tr>
      <w:tr w:rsidR="00195CAD" w:rsidRPr="00195CAD" w14:paraId="7AE7535C" w14:textId="77777777" w:rsidTr="00195CAD">
        <w:trPr>
          <w:trHeight w:val="288"/>
          <w:jc w:val="center"/>
        </w:trPr>
        <w:tc>
          <w:tcPr>
            <w:tcW w:w="719" w:type="pct"/>
            <w:tcBorders>
              <w:top w:val="nil"/>
              <w:left w:val="nil"/>
              <w:bottom w:val="nil"/>
              <w:right w:val="nil"/>
            </w:tcBorders>
            <w:vAlign w:val="center"/>
          </w:tcPr>
          <w:p w14:paraId="4625F8CC" w14:textId="77777777" w:rsidR="00195CAD" w:rsidRPr="00195CAD" w:rsidRDefault="00195CAD" w:rsidP="00195CAD">
            <w:pPr>
              <w:pStyle w:val="TableHeading"/>
              <w:rPr>
                <w:b w:val="0"/>
                <w:bCs w:val="0"/>
              </w:rPr>
            </w:pPr>
            <w:r w:rsidRPr="00195CAD">
              <w:rPr>
                <w:b w:val="0"/>
                <w:bCs w:val="0"/>
              </w:rPr>
              <w:t>(</w:t>
            </w:r>
            <w:r w:rsidRPr="00195CAD">
              <w:rPr>
                <w:b w:val="0"/>
                <w:bCs w:val="0"/>
                <w:i/>
              </w:rPr>
              <w:t>P</w:t>
            </w:r>
            <w:r w:rsidRPr="00195CAD">
              <w:rPr>
                <w:b w:val="0"/>
                <w:bCs w:val="0"/>
              </w:rPr>
              <w:t>-200)*(</w:t>
            </w:r>
            <w:r w:rsidRPr="00195CAD">
              <w:rPr>
                <w:b w:val="0"/>
                <w:bCs w:val="0"/>
                <w:i/>
              </w:rPr>
              <w:t>S</w:t>
            </w:r>
            <w:r w:rsidRPr="00195CAD">
              <w:rPr>
                <w:b w:val="0"/>
                <w:bCs w:val="0"/>
              </w:rPr>
              <w:t>-5)</w:t>
            </w:r>
          </w:p>
        </w:tc>
        <w:tc>
          <w:tcPr>
            <w:tcW w:w="611" w:type="pct"/>
            <w:tcBorders>
              <w:top w:val="nil"/>
              <w:left w:val="nil"/>
              <w:bottom w:val="nil"/>
              <w:right w:val="nil"/>
            </w:tcBorders>
            <w:vAlign w:val="center"/>
          </w:tcPr>
          <w:p w14:paraId="39C67317" w14:textId="77777777" w:rsidR="00195CAD" w:rsidRPr="00195CAD" w:rsidRDefault="00195CAD" w:rsidP="00195CAD">
            <w:pPr>
              <w:pStyle w:val="TableHeading"/>
              <w:rPr>
                <w:b w:val="0"/>
                <w:bCs w:val="0"/>
              </w:rPr>
            </w:pPr>
            <w:r w:rsidRPr="00195CAD">
              <w:rPr>
                <w:b w:val="0"/>
                <w:bCs w:val="0"/>
              </w:rPr>
              <w:t>(MPa*min)</w:t>
            </w:r>
            <w:r w:rsidRPr="00195CAD">
              <w:rPr>
                <w:b w:val="0"/>
                <w:bCs w:val="0"/>
                <w:vertAlign w:val="superscript"/>
              </w:rPr>
              <w:t>-1</w:t>
            </w:r>
          </w:p>
        </w:tc>
        <w:tc>
          <w:tcPr>
            <w:tcW w:w="484" w:type="pct"/>
            <w:tcBorders>
              <w:top w:val="nil"/>
              <w:left w:val="nil"/>
              <w:bottom w:val="nil"/>
              <w:right w:val="nil"/>
            </w:tcBorders>
            <w:vAlign w:val="center"/>
          </w:tcPr>
          <w:p w14:paraId="0D3A100D" w14:textId="77777777" w:rsidR="00195CAD" w:rsidRPr="00195CAD" w:rsidRDefault="00195CAD" w:rsidP="00195CAD">
            <w:pPr>
              <w:pStyle w:val="TableHeading"/>
              <w:rPr>
                <w:b w:val="0"/>
                <w:bCs w:val="0"/>
              </w:rPr>
            </w:pPr>
            <w:r w:rsidRPr="00195CAD">
              <w:rPr>
                <w:b w:val="0"/>
                <w:bCs w:val="0"/>
              </w:rPr>
              <w:t>1.732</w:t>
            </w:r>
          </w:p>
        </w:tc>
        <w:tc>
          <w:tcPr>
            <w:tcW w:w="459" w:type="pct"/>
            <w:tcBorders>
              <w:top w:val="nil"/>
              <w:left w:val="nil"/>
              <w:bottom w:val="nil"/>
              <w:right w:val="nil"/>
            </w:tcBorders>
            <w:vAlign w:val="center"/>
          </w:tcPr>
          <w:p w14:paraId="07867C45" w14:textId="77777777" w:rsidR="00195CAD" w:rsidRPr="00195CAD" w:rsidRDefault="00195CAD" w:rsidP="00195CAD">
            <w:pPr>
              <w:pStyle w:val="TableHeading"/>
              <w:rPr>
                <w:b w:val="0"/>
                <w:bCs w:val="0"/>
              </w:rPr>
            </w:pPr>
            <w:r w:rsidRPr="00195CAD">
              <w:rPr>
                <w:b w:val="0"/>
                <w:bCs w:val="0"/>
              </w:rPr>
              <w:t>0.01852</w:t>
            </w:r>
          </w:p>
        </w:tc>
        <w:tc>
          <w:tcPr>
            <w:tcW w:w="447" w:type="pct"/>
            <w:tcBorders>
              <w:top w:val="nil"/>
              <w:left w:val="nil"/>
              <w:bottom w:val="nil"/>
              <w:right w:val="nil"/>
            </w:tcBorders>
            <w:vAlign w:val="center"/>
          </w:tcPr>
          <w:p w14:paraId="4D5A29B9" w14:textId="77777777" w:rsidR="00195CAD" w:rsidRPr="00195CAD" w:rsidRDefault="00195CAD" w:rsidP="00195CAD">
            <w:pPr>
              <w:pStyle w:val="TableHeading"/>
              <w:rPr>
                <w:b w:val="0"/>
                <w:bCs w:val="0"/>
              </w:rPr>
            </w:pPr>
            <w:r w:rsidRPr="00195CAD">
              <w:rPr>
                <w:b w:val="0"/>
                <w:bCs w:val="0"/>
              </w:rPr>
              <w:t>0.000683</w:t>
            </w:r>
          </w:p>
        </w:tc>
        <w:tc>
          <w:tcPr>
            <w:tcW w:w="426" w:type="pct"/>
            <w:tcBorders>
              <w:top w:val="nil"/>
              <w:left w:val="nil"/>
              <w:bottom w:val="nil"/>
              <w:right w:val="nil"/>
            </w:tcBorders>
            <w:vAlign w:val="center"/>
          </w:tcPr>
          <w:p w14:paraId="16FF8310" w14:textId="77777777" w:rsidR="00195CAD" w:rsidRPr="00195CAD" w:rsidRDefault="00195CAD" w:rsidP="00195CAD">
            <w:pPr>
              <w:pStyle w:val="TableHeading"/>
              <w:rPr>
                <w:b w:val="0"/>
                <w:bCs w:val="0"/>
              </w:rPr>
            </w:pPr>
            <w:r w:rsidRPr="00195CAD">
              <w:rPr>
                <w:b w:val="0"/>
                <w:bCs w:val="0"/>
              </w:rPr>
              <w:t>0.295</w:t>
            </w:r>
          </w:p>
        </w:tc>
        <w:tc>
          <w:tcPr>
            <w:tcW w:w="533" w:type="pct"/>
            <w:tcBorders>
              <w:top w:val="nil"/>
              <w:left w:val="nil"/>
              <w:bottom w:val="nil"/>
              <w:right w:val="nil"/>
            </w:tcBorders>
            <w:vAlign w:val="center"/>
          </w:tcPr>
          <w:p w14:paraId="6353C305" w14:textId="77777777" w:rsidR="00195CAD" w:rsidRPr="00195CAD" w:rsidRDefault="00195CAD" w:rsidP="00195CAD">
            <w:pPr>
              <w:pStyle w:val="TableHeading"/>
              <w:rPr>
                <w:b w:val="0"/>
                <w:bCs w:val="0"/>
              </w:rPr>
            </w:pPr>
            <w:r w:rsidRPr="00195CAD">
              <w:rPr>
                <w:b w:val="0"/>
                <w:bCs w:val="0"/>
              </w:rPr>
              <w:t>0.00257</w:t>
            </w:r>
          </w:p>
        </w:tc>
        <w:tc>
          <w:tcPr>
            <w:tcW w:w="411" w:type="pct"/>
            <w:tcBorders>
              <w:top w:val="nil"/>
              <w:left w:val="nil"/>
              <w:bottom w:val="nil"/>
              <w:right w:val="nil"/>
            </w:tcBorders>
            <w:vAlign w:val="center"/>
          </w:tcPr>
          <w:p w14:paraId="1F6D783A" w14:textId="77777777" w:rsidR="00195CAD" w:rsidRPr="00195CAD" w:rsidRDefault="00195CAD" w:rsidP="00195CAD">
            <w:pPr>
              <w:pStyle w:val="TableHeading"/>
              <w:rPr>
                <w:b w:val="0"/>
                <w:bCs w:val="0"/>
              </w:rPr>
            </w:pPr>
            <w:r w:rsidRPr="00195CAD">
              <w:rPr>
                <w:b w:val="0"/>
                <w:bCs w:val="0"/>
              </w:rPr>
              <w:t>-0.00118</w:t>
            </w:r>
          </w:p>
        </w:tc>
        <w:tc>
          <w:tcPr>
            <w:tcW w:w="449" w:type="pct"/>
            <w:tcBorders>
              <w:top w:val="nil"/>
              <w:left w:val="nil"/>
              <w:bottom w:val="nil"/>
              <w:right w:val="nil"/>
            </w:tcBorders>
            <w:vAlign w:val="center"/>
          </w:tcPr>
          <w:p w14:paraId="45AA01A4" w14:textId="77777777" w:rsidR="00195CAD" w:rsidRPr="00195CAD" w:rsidRDefault="00195CAD" w:rsidP="00195CAD">
            <w:pPr>
              <w:pStyle w:val="TableHeading"/>
              <w:rPr>
                <w:b w:val="0"/>
                <w:bCs w:val="0"/>
              </w:rPr>
            </w:pPr>
            <w:r w:rsidRPr="00195CAD">
              <w:rPr>
                <w:b w:val="0"/>
                <w:bCs w:val="0"/>
              </w:rPr>
              <w:t>8.60e-6</w:t>
            </w:r>
          </w:p>
        </w:tc>
        <w:tc>
          <w:tcPr>
            <w:tcW w:w="461" w:type="pct"/>
            <w:tcBorders>
              <w:top w:val="nil"/>
              <w:left w:val="nil"/>
              <w:bottom w:val="nil"/>
              <w:right w:val="nil"/>
            </w:tcBorders>
            <w:vAlign w:val="center"/>
          </w:tcPr>
          <w:p w14:paraId="260DCFBD" w14:textId="77777777" w:rsidR="00195CAD" w:rsidRPr="00195CAD" w:rsidRDefault="00195CAD" w:rsidP="00195CAD">
            <w:pPr>
              <w:pStyle w:val="TableHeading"/>
              <w:rPr>
                <w:b w:val="0"/>
                <w:bCs w:val="0"/>
              </w:rPr>
            </w:pPr>
            <w:r w:rsidRPr="00195CAD">
              <w:rPr>
                <w:b w:val="0"/>
                <w:bCs w:val="0"/>
              </w:rPr>
              <w:t>0.000144</w:t>
            </w:r>
          </w:p>
        </w:tc>
      </w:tr>
      <w:tr w:rsidR="00195CAD" w:rsidRPr="00195CAD" w14:paraId="1BD42B75" w14:textId="77777777" w:rsidTr="00195CAD">
        <w:trPr>
          <w:trHeight w:val="288"/>
          <w:jc w:val="center"/>
        </w:trPr>
        <w:tc>
          <w:tcPr>
            <w:tcW w:w="719" w:type="pct"/>
            <w:tcBorders>
              <w:top w:val="nil"/>
              <w:left w:val="nil"/>
              <w:bottom w:val="single" w:sz="4" w:space="0" w:color="auto"/>
              <w:right w:val="nil"/>
            </w:tcBorders>
            <w:vAlign w:val="center"/>
          </w:tcPr>
          <w:p w14:paraId="1775D820" w14:textId="77777777" w:rsidR="00195CAD" w:rsidRPr="00195CAD" w:rsidRDefault="00195CAD" w:rsidP="00195CAD">
            <w:pPr>
              <w:pStyle w:val="TableHeading"/>
              <w:rPr>
                <w:b w:val="0"/>
                <w:bCs w:val="0"/>
              </w:rPr>
            </w:pPr>
            <w:r w:rsidRPr="00195CAD">
              <w:rPr>
                <w:b w:val="0"/>
                <w:bCs w:val="0"/>
              </w:rPr>
              <w:t>(</w:t>
            </w:r>
            <w:r w:rsidRPr="00195CAD">
              <w:rPr>
                <w:b w:val="0"/>
                <w:bCs w:val="0"/>
                <w:i/>
              </w:rPr>
              <w:t>F</w:t>
            </w:r>
            <w:r w:rsidRPr="00195CAD">
              <w:rPr>
                <w:b w:val="0"/>
                <w:bCs w:val="0"/>
              </w:rPr>
              <w:t>-0.58)*(</w:t>
            </w:r>
            <w:r w:rsidRPr="00195CAD">
              <w:rPr>
                <w:b w:val="0"/>
                <w:bCs w:val="0"/>
                <w:i/>
              </w:rPr>
              <w:t>P</w:t>
            </w:r>
            <w:r w:rsidRPr="00195CAD">
              <w:rPr>
                <w:b w:val="0"/>
                <w:bCs w:val="0"/>
              </w:rPr>
              <w:t>-200)</w:t>
            </w:r>
          </w:p>
        </w:tc>
        <w:tc>
          <w:tcPr>
            <w:tcW w:w="611" w:type="pct"/>
            <w:tcBorders>
              <w:top w:val="nil"/>
              <w:left w:val="nil"/>
              <w:bottom w:val="single" w:sz="4" w:space="0" w:color="auto"/>
              <w:right w:val="nil"/>
            </w:tcBorders>
            <w:vAlign w:val="center"/>
          </w:tcPr>
          <w:p w14:paraId="1EF10617" w14:textId="77777777" w:rsidR="00195CAD" w:rsidRPr="00195CAD" w:rsidRDefault="00195CAD" w:rsidP="00195CAD">
            <w:pPr>
              <w:pStyle w:val="TableHeading"/>
              <w:rPr>
                <w:b w:val="0"/>
                <w:bCs w:val="0"/>
              </w:rPr>
            </w:pPr>
            <w:r w:rsidRPr="00195CAD">
              <w:rPr>
                <w:b w:val="0"/>
                <w:bCs w:val="0"/>
              </w:rPr>
              <w:t>(wt.%*MPa)</w:t>
            </w:r>
            <w:r w:rsidRPr="00195CAD">
              <w:rPr>
                <w:b w:val="0"/>
                <w:bCs w:val="0"/>
                <w:vertAlign w:val="superscript"/>
              </w:rPr>
              <w:t>-1</w:t>
            </w:r>
          </w:p>
        </w:tc>
        <w:tc>
          <w:tcPr>
            <w:tcW w:w="484" w:type="pct"/>
            <w:tcBorders>
              <w:top w:val="nil"/>
              <w:left w:val="nil"/>
              <w:bottom w:val="single" w:sz="4" w:space="0" w:color="auto"/>
              <w:right w:val="nil"/>
            </w:tcBorders>
            <w:vAlign w:val="center"/>
          </w:tcPr>
          <w:p w14:paraId="1F835841" w14:textId="77777777" w:rsidR="00195CAD" w:rsidRPr="00195CAD" w:rsidRDefault="00195CAD" w:rsidP="00195CAD">
            <w:pPr>
              <w:pStyle w:val="TableHeading"/>
              <w:rPr>
                <w:b w:val="0"/>
                <w:bCs w:val="0"/>
              </w:rPr>
            </w:pPr>
            <w:r w:rsidRPr="00195CAD">
              <w:rPr>
                <w:b w:val="0"/>
                <w:bCs w:val="0"/>
              </w:rPr>
              <w:t>1.625</w:t>
            </w:r>
          </w:p>
        </w:tc>
        <w:tc>
          <w:tcPr>
            <w:tcW w:w="459" w:type="pct"/>
            <w:tcBorders>
              <w:top w:val="nil"/>
              <w:left w:val="nil"/>
              <w:bottom w:val="single" w:sz="4" w:space="0" w:color="auto"/>
              <w:right w:val="nil"/>
            </w:tcBorders>
            <w:vAlign w:val="center"/>
          </w:tcPr>
          <w:p w14:paraId="0CDD7C6D" w14:textId="77777777" w:rsidR="00195CAD" w:rsidRPr="00195CAD" w:rsidRDefault="00195CAD" w:rsidP="00195CAD">
            <w:pPr>
              <w:pStyle w:val="TableHeading"/>
              <w:rPr>
                <w:b w:val="0"/>
                <w:bCs w:val="0"/>
              </w:rPr>
            </w:pPr>
            <w:r w:rsidRPr="00195CAD">
              <w:rPr>
                <w:b w:val="0"/>
                <w:bCs w:val="0"/>
              </w:rPr>
              <w:t>0.02374</w:t>
            </w:r>
          </w:p>
        </w:tc>
        <w:tc>
          <w:tcPr>
            <w:tcW w:w="447" w:type="pct"/>
            <w:tcBorders>
              <w:top w:val="nil"/>
              <w:left w:val="nil"/>
              <w:bottom w:val="single" w:sz="4" w:space="0" w:color="auto"/>
              <w:right w:val="nil"/>
            </w:tcBorders>
            <w:vAlign w:val="center"/>
          </w:tcPr>
          <w:p w14:paraId="27FB07AA" w14:textId="77777777" w:rsidR="00195CAD" w:rsidRPr="00195CAD" w:rsidRDefault="00195CAD" w:rsidP="00195CAD">
            <w:pPr>
              <w:pStyle w:val="TableHeading"/>
              <w:rPr>
                <w:b w:val="0"/>
                <w:bCs w:val="0"/>
              </w:rPr>
            </w:pPr>
            <w:r w:rsidRPr="00195CAD">
              <w:rPr>
                <w:b w:val="0"/>
                <w:bCs w:val="0"/>
              </w:rPr>
              <w:t>-0.0156</w:t>
            </w:r>
          </w:p>
        </w:tc>
        <w:tc>
          <w:tcPr>
            <w:tcW w:w="426" w:type="pct"/>
            <w:tcBorders>
              <w:top w:val="nil"/>
              <w:left w:val="nil"/>
              <w:bottom w:val="single" w:sz="4" w:space="0" w:color="auto"/>
              <w:right w:val="nil"/>
            </w:tcBorders>
            <w:vAlign w:val="center"/>
          </w:tcPr>
          <w:p w14:paraId="6461C2B9" w14:textId="77777777" w:rsidR="00195CAD" w:rsidRPr="00195CAD" w:rsidRDefault="00195CAD" w:rsidP="00195CAD">
            <w:pPr>
              <w:pStyle w:val="TableHeading"/>
              <w:rPr>
                <w:b w:val="0"/>
                <w:bCs w:val="0"/>
              </w:rPr>
            </w:pPr>
            <w:r w:rsidRPr="00195CAD">
              <w:rPr>
                <w:b w:val="0"/>
                <w:bCs w:val="0"/>
              </w:rPr>
              <w:t>5.99</w:t>
            </w:r>
          </w:p>
        </w:tc>
        <w:tc>
          <w:tcPr>
            <w:tcW w:w="533" w:type="pct"/>
            <w:tcBorders>
              <w:top w:val="nil"/>
              <w:left w:val="nil"/>
              <w:bottom w:val="single" w:sz="4" w:space="0" w:color="auto"/>
              <w:right w:val="nil"/>
            </w:tcBorders>
            <w:vAlign w:val="center"/>
          </w:tcPr>
          <w:p w14:paraId="1578155E" w14:textId="77777777" w:rsidR="00195CAD" w:rsidRPr="00195CAD" w:rsidRDefault="00195CAD" w:rsidP="00195CAD">
            <w:pPr>
              <w:pStyle w:val="TableHeading"/>
              <w:rPr>
                <w:b w:val="0"/>
                <w:bCs w:val="0"/>
              </w:rPr>
            </w:pPr>
            <w:r w:rsidRPr="00195CAD">
              <w:rPr>
                <w:b w:val="0"/>
                <w:bCs w:val="0"/>
              </w:rPr>
              <w:t>-0.00222</w:t>
            </w:r>
          </w:p>
        </w:tc>
        <w:tc>
          <w:tcPr>
            <w:tcW w:w="411" w:type="pct"/>
            <w:tcBorders>
              <w:top w:val="nil"/>
              <w:left w:val="nil"/>
              <w:bottom w:val="single" w:sz="4" w:space="0" w:color="auto"/>
              <w:right w:val="nil"/>
            </w:tcBorders>
            <w:vAlign w:val="center"/>
          </w:tcPr>
          <w:p w14:paraId="3AD868AD" w14:textId="77777777" w:rsidR="00195CAD" w:rsidRPr="00195CAD" w:rsidRDefault="00195CAD" w:rsidP="00195CAD">
            <w:pPr>
              <w:pStyle w:val="TableHeading"/>
              <w:rPr>
                <w:b w:val="0"/>
                <w:bCs w:val="0"/>
              </w:rPr>
            </w:pPr>
            <w:r w:rsidRPr="00195CAD">
              <w:rPr>
                <w:b w:val="0"/>
                <w:bCs w:val="0"/>
              </w:rPr>
              <w:t>0.183</w:t>
            </w:r>
          </w:p>
        </w:tc>
        <w:tc>
          <w:tcPr>
            <w:tcW w:w="449" w:type="pct"/>
            <w:tcBorders>
              <w:top w:val="nil"/>
              <w:left w:val="nil"/>
              <w:bottom w:val="single" w:sz="4" w:space="0" w:color="auto"/>
              <w:right w:val="nil"/>
            </w:tcBorders>
            <w:vAlign w:val="center"/>
          </w:tcPr>
          <w:p w14:paraId="1B349129" w14:textId="77777777" w:rsidR="00195CAD" w:rsidRPr="00195CAD" w:rsidRDefault="00195CAD" w:rsidP="00195CAD">
            <w:pPr>
              <w:pStyle w:val="TableHeading"/>
              <w:rPr>
                <w:b w:val="0"/>
                <w:bCs w:val="0"/>
              </w:rPr>
            </w:pPr>
            <w:r w:rsidRPr="00195CAD">
              <w:rPr>
                <w:b w:val="0"/>
                <w:bCs w:val="0"/>
              </w:rPr>
              <w:t>0.00239</w:t>
            </w:r>
          </w:p>
        </w:tc>
        <w:tc>
          <w:tcPr>
            <w:tcW w:w="461" w:type="pct"/>
            <w:tcBorders>
              <w:top w:val="nil"/>
              <w:left w:val="nil"/>
              <w:bottom w:val="single" w:sz="4" w:space="0" w:color="auto"/>
              <w:right w:val="nil"/>
            </w:tcBorders>
            <w:vAlign w:val="center"/>
          </w:tcPr>
          <w:p w14:paraId="4AB1A357" w14:textId="77777777" w:rsidR="00195CAD" w:rsidRPr="00195CAD" w:rsidRDefault="00195CAD" w:rsidP="00195CAD">
            <w:pPr>
              <w:pStyle w:val="TableHeading"/>
              <w:rPr>
                <w:b w:val="0"/>
                <w:bCs w:val="0"/>
              </w:rPr>
            </w:pPr>
            <w:r w:rsidRPr="00195CAD">
              <w:rPr>
                <w:b w:val="0"/>
                <w:bCs w:val="0"/>
              </w:rPr>
              <w:t>-0.00254</w:t>
            </w:r>
          </w:p>
        </w:tc>
      </w:tr>
    </w:tbl>
    <w:p w14:paraId="0F8E9AF9" w14:textId="0D04FE16" w:rsidR="00195CAD" w:rsidRDefault="00195CAD" w:rsidP="00195CAD">
      <w:pPr>
        <w:pStyle w:val="TableHeading"/>
      </w:pPr>
      <w:r>
        <w:br w:type="page"/>
      </w:r>
    </w:p>
    <w:p w14:paraId="14C2FA4E" w14:textId="77777777" w:rsidR="00195CAD" w:rsidRDefault="00195CAD" w:rsidP="00195CAD">
      <w:pPr>
        <w:ind w:firstLine="0"/>
        <w:sectPr w:rsidR="00195CAD" w:rsidSect="00195CAD">
          <w:pgSz w:w="15840" w:h="12240" w:orient="landscape"/>
          <w:pgMar w:top="720" w:right="720" w:bottom="720" w:left="720" w:header="720" w:footer="720" w:gutter="0"/>
          <w:cols w:space="720"/>
          <w:docGrid w:linePitch="360"/>
        </w:sectPr>
      </w:pPr>
    </w:p>
    <w:p w14:paraId="5285638E" w14:textId="1F1F51B7" w:rsidR="00195CAD" w:rsidRDefault="00195CAD" w:rsidP="00195CAD">
      <w:pPr>
        <w:ind w:firstLine="0"/>
      </w:pPr>
      <w:r w:rsidRPr="00195CAD">
        <w:lastRenderedPageBreak/>
        <w:t xml:space="preserve">of importance within the model. Beyond this, fiber content and molding time were the only parameters for which all secondary interactions containing their terms are statistically significant (e.g., </w:t>
      </w:r>
      <w:r w:rsidRPr="00195CAD">
        <w:rPr>
          <w:i/>
          <w:iCs/>
        </w:rPr>
        <w:t xml:space="preserve">F*S </w:t>
      </w:r>
      <w:r w:rsidRPr="00195CAD">
        <w:t xml:space="preserve">or </w:t>
      </w:r>
      <w:r w:rsidRPr="00195CAD">
        <w:rPr>
          <w:i/>
          <w:iCs/>
        </w:rPr>
        <w:t>F*P</w:t>
      </w:r>
      <w:r w:rsidRPr="00195CAD">
        <w:t xml:space="preserve">). Pressure ranked as the third most important processing parameter, while temperature was the fourth and least important parameter based upon these regression results. These results are relatively similar to those found using Pearson’s correlation coefficients in terms of ranking process variables in order of importance. However, as the model was able to account for the secondary interactions between process variables, it ultimately achieves a higher degree of correlation between the material properties and process variables. </w:t>
      </w:r>
    </w:p>
    <w:p w14:paraId="61B5B24C" w14:textId="77777777" w:rsidR="00195CAD" w:rsidRPr="00195CAD" w:rsidRDefault="00195CAD" w:rsidP="00195CAD">
      <w:r w:rsidRPr="00195CAD">
        <w:t xml:space="preserve">The strength of the fit of the regression models described in the previous section varied between different material properties analyzed. Plots of the predicted vs actual values are shown below in </w:t>
      </w:r>
      <w:r w:rsidRPr="00195CAD">
        <w:rPr>
          <w:b/>
          <w:bCs/>
        </w:rPr>
        <w:t>Figure 2.3</w:t>
      </w:r>
      <w:r w:rsidRPr="00195CAD">
        <w:t xml:space="preserve">, with R-square values for the linear fit of the data shown on each graph. The regression model for water uptake had the best fit with an R-square of 0.9563, while Izod impact strength had the worst fit with an R-square of 0.7411. Some of this variation from model predictions can be explained by the variability of the raw data; for instance, the average relative standard deviation (RSD) of the water uptake data was 1.61%, indicating that there was very little variation between samples in a given data set. The Izod impact strength, on the other hand, had an RSD of 11.23%, indicating significant variability within panels. The intra-panel variation does not fully explain the model variability however, as the flexural modulus had the highest RSD at 12.93% but only the third lowest R-square, while flexural yield strength had an RSD of 8.36% with the second highest R-square and density had an RSD of 6.14% with the second lowest R-square value. This suggests other factors are affecting the model which are not considered by the regression model yet to be determined. </w:t>
      </w:r>
    </w:p>
    <w:p w14:paraId="04CDAEC0" w14:textId="16F8C7AE" w:rsidR="00195CAD" w:rsidRDefault="00195CAD" w:rsidP="00195CAD">
      <w:pPr>
        <w:pStyle w:val="Heading2"/>
      </w:pPr>
      <w:bookmarkStart w:id="37" w:name="_Toc190951792"/>
      <w:r>
        <w:t>2.3.2 Manufacturing Cycle Optimization</w:t>
      </w:r>
      <w:bookmarkEnd w:id="37"/>
      <w:r>
        <w:t xml:space="preserve"> </w:t>
      </w:r>
    </w:p>
    <w:p w14:paraId="1246C009" w14:textId="77777777" w:rsidR="00195CAD" w:rsidRDefault="00195CAD" w:rsidP="00195CAD">
      <w:r w:rsidRPr="00195CAD">
        <w:t xml:space="preserve">The experimental data collected during from the central composite design was further analyzed using objective function minimization to determine the optimal set of processing parameters for automotive applications. Only panels for which all properties (flexural modulus, Izod impact strength, and water absorption) meet automotive </w:t>
      </w:r>
    </w:p>
    <w:p w14:paraId="44D29E92" w14:textId="77777777" w:rsidR="00195CAD" w:rsidRDefault="00195CAD">
      <w:pPr>
        <w:spacing w:after="160" w:line="259" w:lineRule="auto"/>
        <w:ind w:firstLine="0"/>
        <w:jc w:val="left"/>
        <w:sectPr w:rsidR="00195CAD" w:rsidSect="006B02BB">
          <w:pgSz w:w="12240" w:h="15840"/>
          <w:pgMar w:top="1440" w:right="1800" w:bottom="1872" w:left="1800" w:header="720" w:footer="720" w:gutter="0"/>
          <w:cols w:space="720"/>
          <w:docGrid w:linePitch="360"/>
        </w:sectPr>
      </w:pPr>
    </w:p>
    <w:p w14:paraId="7B29D17A" w14:textId="67EE6D38" w:rsidR="00195CAD" w:rsidRDefault="00195CAD" w:rsidP="00195CAD">
      <w:pPr>
        <w:pStyle w:val="FigureCaption"/>
      </w:pPr>
    </w:p>
    <w:p w14:paraId="1BE2EC58" w14:textId="40E0F860" w:rsidR="00195CAD" w:rsidRDefault="00195CAD" w:rsidP="00195CAD">
      <w:pPr>
        <w:pStyle w:val="FigureCaption"/>
      </w:pPr>
      <w:r>
        <w:drawing>
          <wp:anchor distT="0" distB="0" distL="114300" distR="114300" simplePos="0" relativeHeight="251662336" behindDoc="1" locked="0" layoutInCell="1" allowOverlap="1" wp14:anchorId="64EA7D1B" wp14:editId="11A55E75">
            <wp:simplePos x="0" y="0"/>
            <wp:positionH relativeFrom="page">
              <wp:align>center</wp:align>
            </wp:positionH>
            <wp:positionV relativeFrom="paragraph">
              <wp:posOffset>221810</wp:posOffset>
            </wp:positionV>
            <wp:extent cx="7836200" cy="4330337"/>
            <wp:effectExtent l="0" t="0" r="0" b="0"/>
            <wp:wrapNone/>
            <wp:docPr id="109687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36200" cy="4330337"/>
                    </a:xfrm>
                    <a:prstGeom prst="rect">
                      <a:avLst/>
                    </a:prstGeom>
                    <a:noFill/>
                  </pic:spPr>
                </pic:pic>
              </a:graphicData>
            </a:graphic>
            <wp14:sizeRelH relativeFrom="page">
              <wp14:pctWidth>0</wp14:pctWidth>
            </wp14:sizeRelH>
            <wp14:sizeRelV relativeFrom="page">
              <wp14:pctHeight>0</wp14:pctHeight>
            </wp14:sizeRelV>
          </wp:anchor>
        </w:drawing>
      </w:r>
    </w:p>
    <w:p w14:paraId="4E117967" w14:textId="77777777" w:rsidR="00195CAD" w:rsidRDefault="00195CAD" w:rsidP="00195CAD">
      <w:pPr>
        <w:pStyle w:val="FigureCaption"/>
      </w:pPr>
    </w:p>
    <w:p w14:paraId="2103B2DB" w14:textId="77777777" w:rsidR="00195CAD" w:rsidRDefault="00195CAD" w:rsidP="00195CAD">
      <w:pPr>
        <w:pStyle w:val="FigureCaption"/>
      </w:pPr>
    </w:p>
    <w:p w14:paraId="349450AE" w14:textId="77777777" w:rsidR="00195CAD" w:rsidRDefault="00195CAD" w:rsidP="00195CAD">
      <w:pPr>
        <w:pStyle w:val="FigureCaption"/>
      </w:pPr>
    </w:p>
    <w:p w14:paraId="3362D5BF" w14:textId="77777777" w:rsidR="00195CAD" w:rsidRDefault="00195CAD" w:rsidP="00195CAD">
      <w:pPr>
        <w:pStyle w:val="FigureCaption"/>
      </w:pPr>
    </w:p>
    <w:p w14:paraId="591C9597" w14:textId="77777777" w:rsidR="00195CAD" w:rsidRDefault="00195CAD" w:rsidP="00195CAD">
      <w:pPr>
        <w:pStyle w:val="FigureCaption"/>
      </w:pPr>
    </w:p>
    <w:p w14:paraId="792B3B3A" w14:textId="77777777" w:rsidR="00195CAD" w:rsidRDefault="00195CAD" w:rsidP="00195CAD">
      <w:pPr>
        <w:pStyle w:val="FigureCaption"/>
      </w:pPr>
    </w:p>
    <w:p w14:paraId="3C74328A" w14:textId="77777777" w:rsidR="00195CAD" w:rsidRDefault="00195CAD" w:rsidP="00195CAD">
      <w:pPr>
        <w:pStyle w:val="FigureCaption"/>
      </w:pPr>
    </w:p>
    <w:p w14:paraId="7E58D195" w14:textId="77777777" w:rsidR="00195CAD" w:rsidRDefault="00195CAD" w:rsidP="00195CAD">
      <w:pPr>
        <w:pStyle w:val="FigureCaption"/>
      </w:pPr>
    </w:p>
    <w:p w14:paraId="6A9B49C2" w14:textId="77777777" w:rsidR="00195CAD" w:rsidRDefault="00195CAD" w:rsidP="00195CAD">
      <w:pPr>
        <w:pStyle w:val="FigureCaption"/>
      </w:pPr>
    </w:p>
    <w:p w14:paraId="066E7116" w14:textId="77777777" w:rsidR="00195CAD" w:rsidRDefault="00195CAD" w:rsidP="00195CAD">
      <w:pPr>
        <w:pStyle w:val="FigureCaption"/>
      </w:pPr>
    </w:p>
    <w:p w14:paraId="36817708" w14:textId="77777777" w:rsidR="00195CAD" w:rsidRDefault="00195CAD" w:rsidP="00195CAD">
      <w:pPr>
        <w:pStyle w:val="FigureCaption"/>
      </w:pPr>
    </w:p>
    <w:p w14:paraId="2DA46689" w14:textId="77777777" w:rsidR="00195CAD" w:rsidRDefault="00195CAD" w:rsidP="00195CAD">
      <w:pPr>
        <w:pStyle w:val="FigureCaption"/>
      </w:pPr>
    </w:p>
    <w:p w14:paraId="384379E8" w14:textId="77777777" w:rsidR="00195CAD" w:rsidRDefault="00195CAD" w:rsidP="00195CAD">
      <w:pPr>
        <w:pStyle w:val="FigureCaption"/>
      </w:pPr>
    </w:p>
    <w:p w14:paraId="51857968" w14:textId="77777777" w:rsidR="00195CAD" w:rsidRDefault="00195CAD" w:rsidP="00195CAD">
      <w:pPr>
        <w:pStyle w:val="FigureCaption"/>
      </w:pPr>
    </w:p>
    <w:p w14:paraId="01644A4E" w14:textId="77777777" w:rsidR="00195CAD" w:rsidRDefault="00195CAD" w:rsidP="00195CAD">
      <w:pPr>
        <w:pStyle w:val="FigureCaption"/>
      </w:pPr>
    </w:p>
    <w:p w14:paraId="6C84126E" w14:textId="77777777" w:rsidR="00195CAD" w:rsidRDefault="00195CAD" w:rsidP="00195CAD">
      <w:pPr>
        <w:pStyle w:val="FigureCaption"/>
      </w:pPr>
    </w:p>
    <w:p w14:paraId="738D0049" w14:textId="77777777" w:rsidR="00195CAD" w:rsidRDefault="00195CAD" w:rsidP="00195CAD">
      <w:pPr>
        <w:pStyle w:val="FigureCaption"/>
      </w:pPr>
    </w:p>
    <w:p w14:paraId="4FE580EC" w14:textId="77777777" w:rsidR="00195CAD" w:rsidRDefault="00195CAD" w:rsidP="00195CAD">
      <w:pPr>
        <w:pStyle w:val="FigureCaption"/>
      </w:pPr>
    </w:p>
    <w:p w14:paraId="5D8EA812" w14:textId="0350DAC6" w:rsidR="00195CAD" w:rsidRDefault="00195CAD" w:rsidP="00195CAD">
      <w:pPr>
        <w:pStyle w:val="FigureCaption"/>
      </w:pPr>
      <w:r w:rsidRPr="00195CAD">
        <w:t xml:space="preserve">Figure 2.3  </w:t>
      </w:r>
      <w:r w:rsidRPr="00195CAD">
        <w:rPr>
          <w:b w:val="0"/>
          <w:bCs w:val="0"/>
        </w:rPr>
        <w:t>Model fit comparison between experimental and predicted values for studied composite properties</w:t>
      </w:r>
      <w:r w:rsidRPr="00195CAD">
        <w:t xml:space="preserve"> </w:t>
      </w:r>
      <w:r>
        <w:br w:type="page"/>
      </w:r>
    </w:p>
    <w:p w14:paraId="5F1A0D52" w14:textId="77777777" w:rsidR="00195CAD" w:rsidRDefault="00195CAD" w:rsidP="00195CAD">
      <w:pPr>
        <w:ind w:firstLine="0"/>
        <w:sectPr w:rsidR="00195CAD" w:rsidSect="00195CAD">
          <w:pgSz w:w="15840" w:h="12240" w:orient="landscape"/>
          <w:pgMar w:top="1800" w:right="1440" w:bottom="1800" w:left="1872" w:header="720" w:footer="720" w:gutter="0"/>
          <w:cols w:space="720"/>
          <w:docGrid w:linePitch="360"/>
        </w:sectPr>
      </w:pPr>
    </w:p>
    <w:p w14:paraId="64C142D6" w14:textId="3F41E22D" w:rsidR="00195CAD" w:rsidRPr="00195CAD" w:rsidRDefault="00195CAD" w:rsidP="00195CAD">
      <w:pPr>
        <w:ind w:firstLine="0"/>
      </w:pPr>
      <w:r w:rsidRPr="00195CAD">
        <w:lastRenderedPageBreak/>
        <w:t xml:space="preserve">requirements were considered as part of this analysis. Threshold values are shown in </w:t>
      </w:r>
      <w:r w:rsidRPr="00195CAD">
        <w:rPr>
          <w:b/>
          <w:bCs/>
        </w:rPr>
        <w:t>Table 2.6</w:t>
      </w:r>
      <w:r w:rsidRPr="00195CAD">
        <w:t xml:space="preserve"> for flexural modulus, Izod impact strength, and water uptake. These values were based on </w:t>
      </w:r>
      <w:proofErr w:type="spellStart"/>
      <w:r w:rsidRPr="00195CAD">
        <w:t>FlexForm</w:t>
      </w:r>
      <w:proofErr w:type="spellEnd"/>
      <w:r w:rsidRPr="00195CAD">
        <w:t xml:space="preserve">, a nonwoven bast fiber-based composite material intended for automotive applications. Multiple grades of </w:t>
      </w:r>
      <w:proofErr w:type="spellStart"/>
      <w:r w:rsidRPr="00195CAD">
        <w:t>FlexForm</w:t>
      </w:r>
      <w:proofErr w:type="spellEnd"/>
      <w:r w:rsidRPr="00195CAD">
        <w:t xml:space="preserve"> are commercially available, so a mid-point for each property was approximated from the available grades and used for this analysis. After thresholding was applied, 14 of the 25 panels were removed from the data set, leaving 11 for further analysis. </w:t>
      </w:r>
    </w:p>
    <w:p w14:paraId="028302C5" w14:textId="2AC7A746" w:rsidR="00195CAD" w:rsidRPr="00195CAD" w:rsidRDefault="00195CAD" w:rsidP="00195CAD">
      <w:r w:rsidRPr="009163FC">
        <w:t xml:space="preserve">An objective function was developed to calculate a figure of merit for each panel based on its performance and processing conditions. The objective function is based on </w:t>
      </w:r>
      <w:r w:rsidRPr="00195CAD">
        <w:t xml:space="preserve">one previously published to which penalty functions have been added </w:t>
      </w:r>
      <w:r w:rsidRPr="00195CAD">
        <w:fldChar w:fldCharType="begin"/>
      </w:r>
      <w:r w:rsidRPr="00195CAD">
        <w:instrText xml:space="preserve"> ADDIN ZOTERO_ITEM CSL_CITATION {"citationID":"mbwdTljY","properties":{"formattedCitation":"[80]","plainCitation":"[80]","noteIndex":0},"citationItems":[{"id":1698,"uris":["http://zotero.org/users/3415649/items/PPFPCYBM"],"itemData":{"id":1698,"type":"paper-conference","container-title":"SAMPE 2023","DOI":"10.33599/nasampe/s.23.0178","event-title":"SAMPE 2023","ISBN":"978-1-934551-43-1","language":"en","publisher":"NA SAMPE","source":"DOI.org (Crossref)","title":"Manufacturing and Characterization of Polypropylene-Paper Composites for Automotive Applications","URL":"https://www.nasampe.org/store/viewproduct.aspx?id=22046460","author":[{"family":"Grubb","given":"Cecile A."},{"family":"Kardos","given":"Marton"},{"family":"Webb","given":"Chris"},{"family":"Mainka","given":"Hendrik"},{"family":"Keffer","given":"David J."},{"family":"Harper","given":"David P."}],"accessed":{"date-parts":[["2023",10,4]]},"issued":{"date-parts":[["2023"]]}}}],"schema":"https://github.com/citation-style-language/schema/raw/master/csl-citation.json"} </w:instrText>
      </w:r>
      <w:r w:rsidRPr="00195CAD">
        <w:fldChar w:fldCharType="separate"/>
      </w:r>
      <w:r w:rsidRPr="00195CAD">
        <w:t>[80]</w:t>
      </w:r>
      <w:r w:rsidRPr="00195CAD">
        <w:fldChar w:fldCharType="end"/>
      </w:r>
      <w:r w:rsidRPr="00195CAD">
        <w:t>. Panels produced with long processing times were penalized, as these are undesirable for the automotive industry. Likewise, panels with low paper fiber content were penalized as they are less desirable from a sustainability perspective. From that, the following objective function</w:t>
      </w:r>
      <w:r>
        <w:t xml:space="preserve"> (Equation 2.2)</w:t>
      </w:r>
      <w:r w:rsidRPr="00195CAD">
        <w:t xml:space="preserve"> </w:t>
      </w:r>
      <w:r>
        <w:t xml:space="preserve">was </w:t>
      </w:r>
      <w:r w:rsidRPr="00195CAD">
        <w:t>for defined for each sample:</w:t>
      </w:r>
    </w:p>
    <w:tbl>
      <w:tblPr>
        <w:tblStyle w:val="TableGrid"/>
        <w:tblW w:w="0" w:type="auto"/>
        <w:jc w:val="center"/>
        <w:tblLook w:val="04A0" w:firstRow="1" w:lastRow="0" w:firstColumn="1" w:lastColumn="0" w:noHBand="0" w:noVBand="1"/>
      </w:tblPr>
      <w:tblGrid>
        <w:gridCol w:w="7244"/>
        <w:gridCol w:w="1396"/>
      </w:tblGrid>
      <w:tr w:rsidR="00195CAD" w:rsidRPr="00195CAD" w14:paraId="48B4467B" w14:textId="77777777" w:rsidTr="00195CAD">
        <w:trPr>
          <w:trHeight w:val="576"/>
          <w:jc w:val="center"/>
        </w:trPr>
        <w:tc>
          <w:tcPr>
            <w:tcW w:w="7244" w:type="dxa"/>
            <w:tcBorders>
              <w:top w:val="nil"/>
              <w:left w:val="nil"/>
              <w:bottom w:val="nil"/>
              <w:right w:val="nil"/>
            </w:tcBorders>
            <w:vAlign w:val="center"/>
          </w:tcPr>
          <w:p w14:paraId="406BAD66" w14:textId="77777777" w:rsidR="00195CAD" w:rsidRPr="00195CAD" w:rsidRDefault="00000000" w:rsidP="00195CAD">
            <m:oMathPara>
              <m:oMath>
                <m:sSub>
                  <m:sSubPr>
                    <m:ctrlPr>
                      <w:rPr>
                        <w:rFonts w:ascii="Cambria Math" w:hAnsi="Cambria Math"/>
                      </w:rPr>
                    </m:ctrlPr>
                  </m:sSubPr>
                  <m:e>
                    <m:r>
                      <w:rPr>
                        <w:rFonts w:ascii="Cambria Math" w:hAnsi="Cambria Math"/>
                      </w:rPr>
                      <m:t>f</m:t>
                    </m:r>
                  </m:e>
                  <m:sub>
                    <m:r>
                      <w:rPr>
                        <w:rFonts w:ascii="Cambria Math" w:hAnsi="Cambria Math"/>
                      </w:rPr>
                      <m:t>obj</m:t>
                    </m:r>
                  </m:sub>
                </m:sSub>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j</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m:t>
                        </m:r>
                      </m:sub>
                    </m:sSub>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j</m:t>
                            </m:r>
                          </m:sub>
                        </m:sSub>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j</m:t>
                                </m:r>
                              </m:sub>
                            </m:sSub>
                          </m:e>
                        </m:d>
                      </m:den>
                    </m:f>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F</m:t>
                        </m:r>
                      </m:sub>
                    </m:sSub>
                    <m:f>
                      <m:fPr>
                        <m:ctrlPr>
                          <w:rPr>
                            <w:rFonts w:ascii="Cambria Math" w:hAnsi="Cambria Math"/>
                            <w:i/>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j</m:t>
                                </m:r>
                              </m:sub>
                            </m:sSub>
                          </m:e>
                        </m:d>
                      </m:num>
                      <m:den>
                        <m:sSub>
                          <m:sSubPr>
                            <m:ctrlPr>
                              <w:rPr>
                                <w:rFonts w:ascii="Cambria Math" w:hAnsi="Cambria Math"/>
                                <w:i/>
                              </w:rPr>
                            </m:ctrlPr>
                          </m:sSubPr>
                          <m:e>
                            <m:r>
                              <w:rPr>
                                <w:rFonts w:ascii="Cambria Math" w:hAnsi="Cambria Math"/>
                              </w:rPr>
                              <m:t>F</m:t>
                            </m:r>
                          </m:e>
                          <m:sub>
                            <m:r>
                              <w:rPr>
                                <w:rFonts w:ascii="Cambria Math" w:hAnsi="Cambria Math"/>
                              </w:rPr>
                              <m:t>j</m:t>
                            </m:r>
                          </m:sub>
                        </m:sSub>
                      </m:den>
                    </m:f>
                  </m:e>
                </m:d>
                <m: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prop</m:t>
                        </m:r>
                      </m:sub>
                    </m:sSub>
                  </m:sup>
                  <m:e>
                    <m:sSub>
                      <m:sSubPr>
                        <m:ctrlPr>
                          <w:rPr>
                            <w:rFonts w:ascii="Cambria Math" w:hAnsi="Cambria Math"/>
                          </w:rPr>
                        </m:ctrlPr>
                      </m:sSubPr>
                      <m:e>
                        <m:r>
                          <w:rPr>
                            <w:rFonts w:ascii="Cambria Math" w:hAnsi="Cambria Math"/>
                          </w:rPr>
                          <m:t>w</m:t>
                        </m:r>
                      </m:e>
                      <m:sub>
                        <m:r>
                          <w:rPr>
                            <w:rFonts w:ascii="Cambria Math" w:hAnsi="Cambria Math"/>
                          </w:rPr>
                          <m:t>i</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r>
                                      <m:rPr>
                                        <m:sty m:val="p"/>
                                      </m:rPr>
                                      <w:rPr>
                                        <w:rFonts w:ascii="Cambria Math" w:hAnsi="Cambria Math"/>
                                      </w:rPr>
                                      <m:t>,</m:t>
                                    </m:r>
                                    <m:r>
                                      <w:rPr>
                                        <w:rFonts w:ascii="Cambria Math" w:hAnsi="Cambria Math"/>
                                      </w:rPr>
                                      <m:t>j</m:t>
                                    </m:r>
                                  </m:sub>
                                </m:sSub>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den>
                            </m:f>
                          </m:e>
                        </m:d>
                      </m:e>
                      <m:sup>
                        <m:sSub>
                          <m:sSubPr>
                            <m:ctrlPr>
                              <w:rPr>
                                <w:rFonts w:ascii="Cambria Math" w:hAnsi="Cambria Math"/>
                              </w:rPr>
                            </m:ctrlPr>
                          </m:sSubPr>
                          <m:e>
                            <m:r>
                              <w:rPr>
                                <w:rFonts w:ascii="Cambria Math" w:hAnsi="Cambria Math"/>
                              </w:rPr>
                              <m:t>n</m:t>
                            </m:r>
                          </m:e>
                          <m:sub>
                            <m:r>
                              <w:rPr>
                                <w:rFonts w:ascii="Cambria Math" w:hAnsi="Cambria Math"/>
                              </w:rPr>
                              <m:t>i</m:t>
                            </m:r>
                          </m:sub>
                        </m:sSub>
                      </m:sup>
                    </m:sSup>
                  </m:e>
                </m:nary>
              </m:oMath>
            </m:oMathPara>
          </w:p>
        </w:tc>
        <w:tc>
          <w:tcPr>
            <w:tcW w:w="1396" w:type="dxa"/>
            <w:tcBorders>
              <w:top w:val="nil"/>
              <w:left w:val="nil"/>
              <w:bottom w:val="nil"/>
              <w:right w:val="nil"/>
            </w:tcBorders>
            <w:vAlign w:val="center"/>
          </w:tcPr>
          <w:p w14:paraId="7DE8027C" w14:textId="77777777" w:rsidR="00195CAD" w:rsidRPr="00195CAD" w:rsidRDefault="00195CAD" w:rsidP="00195CAD">
            <w:r w:rsidRPr="00195CAD">
              <w:t>(2.2)</w:t>
            </w:r>
          </w:p>
        </w:tc>
      </w:tr>
    </w:tbl>
    <w:p w14:paraId="4C2EDE81" w14:textId="77777777" w:rsidR="00D82520" w:rsidRDefault="00195CAD" w:rsidP="00195CAD">
      <w:pPr>
        <w:ind w:firstLine="0"/>
      </w:pPr>
      <w:r w:rsidRPr="00195CAD">
        <w:t xml:space="preserve">where </w:t>
      </w:r>
      <m:oMath>
        <m:sSub>
          <m:sSubPr>
            <m:ctrlPr>
              <w:rPr>
                <w:rFonts w:ascii="Cambria Math" w:hAnsi="Cambria Math"/>
                <w:i/>
              </w:rPr>
            </m:ctrlPr>
          </m:sSubPr>
          <m:e>
            <m:r>
              <w:rPr>
                <w:rFonts w:ascii="Cambria Math" w:hAnsi="Cambria Math"/>
              </w:rPr>
              <m:t>n</m:t>
            </m:r>
          </m:e>
          <m:sub>
            <m:r>
              <w:rPr>
                <w:rFonts w:ascii="Cambria Math" w:hAnsi="Cambria Math"/>
              </w:rPr>
              <m:t>prop</m:t>
            </m:r>
          </m:sub>
        </m:sSub>
      </m:oMath>
      <w:r w:rsidRPr="00195CAD">
        <w:t xml:space="preserve"> is the number of properties (</w:t>
      </w:r>
      <m:oMath>
        <m:sSub>
          <m:sSubPr>
            <m:ctrlPr>
              <w:rPr>
                <w:rFonts w:ascii="Cambria Math" w:hAnsi="Cambria Math"/>
                <w:i/>
              </w:rPr>
            </m:ctrlPr>
          </m:sSubPr>
          <m:e>
            <m:r>
              <w:rPr>
                <w:rFonts w:ascii="Cambria Math" w:hAnsi="Cambria Math"/>
              </w:rPr>
              <m:t>n</m:t>
            </m:r>
          </m:e>
          <m:sub>
            <m:r>
              <w:rPr>
                <w:rFonts w:ascii="Cambria Math" w:hAnsi="Cambria Math"/>
              </w:rPr>
              <m:t>prop</m:t>
            </m:r>
          </m:sub>
        </m:sSub>
        <m:r>
          <w:rPr>
            <w:rFonts w:ascii="Cambria Math" w:hAnsi="Cambria Math"/>
          </w:rPr>
          <m:t>=5</m:t>
        </m:r>
      </m:oMath>
      <w:r w:rsidRPr="00195CAD">
        <w:t xml:space="preserve"> in Table x),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Pr="00195CAD">
        <w:t xml:space="preserve"> is the value of property </w:t>
      </w:r>
      <m:oMath>
        <m:r>
          <w:rPr>
            <w:rFonts w:ascii="Cambria Math" w:hAnsi="Cambria Math"/>
          </w:rPr>
          <m:t>i</m:t>
        </m:r>
      </m:oMath>
      <w:r w:rsidRPr="00195CAD">
        <w:t xml:space="preserve"> for sample </w:t>
      </w:r>
      <m:oMath>
        <m:r>
          <w:rPr>
            <w:rFonts w:ascii="Cambria Math" w:hAnsi="Cambria Math"/>
          </w:rPr>
          <m:t>j</m:t>
        </m:r>
      </m:oMath>
      <w:r w:rsidRPr="00195CAD">
        <w:t xml:space="preserv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oMath>
      <w:r w:rsidRPr="00195CAD">
        <w:t xml:space="preserve"> is the average value of property </w:t>
      </w:r>
      <m:oMath>
        <m:r>
          <w:rPr>
            <w:rFonts w:ascii="Cambria Math" w:hAnsi="Cambria Math"/>
          </w:rPr>
          <m:t>i</m:t>
        </m:r>
      </m:oMath>
      <w:r w:rsidRPr="00195CAD">
        <w:t xml:space="preserve"> over all samples,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195CAD">
        <w:t xml:space="preserve"> is the relative weight of property </w:t>
      </w:r>
      <m:oMath>
        <m:r>
          <w:rPr>
            <w:rFonts w:ascii="Cambria Math" w:hAnsi="Cambria Math"/>
          </w:rPr>
          <m:t>i</m:t>
        </m:r>
      </m:oMath>
      <w:r w:rsidRPr="00195CAD">
        <w:t xml:space="preserve">, and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195CAD">
        <w:t xml:space="preserve"> is the exponent for property </w:t>
      </w:r>
      <m:oMath>
        <m:r>
          <w:rPr>
            <w:rFonts w:ascii="Cambria Math" w:hAnsi="Cambria Math"/>
          </w:rPr>
          <m:t>i</m:t>
        </m:r>
      </m:oMath>
      <w:r w:rsidRPr="00195CAD">
        <w:t xml:space="preserve">, which takes a value of  </w:t>
      </w:r>
      <m:oMath>
        <m:r>
          <w:rPr>
            <w:rFonts w:ascii="Cambria Math" w:hAnsi="Cambria Math"/>
          </w:rPr>
          <m:t>±1</m:t>
        </m:r>
      </m:oMath>
      <w:r w:rsidRPr="00195CAD">
        <w:t xml:space="preserve">. A positive value of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195CAD">
        <w:t xml:space="preserve"> is used with properties for which a lower value is desired (e.g. water absorption and density) and a negative value is used with properties for which a higher value is desired (e.g. yield strength and other mechanical properties). In this work, all weights,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195CAD">
        <w:t xml:space="preserve">, were set to unity. </w:t>
      </w:r>
      <m:oMath>
        <m:sSub>
          <m:sSubPr>
            <m:ctrlPr>
              <w:rPr>
                <w:rFonts w:ascii="Cambria Math" w:hAnsi="Cambria Math"/>
                <w:i/>
              </w:rPr>
            </m:ctrlPr>
          </m:sSubPr>
          <m:e>
            <m:r>
              <w:rPr>
                <w:rFonts w:ascii="Cambria Math" w:hAnsi="Cambria Math"/>
              </w:rPr>
              <m:t>T</m:t>
            </m:r>
          </m:e>
          <m:sub>
            <m:r>
              <w:rPr>
                <w:rFonts w:ascii="Cambria Math" w:hAnsi="Cambria Math"/>
              </w:rPr>
              <m:t>p</m:t>
            </m:r>
          </m:sub>
        </m:sSub>
      </m:oMath>
      <w:r w:rsidRPr="00195CAD">
        <w:t xml:space="preserve"> and </w:t>
      </w:r>
      <m:oMath>
        <m:sSub>
          <m:sSubPr>
            <m:ctrlPr>
              <w:rPr>
                <w:rFonts w:ascii="Cambria Math" w:hAnsi="Cambria Math"/>
                <w:i/>
              </w:rPr>
            </m:ctrlPr>
          </m:sSubPr>
          <m:e>
            <m:r>
              <w:rPr>
                <w:rFonts w:ascii="Cambria Math" w:hAnsi="Cambria Math"/>
              </w:rPr>
              <m:t>F</m:t>
            </m:r>
          </m:e>
          <m:sub>
            <m:r>
              <w:rPr>
                <w:rFonts w:ascii="Cambria Math" w:hAnsi="Cambria Math"/>
              </w:rPr>
              <m:t>p</m:t>
            </m:r>
          </m:sub>
        </m:sSub>
      </m:oMath>
      <w:r w:rsidRPr="00195CAD">
        <w:t xml:space="preserve"> represent penalties applied for processing time and fiber content, respectively.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Pr="00195CAD">
        <w:t xml:space="preserve"> and </w:t>
      </w:r>
      <m:oMath>
        <m:sSub>
          <m:sSubPr>
            <m:ctrlPr>
              <w:rPr>
                <w:rFonts w:ascii="Cambria Math" w:hAnsi="Cambria Math"/>
                <w:i/>
              </w:rPr>
            </m:ctrlPr>
          </m:sSubPr>
          <m:e>
            <m:r>
              <w:rPr>
                <w:rFonts w:ascii="Cambria Math" w:hAnsi="Cambria Math"/>
              </w:rPr>
              <m:t>w</m:t>
            </m:r>
          </m:e>
          <m:sub>
            <m:r>
              <w:rPr>
                <w:rFonts w:ascii="Cambria Math" w:hAnsi="Cambria Math"/>
              </w:rPr>
              <m:t>F</m:t>
            </m:r>
          </m:sub>
        </m:sSub>
      </m:oMath>
      <w:r w:rsidRPr="00195CAD">
        <w:t xml:space="preserve"> were varied from 0.00001 to 10,000 at intervals of one order of magnitude. This is meant to represent increasing emphasis on either of those parameters in a manufacturing setting. The large range of penalty weights is intended to span the effect of process variable between two extreme asymptotes, no importance and extreme importance. </w:t>
      </w:r>
      <w:r w:rsidRPr="00195CAD">
        <w:rPr>
          <w:b/>
          <w:bCs/>
        </w:rPr>
        <w:t>Figure 2.4</w:t>
      </w:r>
      <w:r w:rsidRPr="00195CAD">
        <w:t xml:space="preserve"> shows the panel with the smallest figure of merit, or most optimal panel, evaluated at all the experimental combinations. The calculated figure of </w:t>
      </w:r>
    </w:p>
    <w:p w14:paraId="26BB0F4E" w14:textId="69000396" w:rsidR="00D82520" w:rsidRDefault="00D82520" w:rsidP="00D82520">
      <w:pPr>
        <w:pStyle w:val="TableHeading"/>
      </w:pPr>
      <w:r>
        <w:lastRenderedPageBreak/>
        <w:t>Table 2.6</w:t>
      </w:r>
      <w:r w:rsidRPr="00D82520">
        <w:t xml:space="preserve"> </w:t>
      </w:r>
      <w:r w:rsidRPr="00D82520">
        <w:rPr>
          <w:b w:val="0"/>
          <w:bCs w:val="0"/>
        </w:rPr>
        <w:t>Threshold values used to remove panels prior to objective function analysis</w:t>
      </w:r>
    </w:p>
    <w:tbl>
      <w:tblPr>
        <w:tblStyle w:val="TableGrid"/>
        <w:tblW w:w="0" w:type="auto"/>
        <w:jc w:val="center"/>
        <w:tblLook w:val="04A0" w:firstRow="1" w:lastRow="0" w:firstColumn="1" w:lastColumn="0" w:noHBand="0" w:noVBand="1"/>
      </w:tblPr>
      <w:tblGrid>
        <w:gridCol w:w="2766"/>
        <w:gridCol w:w="1799"/>
        <w:gridCol w:w="3920"/>
      </w:tblGrid>
      <w:tr w:rsidR="00D82520" w:rsidRPr="00D82520" w14:paraId="6528552D" w14:textId="77777777" w:rsidTr="000164F3">
        <w:trPr>
          <w:trHeight w:val="300"/>
          <w:jc w:val="center"/>
        </w:trPr>
        <w:tc>
          <w:tcPr>
            <w:tcW w:w="2766" w:type="dxa"/>
            <w:tcBorders>
              <w:top w:val="single" w:sz="4" w:space="0" w:color="auto"/>
              <w:left w:val="nil"/>
              <w:bottom w:val="single" w:sz="4" w:space="0" w:color="auto"/>
              <w:right w:val="nil"/>
            </w:tcBorders>
            <w:noWrap/>
            <w:vAlign w:val="center"/>
          </w:tcPr>
          <w:p w14:paraId="3AE7CE67" w14:textId="77777777" w:rsidR="00D82520" w:rsidRPr="00D82520" w:rsidRDefault="00D82520" w:rsidP="00D82520">
            <w:pPr>
              <w:pStyle w:val="TableHeading"/>
            </w:pPr>
            <w:r w:rsidRPr="00D82520">
              <w:t>Property</w:t>
            </w:r>
          </w:p>
        </w:tc>
        <w:tc>
          <w:tcPr>
            <w:tcW w:w="1799" w:type="dxa"/>
            <w:tcBorders>
              <w:top w:val="single" w:sz="4" w:space="0" w:color="auto"/>
              <w:left w:val="nil"/>
              <w:bottom w:val="single" w:sz="4" w:space="0" w:color="auto"/>
              <w:right w:val="nil"/>
            </w:tcBorders>
            <w:noWrap/>
            <w:vAlign w:val="center"/>
          </w:tcPr>
          <w:p w14:paraId="69E620FA" w14:textId="77777777" w:rsidR="00D82520" w:rsidRPr="00D82520" w:rsidRDefault="00D82520" w:rsidP="00D82520">
            <w:pPr>
              <w:pStyle w:val="TableHeading"/>
            </w:pPr>
            <w:r w:rsidRPr="00D82520">
              <w:t>Threshold Value</w:t>
            </w:r>
          </w:p>
        </w:tc>
        <w:tc>
          <w:tcPr>
            <w:tcW w:w="3920" w:type="dxa"/>
            <w:tcBorders>
              <w:top w:val="single" w:sz="4" w:space="0" w:color="auto"/>
              <w:left w:val="nil"/>
              <w:bottom w:val="single" w:sz="4" w:space="0" w:color="auto"/>
              <w:right w:val="nil"/>
            </w:tcBorders>
            <w:noWrap/>
            <w:vAlign w:val="center"/>
          </w:tcPr>
          <w:p w14:paraId="3C8C15AD" w14:textId="77777777" w:rsidR="00D82520" w:rsidRPr="00D82520" w:rsidRDefault="00D82520" w:rsidP="00D82520">
            <w:pPr>
              <w:pStyle w:val="TableHeading"/>
            </w:pPr>
            <w:r w:rsidRPr="00D82520">
              <w:t>Minimum or Maximum for Threshold</w:t>
            </w:r>
          </w:p>
        </w:tc>
      </w:tr>
      <w:tr w:rsidR="00D82520" w:rsidRPr="00D82520" w14:paraId="60D8F951" w14:textId="77777777" w:rsidTr="000164F3">
        <w:trPr>
          <w:trHeight w:val="300"/>
          <w:jc w:val="center"/>
        </w:trPr>
        <w:tc>
          <w:tcPr>
            <w:tcW w:w="2766" w:type="dxa"/>
            <w:tcBorders>
              <w:top w:val="single" w:sz="4" w:space="0" w:color="auto"/>
              <w:left w:val="nil"/>
              <w:bottom w:val="nil"/>
              <w:right w:val="nil"/>
            </w:tcBorders>
            <w:noWrap/>
            <w:vAlign w:val="center"/>
            <w:hideMark/>
          </w:tcPr>
          <w:p w14:paraId="57589C8D" w14:textId="77777777" w:rsidR="00D82520" w:rsidRPr="00D82520" w:rsidRDefault="00D82520" w:rsidP="00D82520">
            <w:pPr>
              <w:pStyle w:val="TableHeading"/>
              <w:rPr>
                <w:b w:val="0"/>
                <w:bCs w:val="0"/>
              </w:rPr>
            </w:pPr>
            <w:r w:rsidRPr="00D82520">
              <w:rPr>
                <w:b w:val="0"/>
                <w:bCs w:val="0"/>
              </w:rPr>
              <w:t>Flexural Modulus (MPa)</w:t>
            </w:r>
          </w:p>
        </w:tc>
        <w:tc>
          <w:tcPr>
            <w:tcW w:w="1799" w:type="dxa"/>
            <w:tcBorders>
              <w:top w:val="single" w:sz="4" w:space="0" w:color="auto"/>
              <w:left w:val="nil"/>
              <w:bottom w:val="nil"/>
              <w:right w:val="nil"/>
            </w:tcBorders>
            <w:noWrap/>
            <w:vAlign w:val="center"/>
            <w:hideMark/>
          </w:tcPr>
          <w:p w14:paraId="7D7ABB10" w14:textId="77777777" w:rsidR="00D82520" w:rsidRPr="00D82520" w:rsidRDefault="00D82520" w:rsidP="00D82520">
            <w:pPr>
              <w:pStyle w:val="TableHeading"/>
              <w:rPr>
                <w:b w:val="0"/>
                <w:bCs w:val="0"/>
              </w:rPr>
            </w:pPr>
            <w:r w:rsidRPr="00D82520">
              <w:rPr>
                <w:b w:val="0"/>
                <w:bCs w:val="0"/>
              </w:rPr>
              <w:t>2000</w:t>
            </w:r>
          </w:p>
        </w:tc>
        <w:tc>
          <w:tcPr>
            <w:tcW w:w="3920" w:type="dxa"/>
            <w:tcBorders>
              <w:top w:val="single" w:sz="4" w:space="0" w:color="auto"/>
              <w:left w:val="nil"/>
              <w:bottom w:val="nil"/>
              <w:right w:val="nil"/>
            </w:tcBorders>
            <w:noWrap/>
            <w:vAlign w:val="center"/>
            <w:hideMark/>
          </w:tcPr>
          <w:p w14:paraId="68675FF4" w14:textId="77777777" w:rsidR="00D82520" w:rsidRPr="00D82520" w:rsidRDefault="00D82520" w:rsidP="00D82520">
            <w:pPr>
              <w:pStyle w:val="TableHeading"/>
              <w:rPr>
                <w:b w:val="0"/>
                <w:bCs w:val="0"/>
              </w:rPr>
            </w:pPr>
            <w:r w:rsidRPr="00D82520">
              <w:rPr>
                <w:b w:val="0"/>
                <w:bCs w:val="0"/>
              </w:rPr>
              <w:t>Minimum</w:t>
            </w:r>
          </w:p>
        </w:tc>
      </w:tr>
      <w:tr w:rsidR="00D82520" w:rsidRPr="00D82520" w14:paraId="0522794B" w14:textId="77777777" w:rsidTr="000164F3">
        <w:trPr>
          <w:trHeight w:val="300"/>
          <w:jc w:val="center"/>
        </w:trPr>
        <w:tc>
          <w:tcPr>
            <w:tcW w:w="2766" w:type="dxa"/>
            <w:tcBorders>
              <w:top w:val="nil"/>
              <w:left w:val="nil"/>
              <w:bottom w:val="nil"/>
              <w:right w:val="nil"/>
            </w:tcBorders>
            <w:noWrap/>
            <w:vAlign w:val="center"/>
          </w:tcPr>
          <w:p w14:paraId="7EE184EB" w14:textId="77777777" w:rsidR="00D82520" w:rsidRPr="00D82520" w:rsidRDefault="00D82520" w:rsidP="00D82520">
            <w:pPr>
              <w:pStyle w:val="TableHeading"/>
              <w:rPr>
                <w:b w:val="0"/>
                <w:bCs w:val="0"/>
              </w:rPr>
            </w:pPr>
            <w:r w:rsidRPr="00D82520">
              <w:rPr>
                <w:b w:val="0"/>
                <w:bCs w:val="0"/>
              </w:rPr>
              <w:t>Izod (kJ/m</w:t>
            </w:r>
            <w:r w:rsidRPr="00D82520">
              <w:rPr>
                <w:b w:val="0"/>
                <w:bCs w:val="0"/>
                <w:vertAlign w:val="superscript"/>
              </w:rPr>
              <w:t>2</w:t>
            </w:r>
            <w:r w:rsidRPr="00D82520">
              <w:rPr>
                <w:b w:val="0"/>
                <w:bCs w:val="0"/>
              </w:rPr>
              <w:t>)</w:t>
            </w:r>
          </w:p>
        </w:tc>
        <w:tc>
          <w:tcPr>
            <w:tcW w:w="1799" w:type="dxa"/>
            <w:tcBorders>
              <w:top w:val="nil"/>
              <w:left w:val="nil"/>
              <w:bottom w:val="nil"/>
              <w:right w:val="nil"/>
            </w:tcBorders>
            <w:noWrap/>
            <w:vAlign w:val="center"/>
          </w:tcPr>
          <w:p w14:paraId="2CB52C2D" w14:textId="77777777" w:rsidR="00D82520" w:rsidRPr="00D82520" w:rsidRDefault="00D82520" w:rsidP="00D82520">
            <w:pPr>
              <w:pStyle w:val="TableHeading"/>
              <w:rPr>
                <w:b w:val="0"/>
                <w:bCs w:val="0"/>
              </w:rPr>
            </w:pPr>
            <w:r w:rsidRPr="00D82520">
              <w:rPr>
                <w:b w:val="0"/>
                <w:bCs w:val="0"/>
              </w:rPr>
              <w:t>15.0</w:t>
            </w:r>
          </w:p>
        </w:tc>
        <w:tc>
          <w:tcPr>
            <w:tcW w:w="3920" w:type="dxa"/>
            <w:tcBorders>
              <w:top w:val="nil"/>
              <w:left w:val="nil"/>
              <w:bottom w:val="nil"/>
              <w:right w:val="nil"/>
            </w:tcBorders>
            <w:noWrap/>
            <w:vAlign w:val="center"/>
          </w:tcPr>
          <w:p w14:paraId="3D6C771D" w14:textId="77777777" w:rsidR="00D82520" w:rsidRPr="00D82520" w:rsidRDefault="00D82520" w:rsidP="00D82520">
            <w:pPr>
              <w:pStyle w:val="TableHeading"/>
              <w:rPr>
                <w:b w:val="0"/>
                <w:bCs w:val="0"/>
              </w:rPr>
            </w:pPr>
            <w:r w:rsidRPr="00D82520">
              <w:rPr>
                <w:b w:val="0"/>
                <w:bCs w:val="0"/>
              </w:rPr>
              <w:t>Minimum</w:t>
            </w:r>
          </w:p>
        </w:tc>
      </w:tr>
      <w:tr w:rsidR="00D82520" w:rsidRPr="00D82520" w14:paraId="2556FDBF" w14:textId="77777777" w:rsidTr="000164F3">
        <w:trPr>
          <w:trHeight w:val="300"/>
          <w:jc w:val="center"/>
        </w:trPr>
        <w:tc>
          <w:tcPr>
            <w:tcW w:w="2766" w:type="dxa"/>
            <w:tcBorders>
              <w:top w:val="nil"/>
              <w:left w:val="nil"/>
              <w:bottom w:val="single" w:sz="4" w:space="0" w:color="auto"/>
              <w:right w:val="nil"/>
            </w:tcBorders>
            <w:noWrap/>
            <w:vAlign w:val="center"/>
          </w:tcPr>
          <w:p w14:paraId="1693D8FD" w14:textId="77777777" w:rsidR="00D82520" w:rsidRPr="00D82520" w:rsidRDefault="00D82520" w:rsidP="00D82520">
            <w:pPr>
              <w:pStyle w:val="TableHeading"/>
              <w:rPr>
                <w:b w:val="0"/>
                <w:bCs w:val="0"/>
              </w:rPr>
            </w:pPr>
            <w:r w:rsidRPr="00D82520">
              <w:rPr>
                <w:b w:val="0"/>
                <w:bCs w:val="0"/>
              </w:rPr>
              <w:t>Water Uptake (</w:t>
            </w:r>
            <w:proofErr w:type="spellStart"/>
            <w:r w:rsidRPr="00D82520">
              <w:rPr>
                <w:b w:val="0"/>
                <w:bCs w:val="0"/>
              </w:rPr>
              <w:t>wt</w:t>
            </w:r>
            <w:proofErr w:type="spellEnd"/>
            <w:r w:rsidRPr="00D82520">
              <w:rPr>
                <w:b w:val="0"/>
                <w:bCs w:val="0"/>
              </w:rPr>
              <w:t>%)</w:t>
            </w:r>
          </w:p>
        </w:tc>
        <w:tc>
          <w:tcPr>
            <w:tcW w:w="1799" w:type="dxa"/>
            <w:tcBorders>
              <w:top w:val="nil"/>
              <w:left w:val="nil"/>
              <w:bottom w:val="single" w:sz="4" w:space="0" w:color="auto"/>
              <w:right w:val="nil"/>
            </w:tcBorders>
            <w:noWrap/>
            <w:vAlign w:val="center"/>
          </w:tcPr>
          <w:p w14:paraId="40F811DD" w14:textId="77777777" w:rsidR="00D82520" w:rsidRPr="00D82520" w:rsidRDefault="00D82520" w:rsidP="00D82520">
            <w:pPr>
              <w:pStyle w:val="TableHeading"/>
              <w:rPr>
                <w:b w:val="0"/>
                <w:bCs w:val="0"/>
              </w:rPr>
            </w:pPr>
            <w:r w:rsidRPr="00D82520">
              <w:rPr>
                <w:b w:val="0"/>
                <w:bCs w:val="0"/>
              </w:rPr>
              <w:t>20.0</w:t>
            </w:r>
          </w:p>
        </w:tc>
        <w:tc>
          <w:tcPr>
            <w:tcW w:w="3920" w:type="dxa"/>
            <w:tcBorders>
              <w:top w:val="nil"/>
              <w:left w:val="nil"/>
              <w:bottom w:val="single" w:sz="4" w:space="0" w:color="auto"/>
              <w:right w:val="nil"/>
            </w:tcBorders>
            <w:noWrap/>
            <w:vAlign w:val="center"/>
          </w:tcPr>
          <w:p w14:paraId="07D22EB8" w14:textId="77777777" w:rsidR="00D82520" w:rsidRPr="00D82520" w:rsidRDefault="00D82520" w:rsidP="00D82520">
            <w:pPr>
              <w:pStyle w:val="TableHeading"/>
              <w:rPr>
                <w:b w:val="0"/>
                <w:bCs w:val="0"/>
              </w:rPr>
            </w:pPr>
            <w:r w:rsidRPr="00D82520">
              <w:rPr>
                <w:b w:val="0"/>
                <w:bCs w:val="0"/>
              </w:rPr>
              <w:t>Maximum</w:t>
            </w:r>
          </w:p>
        </w:tc>
      </w:tr>
    </w:tbl>
    <w:p w14:paraId="242C132E" w14:textId="77777777" w:rsidR="006144C5" w:rsidRDefault="006144C5" w:rsidP="00D82520">
      <w:pPr>
        <w:pStyle w:val="TableHeading"/>
      </w:pPr>
    </w:p>
    <w:p w14:paraId="79528FDD" w14:textId="628DB42B" w:rsidR="006144C5" w:rsidRDefault="006144C5" w:rsidP="00D82520">
      <w:pPr>
        <w:pStyle w:val="TableHeading"/>
      </w:pPr>
    </w:p>
    <w:p w14:paraId="36EB1A7D" w14:textId="7145C5C9" w:rsidR="006144C5" w:rsidRDefault="006144C5" w:rsidP="00D82520">
      <w:pPr>
        <w:pStyle w:val="TableHeading"/>
      </w:pPr>
      <w:r w:rsidRPr="006144C5">
        <w:rPr>
          <w:rFonts w:ascii="Arial" w:eastAsia="Calibri" w:hAnsi="Arial" w:cs="Arial"/>
          <w:b w:val="0"/>
          <w:bCs w:val="0"/>
          <w:noProof/>
          <w:sz w:val="22"/>
          <w:szCs w:val="22"/>
        </w:rPr>
        <w:drawing>
          <wp:anchor distT="0" distB="0" distL="114300" distR="114300" simplePos="0" relativeHeight="251664384" behindDoc="1" locked="0" layoutInCell="1" allowOverlap="1" wp14:anchorId="48A45970" wp14:editId="1CC1AD01">
            <wp:simplePos x="0" y="0"/>
            <wp:positionH relativeFrom="margin">
              <wp:align>center</wp:align>
            </wp:positionH>
            <wp:positionV relativeFrom="paragraph">
              <wp:posOffset>227937</wp:posOffset>
            </wp:positionV>
            <wp:extent cx="5118100" cy="3707130"/>
            <wp:effectExtent l="0" t="0" r="6350" b="7620"/>
            <wp:wrapNone/>
            <wp:docPr id="1296855160" name="Picture 1296855160"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55160" name="Picture 1296855160" descr="A graph with different colored squar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118100" cy="3707130"/>
                    </a:xfrm>
                    <a:prstGeom prst="rect">
                      <a:avLst/>
                    </a:prstGeom>
                  </pic:spPr>
                </pic:pic>
              </a:graphicData>
            </a:graphic>
            <wp14:sizeRelH relativeFrom="page">
              <wp14:pctWidth>0</wp14:pctWidth>
            </wp14:sizeRelH>
            <wp14:sizeRelV relativeFrom="page">
              <wp14:pctHeight>0</wp14:pctHeight>
            </wp14:sizeRelV>
          </wp:anchor>
        </w:drawing>
      </w:r>
    </w:p>
    <w:p w14:paraId="17F7D702" w14:textId="724336B8" w:rsidR="006144C5" w:rsidRDefault="006144C5" w:rsidP="006144C5">
      <w:pPr>
        <w:pStyle w:val="FigureCaption"/>
      </w:pPr>
    </w:p>
    <w:p w14:paraId="159B57F7" w14:textId="77777777" w:rsidR="006144C5" w:rsidRDefault="006144C5" w:rsidP="006144C5">
      <w:pPr>
        <w:pStyle w:val="FigureCaption"/>
      </w:pPr>
    </w:p>
    <w:p w14:paraId="6D3B6484" w14:textId="77777777" w:rsidR="006144C5" w:rsidRDefault="006144C5" w:rsidP="006144C5">
      <w:pPr>
        <w:pStyle w:val="FigureCaption"/>
      </w:pPr>
    </w:p>
    <w:p w14:paraId="0C299BF8" w14:textId="77777777" w:rsidR="006144C5" w:rsidRDefault="006144C5" w:rsidP="006144C5">
      <w:pPr>
        <w:pStyle w:val="FigureCaption"/>
      </w:pPr>
    </w:p>
    <w:p w14:paraId="4C52CCC5" w14:textId="77777777" w:rsidR="006144C5" w:rsidRDefault="006144C5" w:rsidP="006144C5">
      <w:pPr>
        <w:pStyle w:val="FigureCaption"/>
      </w:pPr>
    </w:p>
    <w:p w14:paraId="0763DD7F" w14:textId="77777777" w:rsidR="006144C5" w:rsidRDefault="006144C5" w:rsidP="006144C5">
      <w:pPr>
        <w:pStyle w:val="FigureCaption"/>
      </w:pPr>
    </w:p>
    <w:p w14:paraId="17775BC5" w14:textId="77777777" w:rsidR="006144C5" w:rsidRDefault="006144C5" w:rsidP="006144C5">
      <w:pPr>
        <w:pStyle w:val="FigureCaption"/>
      </w:pPr>
    </w:p>
    <w:p w14:paraId="2D45053B" w14:textId="77777777" w:rsidR="006144C5" w:rsidRDefault="006144C5" w:rsidP="006144C5">
      <w:pPr>
        <w:pStyle w:val="FigureCaption"/>
      </w:pPr>
    </w:p>
    <w:p w14:paraId="62DEC318" w14:textId="77777777" w:rsidR="006144C5" w:rsidRDefault="006144C5" w:rsidP="006144C5">
      <w:pPr>
        <w:pStyle w:val="FigureCaption"/>
      </w:pPr>
    </w:p>
    <w:p w14:paraId="783B7E35" w14:textId="77777777" w:rsidR="006144C5" w:rsidRDefault="006144C5" w:rsidP="006144C5">
      <w:pPr>
        <w:pStyle w:val="FigureCaption"/>
      </w:pPr>
    </w:p>
    <w:p w14:paraId="62B76FC3" w14:textId="77777777" w:rsidR="006144C5" w:rsidRDefault="006144C5" w:rsidP="006144C5">
      <w:pPr>
        <w:pStyle w:val="FigureCaption"/>
      </w:pPr>
    </w:p>
    <w:p w14:paraId="7C4A8562" w14:textId="77777777" w:rsidR="006144C5" w:rsidRDefault="006144C5" w:rsidP="006144C5">
      <w:pPr>
        <w:pStyle w:val="FigureCaption"/>
      </w:pPr>
    </w:p>
    <w:p w14:paraId="6435A409" w14:textId="77777777" w:rsidR="006144C5" w:rsidRDefault="006144C5" w:rsidP="006144C5">
      <w:pPr>
        <w:pStyle w:val="FigureCaption"/>
      </w:pPr>
    </w:p>
    <w:p w14:paraId="3030E102" w14:textId="77777777" w:rsidR="006144C5" w:rsidRDefault="006144C5" w:rsidP="006144C5">
      <w:pPr>
        <w:pStyle w:val="FigureCaption"/>
      </w:pPr>
    </w:p>
    <w:p w14:paraId="2B2564B7" w14:textId="77777777" w:rsidR="006144C5" w:rsidRDefault="006144C5" w:rsidP="006144C5">
      <w:pPr>
        <w:pStyle w:val="FigureCaption"/>
      </w:pPr>
    </w:p>
    <w:p w14:paraId="4764E5D3" w14:textId="5E34D03C" w:rsidR="00D82520" w:rsidRDefault="006144C5" w:rsidP="006144C5">
      <w:pPr>
        <w:pStyle w:val="FigureCaption"/>
      </w:pPr>
      <w:r>
        <w:t>Figure 2.4</w:t>
      </w:r>
      <w:r w:rsidRPr="006144C5">
        <w:rPr>
          <w:rFonts w:ascii="Arial" w:hAnsi="Arial" w:cs="Arial"/>
          <w:b w:val="0"/>
          <w:bCs w:val="0"/>
          <w:noProof w:val="0"/>
        </w:rPr>
        <w:t xml:space="preserve"> </w:t>
      </w:r>
      <w:r w:rsidRPr="006144C5">
        <w:rPr>
          <w:b w:val="0"/>
          <w:bCs w:val="0"/>
        </w:rPr>
        <w:t>Model fit comparison between experimental and predicted values for studied composite properties</w:t>
      </w:r>
      <w:r w:rsidRPr="006144C5">
        <w:t xml:space="preserve"> </w:t>
      </w:r>
      <w:r w:rsidR="00D82520">
        <w:br w:type="page"/>
      </w:r>
    </w:p>
    <w:p w14:paraId="51C7B988" w14:textId="3D1AC784" w:rsidR="00195CAD" w:rsidRDefault="00195CAD" w:rsidP="00195CAD">
      <w:pPr>
        <w:ind w:firstLine="0"/>
      </w:pPr>
      <w:r w:rsidRPr="00195CAD">
        <w:lastRenderedPageBreak/>
        <w:t xml:space="preserve">merit for each combination are shown in </w:t>
      </w:r>
      <w:r w:rsidRPr="00195CAD">
        <w:rPr>
          <w:b/>
          <w:bCs/>
        </w:rPr>
        <w:t>Table 2.7,</w:t>
      </w:r>
      <w:r w:rsidRPr="00195CAD">
        <w:t xml:space="preserve"> as well as the second and third best panels for those conditions. It should be noted that figures of merit can only be compared at a given set of penalty conditions, as the penalties vary by many orders of magnitude, compared to the material properties. As a result, figures of merit also vary by orders of magnitude, which is apparent when examining the high penalty conditions.    </w:t>
      </w:r>
    </w:p>
    <w:p w14:paraId="47807103" w14:textId="3189AEFE" w:rsidR="00195CAD" w:rsidRPr="00195CAD" w:rsidRDefault="00195CAD" w:rsidP="00195CAD">
      <w:r w:rsidRPr="00195CAD">
        <w:t xml:space="preserve">For scenarios in which fiber content is considered less important, i.e., small fiber content penalties, then panel 6 (--+-) is the most optimal. This indicates that for low paper fiber concentration, optimal processing conditions involve a combination of low temperature and short processing time under high pressure conditions to achieve fiber wet- out, while preventing excessive polymer flow that ultimately negatively impacts composite performance. In contrast, for scenarios where high amounts of paper fiber are desired, panel 20 (++++) is the most optimal. This indicates that for high paper fiber concentrations, intense processing conditions (high time, temperature, and pressure) are required to achieve adequate composite consolidation, due to the reduction in polymer matrix available to wet-out fibers. </w:t>
      </w:r>
    </w:p>
    <w:p w14:paraId="7AB53553" w14:textId="77777777" w:rsidR="006144C5" w:rsidRDefault="00195CAD" w:rsidP="00195CAD">
      <w:r w:rsidRPr="00195CAD">
        <w:t xml:space="preserve">In addition to evaluating the objective function at all experimental conditions based on the experimentally measured properties, we also evaluated the objective function using the regression model described in the section above.  Again, the motivation was to interpolate between processing variables to find optimal processing conditions.  However, the ranking of the objective functions generated from the model predictions did not agree with the ranking obtained from the experimental measurements. Despite the relative goodness of the regression shown in Figure 3, those predicted properties led to poor estimates of the objective function. Because the model could not reproduce the ranking of best panels at the experimentally evaluated points, the attempt to use the model to interpolate between experimental processing conditions to find optimal parameters was necessarily abandoned. A comparison between the figures of merit calculated using the objective function from the experimental data versus model predictions is shown in </w:t>
      </w:r>
      <w:r w:rsidRPr="006144C5">
        <w:rPr>
          <w:b/>
          <w:bCs/>
        </w:rPr>
        <w:t>Figure 2.5</w:t>
      </w:r>
      <w:r w:rsidRPr="006144C5">
        <w:t>. No penalties were applied for this comparison. Of the four optimal panels in the</w:t>
      </w:r>
      <w:r w:rsidRPr="00195CAD">
        <w:t xml:space="preserve"> optimization section above, three remain after thresholding, however panel 6 (--+-), the best short-time panel based on experimental measurements as shown in </w:t>
      </w:r>
      <w:r w:rsidRPr="006144C5">
        <w:rPr>
          <w:b/>
          <w:bCs/>
        </w:rPr>
        <w:t>Figure 2.3</w:t>
      </w:r>
      <w:r w:rsidRPr="006144C5">
        <w:t>,</w:t>
      </w:r>
      <w:r w:rsidRPr="00195CAD">
        <w:t xml:space="preserve"> was </w:t>
      </w:r>
    </w:p>
    <w:p w14:paraId="0D2DA1DD" w14:textId="77777777" w:rsidR="006144C5" w:rsidRDefault="006144C5" w:rsidP="006144C5">
      <w:pPr>
        <w:pStyle w:val="TableHeading"/>
        <w:rPr>
          <w:b w:val="0"/>
          <w:bCs w:val="0"/>
        </w:rPr>
      </w:pPr>
      <w:r w:rsidRPr="006144C5">
        <w:lastRenderedPageBreak/>
        <w:t xml:space="preserve">Table 2.7 </w:t>
      </w:r>
      <w:r w:rsidRPr="006144C5">
        <w:rPr>
          <w:b w:val="0"/>
          <w:bCs w:val="0"/>
        </w:rPr>
        <w:t>Calculated figures of merit for best panels under various penalty conditions</w:t>
      </w:r>
      <w:r w:rsidRPr="006144C5" w:rsidDel="00023B19">
        <w:rPr>
          <w:b w:val="0"/>
          <w:bCs w:val="0"/>
        </w:rPr>
        <w:t xml:space="preserve"> </w:t>
      </w:r>
    </w:p>
    <w:tbl>
      <w:tblPr>
        <w:tblStyle w:val="TableGrid"/>
        <w:tblW w:w="94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996"/>
        <w:gridCol w:w="996"/>
        <w:gridCol w:w="1029"/>
        <w:gridCol w:w="875"/>
        <w:gridCol w:w="982"/>
        <w:gridCol w:w="1176"/>
        <w:gridCol w:w="1016"/>
        <w:gridCol w:w="1176"/>
      </w:tblGrid>
      <w:tr w:rsidR="006144C5" w:rsidRPr="006144C5" w14:paraId="5E2A8B68" w14:textId="77777777" w:rsidTr="006144C5">
        <w:trPr>
          <w:trHeight w:val="432"/>
          <w:jc w:val="center"/>
        </w:trPr>
        <w:tc>
          <w:tcPr>
            <w:tcW w:w="3198" w:type="dxa"/>
            <w:gridSpan w:val="3"/>
            <w:tcBorders>
              <w:top w:val="single" w:sz="4" w:space="0" w:color="auto"/>
              <w:bottom w:val="single" w:sz="4" w:space="0" w:color="auto"/>
              <w:right w:val="dashSmallGap" w:sz="4" w:space="0" w:color="auto"/>
            </w:tcBorders>
            <w:vAlign w:val="center"/>
          </w:tcPr>
          <w:p w14:paraId="62BC564B" w14:textId="77777777" w:rsidR="006144C5" w:rsidRPr="006144C5" w:rsidRDefault="006144C5" w:rsidP="006144C5">
            <w:pPr>
              <w:pStyle w:val="TableHeading"/>
            </w:pPr>
            <w:r w:rsidRPr="006144C5">
              <w:t>Penalty Information</w:t>
            </w:r>
          </w:p>
        </w:tc>
        <w:tc>
          <w:tcPr>
            <w:tcW w:w="1904" w:type="dxa"/>
            <w:gridSpan w:val="2"/>
            <w:tcBorders>
              <w:top w:val="single" w:sz="4" w:space="0" w:color="auto"/>
              <w:left w:val="dashSmallGap" w:sz="4" w:space="0" w:color="auto"/>
              <w:bottom w:val="single" w:sz="4" w:space="0" w:color="auto"/>
              <w:right w:val="dashSmallGap" w:sz="4" w:space="0" w:color="auto"/>
            </w:tcBorders>
            <w:vAlign w:val="center"/>
          </w:tcPr>
          <w:p w14:paraId="6E477501" w14:textId="77777777" w:rsidR="006144C5" w:rsidRPr="006144C5" w:rsidRDefault="006144C5" w:rsidP="006144C5">
            <w:pPr>
              <w:pStyle w:val="TableHeading"/>
            </w:pPr>
            <w:r w:rsidRPr="006144C5">
              <w:t>Optimal Panel</w:t>
            </w:r>
            <w:r w:rsidRPr="006144C5" w:rsidDel="00EC4FBA">
              <w:t xml:space="preserve"> </w:t>
            </w:r>
          </w:p>
        </w:tc>
        <w:tc>
          <w:tcPr>
            <w:tcW w:w="2158" w:type="dxa"/>
            <w:gridSpan w:val="2"/>
            <w:tcBorders>
              <w:top w:val="single" w:sz="4" w:space="0" w:color="auto"/>
              <w:left w:val="dashSmallGap" w:sz="4" w:space="0" w:color="auto"/>
              <w:bottom w:val="single" w:sz="4" w:space="0" w:color="auto"/>
              <w:right w:val="dashSmallGap" w:sz="4" w:space="0" w:color="auto"/>
            </w:tcBorders>
            <w:vAlign w:val="center"/>
          </w:tcPr>
          <w:p w14:paraId="46608792" w14:textId="77777777" w:rsidR="006144C5" w:rsidRPr="006144C5" w:rsidRDefault="006144C5" w:rsidP="006144C5">
            <w:pPr>
              <w:pStyle w:val="TableHeading"/>
            </w:pPr>
            <w:r w:rsidRPr="006144C5">
              <w:t>2</w:t>
            </w:r>
            <w:r w:rsidRPr="006144C5">
              <w:rPr>
                <w:vertAlign w:val="superscript"/>
              </w:rPr>
              <w:t>nd</w:t>
            </w:r>
            <w:r w:rsidRPr="006144C5">
              <w:t xml:space="preserve"> Best Panel</w:t>
            </w:r>
          </w:p>
        </w:tc>
        <w:tc>
          <w:tcPr>
            <w:tcW w:w="2192" w:type="dxa"/>
            <w:gridSpan w:val="2"/>
            <w:tcBorders>
              <w:top w:val="single" w:sz="4" w:space="0" w:color="auto"/>
              <w:left w:val="dashSmallGap" w:sz="4" w:space="0" w:color="auto"/>
              <w:bottom w:val="single" w:sz="4" w:space="0" w:color="auto"/>
            </w:tcBorders>
            <w:vAlign w:val="center"/>
          </w:tcPr>
          <w:p w14:paraId="003DCE93" w14:textId="77777777" w:rsidR="006144C5" w:rsidRPr="006144C5" w:rsidRDefault="006144C5" w:rsidP="006144C5">
            <w:pPr>
              <w:pStyle w:val="TableHeading"/>
            </w:pPr>
            <w:r w:rsidRPr="006144C5">
              <w:t>3</w:t>
            </w:r>
            <w:r w:rsidRPr="006144C5">
              <w:rPr>
                <w:vertAlign w:val="superscript"/>
              </w:rPr>
              <w:t>rd</w:t>
            </w:r>
            <w:r w:rsidRPr="006144C5">
              <w:t xml:space="preserve"> Best Panel</w:t>
            </w:r>
          </w:p>
        </w:tc>
      </w:tr>
      <w:tr w:rsidR="006144C5" w:rsidRPr="006144C5" w14:paraId="690AC7AB" w14:textId="77777777" w:rsidTr="006144C5">
        <w:trPr>
          <w:trHeight w:val="432"/>
          <w:jc w:val="center"/>
        </w:trPr>
        <w:tc>
          <w:tcPr>
            <w:tcW w:w="1206" w:type="dxa"/>
            <w:tcBorders>
              <w:top w:val="single" w:sz="4" w:space="0" w:color="auto"/>
              <w:bottom w:val="single" w:sz="4" w:space="0" w:color="auto"/>
            </w:tcBorders>
            <w:vAlign w:val="center"/>
          </w:tcPr>
          <w:p w14:paraId="213302DB" w14:textId="77777777" w:rsidR="006144C5" w:rsidRPr="006144C5" w:rsidRDefault="006144C5" w:rsidP="006144C5">
            <w:pPr>
              <w:pStyle w:val="TableHeading"/>
              <w:rPr>
                <w:b w:val="0"/>
                <w:bCs w:val="0"/>
              </w:rPr>
            </w:pPr>
            <w:r w:rsidRPr="006144C5">
              <w:rPr>
                <w:b w:val="0"/>
                <w:bCs w:val="0"/>
              </w:rPr>
              <w:t>Penalty Condition</w:t>
            </w:r>
          </w:p>
        </w:tc>
        <w:tc>
          <w:tcPr>
            <w:tcW w:w="996" w:type="dxa"/>
            <w:tcBorders>
              <w:top w:val="single" w:sz="4" w:space="0" w:color="auto"/>
              <w:bottom w:val="single" w:sz="4" w:space="0" w:color="auto"/>
            </w:tcBorders>
            <w:vAlign w:val="center"/>
          </w:tcPr>
          <w:p w14:paraId="3D0146E7" w14:textId="77777777" w:rsidR="006144C5" w:rsidRPr="006144C5" w:rsidRDefault="006144C5" w:rsidP="006144C5">
            <w:pPr>
              <w:pStyle w:val="TableHeading"/>
              <w:rPr>
                <w:b w:val="0"/>
                <w:bCs w:val="0"/>
              </w:rPr>
            </w:pPr>
            <w:r w:rsidRPr="006144C5">
              <w:rPr>
                <w:b w:val="0"/>
                <w:bCs w:val="0"/>
              </w:rPr>
              <w:t>Fiber Penalty</w:t>
            </w:r>
          </w:p>
        </w:tc>
        <w:tc>
          <w:tcPr>
            <w:tcW w:w="996" w:type="dxa"/>
            <w:tcBorders>
              <w:top w:val="single" w:sz="4" w:space="0" w:color="auto"/>
              <w:bottom w:val="single" w:sz="4" w:space="0" w:color="auto"/>
              <w:right w:val="dashSmallGap" w:sz="4" w:space="0" w:color="auto"/>
            </w:tcBorders>
            <w:vAlign w:val="center"/>
          </w:tcPr>
          <w:p w14:paraId="7509E05C" w14:textId="77777777" w:rsidR="006144C5" w:rsidRPr="006144C5" w:rsidRDefault="006144C5" w:rsidP="006144C5">
            <w:pPr>
              <w:pStyle w:val="TableHeading"/>
              <w:rPr>
                <w:b w:val="0"/>
                <w:bCs w:val="0"/>
              </w:rPr>
            </w:pPr>
            <w:r w:rsidRPr="006144C5">
              <w:rPr>
                <w:b w:val="0"/>
                <w:bCs w:val="0"/>
              </w:rPr>
              <w:t>Time Penalty</w:t>
            </w:r>
          </w:p>
        </w:tc>
        <w:tc>
          <w:tcPr>
            <w:tcW w:w="1029" w:type="dxa"/>
            <w:tcBorders>
              <w:top w:val="single" w:sz="4" w:space="0" w:color="auto"/>
              <w:left w:val="dashSmallGap" w:sz="4" w:space="0" w:color="auto"/>
              <w:bottom w:val="single" w:sz="4" w:space="0" w:color="auto"/>
            </w:tcBorders>
            <w:vAlign w:val="center"/>
          </w:tcPr>
          <w:p w14:paraId="16F11E76" w14:textId="77777777" w:rsidR="006144C5" w:rsidRPr="006144C5" w:rsidRDefault="006144C5" w:rsidP="006144C5">
            <w:pPr>
              <w:pStyle w:val="TableHeading"/>
              <w:rPr>
                <w:b w:val="0"/>
                <w:bCs w:val="0"/>
              </w:rPr>
            </w:pPr>
            <w:r w:rsidRPr="006144C5">
              <w:rPr>
                <w:b w:val="0"/>
                <w:bCs w:val="0"/>
              </w:rPr>
              <w:t xml:space="preserve">Panel No. (DOE ID) </w:t>
            </w:r>
          </w:p>
        </w:tc>
        <w:tc>
          <w:tcPr>
            <w:tcW w:w="875" w:type="dxa"/>
            <w:tcBorders>
              <w:top w:val="single" w:sz="4" w:space="0" w:color="auto"/>
              <w:bottom w:val="single" w:sz="4" w:space="0" w:color="auto"/>
              <w:right w:val="dashSmallGap" w:sz="4" w:space="0" w:color="auto"/>
            </w:tcBorders>
            <w:vAlign w:val="center"/>
          </w:tcPr>
          <w:p w14:paraId="3B2A6438" w14:textId="77777777" w:rsidR="006144C5" w:rsidRPr="006144C5" w:rsidRDefault="006144C5" w:rsidP="006144C5">
            <w:pPr>
              <w:pStyle w:val="TableHeading"/>
              <w:rPr>
                <w:b w:val="0"/>
                <w:bCs w:val="0"/>
              </w:rPr>
            </w:pPr>
            <w:r w:rsidRPr="006144C5">
              <w:rPr>
                <w:b w:val="0"/>
                <w:bCs w:val="0"/>
              </w:rPr>
              <w:t>Figure of Merit</w:t>
            </w:r>
          </w:p>
        </w:tc>
        <w:tc>
          <w:tcPr>
            <w:tcW w:w="982" w:type="dxa"/>
            <w:tcBorders>
              <w:top w:val="single" w:sz="4" w:space="0" w:color="auto"/>
              <w:left w:val="dashSmallGap" w:sz="4" w:space="0" w:color="auto"/>
              <w:bottom w:val="single" w:sz="4" w:space="0" w:color="auto"/>
            </w:tcBorders>
            <w:vAlign w:val="center"/>
          </w:tcPr>
          <w:p w14:paraId="64537988" w14:textId="77777777" w:rsidR="006144C5" w:rsidRPr="006144C5" w:rsidRDefault="006144C5" w:rsidP="006144C5">
            <w:pPr>
              <w:pStyle w:val="TableHeading"/>
              <w:rPr>
                <w:b w:val="0"/>
                <w:bCs w:val="0"/>
              </w:rPr>
            </w:pPr>
            <w:r w:rsidRPr="006144C5">
              <w:rPr>
                <w:b w:val="0"/>
                <w:bCs w:val="0"/>
              </w:rPr>
              <w:t xml:space="preserve">Panel No. (DOE ID) </w:t>
            </w:r>
          </w:p>
        </w:tc>
        <w:tc>
          <w:tcPr>
            <w:tcW w:w="1176" w:type="dxa"/>
            <w:tcBorders>
              <w:top w:val="single" w:sz="4" w:space="0" w:color="auto"/>
              <w:bottom w:val="single" w:sz="4" w:space="0" w:color="auto"/>
              <w:right w:val="dashSmallGap" w:sz="4" w:space="0" w:color="auto"/>
            </w:tcBorders>
            <w:vAlign w:val="center"/>
          </w:tcPr>
          <w:p w14:paraId="716A314B" w14:textId="77777777" w:rsidR="006144C5" w:rsidRPr="006144C5" w:rsidRDefault="006144C5" w:rsidP="006144C5">
            <w:pPr>
              <w:pStyle w:val="TableHeading"/>
              <w:rPr>
                <w:b w:val="0"/>
                <w:bCs w:val="0"/>
              </w:rPr>
            </w:pPr>
            <w:r w:rsidRPr="006144C5">
              <w:rPr>
                <w:b w:val="0"/>
                <w:bCs w:val="0"/>
              </w:rPr>
              <w:t>Figure of Merit</w:t>
            </w:r>
          </w:p>
        </w:tc>
        <w:tc>
          <w:tcPr>
            <w:tcW w:w="1016" w:type="dxa"/>
            <w:tcBorders>
              <w:top w:val="single" w:sz="4" w:space="0" w:color="auto"/>
              <w:left w:val="dashSmallGap" w:sz="4" w:space="0" w:color="auto"/>
              <w:bottom w:val="single" w:sz="4" w:space="0" w:color="auto"/>
            </w:tcBorders>
            <w:vAlign w:val="center"/>
          </w:tcPr>
          <w:p w14:paraId="11F1F0C0" w14:textId="77777777" w:rsidR="006144C5" w:rsidRPr="006144C5" w:rsidRDefault="006144C5" w:rsidP="006144C5">
            <w:pPr>
              <w:pStyle w:val="TableHeading"/>
              <w:rPr>
                <w:b w:val="0"/>
                <w:bCs w:val="0"/>
              </w:rPr>
            </w:pPr>
            <w:r w:rsidRPr="006144C5">
              <w:rPr>
                <w:b w:val="0"/>
                <w:bCs w:val="0"/>
              </w:rPr>
              <w:t xml:space="preserve">Panel No. (DOE ID) </w:t>
            </w:r>
          </w:p>
        </w:tc>
        <w:tc>
          <w:tcPr>
            <w:tcW w:w="1176" w:type="dxa"/>
            <w:tcBorders>
              <w:top w:val="single" w:sz="4" w:space="0" w:color="auto"/>
              <w:bottom w:val="single" w:sz="4" w:space="0" w:color="auto"/>
            </w:tcBorders>
            <w:vAlign w:val="center"/>
          </w:tcPr>
          <w:p w14:paraId="09ADBBD0" w14:textId="77777777" w:rsidR="006144C5" w:rsidRPr="006144C5" w:rsidRDefault="006144C5" w:rsidP="006144C5">
            <w:pPr>
              <w:pStyle w:val="TableHeading"/>
              <w:rPr>
                <w:b w:val="0"/>
                <w:bCs w:val="0"/>
              </w:rPr>
            </w:pPr>
            <w:r w:rsidRPr="006144C5">
              <w:rPr>
                <w:b w:val="0"/>
                <w:bCs w:val="0"/>
              </w:rPr>
              <w:t>Figure of Merit</w:t>
            </w:r>
          </w:p>
        </w:tc>
      </w:tr>
      <w:tr w:rsidR="006144C5" w:rsidRPr="006144C5" w14:paraId="2B88CBCE" w14:textId="77777777" w:rsidTr="006144C5">
        <w:trPr>
          <w:trHeight w:val="576"/>
          <w:jc w:val="center"/>
        </w:trPr>
        <w:tc>
          <w:tcPr>
            <w:tcW w:w="1206" w:type="dxa"/>
            <w:tcBorders>
              <w:top w:val="single" w:sz="4" w:space="0" w:color="auto"/>
            </w:tcBorders>
            <w:vAlign w:val="center"/>
          </w:tcPr>
          <w:p w14:paraId="5D9AD24C" w14:textId="77777777" w:rsidR="006144C5" w:rsidRPr="006144C5" w:rsidRDefault="006144C5" w:rsidP="006144C5">
            <w:pPr>
              <w:pStyle w:val="TableHeading"/>
              <w:rPr>
                <w:b w:val="0"/>
                <w:bCs w:val="0"/>
              </w:rPr>
            </w:pPr>
            <w:r w:rsidRPr="006144C5">
              <w:rPr>
                <w:b w:val="0"/>
                <w:bCs w:val="0"/>
              </w:rPr>
              <w:t xml:space="preserve">Low </w:t>
            </w:r>
            <w:proofErr w:type="spellStart"/>
            <w:r w:rsidRPr="006144C5">
              <w:rPr>
                <w:b w:val="0"/>
                <w:bCs w:val="0"/>
                <w:i/>
                <w:iCs/>
              </w:rPr>
              <w:t>F</w:t>
            </w:r>
            <w:r w:rsidRPr="006144C5">
              <w:rPr>
                <w:b w:val="0"/>
                <w:bCs w:val="0"/>
                <w:i/>
                <w:iCs/>
                <w:vertAlign w:val="subscript"/>
              </w:rPr>
              <w:t>p</w:t>
            </w:r>
            <w:proofErr w:type="spellEnd"/>
          </w:p>
        </w:tc>
        <w:tc>
          <w:tcPr>
            <w:tcW w:w="996" w:type="dxa"/>
            <w:tcBorders>
              <w:top w:val="single" w:sz="4" w:space="0" w:color="auto"/>
            </w:tcBorders>
            <w:vAlign w:val="center"/>
          </w:tcPr>
          <w:p w14:paraId="17828C06" w14:textId="77777777" w:rsidR="006144C5" w:rsidRPr="006144C5" w:rsidRDefault="006144C5" w:rsidP="006144C5">
            <w:pPr>
              <w:pStyle w:val="TableHeading"/>
              <w:rPr>
                <w:b w:val="0"/>
                <w:bCs w:val="0"/>
              </w:rPr>
            </w:pPr>
            <w:r w:rsidRPr="006144C5">
              <w:rPr>
                <w:b w:val="0"/>
                <w:bCs w:val="0"/>
              </w:rPr>
              <w:t>0.00001</w:t>
            </w:r>
          </w:p>
        </w:tc>
        <w:tc>
          <w:tcPr>
            <w:tcW w:w="996" w:type="dxa"/>
            <w:tcBorders>
              <w:top w:val="single" w:sz="4" w:space="0" w:color="auto"/>
              <w:right w:val="dashSmallGap" w:sz="4" w:space="0" w:color="auto"/>
            </w:tcBorders>
            <w:vAlign w:val="center"/>
          </w:tcPr>
          <w:p w14:paraId="06427090" w14:textId="77777777" w:rsidR="006144C5" w:rsidRPr="006144C5" w:rsidRDefault="006144C5" w:rsidP="006144C5">
            <w:pPr>
              <w:pStyle w:val="TableHeading"/>
              <w:rPr>
                <w:b w:val="0"/>
                <w:bCs w:val="0"/>
              </w:rPr>
            </w:pPr>
            <w:r w:rsidRPr="006144C5">
              <w:rPr>
                <w:b w:val="0"/>
                <w:bCs w:val="0"/>
              </w:rPr>
              <w:t>0.00001</w:t>
            </w:r>
          </w:p>
        </w:tc>
        <w:tc>
          <w:tcPr>
            <w:tcW w:w="1029" w:type="dxa"/>
            <w:tcBorders>
              <w:top w:val="single" w:sz="4" w:space="0" w:color="auto"/>
              <w:left w:val="dashSmallGap" w:sz="4" w:space="0" w:color="auto"/>
            </w:tcBorders>
            <w:vAlign w:val="center"/>
          </w:tcPr>
          <w:p w14:paraId="3DE5087F" w14:textId="77777777" w:rsidR="006144C5" w:rsidRPr="006144C5" w:rsidRDefault="006144C5" w:rsidP="006144C5">
            <w:pPr>
              <w:pStyle w:val="TableHeading"/>
              <w:rPr>
                <w:b w:val="0"/>
                <w:bCs w:val="0"/>
              </w:rPr>
            </w:pPr>
            <w:r w:rsidRPr="006144C5">
              <w:rPr>
                <w:b w:val="0"/>
                <w:bCs w:val="0"/>
              </w:rPr>
              <w:t>6 (--+-)</w:t>
            </w:r>
          </w:p>
        </w:tc>
        <w:tc>
          <w:tcPr>
            <w:tcW w:w="875" w:type="dxa"/>
            <w:tcBorders>
              <w:top w:val="single" w:sz="4" w:space="0" w:color="auto"/>
              <w:right w:val="dashSmallGap" w:sz="4" w:space="0" w:color="auto"/>
            </w:tcBorders>
            <w:vAlign w:val="center"/>
          </w:tcPr>
          <w:p w14:paraId="1683D538" w14:textId="77777777" w:rsidR="006144C5" w:rsidRPr="006144C5" w:rsidRDefault="006144C5" w:rsidP="006144C5">
            <w:pPr>
              <w:pStyle w:val="TableHeading"/>
              <w:rPr>
                <w:b w:val="0"/>
                <w:bCs w:val="0"/>
              </w:rPr>
            </w:pPr>
            <w:r w:rsidRPr="006144C5">
              <w:rPr>
                <w:b w:val="0"/>
                <w:bCs w:val="0"/>
              </w:rPr>
              <w:t>3.71</w:t>
            </w:r>
          </w:p>
        </w:tc>
        <w:tc>
          <w:tcPr>
            <w:tcW w:w="982" w:type="dxa"/>
            <w:tcBorders>
              <w:top w:val="single" w:sz="4" w:space="0" w:color="auto"/>
              <w:left w:val="dashSmallGap" w:sz="4" w:space="0" w:color="auto"/>
            </w:tcBorders>
            <w:vAlign w:val="center"/>
          </w:tcPr>
          <w:p w14:paraId="5A977A18" w14:textId="77777777" w:rsidR="006144C5" w:rsidRPr="006144C5" w:rsidRDefault="006144C5" w:rsidP="006144C5">
            <w:pPr>
              <w:pStyle w:val="TableHeading"/>
              <w:rPr>
                <w:b w:val="0"/>
                <w:bCs w:val="0"/>
              </w:rPr>
            </w:pPr>
            <w:r w:rsidRPr="006144C5">
              <w:rPr>
                <w:b w:val="0"/>
                <w:bCs w:val="0"/>
              </w:rPr>
              <w:t>4 (-+--)</w:t>
            </w:r>
          </w:p>
        </w:tc>
        <w:tc>
          <w:tcPr>
            <w:tcW w:w="1176" w:type="dxa"/>
            <w:tcBorders>
              <w:top w:val="single" w:sz="4" w:space="0" w:color="auto"/>
              <w:right w:val="dashSmallGap" w:sz="4" w:space="0" w:color="auto"/>
            </w:tcBorders>
            <w:vAlign w:val="center"/>
          </w:tcPr>
          <w:p w14:paraId="0033BFC4" w14:textId="77777777" w:rsidR="006144C5" w:rsidRPr="006144C5" w:rsidRDefault="006144C5" w:rsidP="006144C5">
            <w:pPr>
              <w:pStyle w:val="TableHeading"/>
              <w:rPr>
                <w:b w:val="0"/>
                <w:bCs w:val="0"/>
              </w:rPr>
            </w:pPr>
            <w:r w:rsidRPr="006144C5">
              <w:rPr>
                <w:b w:val="0"/>
                <w:bCs w:val="0"/>
              </w:rPr>
              <w:t>3.78</w:t>
            </w:r>
          </w:p>
        </w:tc>
        <w:tc>
          <w:tcPr>
            <w:tcW w:w="1016" w:type="dxa"/>
            <w:tcBorders>
              <w:top w:val="single" w:sz="4" w:space="0" w:color="auto"/>
              <w:left w:val="dashSmallGap" w:sz="4" w:space="0" w:color="auto"/>
            </w:tcBorders>
            <w:vAlign w:val="center"/>
          </w:tcPr>
          <w:p w14:paraId="5C507BE6" w14:textId="77777777" w:rsidR="006144C5" w:rsidRPr="006144C5" w:rsidRDefault="006144C5" w:rsidP="006144C5">
            <w:pPr>
              <w:pStyle w:val="TableHeading"/>
              <w:rPr>
                <w:b w:val="0"/>
                <w:bCs w:val="0"/>
              </w:rPr>
            </w:pPr>
            <w:r w:rsidRPr="006144C5">
              <w:rPr>
                <w:b w:val="0"/>
                <w:bCs w:val="0"/>
              </w:rPr>
              <w:t>2 (---+)</w:t>
            </w:r>
          </w:p>
        </w:tc>
        <w:tc>
          <w:tcPr>
            <w:tcW w:w="1176" w:type="dxa"/>
            <w:tcBorders>
              <w:top w:val="single" w:sz="4" w:space="0" w:color="auto"/>
            </w:tcBorders>
            <w:vAlign w:val="center"/>
          </w:tcPr>
          <w:p w14:paraId="16ADFB27" w14:textId="77777777" w:rsidR="006144C5" w:rsidRPr="006144C5" w:rsidRDefault="006144C5" w:rsidP="006144C5">
            <w:pPr>
              <w:pStyle w:val="TableHeading"/>
              <w:rPr>
                <w:b w:val="0"/>
                <w:bCs w:val="0"/>
              </w:rPr>
            </w:pPr>
            <w:r w:rsidRPr="006144C5">
              <w:rPr>
                <w:b w:val="0"/>
                <w:bCs w:val="0"/>
              </w:rPr>
              <w:t>3.80</w:t>
            </w:r>
          </w:p>
        </w:tc>
      </w:tr>
      <w:tr w:rsidR="006144C5" w:rsidRPr="006144C5" w14:paraId="56C92CEC" w14:textId="77777777" w:rsidTr="006144C5">
        <w:trPr>
          <w:trHeight w:val="576"/>
          <w:jc w:val="center"/>
        </w:trPr>
        <w:tc>
          <w:tcPr>
            <w:tcW w:w="1206" w:type="dxa"/>
            <w:vAlign w:val="center"/>
          </w:tcPr>
          <w:p w14:paraId="39FF6000" w14:textId="77777777" w:rsidR="006144C5" w:rsidRPr="006144C5" w:rsidRDefault="006144C5" w:rsidP="006144C5">
            <w:pPr>
              <w:pStyle w:val="TableHeading"/>
              <w:rPr>
                <w:b w:val="0"/>
                <w:bCs w:val="0"/>
                <w:vertAlign w:val="subscript"/>
              </w:rPr>
            </w:pPr>
            <w:r w:rsidRPr="006144C5">
              <w:rPr>
                <w:b w:val="0"/>
                <w:bCs w:val="0"/>
              </w:rPr>
              <w:t xml:space="preserve">Inter. </w:t>
            </w:r>
            <w:proofErr w:type="spellStart"/>
            <w:r w:rsidRPr="006144C5">
              <w:rPr>
                <w:b w:val="0"/>
                <w:bCs w:val="0"/>
                <w:i/>
                <w:iCs/>
              </w:rPr>
              <w:t>F</w:t>
            </w:r>
            <w:r w:rsidRPr="006144C5">
              <w:rPr>
                <w:b w:val="0"/>
                <w:bCs w:val="0"/>
                <w:i/>
                <w:iCs/>
                <w:vertAlign w:val="subscript"/>
              </w:rPr>
              <w:t>p</w:t>
            </w:r>
            <w:proofErr w:type="spellEnd"/>
            <w:r w:rsidRPr="006144C5">
              <w:rPr>
                <w:b w:val="0"/>
                <w:bCs w:val="0"/>
              </w:rPr>
              <w:t xml:space="preserve"> + Low </w:t>
            </w:r>
            <w:proofErr w:type="spellStart"/>
            <w:r w:rsidRPr="006144C5">
              <w:rPr>
                <w:b w:val="0"/>
                <w:bCs w:val="0"/>
                <w:i/>
                <w:iCs/>
              </w:rPr>
              <w:t>T</w:t>
            </w:r>
            <w:r w:rsidRPr="006144C5">
              <w:rPr>
                <w:b w:val="0"/>
                <w:bCs w:val="0"/>
                <w:i/>
                <w:iCs/>
                <w:vertAlign w:val="subscript"/>
              </w:rPr>
              <w:t>p</w:t>
            </w:r>
            <w:proofErr w:type="spellEnd"/>
          </w:p>
        </w:tc>
        <w:tc>
          <w:tcPr>
            <w:tcW w:w="996" w:type="dxa"/>
            <w:vAlign w:val="center"/>
          </w:tcPr>
          <w:p w14:paraId="1512A264" w14:textId="77777777" w:rsidR="006144C5" w:rsidRPr="006144C5" w:rsidRDefault="006144C5" w:rsidP="006144C5">
            <w:pPr>
              <w:pStyle w:val="TableHeading"/>
              <w:rPr>
                <w:b w:val="0"/>
                <w:bCs w:val="0"/>
              </w:rPr>
            </w:pPr>
            <w:r w:rsidRPr="006144C5">
              <w:rPr>
                <w:b w:val="0"/>
                <w:bCs w:val="0"/>
              </w:rPr>
              <w:t>1</w:t>
            </w:r>
          </w:p>
        </w:tc>
        <w:tc>
          <w:tcPr>
            <w:tcW w:w="996" w:type="dxa"/>
            <w:tcBorders>
              <w:right w:val="dashSmallGap" w:sz="4" w:space="0" w:color="auto"/>
            </w:tcBorders>
            <w:vAlign w:val="center"/>
          </w:tcPr>
          <w:p w14:paraId="06EC8743" w14:textId="77777777" w:rsidR="006144C5" w:rsidRPr="006144C5" w:rsidRDefault="006144C5" w:rsidP="006144C5">
            <w:pPr>
              <w:pStyle w:val="TableHeading"/>
              <w:rPr>
                <w:b w:val="0"/>
                <w:bCs w:val="0"/>
              </w:rPr>
            </w:pPr>
            <w:r w:rsidRPr="006144C5">
              <w:rPr>
                <w:b w:val="0"/>
                <w:bCs w:val="0"/>
              </w:rPr>
              <w:t>0.0001</w:t>
            </w:r>
          </w:p>
        </w:tc>
        <w:tc>
          <w:tcPr>
            <w:tcW w:w="1029" w:type="dxa"/>
            <w:tcBorders>
              <w:left w:val="dashSmallGap" w:sz="4" w:space="0" w:color="auto"/>
            </w:tcBorders>
            <w:vAlign w:val="center"/>
          </w:tcPr>
          <w:p w14:paraId="3B0DB9E8" w14:textId="77777777" w:rsidR="006144C5" w:rsidRPr="006144C5" w:rsidRDefault="006144C5" w:rsidP="006144C5">
            <w:pPr>
              <w:pStyle w:val="TableHeading"/>
              <w:rPr>
                <w:b w:val="0"/>
                <w:bCs w:val="0"/>
              </w:rPr>
            </w:pPr>
            <w:r w:rsidRPr="006144C5">
              <w:rPr>
                <w:b w:val="0"/>
                <w:bCs w:val="0"/>
              </w:rPr>
              <w:t>14 (000A)</w:t>
            </w:r>
          </w:p>
        </w:tc>
        <w:tc>
          <w:tcPr>
            <w:tcW w:w="875" w:type="dxa"/>
            <w:tcBorders>
              <w:right w:val="dashSmallGap" w:sz="4" w:space="0" w:color="auto"/>
            </w:tcBorders>
            <w:vAlign w:val="center"/>
          </w:tcPr>
          <w:p w14:paraId="18A1C556" w14:textId="77777777" w:rsidR="006144C5" w:rsidRPr="006144C5" w:rsidRDefault="006144C5" w:rsidP="006144C5">
            <w:pPr>
              <w:pStyle w:val="TableHeading"/>
              <w:rPr>
                <w:b w:val="0"/>
                <w:bCs w:val="0"/>
              </w:rPr>
            </w:pPr>
            <w:r w:rsidRPr="006144C5">
              <w:rPr>
                <w:b w:val="0"/>
                <w:bCs w:val="0"/>
              </w:rPr>
              <w:t>4.842</w:t>
            </w:r>
          </w:p>
        </w:tc>
        <w:tc>
          <w:tcPr>
            <w:tcW w:w="982" w:type="dxa"/>
            <w:tcBorders>
              <w:left w:val="dashSmallGap" w:sz="4" w:space="0" w:color="auto"/>
            </w:tcBorders>
            <w:vAlign w:val="center"/>
          </w:tcPr>
          <w:p w14:paraId="111C35BC" w14:textId="77777777" w:rsidR="006144C5" w:rsidRPr="006144C5" w:rsidRDefault="006144C5" w:rsidP="006144C5">
            <w:pPr>
              <w:pStyle w:val="TableHeading"/>
              <w:rPr>
                <w:b w:val="0"/>
                <w:bCs w:val="0"/>
              </w:rPr>
            </w:pPr>
            <w:r w:rsidRPr="006144C5">
              <w:rPr>
                <w:b w:val="0"/>
                <w:bCs w:val="0"/>
              </w:rPr>
              <w:t>11 (0A00)</w:t>
            </w:r>
          </w:p>
        </w:tc>
        <w:tc>
          <w:tcPr>
            <w:tcW w:w="1176" w:type="dxa"/>
            <w:tcBorders>
              <w:right w:val="dashSmallGap" w:sz="4" w:space="0" w:color="auto"/>
            </w:tcBorders>
            <w:vAlign w:val="center"/>
          </w:tcPr>
          <w:p w14:paraId="02461756" w14:textId="77777777" w:rsidR="006144C5" w:rsidRPr="006144C5" w:rsidRDefault="006144C5" w:rsidP="006144C5">
            <w:pPr>
              <w:pStyle w:val="TableHeading"/>
              <w:rPr>
                <w:b w:val="0"/>
                <w:bCs w:val="0"/>
              </w:rPr>
            </w:pPr>
            <w:r w:rsidRPr="006144C5">
              <w:rPr>
                <w:b w:val="0"/>
                <w:bCs w:val="0"/>
              </w:rPr>
              <w:t>4.843</w:t>
            </w:r>
          </w:p>
        </w:tc>
        <w:tc>
          <w:tcPr>
            <w:tcW w:w="1016" w:type="dxa"/>
            <w:tcBorders>
              <w:left w:val="dashSmallGap" w:sz="4" w:space="0" w:color="auto"/>
            </w:tcBorders>
            <w:vAlign w:val="center"/>
          </w:tcPr>
          <w:p w14:paraId="55F9EDE5" w14:textId="77777777" w:rsidR="006144C5" w:rsidRPr="006144C5" w:rsidRDefault="006144C5" w:rsidP="006144C5">
            <w:pPr>
              <w:pStyle w:val="TableHeading"/>
              <w:rPr>
                <w:b w:val="0"/>
                <w:bCs w:val="0"/>
              </w:rPr>
            </w:pPr>
            <w:r w:rsidRPr="006144C5">
              <w:rPr>
                <w:b w:val="0"/>
                <w:bCs w:val="0"/>
              </w:rPr>
              <w:t xml:space="preserve">15 (00A0) </w:t>
            </w:r>
          </w:p>
        </w:tc>
        <w:tc>
          <w:tcPr>
            <w:tcW w:w="1176" w:type="dxa"/>
            <w:vAlign w:val="center"/>
          </w:tcPr>
          <w:p w14:paraId="7028581C" w14:textId="77777777" w:rsidR="006144C5" w:rsidRPr="006144C5" w:rsidRDefault="006144C5" w:rsidP="006144C5">
            <w:pPr>
              <w:pStyle w:val="TableHeading"/>
              <w:rPr>
                <w:b w:val="0"/>
                <w:bCs w:val="0"/>
              </w:rPr>
            </w:pPr>
            <w:r w:rsidRPr="006144C5">
              <w:rPr>
                <w:b w:val="0"/>
                <w:bCs w:val="0"/>
              </w:rPr>
              <w:t>4.98</w:t>
            </w:r>
          </w:p>
        </w:tc>
      </w:tr>
      <w:tr w:rsidR="006144C5" w:rsidRPr="006144C5" w14:paraId="1AD8F0B6" w14:textId="77777777" w:rsidTr="006144C5">
        <w:trPr>
          <w:trHeight w:val="576"/>
          <w:jc w:val="center"/>
        </w:trPr>
        <w:tc>
          <w:tcPr>
            <w:tcW w:w="1206" w:type="dxa"/>
            <w:vAlign w:val="center"/>
          </w:tcPr>
          <w:p w14:paraId="7ECD3239" w14:textId="77777777" w:rsidR="006144C5" w:rsidRPr="006144C5" w:rsidRDefault="006144C5" w:rsidP="006144C5">
            <w:pPr>
              <w:pStyle w:val="TableHeading"/>
              <w:rPr>
                <w:b w:val="0"/>
                <w:bCs w:val="0"/>
              </w:rPr>
            </w:pPr>
            <w:r w:rsidRPr="006144C5">
              <w:rPr>
                <w:b w:val="0"/>
                <w:bCs w:val="0"/>
              </w:rPr>
              <w:t xml:space="preserve">Inter. </w:t>
            </w:r>
            <w:proofErr w:type="spellStart"/>
            <w:r w:rsidRPr="006144C5">
              <w:rPr>
                <w:b w:val="0"/>
                <w:bCs w:val="0"/>
                <w:i/>
                <w:iCs/>
              </w:rPr>
              <w:t>F</w:t>
            </w:r>
            <w:r w:rsidRPr="006144C5">
              <w:rPr>
                <w:b w:val="0"/>
                <w:bCs w:val="0"/>
                <w:i/>
                <w:iCs/>
                <w:vertAlign w:val="subscript"/>
              </w:rPr>
              <w:t>p</w:t>
            </w:r>
            <w:proofErr w:type="spellEnd"/>
            <w:r w:rsidRPr="006144C5">
              <w:rPr>
                <w:b w:val="0"/>
                <w:bCs w:val="0"/>
              </w:rPr>
              <w:t xml:space="preserve"> + Inter. </w:t>
            </w:r>
            <w:proofErr w:type="spellStart"/>
            <w:r w:rsidRPr="006144C5">
              <w:rPr>
                <w:b w:val="0"/>
                <w:bCs w:val="0"/>
                <w:i/>
                <w:iCs/>
              </w:rPr>
              <w:t>T</w:t>
            </w:r>
            <w:r w:rsidRPr="006144C5">
              <w:rPr>
                <w:b w:val="0"/>
                <w:bCs w:val="0"/>
                <w:i/>
                <w:iCs/>
                <w:vertAlign w:val="subscript"/>
              </w:rPr>
              <w:t>p</w:t>
            </w:r>
            <w:proofErr w:type="spellEnd"/>
          </w:p>
        </w:tc>
        <w:tc>
          <w:tcPr>
            <w:tcW w:w="996" w:type="dxa"/>
            <w:vAlign w:val="center"/>
          </w:tcPr>
          <w:p w14:paraId="210CA267" w14:textId="77777777" w:rsidR="006144C5" w:rsidRPr="006144C5" w:rsidRDefault="006144C5" w:rsidP="006144C5">
            <w:pPr>
              <w:pStyle w:val="TableHeading"/>
              <w:rPr>
                <w:b w:val="0"/>
                <w:bCs w:val="0"/>
              </w:rPr>
            </w:pPr>
            <w:r w:rsidRPr="006144C5">
              <w:rPr>
                <w:b w:val="0"/>
                <w:bCs w:val="0"/>
              </w:rPr>
              <w:t>1</w:t>
            </w:r>
          </w:p>
        </w:tc>
        <w:tc>
          <w:tcPr>
            <w:tcW w:w="996" w:type="dxa"/>
            <w:tcBorders>
              <w:right w:val="dashSmallGap" w:sz="4" w:space="0" w:color="auto"/>
            </w:tcBorders>
            <w:vAlign w:val="center"/>
          </w:tcPr>
          <w:p w14:paraId="7CBF2042" w14:textId="77777777" w:rsidR="006144C5" w:rsidRPr="006144C5" w:rsidRDefault="006144C5" w:rsidP="006144C5">
            <w:pPr>
              <w:pStyle w:val="TableHeading"/>
              <w:rPr>
                <w:b w:val="0"/>
                <w:bCs w:val="0"/>
              </w:rPr>
            </w:pPr>
            <w:r w:rsidRPr="006144C5">
              <w:rPr>
                <w:b w:val="0"/>
                <w:bCs w:val="0"/>
              </w:rPr>
              <w:t>0.1</w:t>
            </w:r>
          </w:p>
        </w:tc>
        <w:tc>
          <w:tcPr>
            <w:tcW w:w="1029" w:type="dxa"/>
            <w:tcBorders>
              <w:left w:val="dashSmallGap" w:sz="4" w:space="0" w:color="auto"/>
            </w:tcBorders>
            <w:vAlign w:val="center"/>
          </w:tcPr>
          <w:p w14:paraId="4B4571D2" w14:textId="77777777" w:rsidR="006144C5" w:rsidRPr="006144C5" w:rsidRDefault="006144C5" w:rsidP="006144C5">
            <w:pPr>
              <w:pStyle w:val="TableHeading"/>
              <w:rPr>
                <w:b w:val="0"/>
                <w:bCs w:val="0"/>
              </w:rPr>
            </w:pPr>
            <w:r w:rsidRPr="006144C5">
              <w:rPr>
                <w:b w:val="0"/>
                <w:bCs w:val="0"/>
              </w:rPr>
              <w:t>11 (0A00)</w:t>
            </w:r>
          </w:p>
        </w:tc>
        <w:tc>
          <w:tcPr>
            <w:tcW w:w="875" w:type="dxa"/>
            <w:tcBorders>
              <w:right w:val="dashSmallGap" w:sz="4" w:space="0" w:color="auto"/>
            </w:tcBorders>
            <w:vAlign w:val="center"/>
          </w:tcPr>
          <w:p w14:paraId="422C6A38" w14:textId="77777777" w:rsidR="006144C5" w:rsidRPr="006144C5" w:rsidRDefault="006144C5" w:rsidP="006144C5">
            <w:pPr>
              <w:pStyle w:val="TableHeading"/>
              <w:rPr>
                <w:b w:val="0"/>
                <w:bCs w:val="0"/>
              </w:rPr>
            </w:pPr>
            <w:r w:rsidRPr="006144C5">
              <w:rPr>
                <w:b w:val="0"/>
                <w:bCs w:val="0"/>
              </w:rPr>
              <w:t>4.94</w:t>
            </w:r>
          </w:p>
        </w:tc>
        <w:tc>
          <w:tcPr>
            <w:tcW w:w="982" w:type="dxa"/>
            <w:tcBorders>
              <w:left w:val="dashSmallGap" w:sz="4" w:space="0" w:color="auto"/>
            </w:tcBorders>
            <w:vAlign w:val="center"/>
          </w:tcPr>
          <w:p w14:paraId="3CF3B385" w14:textId="77777777" w:rsidR="006144C5" w:rsidRPr="006144C5" w:rsidRDefault="006144C5" w:rsidP="006144C5">
            <w:pPr>
              <w:pStyle w:val="TableHeading"/>
              <w:rPr>
                <w:b w:val="0"/>
                <w:bCs w:val="0"/>
              </w:rPr>
            </w:pPr>
            <w:r w:rsidRPr="006144C5">
              <w:rPr>
                <w:b w:val="0"/>
                <w:bCs w:val="0"/>
              </w:rPr>
              <w:t>14 (000A)</w:t>
            </w:r>
          </w:p>
        </w:tc>
        <w:tc>
          <w:tcPr>
            <w:tcW w:w="1176" w:type="dxa"/>
            <w:tcBorders>
              <w:right w:val="dashSmallGap" w:sz="4" w:space="0" w:color="auto"/>
            </w:tcBorders>
            <w:vAlign w:val="center"/>
          </w:tcPr>
          <w:p w14:paraId="6C3AD29A" w14:textId="77777777" w:rsidR="006144C5" w:rsidRPr="006144C5" w:rsidRDefault="006144C5" w:rsidP="006144C5">
            <w:pPr>
              <w:pStyle w:val="TableHeading"/>
              <w:rPr>
                <w:b w:val="0"/>
                <w:bCs w:val="0"/>
              </w:rPr>
            </w:pPr>
            <w:r w:rsidRPr="006144C5">
              <w:rPr>
                <w:b w:val="0"/>
                <w:bCs w:val="0"/>
              </w:rPr>
              <w:t>5.00</w:t>
            </w:r>
          </w:p>
        </w:tc>
        <w:tc>
          <w:tcPr>
            <w:tcW w:w="1016" w:type="dxa"/>
            <w:tcBorders>
              <w:left w:val="dashSmallGap" w:sz="4" w:space="0" w:color="auto"/>
            </w:tcBorders>
            <w:vAlign w:val="center"/>
          </w:tcPr>
          <w:p w14:paraId="27AE3D42" w14:textId="77777777" w:rsidR="006144C5" w:rsidRPr="006144C5" w:rsidRDefault="006144C5" w:rsidP="006144C5">
            <w:pPr>
              <w:pStyle w:val="TableHeading"/>
              <w:rPr>
                <w:b w:val="0"/>
                <w:bCs w:val="0"/>
              </w:rPr>
            </w:pPr>
            <w:r w:rsidRPr="006144C5">
              <w:rPr>
                <w:b w:val="0"/>
                <w:bCs w:val="0"/>
              </w:rPr>
              <w:t>6 (--+-)</w:t>
            </w:r>
          </w:p>
        </w:tc>
        <w:tc>
          <w:tcPr>
            <w:tcW w:w="1176" w:type="dxa"/>
            <w:vAlign w:val="center"/>
          </w:tcPr>
          <w:p w14:paraId="6270C240" w14:textId="77777777" w:rsidR="006144C5" w:rsidRPr="006144C5" w:rsidRDefault="006144C5" w:rsidP="006144C5">
            <w:pPr>
              <w:pStyle w:val="TableHeading"/>
              <w:rPr>
                <w:b w:val="0"/>
                <w:bCs w:val="0"/>
              </w:rPr>
            </w:pPr>
            <w:r w:rsidRPr="006144C5">
              <w:rPr>
                <w:b w:val="0"/>
                <w:bCs w:val="0"/>
              </w:rPr>
              <w:t>5.03</w:t>
            </w:r>
          </w:p>
        </w:tc>
      </w:tr>
      <w:tr w:rsidR="006144C5" w:rsidRPr="006144C5" w14:paraId="49759FCE" w14:textId="77777777" w:rsidTr="006144C5">
        <w:trPr>
          <w:trHeight w:val="576"/>
          <w:jc w:val="center"/>
        </w:trPr>
        <w:tc>
          <w:tcPr>
            <w:tcW w:w="1206" w:type="dxa"/>
            <w:tcBorders>
              <w:bottom w:val="single" w:sz="4" w:space="0" w:color="auto"/>
            </w:tcBorders>
            <w:vAlign w:val="center"/>
          </w:tcPr>
          <w:p w14:paraId="0F973955" w14:textId="77777777" w:rsidR="006144C5" w:rsidRPr="006144C5" w:rsidRDefault="006144C5" w:rsidP="006144C5">
            <w:pPr>
              <w:pStyle w:val="TableHeading"/>
              <w:rPr>
                <w:b w:val="0"/>
                <w:bCs w:val="0"/>
              </w:rPr>
            </w:pPr>
            <w:r w:rsidRPr="006144C5">
              <w:rPr>
                <w:b w:val="0"/>
                <w:bCs w:val="0"/>
              </w:rPr>
              <w:t xml:space="preserve">High </w:t>
            </w:r>
            <w:proofErr w:type="spellStart"/>
            <w:r w:rsidRPr="006144C5">
              <w:rPr>
                <w:b w:val="0"/>
                <w:bCs w:val="0"/>
                <w:i/>
                <w:iCs/>
              </w:rPr>
              <w:t>F</w:t>
            </w:r>
            <w:r w:rsidRPr="006144C5">
              <w:rPr>
                <w:b w:val="0"/>
                <w:bCs w:val="0"/>
                <w:i/>
                <w:iCs/>
                <w:vertAlign w:val="subscript"/>
              </w:rPr>
              <w:t>p</w:t>
            </w:r>
            <w:proofErr w:type="spellEnd"/>
          </w:p>
        </w:tc>
        <w:tc>
          <w:tcPr>
            <w:tcW w:w="996" w:type="dxa"/>
            <w:tcBorders>
              <w:bottom w:val="single" w:sz="4" w:space="0" w:color="auto"/>
            </w:tcBorders>
            <w:vAlign w:val="center"/>
          </w:tcPr>
          <w:p w14:paraId="377F22BC" w14:textId="77777777" w:rsidR="006144C5" w:rsidRPr="006144C5" w:rsidRDefault="006144C5" w:rsidP="006144C5">
            <w:pPr>
              <w:pStyle w:val="TableHeading"/>
              <w:rPr>
                <w:b w:val="0"/>
                <w:bCs w:val="0"/>
              </w:rPr>
            </w:pPr>
            <w:r w:rsidRPr="006144C5">
              <w:rPr>
                <w:b w:val="0"/>
                <w:bCs w:val="0"/>
              </w:rPr>
              <w:t>10000</w:t>
            </w:r>
          </w:p>
        </w:tc>
        <w:tc>
          <w:tcPr>
            <w:tcW w:w="996" w:type="dxa"/>
            <w:tcBorders>
              <w:bottom w:val="single" w:sz="4" w:space="0" w:color="auto"/>
              <w:right w:val="dashSmallGap" w:sz="4" w:space="0" w:color="auto"/>
            </w:tcBorders>
            <w:vAlign w:val="center"/>
          </w:tcPr>
          <w:p w14:paraId="23644A42" w14:textId="77777777" w:rsidR="006144C5" w:rsidRPr="006144C5" w:rsidRDefault="006144C5" w:rsidP="006144C5">
            <w:pPr>
              <w:pStyle w:val="TableHeading"/>
              <w:rPr>
                <w:b w:val="0"/>
                <w:bCs w:val="0"/>
              </w:rPr>
            </w:pPr>
            <w:r w:rsidRPr="006144C5">
              <w:rPr>
                <w:b w:val="0"/>
                <w:bCs w:val="0"/>
              </w:rPr>
              <w:t>1000</w:t>
            </w:r>
          </w:p>
        </w:tc>
        <w:tc>
          <w:tcPr>
            <w:tcW w:w="1029" w:type="dxa"/>
            <w:tcBorders>
              <w:left w:val="dashSmallGap" w:sz="4" w:space="0" w:color="auto"/>
              <w:bottom w:val="single" w:sz="4" w:space="0" w:color="auto"/>
            </w:tcBorders>
            <w:vAlign w:val="center"/>
          </w:tcPr>
          <w:p w14:paraId="59819626" w14:textId="77777777" w:rsidR="006144C5" w:rsidRPr="006144C5" w:rsidRDefault="006144C5" w:rsidP="006144C5">
            <w:pPr>
              <w:pStyle w:val="TableHeading"/>
              <w:rPr>
                <w:b w:val="0"/>
                <w:bCs w:val="0"/>
              </w:rPr>
            </w:pPr>
            <w:r w:rsidRPr="006144C5">
              <w:rPr>
                <w:b w:val="0"/>
                <w:bCs w:val="0"/>
              </w:rPr>
              <w:t>20 (++++)</w:t>
            </w:r>
          </w:p>
        </w:tc>
        <w:tc>
          <w:tcPr>
            <w:tcW w:w="875" w:type="dxa"/>
            <w:tcBorders>
              <w:bottom w:val="single" w:sz="4" w:space="0" w:color="auto"/>
              <w:right w:val="dashSmallGap" w:sz="4" w:space="0" w:color="auto"/>
            </w:tcBorders>
            <w:vAlign w:val="center"/>
          </w:tcPr>
          <w:p w14:paraId="5B6A1748" w14:textId="77777777" w:rsidR="006144C5" w:rsidRPr="006144C5" w:rsidRDefault="006144C5" w:rsidP="006144C5">
            <w:pPr>
              <w:pStyle w:val="TableHeading"/>
              <w:rPr>
                <w:b w:val="0"/>
                <w:bCs w:val="0"/>
              </w:rPr>
            </w:pPr>
            <w:r w:rsidRPr="006144C5">
              <w:rPr>
                <w:b w:val="0"/>
                <w:bCs w:val="0"/>
              </w:rPr>
              <w:t>9894</w:t>
            </w:r>
          </w:p>
        </w:tc>
        <w:tc>
          <w:tcPr>
            <w:tcW w:w="982" w:type="dxa"/>
            <w:tcBorders>
              <w:left w:val="dashSmallGap" w:sz="4" w:space="0" w:color="auto"/>
              <w:bottom w:val="single" w:sz="4" w:space="0" w:color="auto"/>
            </w:tcBorders>
            <w:vAlign w:val="center"/>
          </w:tcPr>
          <w:p w14:paraId="100BF914" w14:textId="77777777" w:rsidR="006144C5" w:rsidRPr="006144C5" w:rsidRDefault="006144C5" w:rsidP="006144C5">
            <w:pPr>
              <w:pStyle w:val="TableHeading"/>
              <w:rPr>
                <w:b w:val="0"/>
                <w:bCs w:val="0"/>
              </w:rPr>
            </w:pPr>
            <w:r w:rsidRPr="006144C5">
              <w:rPr>
                <w:b w:val="0"/>
                <w:bCs w:val="0"/>
              </w:rPr>
              <w:t>11 (0A00)</w:t>
            </w:r>
          </w:p>
        </w:tc>
        <w:tc>
          <w:tcPr>
            <w:tcW w:w="1176" w:type="dxa"/>
            <w:tcBorders>
              <w:bottom w:val="single" w:sz="4" w:space="0" w:color="auto"/>
              <w:right w:val="dashSmallGap" w:sz="4" w:space="0" w:color="auto"/>
            </w:tcBorders>
            <w:vAlign w:val="center"/>
          </w:tcPr>
          <w:p w14:paraId="365F3887" w14:textId="77777777" w:rsidR="006144C5" w:rsidRPr="006144C5" w:rsidRDefault="006144C5" w:rsidP="006144C5">
            <w:pPr>
              <w:pStyle w:val="TableHeading"/>
              <w:rPr>
                <w:b w:val="0"/>
                <w:bCs w:val="0"/>
              </w:rPr>
            </w:pPr>
            <w:r w:rsidRPr="006144C5">
              <w:rPr>
                <w:b w:val="0"/>
                <w:bCs w:val="0"/>
              </w:rPr>
              <w:t>11,003.84</w:t>
            </w:r>
          </w:p>
        </w:tc>
        <w:tc>
          <w:tcPr>
            <w:tcW w:w="1016" w:type="dxa"/>
            <w:tcBorders>
              <w:left w:val="dashSmallGap" w:sz="4" w:space="0" w:color="auto"/>
              <w:bottom w:val="single" w:sz="4" w:space="0" w:color="auto"/>
            </w:tcBorders>
            <w:vAlign w:val="center"/>
          </w:tcPr>
          <w:p w14:paraId="7E0858B9" w14:textId="77777777" w:rsidR="006144C5" w:rsidRPr="006144C5" w:rsidRDefault="006144C5" w:rsidP="006144C5">
            <w:pPr>
              <w:pStyle w:val="TableHeading"/>
              <w:rPr>
                <w:b w:val="0"/>
                <w:bCs w:val="0"/>
              </w:rPr>
            </w:pPr>
            <w:r w:rsidRPr="006144C5">
              <w:rPr>
                <w:b w:val="0"/>
                <w:bCs w:val="0"/>
              </w:rPr>
              <w:t>15 (00A0)</w:t>
            </w:r>
          </w:p>
        </w:tc>
        <w:tc>
          <w:tcPr>
            <w:tcW w:w="1176" w:type="dxa"/>
            <w:tcBorders>
              <w:bottom w:val="single" w:sz="4" w:space="0" w:color="auto"/>
            </w:tcBorders>
            <w:vAlign w:val="center"/>
          </w:tcPr>
          <w:p w14:paraId="2140AE90" w14:textId="77777777" w:rsidR="006144C5" w:rsidRPr="006144C5" w:rsidRDefault="006144C5" w:rsidP="006144C5">
            <w:pPr>
              <w:pStyle w:val="TableHeading"/>
              <w:rPr>
                <w:b w:val="0"/>
                <w:bCs w:val="0"/>
              </w:rPr>
            </w:pPr>
            <w:r w:rsidRPr="006144C5">
              <w:rPr>
                <w:b w:val="0"/>
                <w:bCs w:val="0"/>
              </w:rPr>
              <w:t>11,003.98</w:t>
            </w:r>
          </w:p>
        </w:tc>
      </w:tr>
    </w:tbl>
    <w:p w14:paraId="1052CEFA" w14:textId="77777777" w:rsidR="006144C5" w:rsidRDefault="006144C5" w:rsidP="006144C5">
      <w:pPr>
        <w:pStyle w:val="TableHeading"/>
      </w:pPr>
    </w:p>
    <w:p w14:paraId="14A14A08" w14:textId="46B463BC" w:rsidR="006144C5" w:rsidRDefault="006144C5" w:rsidP="006144C5">
      <w:pPr>
        <w:pStyle w:val="TableHeading"/>
      </w:pPr>
      <w:r w:rsidRPr="006144C5">
        <w:rPr>
          <w:rFonts w:eastAsia="Calibri"/>
          <w:b w:val="0"/>
          <w:bCs w:val="0"/>
          <w:noProof/>
          <w:sz w:val="22"/>
          <w:szCs w:val="22"/>
        </w:rPr>
        <w:drawing>
          <wp:anchor distT="0" distB="0" distL="114300" distR="114300" simplePos="0" relativeHeight="251666432" behindDoc="1" locked="0" layoutInCell="1" allowOverlap="1" wp14:anchorId="1162F978" wp14:editId="4687755A">
            <wp:simplePos x="0" y="0"/>
            <wp:positionH relativeFrom="margin">
              <wp:posOffset>835918</wp:posOffset>
            </wp:positionH>
            <wp:positionV relativeFrom="paragraph">
              <wp:posOffset>5666</wp:posOffset>
            </wp:positionV>
            <wp:extent cx="3966210" cy="2969895"/>
            <wp:effectExtent l="0" t="0" r="0" b="1905"/>
            <wp:wrapNone/>
            <wp:docPr id="1853919410" name="Picture 185391941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19410" name="Picture 1" descr="A diagram of a graph&#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6210" cy="2969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70584" w14:textId="77777777" w:rsidR="006144C5" w:rsidRDefault="006144C5" w:rsidP="006144C5">
      <w:pPr>
        <w:pStyle w:val="FigureCaption"/>
      </w:pPr>
    </w:p>
    <w:p w14:paraId="31871E83" w14:textId="77777777" w:rsidR="006144C5" w:rsidRDefault="006144C5" w:rsidP="006144C5">
      <w:pPr>
        <w:pStyle w:val="FigureCaption"/>
      </w:pPr>
    </w:p>
    <w:p w14:paraId="4CF89B30" w14:textId="77777777" w:rsidR="006144C5" w:rsidRDefault="006144C5" w:rsidP="006144C5">
      <w:pPr>
        <w:pStyle w:val="FigureCaption"/>
      </w:pPr>
    </w:p>
    <w:p w14:paraId="0820F8CC" w14:textId="77777777" w:rsidR="006144C5" w:rsidRDefault="006144C5" w:rsidP="006144C5">
      <w:pPr>
        <w:pStyle w:val="FigureCaption"/>
      </w:pPr>
    </w:p>
    <w:p w14:paraId="29477BD1" w14:textId="77777777" w:rsidR="006144C5" w:rsidRDefault="006144C5" w:rsidP="006144C5">
      <w:pPr>
        <w:pStyle w:val="FigureCaption"/>
      </w:pPr>
    </w:p>
    <w:p w14:paraId="7C2A6703" w14:textId="77777777" w:rsidR="006144C5" w:rsidRDefault="006144C5" w:rsidP="006144C5">
      <w:pPr>
        <w:pStyle w:val="FigureCaption"/>
      </w:pPr>
    </w:p>
    <w:p w14:paraId="0F159B05" w14:textId="77777777" w:rsidR="006144C5" w:rsidRDefault="006144C5" w:rsidP="006144C5">
      <w:pPr>
        <w:pStyle w:val="FigureCaption"/>
      </w:pPr>
    </w:p>
    <w:p w14:paraId="5D059058" w14:textId="77777777" w:rsidR="006144C5" w:rsidRDefault="006144C5" w:rsidP="006144C5">
      <w:pPr>
        <w:pStyle w:val="FigureCaption"/>
      </w:pPr>
    </w:p>
    <w:p w14:paraId="67E9D1BF" w14:textId="77777777" w:rsidR="006144C5" w:rsidRDefault="006144C5" w:rsidP="006144C5">
      <w:pPr>
        <w:pStyle w:val="FigureCaption"/>
      </w:pPr>
    </w:p>
    <w:p w14:paraId="47A7FD9A" w14:textId="77777777" w:rsidR="006144C5" w:rsidRDefault="006144C5" w:rsidP="006144C5">
      <w:pPr>
        <w:pStyle w:val="FigureCaption"/>
      </w:pPr>
    </w:p>
    <w:p w14:paraId="5898E8BE" w14:textId="77777777" w:rsidR="006144C5" w:rsidRDefault="006144C5" w:rsidP="006144C5">
      <w:pPr>
        <w:pStyle w:val="FigureCaption"/>
      </w:pPr>
    </w:p>
    <w:p w14:paraId="66F7EF70" w14:textId="6B17ACC2" w:rsidR="006144C5" w:rsidRDefault="006144C5" w:rsidP="006144C5">
      <w:pPr>
        <w:pStyle w:val="FigureCaption"/>
      </w:pPr>
      <w:r>
        <w:t>Figure 2.5</w:t>
      </w:r>
      <w:r w:rsidRPr="006144C5">
        <w:rPr>
          <w:rFonts w:eastAsiaTheme="minorHAnsi"/>
          <w:b w:val="0"/>
          <w:bCs w:val="0"/>
          <w:noProof w:val="0"/>
          <w:sz w:val="20"/>
          <w:szCs w:val="20"/>
        </w:rPr>
        <w:t xml:space="preserve"> </w:t>
      </w:r>
      <w:r w:rsidRPr="006144C5">
        <w:rPr>
          <w:b w:val="0"/>
          <w:bCs w:val="0"/>
        </w:rPr>
        <w:t>Comparison of figures of merit obtained from experimental data vs model calculations</w:t>
      </w:r>
      <w:r w:rsidRPr="006144C5">
        <w:t xml:space="preserve"> </w:t>
      </w:r>
      <w:r>
        <w:br w:type="page"/>
      </w:r>
    </w:p>
    <w:p w14:paraId="7C645C89" w14:textId="14CBBBFF" w:rsidR="00195CAD" w:rsidRPr="00195CAD" w:rsidRDefault="00195CAD" w:rsidP="006144C5">
      <w:pPr>
        <w:ind w:firstLine="0"/>
      </w:pPr>
      <w:r w:rsidRPr="00195CAD">
        <w:lastRenderedPageBreak/>
        <w:t>removed from the set, as the flexural modulus predicted by the model fell outside of the acceptable threshold.</w:t>
      </w:r>
    </w:p>
    <w:p w14:paraId="226AF5CC" w14:textId="09BB76F5" w:rsidR="00195CAD" w:rsidRDefault="00195CAD" w:rsidP="00195CAD">
      <w:pPr>
        <w:pStyle w:val="MajorHeadings"/>
      </w:pPr>
      <w:bookmarkStart w:id="38" w:name="_Toc190951793"/>
      <w:r>
        <w:t>2.4 Conclusions</w:t>
      </w:r>
      <w:bookmarkEnd w:id="38"/>
    </w:p>
    <w:p w14:paraId="4E84B542" w14:textId="28866376" w:rsidR="001E2BDE" w:rsidRDefault="00195CAD" w:rsidP="00195CAD">
      <w:r w:rsidRPr="00195CAD">
        <w:t>In this study, paper fiber-based composite laminates were manufactured under a variety of compression molding conditions to better understand the effects of fiber reinforcement concentration, compression molding temperature, compression molding pressure and compression molding on composite density, panel thickness, water uptake behavior, flexural behavior and Izod impact strength. A central composite designed experiment was applied to understand the interaction effects between the processing parameters and develop regression models for comparison of the impacts of each parameter. Ultimately, this analysis indicated that paper fiber content played the largest role in composite performance, followed by processing time, compression molding pressure, and processing temperature in order of importance. Manufacturing cycle optimization was analyzed using objective function analysis with penalties applied for undesirable processing conditions, such as long cycle times or low fiber content. This analysis revealed that the optimum set of processing conditions is highly dependent on one’s priorities. If long processing times are unwanted but fiber content is unimportant, a 45 wt.% paper fiber panel produced with short cycle time and low temperature, but high compression molding pressure is favored. Likewise, if high paper fiber content is critical, then a panel with 70 wt.% paper fiber is favored, but it requires intense processing conditions to achieve adequate consolidation. These results can therefore be used to guide manufacturing decisions based on the priorities of the composite manufacturer.</w:t>
      </w:r>
    </w:p>
    <w:p w14:paraId="46A265B5" w14:textId="77777777" w:rsidR="001E2BDE" w:rsidRDefault="001E2BDE">
      <w:pPr>
        <w:spacing w:after="160" w:line="259" w:lineRule="auto"/>
        <w:ind w:firstLine="0"/>
        <w:jc w:val="left"/>
      </w:pPr>
      <w:r>
        <w:br w:type="page"/>
      </w:r>
    </w:p>
    <w:p w14:paraId="1E1F3006" w14:textId="64150836" w:rsidR="001E2BDE" w:rsidRPr="00F037FF" w:rsidRDefault="001E2BDE" w:rsidP="00F037FF">
      <w:pPr>
        <w:pStyle w:val="Heading1"/>
        <w:ind w:firstLine="0"/>
        <w:rPr>
          <w:b w:val="0"/>
          <w:bCs w:val="0"/>
        </w:rPr>
      </w:pPr>
      <w:bookmarkStart w:id="39" w:name="_Toc190951794"/>
      <w:r>
        <w:lastRenderedPageBreak/>
        <w:t xml:space="preserve">Chapter </w:t>
      </w:r>
      <w:r w:rsidR="00C516CB">
        <w:t>3</w:t>
      </w:r>
      <w:r w:rsidR="00F037FF">
        <w:rPr>
          <w:b w:val="0"/>
          <w:bCs w:val="0"/>
        </w:rPr>
        <w:br/>
      </w:r>
      <w:r w:rsidRPr="001E2BDE">
        <w:t>Development of an Automotive-Relevant Recycling Process for Paper Fiber-Reinforced Polypropylene Composites</w:t>
      </w:r>
      <w:bookmarkEnd w:id="39"/>
    </w:p>
    <w:p w14:paraId="69292400" w14:textId="77777777" w:rsidR="001E2BDE" w:rsidRDefault="001E2BDE">
      <w:pPr>
        <w:spacing w:after="160" w:line="259" w:lineRule="auto"/>
        <w:ind w:firstLine="0"/>
        <w:jc w:val="left"/>
        <w:rPr>
          <w:rFonts w:eastAsiaTheme="majorEastAsia"/>
          <w:b/>
          <w:bCs/>
          <w:sz w:val="56"/>
          <w:szCs w:val="56"/>
        </w:rPr>
      </w:pPr>
      <w:r>
        <w:br w:type="page"/>
      </w:r>
    </w:p>
    <w:p w14:paraId="34C29079" w14:textId="1A1C5201" w:rsidR="001E2BDE" w:rsidRPr="001E2BDE" w:rsidRDefault="001E2BDE" w:rsidP="001E2BDE">
      <w:pPr>
        <w:ind w:firstLine="0"/>
        <w:rPr>
          <w:rFonts w:eastAsiaTheme="majorEastAsia"/>
        </w:rPr>
      </w:pPr>
      <w:r>
        <w:rPr>
          <w:rFonts w:eastAsiaTheme="majorEastAsia"/>
        </w:rPr>
        <w:lastRenderedPageBreak/>
        <w:t xml:space="preserve">Note: </w:t>
      </w:r>
      <w:r w:rsidRPr="001E2BDE">
        <w:rPr>
          <w:rFonts w:eastAsiaTheme="majorEastAsia"/>
        </w:rPr>
        <w:t>This chapter is published in recycling. Citation:</w:t>
      </w:r>
      <w:r>
        <w:rPr>
          <w:rFonts w:eastAsiaTheme="majorEastAsia"/>
        </w:rPr>
        <w:t xml:space="preserve"> </w:t>
      </w:r>
      <w:r w:rsidRPr="001E2BDE">
        <w:rPr>
          <w:rFonts w:eastAsiaTheme="majorEastAsia"/>
          <w:b/>
          <w:bCs/>
        </w:rPr>
        <w:t>C. Grubb</w:t>
      </w:r>
      <w:r w:rsidRPr="001E2BDE">
        <w:rPr>
          <w:rFonts w:eastAsiaTheme="majorEastAsia"/>
        </w:rPr>
        <w:t xml:space="preserve">, M. </w:t>
      </w:r>
      <w:proofErr w:type="spellStart"/>
      <w:r w:rsidRPr="001E2BDE">
        <w:rPr>
          <w:rFonts w:eastAsiaTheme="majorEastAsia"/>
        </w:rPr>
        <w:t>Mokhtarnejad</w:t>
      </w:r>
      <w:proofErr w:type="spellEnd"/>
      <w:r w:rsidRPr="001E2BDE">
        <w:rPr>
          <w:rFonts w:eastAsiaTheme="majorEastAsia"/>
        </w:rPr>
        <w:t xml:space="preserve">, J. Greene, J. Misasi, D. Keffer, M. Kardos, H. Mainka, &amp; D. Harper. (2024). Development of an automotive-relevant recycling process for paper fiber-reinforced polypropylene composites. </w:t>
      </w:r>
      <w:r w:rsidRPr="001E2BDE">
        <w:rPr>
          <w:rFonts w:eastAsiaTheme="majorEastAsia"/>
          <w:i/>
          <w:iCs/>
        </w:rPr>
        <w:t>Recycling, 9</w:t>
      </w:r>
      <w:r w:rsidRPr="001E2BDE">
        <w:rPr>
          <w:rFonts w:eastAsiaTheme="majorEastAsia"/>
        </w:rPr>
        <w:t xml:space="preserve">(6), 126. </w:t>
      </w:r>
      <w:hyperlink r:id="rId19" w:tgtFrame="_new" w:history="1">
        <w:r w:rsidRPr="001E2BDE">
          <w:rPr>
            <w:rStyle w:val="Hyperlink"/>
            <w:rFonts w:eastAsiaTheme="majorEastAsia"/>
          </w:rPr>
          <w:t>https://doi.org/10.3390/recycling9060126</w:t>
        </w:r>
      </w:hyperlink>
    </w:p>
    <w:p w14:paraId="40FE065A" w14:textId="4B82B718" w:rsidR="001E2BDE" w:rsidRDefault="001E2BDE" w:rsidP="001E2BDE">
      <w:pPr>
        <w:ind w:firstLine="0"/>
        <w:rPr>
          <w:rFonts w:eastAsiaTheme="majorEastAsia"/>
        </w:rPr>
      </w:pPr>
      <w:r w:rsidRPr="001E2BDE">
        <w:rPr>
          <w:rFonts w:eastAsiaTheme="majorEastAsia"/>
        </w:rPr>
        <w:t>(Reproduced with permission from MDPI</w:t>
      </w:r>
      <w:r>
        <w:rPr>
          <w:rFonts w:eastAsiaTheme="majorEastAsia"/>
        </w:rPr>
        <w:t>)</w:t>
      </w:r>
    </w:p>
    <w:p w14:paraId="7696F51D" w14:textId="77777777" w:rsidR="001E2BDE" w:rsidRPr="001E2BDE" w:rsidRDefault="001E2BDE" w:rsidP="001E2BDE">
      <w:pPr>
        <w:ind w:firstLine="0"/>
        <w:rPr>
          <w:rFonts w:eastAsiaTheme="majorEastAsia"/>
        </w:rPr>
      </w:pPr>
    </w:p>
    <w:p w14:paraId="21DFF9FF" w14:textId="37D74C97" w:rsidR="00195CAD" w:rsidRDefault="001E2BDE" w:rsidP="001E2BDE">
      <w:pPr>
        <w:pStyle w:val="MajorHeadings"/>
      </w:pPr>
      <w:bookmarkStart w:id="40" w:name="_Toc190951795"/>
      <w:r>
        <w:t>Abstract</w:t>
      </w:r>
      <w:bookmarkEnd w:id="40"/>
    </w:p>
    <w:p w14:paraId="6F1A6D9C" w14:textId="77777777" w:rsidR="001E2BDE" w:rsidRPr="001E2BDE" w:rsidRDefault="001E2BDE" w:rsidP="001E2BDE">
      <w:pPr>
        <w:ind w:firstLine="0"/>
      </w:pPr>
      <w:r w:rsidRPr="001E2BDE">
        <w:t>The automotive industry is under growing pressure from regulatory agencies to improve the recyclability of their plastic components. Simultaneously, manufacturers are adopting natural fiber composites in vehicles to reduce carbon footprints and decrease reliance on petroleum-based materials. This presents a challenge at vehicle end-of-life however, as natural fiber-reinforced polymers are substantially more difficult to recycle than their unreinforced counterparts. This study investigated the development of a mechanical recycling process for paper fiber-reinforced polypropylene composites, focusing on the impact of injection molding parameters—specifically, injection temperature and rate—on the thermal, mechanical, and water uptake properties of the composites. The results showed that processing temperature had a greater influence on composite performance than injection rate, with some limited interaction effects between the two. Higher processing intensity damaged the paper fibers, increasing the number of nucleation sites and resulting in greater polypropylene crystallinity. These structural changes reduced tensile properties at higher intensities, while flexural properties improved. Objective function analysis was applied to identify optimal processing conditions, balancing these competing trends. Overall, the findings demonstrate that paper fiber-reinforced polypropylene composites can be recycled into automotive relevant injection molding compounds using conventional plastic manufacturing techniques, though careful tuning of processing parameters is essential to achieve optimal performance.</w:t>
      </w:r>
    </w:p>
    <w:p w14:paraId="63EBF35B" w14:textId="77777777" w:rsidR="001E2BDE" w:rsidRPr="001E2BDE" w:rsidRDefault="001E2BDE" w:rsidP="001E2BDE"/>
    <w:p w14:paraId="6DE3C34C" w14:textId="77777777" w:rsidR="001E2BDE" w:rsidRPr="001E2BDE" w:rsidRDefault="001E2BDE" w:rsidP="001E2BDE">
      <w:pPr>
        <w:ind w:firstLine="0"/>
      </w:pPr>
      <w:r w:rsidRPr="001E2BDE">
        <w:t>Keywords: recycling, polypropylene, composites, paper fibers, injection molding, sustainability, automotive</w:t>
      </w:r>
    </w:p>
    <w:p w14:paraId="5A806C81" w14:textId="77777777" w:rsidR="001E2BDE" w:rsidRDefault="001E2BDE" w:rsidP="001E2BDE">
      <w:pPr>
        <w:pStyle w:val="MajorHeadings"/>
      </w:pPr>
    </w:p>
    <w:p w14:paraId="36458AC4" w14:textId="52E9481D" w:rsidR="001E2BDE" w:rsidRDefault="001E2BDE" w:rsidP="001E2BDE">
      <w:pPr>
        <w:pStyle w:val="MajorHeadings"/>
      </w:pPr>
      <w:bookmarkStart w:id="41" w:name="_Toc190951796"/>
      <w:r>
        <w:lastRenderedPageBreak/>
        <w:t>3.1 Introduction</w:t>
      </w:r>
      <w:bookmarkEnd w:id="41"/>
    </w:p>
    <w:p w14:paraId="7D063731" w14:textId="77777777" w:rsidR="001E2BDE" w:rsidRPr="001E2BDE" w:rsidRDefault="001E2BDE" w:rsidP="001E2BDE">
      <w:r w:rsidRPr="001E2BDE">
        <w:t xml:space="preserve">The automotive industry has become increasingly interested in using natural fiber reinforced composites in recent years, as the industry moves toward a goal of net-zero carbon emissions by the mid-twenty first century. Natural fibers offer advantages over conventional reinforcement materials, such as glass or carbon, including comparatively low cost, low density, favorable acoustic properties, wide global availability and inherently low carbon footprint </w:t>
      </w:r>
      <w:r w:rsidRPr="001E2BDE">
        <w:fldChar w:fldCharType="begin"/>
      </w:r>
      <w:r w:rsidRPr="001E2BDE">
        <w:instrText xml:space="preserve"> ADDIN ZOTERO_ITEM CSL_CITATION {"citationID":"lKWuAdNo","properties":{"formattedCitation":"[22,45]","plainCitation":"[22,45]","noteIndex":0},"citationItems":[{"id":1116,"uris":["http://zotero.org/users/3415649/items/E793RM4Q"],"itemData":{"id":1116,"type":"article-journal","abstract":"This study provides a bibliographic review in the broad ﬁeld of green composites seeking-out for materials with a potential to be applied in the near future on automotive body panels. Hereupon, materials deriving from renewable resources will be preferred as opposed to the exhaustible fossil products. With the technical information of bio-polymers and natural reinforcements a database was created with the mechanical performance of several possible components for the prospect green composite. Following the review, an assessment is performed where aspects of suitability for the candidate elements in terms of mechanical properties are analyzed. In that section, renewable materials for matrix and reinforcement are screened accordingly in order to identify which hold both adequate strength and stiffness performance along with affordable cost so as to be a promising proposal for a green composite.","container-title":"Composites Part B: Engineering","DOI":"10.1016/j.compositesb.2012.07.004","ISSN":"13598368","issue":"1","journalAbbreviation":"Composites Part B: Engineering","language":"en","page":"120-127","source":"DOI.org (Crossref)","title":"Green composites: A review of adequate materials for automotive applications","title-short":"Green composites","volume":"44","author":[{"family":"Koronis","given":"Georgios"},{"family":"Silva","given":"Arlindo"},{"family":"Fontul","given":"Mihail"}],"issued":{"date-parts":[["2013",1]]}}},{"id":1724,"uris":["http://zotero.org/users/3415649/items/9DD2NSRV"],"itemData":{"id":1724,"type":"article-journal","abstract":"In the contemporary world, natural fibers reinforced polymer composite (NFRPC) materials are of great interest owing to their eco-friendly nature, lightweight, life-cycle superiority, biodegradability, low cost, noble me­ chanical properties. NFRPCs are widely applied in various engineering applications and this research field is continuously developing. However, the researchers are facing numerous challenges regarding the developments and applications of NFPRCs due to the inherent characteristics of natural fibers (NFs). These challenges include quality of the fiber, thermal stability, water absorption capacity, and incompatibility with the polymer matrices. Ecological and economic concerns are animating new research in the field of NFRPCs. Furthermore, considerable research is carried out to improve the performance of NFRPCs in recent years. This review highlights some of the important breakthroughs associated with the NFRPCs in terms of sustainability, eco-friendliness, and economic perspective. It also includes hybridization of NFs with synthetic fibers which is a highly effective way of improving the mechanical properties of NFRPCs along with some chemical treatment procedures. This review also elucidates the significance of using numerical models for NFRPCs. Finally, conclusions and recommenda­ tions are drawn to assist the researchers with future research directions.","container-title":"Results in Engineering","DOI":"10.1016/j.rineng.2021.100263","ISSN":"25901230","journalAbbreviation":"Results in Engineering","language":"en","page":"100263","source":"DOI.org (Crossref)","title":"Natural fiber reinforced composites: Sustainable materials for emerging applications","title-short":"Natural fiber reinforced composites","volume":"11","author":[{"family":"Khalid","given":"Muhammad Yasir"},{"family":"Al Rashid","given":"Ans"},{"family":"Arif","given":"Zia Ullah"},{"family":"Ahmed","given":"Waqas"},{"family":"Arshad","given":"Hassan"},{"family":"Zaidi","given":"Asad Ali"}],"issued":{"date-parts":[["2021",9]]}}}],"schema":"https://github.com/citation-style-language/schema/raw/master/csl-citation.json"} </w:instrText>
      </w:r>
      <w:r w:rsidRPr="001E2BDE">
        <w:fldChar w:fldCharType="separate"/>
      </w:r>
      <w:r w:rsidRPr="001E2BDE">
        <w:t>[22,45]</w:t>
      </w:r>
      <w:r w:rsidRPr="001E2BDE">
        <w:fldChar w:fldCharType="end"/>
      </w:r>
      <w:r w:rsidRPr="001E2BDE">
        <w:t>. There are considerable disadvantages associated with natural fibers however, such as material variability, high moisture sensitivity, low micro-</w:t>
      </w:r>
      <w:proofErr w:type="spellStart"/>
      <w:r w:rsidRPr="001E2BDE">
        <w:t>bial</w:t>
      </w:r>
      <w:proofErr w:type="spellEnd"/>
      <w:r w:rsidRPr="001E2BDE">
        <w:t xml:space="preserve"> resistance, low degradation temperature, and limited compatibility with polymer matrices </w:t>
      </w:r>
      <w:r w:rsidRPr="001E2BDE">
        <w:fldChar w:fldCharType="begin"/>
      </w:r>
      <w:r w:rsidRPr="001E2BDE">
        <w:instrText xml:space="preserve"> ADDIN ZOTERO_ITEM CSL_CITATION {"citationID":"cTDgwfak","properties":{"formattedCitation":"[50\\uc0\\u8211{}52,55]","plainCitation":"[50–52,55]","noteIndex":0},"citationItems":[{"id":1734,"uris":["http://zotero.org/users/3415649/items/UYB3SCSE"],"itemData":{"id":1734,"type":"article-journal","abstract":"In this review, previous studies about the properties and applications of natural fiber composites in the aerospace and automobile fields will be discussed. Natural fiber composites are a better alternate to the existing artificial fiber composites due to their advantages, e.g. lightweight, cheaper and, most importantly, their environmental aspects and biodegradability. Since ancient times, natural fibers have been used for preparing walls, baskets, ropes, clothes, and many more products. More recently, natural fibers such as jute, kenaf, sisal, hemp, and flax have been used in the engineering production field. Natural fiber composites are used increasingly in the aerospace and automotive industries. Nowadays, natural fiber composites and artificial composites are being compared by researchers to find the most appropriate materials for engineering fields. Researchers are also more focused on natural fibers due to their biodegradability and low production cost. Assessments of the materials used in aircraft parts and panel structures have been made to study the potential of using natural fiber composites instead.","container-title":"Journal of Reinforced Plastics and Composites","DOI":"10.1177/0731684418756762","ISSN":"0731-6844, 1530-7964","issue":"11","journalAbbreviation":"Journal of Reinforced Plastics and Composites","language":"en","page":"770-779","source":"DOI.org (Crossref)","title":"The challenges of natural fiber in manufacturing, material selection, and technology application: A review","title-short":"The challenges of natural fiber in manufacturing, material selection, and technology application","volume":"37","author":[{"family":"Khan","given":"Tabrej"},{"family":"Hameed Sultan","given":"Mohamed Thariq Bin"},{"family":"Ariffin","given":"Ahmad Hamdan"}],"issued":{"date-parts":[["2018",6]]}}},{"id":1736,"uris":["http://zotero.org/users/3415649/items/IRPSY6SD"],"itemData":{"id":1736,"type":"article-journal","abstract":"Owing to economic and environmental benefits, new generations of materials/ commodities follow “from waste to wealth” strategy. Recently, there has been a huge upsurge in research on the development of eco-composites using recycled plastic polymers and agro-residues because the eco-composites satisfy the stringent environment regulations and are cost-effective. Herein, we present a detailed review on the potential use of several types of natural fillers as an efficient reinforcement for recycled plastic polymers. In particular, the characterization of different categories of eco-composites according to their morphological, physical, thermal, and mechanical properties is extensively reviewed and their results are analyzed, compared, and highlighted. Furthermore, a framework to produce functional eco-composites, which includes functionalization of ingredients, critical issues on microstructural parameters, processing, and fabrication methods, is outlined and supported with sufficient data from the literature. Finally, the review outlines the emerging challenges and future prospects of eco-composites to be addressed by interested researchers to bridge the gap between research and commercialization of such a class of material. Overall, the acquired knowledge will guide researchers, scientists, and manufacturers to plan, select, and develop various forms of eco-composites with enhanced properties and optimized production processes.","container-title":"Journal of Applied Polymer Science","DOI":"10.1002/app.51284","ISSN":"0021-8995, 1097-4628","issue":"43","journalAbbreviation":"J of Applied Polymer Sci","language":"en","page":"51284","source":"DOI.org (Crossref)","title":"Progress and challenges in sustainability, compatibility, and production of &lt;span style=\"font-variant:small-caps;\"&gt;eco‐composites&lt;/span&gt; : A &lt;span style=\"font-variant:small-caps;\"&gt;state‐of‐art&lt;/span&gt; review","title-short":"Progress and challenges in sustainability, compatibility, and production of &lt;span style=\"font-variant","volume":"138","author":[{"family":"Nassar","given":"Mahmoud M. A."},{"family":"Alzebdeh","given":"Khalid I."},{"family":"Pervez","given":"Tasneem"},{"family":"Al‐Hinai","given":"Nasr"},{"family":"Munam","given":"Abdul"}],"issued":{"date-parts":[["2021",11,15]]}}},{"id":1706,"uris":["http://zotero.org/users/3415649/items/56WRNSMS"],"itemData":{"id":1706,"type":"article-journal","container-title":"Industrial Crops and Products","DOI":"10.1016/j.indcrop.2016.12.028","ISSN":"09266690","journalAbbreviation":"Industrial Crops and Products","language":"en","page":"1-9","source":"DOI.org (Crossref)","title":"Influence of flax fibre variety and year-to-year variability on composite properties","volume":"98","author":[{"family":"Haag","given":"Katharina"},{"family":"Padovani","given":"Justine"},{"family":"Fita","given":"Sergio"},{"family":"Trouvé","given":"Jean-Paul"},{"family":"Pineau","given":"Christophe"},{"family":"Hawkins","given":"Simon"},{"family":"De Jong","given":"Hein"},{"family":"Deyholos","given":"Michael K."},{"family":"Chabbert","given":"Brigitte"},{"family":"Müssig","given":"Jörg"},{"family":"Beaugrand","given":"Johnny"}],"issued":{"date-parts":[["2017",4]]}}},{"id":1714,"uris":["http://zotero.org/users/3415649/items/AVDQMUPK"],"itemData":{"id":1714,"type":"article-journal","abstract":"This paper outlines the chemical properties of natural fibers composites and discusses the latest trends in chemical modifications. In recent years, natural fibers reinforced composites have received a strong attention because of their light weight, nonabrasive, combustible, nontoxic, low cost and biodegradable properties. Chemical treatment of the natural fibers can clean the fiber surface, chemically modify the surface, stop the moisture absorption process and increase the surface roughness. A number of specific chemicals are used for chemical modifications of these composites. Such chemically modified are being used increasingly for engineering applications (particularly under hard working conditions). Thus, it becomes necessary to take care of the chemical properties of composites to ensure their long term stable behaviour in the practical applications. The detailed test results and observations are presented and conclusions are drawn.","container-title":"International Journal of Chemical Sciences","issue":"4","language":"en","page":"2223-2238","source":"Zotero","title":"A Review on Chemical Behavior of Natural Fiber Composites","volume":"14","author":[{"family":"Naidu","given":"A Lakshumu"},{"family":"Rao","given":"PSV Ramana"}],"issued":{"date-parts":[["2016"]]}}}],"schema":"https://github.com/citation-style-language/schema/raw/master/csl-citation.json"} </w:instrText>
      </w:r>
      <w:r w:rsidRPr="001E2BDE">
        <w:fldChar w:fldCharType="separate"/>
      </w:r>
      <w:r w:rsidRPr="001E2BDE">
        <w:t>[50–52,55]</w:t>
      </w:r>
      <w:r w:rsidRPr="001E2BDE">
        <w:fldChar w:fldCharType="end"/>
      </w:r>
      <w:r w:rsidRPr="001E2BDE">
        <w:t xml:space="preserve">. The low thermal stability of natural fibers in particular presents a problem for recycling, as reprocessing via standard polymer manufacturing techniques can lead to significant fiber degradation and poor material performance </w:t>
      </w:r>
      <w:r w:rsidRPr="001E2BDE">
        <w:fldChar w:fldCharType="begin"/>
      </w:r>
      <w:r w:rsidRPr="001E2BDE">
        <w:instrText xml:space="preserve"> ADDIN ZOTERO_ITEM CSL_CITATION {"citationID":"05M3gCLg","properties":{"formattedCitation":"[81]","plainCitation":"[81]","noteIndex":0},"citationItems":[{"id":1816,"uris":["http://zotero.org/users/3415649/items/WX2NDLUY"],"itemData":{"id":1816,"type":"chapter","abstract":"With increasing awareness about environmental concerns, Natural fiber composites (NFCs) have emerged as a potential replacement to traditional polymer composites, which are derived from nonrenewable resources and are nonbiodegradable. NFCs can be classified into green and partially green composites based on the polymer matrix used. NFCs have several advantages over traditional polymer composites leading to worldwide increase in their demand. In order to meet this demand, primary processing techniques should be developed exclusively for fabrication of NFCs. Injection molding process is the most extensively used process in the industry for the production of polymer composites. In this chapter, injection molding process parameters and the various issues and challenges during fabrication of NFCs using injection-molding process has been discussed.","container-title":"Green Biorenewable Biocomposites","edition":"0","ISBN":"978-0-429-17420-9","language":"en","note":"DOI: 10.1201/b18092-14","page":"293-308","publisher":"Apple Academic Press","source":"DOI.org (Crossref)","title":"Injection Molding of Natural Fiber Reinforced Composites","URL":"https://www.taylorfrancis.com/books/9781482252675/chapters/10.1201/b18092-14","editor":[{"family":"Thakur","given":"Vijay Kumar"},{"family":"Kessler","given":"Michael R."}],"accessed":{"date-parts":[["2024",6,7]]},"issued":{"date-parts":[["2016",1,5]]}}}],"schema":"https://github.com/citation-style-language/schema/raw/master/csl-citation.json"} </w:instrText>
      </w:r>
      <w:r w:rsidRPr="001E2BDE">
        <w:fldChar w:fldCharType="separate"/>
      </w:r>
      <w:r w:rsidRPr="001E2BDE">
        <w:t>[81]</w:t>
      </w:r>
      <w:r w:rsidRPr="001E2BDE">
        <w:fldChar w:fldCharType="end"/>
      </w:r>
      <w:r w:rsidRPr="001E2BDE">
        <w:t xml:space="preserve">. New European Union (EU) regulations require automotive manufacturers to increase the circularity of vehicle materials, with a specific focus on ensuring that plastic used in vehicles comes from </w:t>
      </w:r>
      <w:proofErr w:type="spellStart"/>
      <w:r w:rsidRPr="001E2BDE">
        <w:t>recy-cled</w:t>
      </w:r>
      <w:proofErr w:type="spellEnd"/>
      <w:r w:rsidRPr="001E2BDE">
        <w:t xml:space="preserve"> sources and is recyclable at a vehicle’s end-of-life (</w:t>
      </w:r>
      <w:proofErr w:type="spellStart"/>
      <w:r w:rsidRPr="001E2BDE">
        <w:t>EoL</w:t>
      </w:r>
      <w:proofErr w:type="spellEnd"/>
      <w:r w:rsidRPr="001E2BDE">
        <w:t xml:space="preserve">) </w:t>
      </w:r>
      <w:r w:rsidRPr="001E2BDE">
        <w:fldChar w:fldCharType="begin"/>
      </w:r>
      <w:r w:rsidRPr="001E2BDE">
        <w:instrText xml:space="preserve"> ADDIN ZOTERO_ITEM CSL_CITATION {"citationID":"gfNEHDbp","properties":{"formattedCitation":"[82]","plainCitation":"[82]","noteIndex":0},"citationItems":[{"id":1814,"uris":["http://zotero.org/users/3415649/items/9VG9IX6A"],"itemData":{"id":1814,"type":"document","language":"English","publisher":"European Commission","title":"Circular economy: improving design and end-of-life management of cars for more resource-efficient automotive sector","URL":"https://ec.europa.eu/commission/presscorner/detail/en/IP_23_3819","author":[{"family":"Jahnz","given":"Adalbert"},{"family":"Dejond","given":"Celia"}],"issued":{"date-parts":[["2023",7,13]]}}}],"schema":"https://github.com/citation-style-language/schema/raw/master/csl-citation.json"} </w:instrText>
      </w:r>
      <w:r w:rsidRPr="001E2BDE">
        <w:fldChar w:fldCharType="separate"/>
      </w:r>
      <w:r w:rsidRPr="001E2BDE">
        <w:t>[82]</w:t>
      </w:r>
      <w:r w:rsidRPr="001E2BDE">
        <w:fldChar w:fldCharType="end"/>
      </w:r>
      <w:r w:rsidRPr="001E2BDE">
        <w:t>.</w:t>
      </w:r>
    </w:p>
    <w:p w14:paraId="72803EEB" w14:textId="77777777" w:rsidR="001E2BDE" w:rsidRPr="001E2BDE" w:rsidRDefault="001E2BDE" w:rsidP="001E2BDE">
      <w:pPr>
        <w:rPr>
          <w:lang w:bidi="en-US"/>
        </w:rPr>
      </w:pPr>
      <w:r w:rsidRPr="001E2BDE">
        <w:t xml:space="preserve"> </w:t>
      </w:r>
      <w:r w:rsidRPr="001E2BDE">
        <w:tab/>
        <w:t xml:space="preserve">Our previous work studied the viability of paper-based composites for automotive applications </w:t>
      </w:r>
      <w:r w:rsidRPr="001E2BDE">
        <w:fldChar w:fldCharType="begin"/>
      </w:r>
      <w:r w:rsidRPr="001E2BDE">
        <w:instrText xml:space="preserve"> ADDIN ZOTERO_ITEM CSL_CITATION {"citationID":"t7eumn4J","properties":{"formattedCitation":"[80]","plainCitation":"[80]","noteIndex":0},"citationItems":[{"id":1698,"uris":["http://zotero.org/users/3415649/items/PPFPCYBM"],"itemData":{"id":1698,"type":"paper-conference","container-title":"SAMPE 2023","DOI":"10.33599/nasampe/s.23.0178","event-title":"SAMPE 2023","ISBN":"978-1-934551-43-1","language":"en","publisher":"NA SAMPE","source":"DOI.org (Crossref)","title":"Manufacturing and Characterization of Polypropylene-Paper Composites for Automotive Applications","URL":"https://www.nasampe.org/store/viewproduct.aspx?id=22046460","author":[{"family":"Grubb","given":"Cecile A."},{"family":"Kardos","given":"Marton"},{"family":"Webb","given":"Chris"},{"family":"Mainka","given":"Hendrik"},{"family":"Keffer","given":"David J."},{"family":"Harper","given":"David P."}],"accessed":{"date-parts":[["2023",10,4]]},"issued":{"date-parts":[["2023"]]}}}],"schema":"https://github.com/citation-style-language/schema/raw/master/csl-citation.json"} </w:instrText>
      </w:r>
      <w:r w:rsidRPr="001E2BDE">
        <w:fldChar w:fldCharType="separate"/>
      </w:r>
      <w:r w:rsidRPr="001E2BDE">
        <w:t>[80]</w:t>
      </w:r>
      <w:r w:rsidRPr="001E2BDE">
        <w:fldChar w:fldCharType="end"/>
      </w:r>
      <w:r w:rsidRPr="001E2BDE">
        <w:t xml:space="preserve">. For the automotive industry, paper fibers offer benefits over other commonly used natural fibers such as hemp, flax, or jute. Paper is produced at a substantially larger volume than these other fibers, at 500 million tons per year in 2020, as opposed to flax (830,000 tons/year), jute (2.5 million tons/year), and hemp (215,000 tons/year) </w:t>
      </w:r>
      <w:r w:rsidRPr="001E2BDE">
        <w:fldChar w:fldCharType="begin"/>
      </w:r>
      <w:r w:rsidRPr="001E2BDE">
        <w:instrText xml:space="preserve"> ADDIN ZOTERO_ITEM CSL_CITATION {"citationID":"NzN4Hg9U","properties":{"formattedCitation":"[23,83]","plainCitation":"[23,83]","noteIndex":0},"citationItems":[{"id":1112,"uris":["http://zotero.org/users/3415649/items/7SWD8H6Z"],"itemData":{"id":1112,"type":"article-journal","abstract":"In recent years, the amount of research on natural fibres and natural-fibre-based products has increased substantially. The reason for this increase is due to a greater awareness of the environment and the ever depleting trend of petroleum supplies. Natural fibre composites and in general, natural fibres have a big role to play towards a sustainable environmentally friendly future. The automotive industry is taking big steps toward a more eco-friendly product chain by implementing natural fibres as a base for making various components, such as seat backs, door panels, spare tyre and boot linings. The world production of natural fibres is increasing since the product base is increasing. Each year, more synthetic fibres and high energy consuming products are being replaced by natural-fibre-based products. The reason for this trend is not only due to an increased environmental awareness but also because natural fibres have excellent properties, such as light weight, and they have relatively low costs. This study attempts to review the most commercially important natural fibres and their automotive application and also looks at the properties, chemical composition and cost of some natural fibres being used in industry.","container-title":"Journal of Reinforced Plastics and Composites","DOI":"10.1177/0731684416633898","ISSN":"0731-6844, 1530-7964","issue":"13","journalAbbreviation":"Journal of Reinforced Plastics and Composites","language":"en","page":"1041-1050","source":"DOI.org (Crossref)","title":"A review of natural fibres, their sustainability and automotive applications","volume":"35","author":[{"family":"Dunne","given":"R"},{"family":"Desai","given":"D"},{"family":"Sadiku","given":"R"},{"family":"Jayaramudu","given":"J"}],"issued":{"date-parts":[["2016",7]]}}},{"id":1821,"uris":["http://zotero.org/users/3415649/items/RVSNWGN6"],"itemData":{"id":1821,"type":"chapter","container-title":"Environmental Management in Practice","ISBN":"978-953-307-358-3","language":"en","note":"DOI: 10.5772/23709","publisher":"InTech","source":"DOI.org (Crossref)","title":"Pollution Prevention in the Pulp and Paper Industries","URL":"http://www.intechopen.com/books/environmental-management-in-practice/pollution-prevention-in-the-pulp-and-paper-industries","editor":[{"family":"Broniewicz","given":"Elzbieta"}],"author":[{"family":"K.","given":"Bahar"},{"family":"Cetecioglu","given":"Zeynep"},{"family":"Ince","given":"Orhan"}],"accessed":{"date-parts":[["2024",6,7]]},"issued":{"date-parts":[["2011",6,21]]}}}],"schema":"https://github.com/citation-style-language/schema/raw/master/csl-citation.json"} </w:instrText>
      </w:r>
      <w:r w:rsidRPr="001E2BDE">
        <w:fldChar w:fldCharType="separate"/>
      </w:r>
      <w:r w:rsidRPr="001E2BDE">
        <w:t>[23,83]</w:t>
      </w:r>
      <w:r w:rsidRPr="001E2BDE">
        <w:fldChar w:fldCharType="end"/>
      </w:r>
      <w:r w:rsidRPr="001E2BDE">
        <w:t xml:space="preserve">. The pulp and paper industry also has well-developed quality control standards and methods which alleviate the variability issues typically seen with natural fibers </w:t>
      </w:r>
      <w:r w:rsidRPr="001E2BDE">
        <w:fldChar w:fldCharType="begin"/>
      </w:r>
      <w:r w:rsidRPr="001E2BDE">
        <w:instrText xml:space="preserve"> ADDIN ZOTERO_ITEM CSL_CITATION {"citationID":"7Fvzdn9o","properties":{"formattedCitation":"[62]","plainCitation":"[62]","noteIndex":0},"citationItems":[{"id":1722,"uris":["http://zotero.org/users/3415649/items/7BU8SQKK"],"itemData":{"id":1722,"type":"article-journal","container-title":"Analytical Chemistry","issue":"12","page":"87R-95R","title":"Pulp and Paper","volume":"67","author":[{"family":"Sithole","given":"B. Bruce"}],"issued":{"date-parts":[["1995",6,15]]}}}],"schema":"https://github.com/citation-style-language/schema/raw/master/csl-citation.json"} </w:instrText>
      </w:r>
      <w:r w:rsidRPr="001E2BDE">
        <w:fldChar w:fldCharType="separate"/>
      </w:r>
      <w:r w:rsidRPr="001E2BDE">
        <w:t>[62]</w:t>
      </w:r>
      <w:r w:rsidRPr="001E2BDE">
        <w:fldChar w:fldCharType="end"/>
      </w:r>
      <w:r w:rsidRPr="001E2BDE">
        <w:t xml:space="preserve">. Our previous study demonstrated that paper composites composed of 60 </w:t>
      </w:r>
      <w:proofErr w:type="spellStart"/>
      <w:r w:rsidRPr="001E2BDE">
        <w:t>wt</w:t>
      </w:r>
      <w:proofErr w:type="spellEnd"/>
      <w:r w:rsidRPr="001E2BDE">
        <w:t xml:space="preserve">% market pulp and 40% polypropylene exhibit promising material properties, including flexural strength, impact resistance, and water uptake suitable for automotive interior applications [25]. However, to ensure the successful commercialization of these composites, a comprehensive evaluation of </w:t>
      </w:r>
      <w:proofErr w:type="spellStart"/>
      <w:r w:rsidRPr="001E2BDE">
        <w:t>EoL</w:t>
      </w:r>
      <w:proofErr w:type="spellEnd"/>
      <w:r w:rsidRPr="001E2BDE">
        <w:t xml:space="preserve"> pathways and recycling feasibility is imperative. This is particularly true for automotive parts intended for the European market, given the EU’s forthcoming end-of-life vehicles (ELV) regulations, which require automotive companies to design vehicles for reuse and recycling </w:t>
      </w:r>
      <w:r w:rsidRPr="001E2BDE">
        <w:fldChar w:fldCharType="begin"/>
      </w:r>
      <w:r w:rsidRPr="001E2BDE">
        <w:instrText xml:space="preserve"> ADDIN ZOTERO_ITEM CSL_CITATION {"citationID":"b73fLRpp","properties":{"formattedCitation":"[82]","plainCitation":"[82]","noteIndex":0},"citationItems":[{"id":1814,"uris":["http://zotero.org/users/3415649/items/9VG9IX6A"],"itemData":{"id":1814,"type":"document","language":"English","publisher":"European Commission","title":"Circular economy: improving design and end-of-life management of cars for more resource-efficient automotive sector","URL":"https://ec.europa.eu/commission/presscorner/detail/en/IP_23_3819","author":[{"family":"Jahnz","given":"Adalbert"},{"family":"Dejond","given":"Celia"}],"issued":{"date-parts":[["2023",7,13]]}}}],"schema":"https://github.com/citation-style-language/schema/raw/master/csl-citation.json"} </w:instrText>
      </w:r>
      <w:r w:rsidRPr="001E2BDE">
        <w:fldChar w:fldCharType="separate"/>
      </w:r>
      <w:r w:rsidRPr="001E2BDE">
        <w:t>[82]</w:t>
      </w:r>
      <w:r w:rsidRPr="001E2BDE">
        <w:fldChar w:fldCharType="end"/>
      </w:r>
      <w:r w:rsidRPr="001E2BDE">
        <w:t xml:space="preserve">. </w:t>
      </w:r>
    </w:p>
    <w:p w14:paraId="3CFAC1C5" w14:textId="77777777" w:rsidR="001E2BDE" w:rsidRPr="001E2BDE" w:rsidRDefault="001E2BDE" w:rsidP="001E2BDE">
      <w:pPr>
        <w:rPr>
          <w:lang w:bidi="en-US"/>
        </w:rPr>
      </w:pPr>
      <w:r w:rsidRPr="001E2BDE">
        <w:lastRenderedPageBreak/>
        <w:t xml:space="preserve"> </w:t>
      </w:r>
      <w:r w:rsidRPr="001E2BDE">
        <w:tab/>
      </w:r>
      <w:r w:rsidRPr="001E2BDE">
        <w:rPr>
          <w:lang w:bidi="en-US"/>
        </w:rPr>
        <w:t xml:space="preserve">As previously mentioned, natural fiber composites present unique recycling challenges due to their limited thermal stability. This is especially true when focusing on mechanical recycling methods like extrusion, injection molding or other techniques that involve melting and reforming the material, rather than chemically breaking down the polymer into monomers or other molecular components. Despite this, mechanical recycling remains the most studied type of recycling within the natural fiber composites community given its wide industrial applicability. A recent review from Zhao </w:t>
      </w:r>
      <w:r w:rsidRPr="001E2BDE">
        <w:rPr>
          <w:i/>
          <w:iCs/>
          <w:lang w:bidi="en-US"/>
        </w:rPr>
        <w:t>et al.</w:t>
      </w:r>
      <w:r w:rsidRPr="001E2BDE">
        <w:rPr>
          <w:lang w:bidi="en-US"/>
        </w:rPr>
        <w:t xml:space="preserve"> describes the complex interplay of factors affecting recycled composite behavior, describing changes in properties such as mechanical behavior, thermal stability, crystallinity, hygroscopicity, durability during UV exposure, and rheological properties </w:t>
      </w:r>
      <w:r w:rsidRPr="001E2BDE">
        <w:rPr>
          <w:lang w:bidi="en-US"/>
        </w:rPr>
        <w:fldChar w:fldCharType="begin"/>
      </w:r>
      <w:r w:rsidRPr="001E2BDE">
        <w:rPr>
          <w:lang w:bidi="en-US"/>
        </w:rPr>
        <w:instrText xml:space="preserve"> ADDIN ZOTERO_ITEM CSL_CITATION {"citationID":"ArrYUqDB","properties":{"formattedCitation":"[84]","plainCitation":"[84]","noteIndex":0},"citationItems":[{"id":1168,"uris":["http://zotero.org/users/3415649/items/CTRI6NJX"],"itemData":{"id":1168,"type":"article-journal","abstract":"Natural fibers have been widely used for reinforcing polymers attributed to their sustainable nature, excellent stiffness to weight ratio, biodegradability, and low cost compared with synthetic fibers like carbon or glass fibers. Thermoplastic composites offer an advantage of recyclability after their service life, but challenges and oppor­ tunities remain in the recycling of natural fiber reinforced polymer composites (NFRPCs). This article summa­ rized the effects of reprocessing/recycling on the material properties of NFRPCs. The material properties considered include mechanical performance, thermal properties, hygroscopic behavior, viscoelasticity, degra­ dation, and durability. NFRPCs can generally be recycled approximately 4–6 times until their thermomechanical properties change. After recycling 7 times, the tensile strength of NFRPCs can decrease by 17%, and the tensile modulus can decrease by 28%. The mitigation approaches to overcome degradation of material properties of NFRPCs such as adding functional additives and virgin plastics are also discussed. The main challenges in these approaches such as degradation and incompatibility are discussed, and an effort is made to provide a rationale for reprocessing/recyclability assessment. Future applications of NFRPCs such as additive manufacturing and automotive part use are discussed.","container-title":"Resources, Conservation and Recycling","DOI":"10.1016/j.resconrec.2021.105962","ISSN":"09213449","journalAbbreviation":"Resources, Conservation and Recycling","language":"en","page":"105962","source":"DOI.org (Crossref)","title":"Recycling of natural fiber composites: Challenges and opportunities","title-short":"Recycling of natural fiber composites","volume":"177","author":[{"family":"Zhao","given":"Xianhui"},{"family":"Copenhaver","given":"Katie"},{"family":"Wang","given":"Lu"},{"family":"Korey","given":"Matthew"},{"family":"Gardner","given":"Douglas J."},{"family":"Li","given":"Kai"},{"family":"Lamm","given":"Meghan E."},{"family":"Kishore","given":"Vidya"},{"family":"Bhagia","given":"Samarthya"},{"family":"Tajvidi","given":"Mehdi"},{"family":"Tekinalp","given":"Halil"},{"family":"Oyedeji","given":"Oluwafemi"},{"family":"Wasti","given":"Sanjita"},{"family":"Webb","given":"Erin"},{"family":"Ragauskas","given":"Arthur J."},{"family":"Zhu","given":"Hongli"},{"family":"Peter","given":"William H."},{"family":"Ozcan","given":"Soydan"}],"issued":{"date-parts":[["2022",2]]}}}],"schema":"https://github.com/citation-style-language/schema/raw/master/csl-citation.json"} </w:instrText>
      </w:r>
      <w:r w:rsidRPr="001E2BDE">
        <w:rPr>
          <w:lang w:bidi="en-US"/>
        </w:rPr>
        <w:fldChar w:fldCharType="separate"/>
      </w:r>
      <w:r w:rsidRPr="001E2BDE">
        <w:rPr>
          <w:lang w:bidi="en-US"/>
        </w:rPr>
        <w:t>[84]</w:t>
      </w:r>
      <w:r w:rsidRPr="001E2BDE">
        <w:fldChar w:fldCharType="end"/>
      </w:r>
      <w:r w:rsidRPr="001E2BDE">
        <w:rPr>
          <w:lang w:bidi="en-US"/>
        </w:rPr>
        <w:t xml:space="preserve">. The general trends reported in the natural fiber recycling studies are presented in </w:t>
      </w:r>
      <w:r w:rsidRPr="001E2BDE">
        <w:rPr>
          <w:b/>
          <w:bCs/>
          <w:lang w:bidi="en-US"/>
        </w:rPr>
        <w:t>Table 3.1</w:t>
      </w:r>
      <w:r w:rsidRPr="001E2BDE">
        <w:rPr>
          <w:lang w:bidi="en-US"/>
        </w:rPr>
        <w:t xml:space="preserve">. It should be noted that different material systems can experience conflicting trends, as different polymers and fiber types can behave differently under identical conditions. For instance, Augier </w:t>
      </w:r>
      <w:r w:rsidRPr="001E2BDE">
        <w:rPr>
          <w:i/>
          <w:iCs/>
          <w:lang w:bidi="en-US"/>
        </w:rPr>
        <w:t>et al.</w:t>
      </w:r>
      <w:r w:rsidRPr="001E2BDE">
        <w:rPr>
          <w:lang w:bidi="en-US"/>
        </w:rPr>
        <w:t xml:space="preserve"> report that a wood-filled PVC composite experiences an increase in glass transition temperature with mechanical recycling, likely due to polymer crosslinking, while other research shows that similar systems with different matrix materials, such as polypropylene (PP) or polylactide (PLA), instead display a decrease in g</w:t>
      </w:r>
      <w:r w:rsidRPr="001E2BDE">
        <w:rPr>
          <w:lang w:val="en"/>
        </w:rPr>
        <w:t>lass transition temperature</w:t>
      </w:r>
      <w:r w:rsidRPr="001E2BDE">
        <w:rPr>
          <w:lang w:bidi="en-US"/>
        </w:rPr>
        <w:t xml:space="preserve"> (</w:t>
      </w:r>
      <w:proofErr w:type="spellStart"/>
      <w:r w:rsidRPr="001E2BDE">
        <w:rPr>
          <w:lang w:bidi="en-US"/>
        </w:rPr>
        <w:t>T</w:t>
      </w:r>
      <w:r w:rsidRPr="001E2BDE">
        <w:rPr>
          <w:vertAlign w:val="subscript"/>
          <w:lang w:bidi="en-US"/>
        </w:rPr>
        <w:t>g</w:t>
      </w:r>
      <w:proofErr w:type="spellEnd"/>
      <w:r w:rsidRPr="001E2BDE">
        <w:rPr>
          <w:lang w:bidi="en-US"/>
        </w:rPr>
        <w:t xml:space="preserve">) due to chain scission during reprocessing </w:t>
      </w:r>
      <w:r w:rsidRPr="001E2BDE">
        <w:rPr>
          <w:lang w:bidi="en-US"/>
        </w:rPr>
        <w:fldChar w:fldCharType="begin"/>
      </w:r>
      <w:r w:rsidRPr="001E2BDE">
        <w:rPr>
          <w:lang w:bidi="en-US"/>
        </w:rPr>
        <w:instrText xml:space="preserve"> ADDIN ZOTERO_ITEM CSL_CITATION {"citationID":"ehcXMQdm","properties":{"formattedCitation":"[85]","plainCitation":"[85]","noteIndex":0},"citationItems":[{"id":1483,"uris":["http://zotero.org/users/3415649/items/UI5Q6FXT"],"itemData":{"id":1483,"type":"article-journal","container-title":"Polymer Degradation and Stability","DOI":"10.1016/j.polymdegradstab.2007.04.010","ISSN":"01413910","issue":"7","journalAbbreviation":"Polymer Degradation and Stability","language":"en","page":"1169-1176","source":"DOI.org (Crossref)","title":"Influence of the wood fibre filler on the internal recycling of poly(vinyl chloride)-based composites","volume":"92","author":[{"family":"Augier","given":"Laurent"},{"family":"Sperone","given":"Gianluca"},{"family":"Vaca-Garcia","given":"Carlos"},{"family":"Borredon","given":"Marie-Elisabeth"}],"issued":{"date-parts":[["2007",7]]}}}],"schema":"https://github.com/citation-style-language/schema/raw/master/csl-citation.json"} </w:instrText>
      </w:r>
      <w:r w:rsidRPr="001E2BDE">
        <w:rPr>
          <w:lang w:bidi="en-US"/>
        </w:rPr>
        <w:fldChar w:fldCharType="separate"/>
      </w:r>
      <w:r w:rsidRPr="001E2BDE">
        <w:rPr>
          <w:lang w:bidi="en-US"/>
        </w:rPr>
        <w:t>[85]</w:t>
      </w:r>
      <w:r w:rsidRPr="001E2BDE">
        <w:fldChar w:fldCharType="end"/>
      </w:r>
      <w:r w:rsidRPr="001E2BDE">
        <w:rPr>
          <w:lang w:bidi="en-US"/>
        </w:rPr>
        <w:t xml:space="preserve">. As such, it is important to study the behavior of a specific natural fiber composite system during mechanical recycling, as behavior cannot be predicted from previous literature unless the material systems are identical. </w:t>
      </w:r>
    </w:p>
    <w:p w14:paraId="36538174" w14:textId="77777777" w:rsidR="009D7D66" w:rsidRDefault="001E2BDE" w:rsidP="001E2BDE">
      <w:pPr>
        <w:rPr>
          <w:lang w:bidi="en-US"/>
        </w:rPr>
      </w:pPr>
      <w:r w:rsidRPr="001E2BDE">
        <w:rPr>
          <w:lang w:bidi="en-US"/>
        </w:rPr>
        <w:t xml:space="preserve">This research aimed to develop an industrially relevant method for mechanically recycling the paper fiber-reinforced polypropylene composites that we previously developed into an injection molding compound with automotive relevant properties. Non-woven mats were produced from 60% market pulp and 40% polypropylene, then compression molded to produce composite laminates. These laminates were then size-reduced and compounded with additional polypropylene to produce an injection molding compound. This material was injection molded under various processing conditions to determine the bounds of the processing window. Thermal, mechanical, and moisture-uptake properties of the produced samples were studied to characterize trends in structure-property relationships of these composites. From this, processing conditions were </w:t>
      </w:r>
    </w:p>
    <w:p w14:paraId="0637AF09" w14:textId="77777777" w:rsidR="009D7D66" w:rsidRDefault="009D7D66" w:rsidP="009D7D66">
      <w:pPr>
        <w:pStyle w:val="TableHeading"/>
        <w:rPr>
          <w:b w:val="0"/>
          <w:bCs w:val="0"/>
          <w:lang w:bidi="en-US"/>
        </w:rPr>
      </w:pPr>
      <w:r w:rsidRPr="009D7D66">
        <w:rPr>
          <w:lang w:bidi="en-US"/>
        </w:rPr>
        <w:lastRenderedPageBreak/>
        <w:t xml:space="preserve">Table 3.1 </w:t>
      </w:r>
      <w:r w:rsidRPr="009D7D66">
        <w:rPr>
          <w:b w:val="0"/>
          <w:bCs w:val="0"/>
          <w:lang w:bidi="en-US"/>
        </w:rPr>
        <w:t>Reported material property changes during mechanical recycling of natural fiber composites. Fiber types used in the respective studies are included for reference.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696"/>
        <w:gridCol w:w="3224"/>
        <w:gridCol w:w="1142"/>
        <w:gridCol w:w="1242"/>
      </w:tblGrid>
      <w:tr w:rsidR="009D7D66" w:rsidRPr="009D7D66" w14:paraId="0E45D776" w14:textId="77777777" w:rsidTr="009D7D66">
        <w:trPr>
          <w:trHeight w:val="288"/>
          <w:jc w:val="center"/>
        </w:trPr>
        <w:tc>
          <w:tcPr>
            <w:tcW w:w="1753" w:type="pct"/>
            <w:gridSpan w:val="2"/>
            <w:tcBorders>
              <w:top w:val="single" w:sz="4" w:space="0" w:color="auto"/>
              <w:bottom w:val="single" w:sz="4" w:space="0" w:color="auto"/>
            </w:tcBorders>
            <w:vAlign w:val="center"/>
          </w:tcPr>
          <w:p w14:paraId="0F7BE0E8" w14:textId="77777777" w:rsidR="009D7D66" w:rsidRPr="009D7D66" w:rsidRDefault="009D7D66" w:rsidP="009D7D66">
            <w:pPr>
              <w:pStyle w:val="TableHeading"/>
              <w:rPr>
                <w:lang w:bidi="en-US"/>
              </w:rPr>
            </w:pPr>
            <w:r w:rsidRPr="009D7D66">
              <w:rPr>
                <w:lang w:bidi="en-US"/>
              </w:rPr>
              <w:t>Property</w:t>
            </w:r>
          </w:p>
        </w:tc>
        <w:tc>
          <w:tcPr>
            <w:tcW w:w="1887" w:type="pct"/>
            <w:tcBorders>
              <w:top w:val="single" w:sz="4" w:space="0" w:color="auto"/>
              <w:bottom w:val="single" w:sz="4" w:space="0" w:color="auto"/>
            </w:tcBorders>
            <w:vAlign w:val="center"/>
          </w:tcPr>
          <w:p w14:paraId="1E6FD9A2" w14:textId="77777777" w:rsidR="009D7D66" w:rsidRPr="009D7D66" w:rsidRDefault="009D7D66" w:rsidP="009D7D66">
            <w:pPr>
              <w:pStyle w:val="TableHeading"/>
              <w:rPr>
                <w:lang w:bidi="en-US"/>
              </w:rPr>
            </w:pPr>
            <w:r w:rsidRPr="009D7D66">
              <w:rPr>
                <w:lang w:bidi="en-US"/>
              </w:rPr>
              <w:t xml:space="preserve">Reported Changes During Mechanical Recycling </w:t>
            </w:r>
          </w:p>
        </w:tc>
        <w:tc>
          <w:tcPr>
            <w:tcW w:w="673" w:type="pct"/>
            <w:tcBorders>
              <w:top w:val="single" w:sz="4" w:space="0" w:color="auto"/>
              <w:bottom w:val="single" w:sz="4" w:space="0" w:color="auto"/>
            </w:tcBorders>
            <w:vAlign w:val="center"/>
          </w:tcPr>
          <w:p w14:paraId="43FCDBEA" w14:textId="77777777" w:rsidR="009D7D66" w:rsidRPr="009D7D66" w:rsidRDefault="009D7D66" w:rsidP="009D7D66">
            <w:pPr>
              <w:pStyle w:val="TableHeading"/>
              <w:rPr>
                <w:lang w:bidi="en-US"/>
              </w:rPr>
            </w:pPr>
            <w:r w:rsidRPr="009D7D66">
              <w:rPr>
                <w:lang w:bidi="en-US"/>
              </w:rPr>
              <w:t>Fiber Type(s)</w:t>
            </w:r>
          </w:p>
        </w:tc>
        <w:tc>
          <w:tcPr>
            <w:tcW w:w="687" w:type="pct"/>
            <w:tcBorders>
              <w:top w:val="single" w:sz="4" w:space="0" w:color="auto"/>
              <w:bottom w:val="single" w:sz="4" w:space="0" w:color="auto"/>
            </w:tcBorders>
            <w:vAlign w:val="center"/>
          </w:tcPr>
          <w:p w14:paraId="568D8576" w14:textId="77777777" w:rsidR="009D7D66" w:rsidRPr="009D7D66" w:rsidRDefault="009D7D66" w:rsidP="009D7D66">
            <w:pPr>
              <w:pStyle w:val="TableHeading"/>
              <w:rPr>
                <w:lang w:bidi="en-US"/>
              </w:rPr>
            </w:pPr>
            <w:r w:rsidRPr="009D7D66">
              <w:rPr>
                <w:lang w:bidi="en-US"/>
              </w:rPr>
              <w:t>Reference</w:t>
            </w:r>
          </w:p>
        </w:tc>
      </w:tr>
      <w:tr w:rsidR="009D7D66" w:rsidRPr="009D7D66" w14:paraId="3C22D64A" w14:textId="77777777" w:rsidTr="009D7D66">
        <w:trPr>
          <w:jc w:val="center"/>
        </w:trPr>
        <w:tc>
          <w:tcPr>
            <w:tcW w:w="777" w:type="pct"/>
            <w:vMerge w:val="restart"/>
            <w:tcBorders>
              <w:top w:val="single" w:sz="4" w:space="0" w:color="auto"/>
            </w:tcBorders>
            <w:vAlign w:val="center"/>
          </w:tcPr>
          <w:p w14:paraId="28678A4F" w14:textId="77777777" w:rsidR="009D7D66" w:rsidRPr="009D7D66" w:rsidRDefault="009D7D66" w:rsidP="009D7D66">
            <w:pPr>
              <w:pStyle w:val="TableHeading"/>
              <w:rPr>
                <w:b w:val="0"/>
                <w:bCs w:val="0"/>
                <w:lang w:bidi="en-US"/>
              </w:rPr>
            </w:pPr>
            <w:r w:rsidRPr="009D7D66">
              <w:rPr>
                <w:b w:val="0"/>
                <w:bCs w:val="0"/>
                <w:lang w:bidi="en-US"/>
              </w:rPr>
              <w:t>Mechanical</w:t>
            </w:r>
          </w:p>
        </w:tc>
        <w:tc>
          <w:tcPr>
            <w:tcW w:w="976" w:type="pct"/>
            <w:tcBorders>
              <w:top w:val="single" w:sz="4" w:space="0" w:color="auto"/>
              <w:bottom w:val="dotted" w:sz="4" w:space="0" w:color="auto"/>
            </w:tcBorders>
            <w:vAlign w:val="center"/>
          </w:tcPr>
          <w:p w14:paraId="2731B445" w14:textId="77777777" w:rsidR="009D7D66" w:rsidRPr="009D7D66" w:rsidRDefault="009D7D66" w:rsidP="009D7D66">
            <w:pPr>
              <w:pStyle w:val="TableHeading"/>
              <w:rPr>
                <w:b w:val="0"/>
                <w:bCs w:val="0"/>
                <w:lang w:bidi="en-US"/>
              </w:rPr>
            </w:pPr>
            <w:r w:rsidRPr="009D7D66">
              <w:rPr>
                <w:b w:val="0"/>
                <w:bCs w:val="0"/>
                <w:lang w:bidi="en-US"/>
              </w:rPr>
              <w:t>Tensile</w:t>
            </w:r>
          </w:p>
        </w:tc>
        <w:tc>
          <w:tcPr>
            <w:tcW w:w="1887" w:type="pct"/>
            <w:tcBorders>
              <w:top w:val="single" w:sz="4" w:space="0" w:color="auto"/>
              <w:bottom w:val="dotted" w:sz="4" w:space="0" w:color="auto"/>
            </w:tcBorders>
            <w:vAlign w:val="center"/>
          </w:tcPr>
          <w:p w14:paraId="38DD7E0E" w14:textId="77777777" w:rsidR="009D7D66" w:rsidRPr="009D7D66" w:rsidRDefault="009D7D66" w:rsidP="009D7D66">
            <w:pPr>
              <w:pStyle w:val="TableHeading"/>
              <w:rPr>
                <w:b w:val="0"/>
                <w:bCs w:val="0"/>
                <w:lang w:bidi="en-US"/>
              </w:rPr>
            </w:pPr>
            <w:r w:rsidRPr="009D7D66">
              <w:rPr>
                <w:b w:val="0"/>
                <w:bCs w:val="0"/>
                <w:lang w:bidi="en-US"/>
              </w:rPr>
              <w:t>Both increase and decrease possible, decrease in properties attributed to polymer degradation and loss of fiber length while increase attributed to improved dispersion, increased crystallinity</w:t>
            </w:r>
          </w:p>
        </w:tc>
        <w:tc>
          <w:tcPr>
            <w:tcW w:w="673" w:type="pct"/>
            <w:tcBorders>
              <w:top w:val="single" w:sz="4" w:space="0" w:color="auto"/>
              <w:bottom w:val="dotted" w:sz="4" w:space="0" w:color="auto"/>
            </w:tcBorders>
            <w:vAlign w:val="center"/>
          </w:tcPr>
          <w:p w14:paraId="2439A166" w14:textId="77777777" w:rsidR="009D7D66" w:rsidRPr="009D7D66" w:rsidRDefault="009D7D66" w:rsidP="009D7D66">
            <w:pPr>
              <w:pStyle w:val="TableHeading"/>
              <w:rPr>
                <w:b w:val="0"/>
                <w:bCs w:val="0"/>
                <w:lang w:bidi="en-US"/>
              </w:rPr>
            </w:pPr>
            <w:r w:rsidRPr="009D7D66">
              <w:rPr>
                <w:b w:val="0"/>
                <w:bCs w:val="0"/>
                <w:lang w:bidi="en-US"/>
              </w:rPr>
              <w:t xml:space="preserve">Wood fiber, wood flour </w:t>
            </w:r>
          </w:p>
        </w:tc>
        <w:tc>
          <w:tcPr>
            <w:tcW w:w="687" w:type="pct"/>
            <w:tcBorders>
              <w:top w:val="single" w:sz="4" w:space="0" w:color="auto"/>
              <w:bottom w:val="dotted" w:sz="4" w:space="0" w:color="auto"/>
            </w:tcBorders>
            <w:vAlign w:val="center"/>
          </w:tcPr>
          <w:p w14:paraId="51F19661"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5x6oxlQo","properties":{"formattedCitation":"[86\\uc0\\u8211{}88]","plainCitation":"[86–88]","noteIndex":0},"citationItems":[{"id":1465,"uris":["http://zotero.org/users/3415649/items/54HUPA57"],"itemData":{"id":1465,"type":"article-journal","container-title":"Composites Part A: Applied Science and Manufacturing","DOI":"10.1016/j.compositesa.2008.04.013","ISSN":"1359835X","issue":"7","journalAbbreviation":"Composites Part A: Applied Science and Manufacturing","language":"en","page":"1091-1100","source":"DOI.org (Crossref)","title":"Reprocessing of wood fibre reinforced polypropylene composites. Part I: Effects on physical and mechanical properties","title-short":"Reprocessing of wood fibre reinforced polypropylene composites. Part I","volume":"39","author":[{"family":"Beg","given":"M.D.H."},{"family":"Pickering","given":"K.L."}],"issued":{"date-parts":[["2008",7]]}}},{"id":1467,"uris":["http://zotero.org/users/3415649/items/FCW95GPV"],"itemData":{"id":1467,"type":"article-journal","container-title":"Materials Research","DOI":"10.1590/1980-5373-mr-2017-0301","ISSN":"1980-5373, 1516-1439","issue":"2","journalAbbreviation":"Mat. Res.","language":"en","source":"DOI.org (Crossref)","title":"Effects of Multiple Extrusions on Structure-property Performance of Natural Fiber High-density Polyethylene Biocomposites","URL":"http://www.scielo.br/scielo.php?script=sci_arttext&amp;pid=S1516-14392018000206107&amp;lng=en&amp;tlng=en","volume":"21","author":[{"family":"Nadali","given":"Elham"},{"family":"Layeghi","given":"Mohammad"},{"family":"Ebrahimi","given":"Ghanbar"},{"family":"Naghdi","given":"Reza"},{"family":"Jonoobi","given":"Mehdi"},{"family":"Khorasani","given":"Mohammah Mehdi"},{"family":"Mirbagheri","given":"Yaser"}],"accessed":{"date-parts":[["2022",6,28]]},"issued":{"date-parts":[["2018",2,1]]}}},{"id":1468,"uris":["http://zotero.org/users/3415649/items/YX6FCIT4"],"itemData":{"id":1468,"type":"article-journal","container-title":"Polymer Degradation and Stability","DOI":"10.1016/j.polymdegradstab.2016.09.011","ISSN":"01413910","journalAbbreviation":"Polymer Degradation and Stability","language":"en","page":"389-398","source":"DOI.org (Crossref)","title":"Reprocessing of UV-weathered wood flour reinforced polypropylene composites: Study of a natural outdoor exposure","title-short":"Reprocessing of UV-weathered wood flour reinforced polypropylene composites","volume":"133","author":[{"family":"Soccalingame","given":"L."},{"family":"Perrin","given":"D."},{"family":"Bénézet","given":"J.-C."},{"family":"Bergeret","given":"A."}],"issued":{"date-parts":[["2016",11]]}}}],"schema":"https://github.com/citation-style-language/schema/raw/master/csl-citation.json"} </w:instrText>
            </w:r>
            <w:r w:rsidRPr="009D7D66">
              <w:rPr>
                <w:b w:val="0"/>
                <w:bCs w:val="0"/>
                <w:lang w:bidi="en-US"/>
              </w:rPr>
              <w:fldChar w:fldCharType="separate"/>
            </w:r>
            <w:r w:rsidRPr="009D7D66">
              <w:rPr>
                <w:b w:val="0"/>
                <w:bCs w:val="0"/>
                <w:lang w:bidi="en-US"/>
              </w:rPr>
              <w:t>[86–88]</w:t>
            </w:r>
            <w:r w:rsidRPr="009D7D66">
              <w:rPr>
                <w:b w:val="0"/>
                <w:bCs w:val="0"/>
                <w:lang w:bidi="en-US"/>
              </w:rPr>
              <w:fldChar w:fldCharType="end"/>
            </w:r>
          </w:p>
        </w:tc>
      </w:tr>
      <w:tr w:rsidR="009D7D66" w:rsidRPr="009D7D66" w14:paraId="05D32CF6" w14:textId="77777777" w:rsidTr="009D7D66">
        <w:trPr>
          <w:jc w:val="center"/>
        </w:trPr>
        <w:tc>
          <w:tcPr>
            <w:tcW w:w="777" w:type="pct"/>
            <w:vMerge/>
            <w:tcBorders>
              <w:top w:val="single" w:sz="4" w:space="0" w:color="auto"/>
            </w:tcBorders>
            <w:vAlign w:val="center"/>
          </w:tcPr>
          <w:p w14:paraId="1F83A090" w14:textId="77777777" w:rsidR="009D7D66" w:rsidRPr="009D7D66" w:rsidRDefault="009D7D66" w:rsidP="009D7D66">
            <w:pPr>
              <w:pStyle w:val="TableHeading"/>
              <w:rPr>
                <w:b w:val="0"/>
                <w:bCs w:val="0"/>
                <w:lang w:bidi="en-US"/>
              </w:rPr>
            </w:pPr>
          </w:p>
        </w:tc>
        <w:tc>
          <w:tcPr>
            <w:tcW w:w="976" w:type="pct"/>
            <w:tcBorders>
              <w:top w:val="dotted" w:sz="4" w:space="0" w:color="auto"/>
              <w:bottom w:val="dotted" w:sz="4" w:space="0" w:color="auto"/>
            </w:tcBorders>
            <w:vAlign w:val="center"/>
          </w:tcPr>
          <w:p w14:paraId="17B37953" w14:textId="77777777" w:rsidR="009D7D66" w:rsidRPr="009D7D66" w:rsidRDefault="009D7D66" w:rsidP="009D7D66">
            <w:pPr>
              <w:pStyle w:val="TableHeading"/>
              <w:rPr>
                <w:b w:val="0"/>
                <w:bCs w:val="0"/>
                <w:lang w:bidi="en-US"/>
              </w:rPr>
            </w:pPr>
            <w:r w:rsidRPr="009D7D66">
              <w:rPr>
                <w:b w:val="0"/>
                <w:bCs w:val="0"/>
                <w:lang w:bidi="en-US"/>
              </w:rPr>
              <w:t>Flexural</w:t>
            </w:r>
          </w:p>
        </w:tc>
        <w:tc>
          <w:tcPr>
            <w:tcW w:w="1887" w:type="pct"/>
            <w:tcBorders>
              <w:top w:val="dotted" w:sz="4" w:space="0" w:color="auto"/>
              <w:bottom w:val="dotted" w:sz="4" w:space="0" w:color="auto"/>
            </w:tcBorders>
            <w:vAlign w:val="center"/>
          </w:tcPr>
          <w:p w14:paraId="5B4223CB" w14:textId="77777777" w:rsidR="009D7D66" w:rsidRPr="009D7D66" w:rsidRDefault="009D7D66" w:rsidP="009D7D66">
            <w:pPr>
              <w:pStyle w:val="TableHeading"/>
              <w:rPr>
                <w:b w:val="0"/>
                <w:bCs w:val="0"/>
                <w:lang w:bidi="en-US"/>
              </w:rPr>
            </w:pPr>
            <w:r w:rsidRPr="009D7D66">
              <w:rPr>
                <w:b w:val="0"/>
                <w:bCs w:val="0"/>
                <w:lang w:bidi="en-US"/>
              </w:rPr>
              <w:t>Similar changes to tensile properties, although degradation and defects often had less of an impact</w:t>
            </w:r>
          </w:p>
        </w:tc>
        <w:tc>
          <w:tcPr>
            <w:tcW w:w="673" w:type="pct"/>
            <w:tcBorders>
              <w:top w:val="dotted" w:sz="4" w:space="0" w:color="auto"/>
              <w:bottom w:val="dotted" w:sz="4" w:space="0" w:color="auto"/>
            </w:tcBorders>
            <w:vAlign w:val="center"/>
          </w:tcPr>
          <w:p w14:paraId="1363F6E5" w14:textId="77777777" w:rsidR="009D7D66" w:rsidRPr="009D7D66" w:rsidRDefault="009D7D66" w:rsidP="009D7D66">
            <w:pPr>
              <w:pStyle w:val="TableHeading"/>
              <w:rPr>
                <w:b w:val="0"/>
                <w:bCs w:val="0"/>
                <w:lang w:bidi="en-US"/>
              </w:rPr>
            </w:pPr>
            <w:r w:rsidRPr="009D7D66">
              <w:rPr>
                <w:b w:val="0"/>
                <w:bCs w:val="0"/>
                <w:lang w:bidi="en-US"/>
              </w:rPr>
              <w:t>Bagasse, bamboo</w:t>
            </w:r>
          </w:p>
        </w:tc>
        <w:tc>
          <w:tcPr>
            <w:tcW w:w="687" w:type="pct"/>
            <w:tcBorders>
              <w:top w:val="dotted" w:sz="4" w:space="0" w:color="auto"/>
              <w:bottom w:val="dotted" w:sz="4" w:space="0" w:color="auto"/>
            </w:tcBorders>
            <w:vAlign w:val="center"/>
          </w:tcPr>
          <w:p w14:paraId="7D0361FD"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{"citationID":"WaDD9gNu","properties":{"formattedCitation":"[89,90]","plainCitation":"[89,90]","noteIndex":0},"citationItems":[{"id":1471,"uris":["http://zotero.org/users/3415649/items/M65PG3GD"],"itemData":{"id":1471,"type":"article-journal","abstract":"This study explores the reprocessing behavior of polypropylene-sugarcane bagasse biocomposites using neat and chemically treated bagasse ﬁbers (20 wt.%). Biocomposites were reprocessed 5 times using the extrusion process followed by injection molding. The mechanical properties indicate that microﬁbers bagasse ﬁbers addition and chemical treatments generate improvements in the mechanical properties, reaching the highest performance in the third cycle where the ﬂexural modulus and ﬂexural strength increase 57 and 12% in comparison with neat PP. diﬀerential scanning calorimetry (DSC) and TGA characterization show that bagasse ﬁbers addition increases the crystallization temperature and thermal stability of the biocomposites 7 and 39 ◦C respectively, without disturbing the melting process of the PP phase for all extrusion cycles. The rheological test shows that viscosity values of PP and biocomposites decrease progressively with extrusion cycles; however, Cole–Cole plots, dynamic mechanical analysis (DMA), width at half maximum of tan delta peaks and SEM micrographs show that chemical treatments and reprocessing could improve ﬁber dispersion and ﬁber–matrix interaction. Based on these results, it can be concluded that recycling potential of polypropylene-sugarcane bagasse biocomposites is huge due to their mechanical, thermal and rheological performance resulting in advantages in terms of sustainability and life cycle impact of these materials.","container-title":"Polymers","DOI":"10.3390/polym12071440","ISSN":"2073-4360","issue":"7","journalAbbreviation":"Polymers","language":"en","page":"1440","source":"DOI.org (Crossref)","title":"The Effects of Reprocessing and Fiber Treatments on the Properties of Polypropylene-Sugarcane Bagasse Biocomposites","volume":"12","author":[{"family":"Correa-Aguirre","given":"Juan P."},{"family":"Luna-Vera","given":"Fernando"},{"family":"Caicedo","given":"Carolina"},{"family":"Vera-Mondragón","given":"Bairo"},{"family":"Hidalgo-Salazar","given":"Miguel A."}],"issued":{"date-parts":[["2020",6,27]]}}},{"id":1473,"uris":["http://zotero.org/users/3415649/items/JZWH56IV"],"itemData":{"id":1473,"type":"article-journal","container-title":"Polymers","DOI":"10.3390/polym7081465","ISSN":"2073-4360","issue":"8","journalAbbreviation":"Polymers","language":"en","page":"1476-1496","source":"DOI.org (Crossref)","title":"Disposal Options of Bamboo Fabric-Reinforced Poly(Lactic) Acid Composites for Sustainable Packaging: Biodegradability and Recyclability","title-short":"Disposal Options of Bamboo Fabric-Reinforced Poly(Lactic) Acid Composites for Sustainable Packaging","volume":"7","author":[{"family":"Fazita","given":"M.R."},{"family":"Jayaraman","given":"Krishnan"},{"family":"Bhattacharyya","given":"Debes"},{"family":"Hossain","given":"Md."},{"family":"Haafiz","given":"M.K."},{"family":"H.P.S.","given":"Abdul"}],"issued":{"date-parts":[["2015",8,13]]}}}],"schema":"https://github.com/citation-style-language/schema/raw/master/csl-citation.json"} </w:instrText>
            </w:r>
            <w:r w:rsidRPr="009D7D66">
              <w:rPr>
                <w:b w:val="0"/>
                <w:bCs w:val="0"/>
                <w:lang w:bidi="en-US"/>
              </w:rPr>
              <w:fldChar w:fldCharType="separate"/>
            </w:r>
            <w:r w:rsidRPr="009D7D66">
              <w:rPr>
                <w:b w:val="0"/>
                <w:bCs w:val="0"/>
                <w:lang w:bidi="en-US"/>
              </w:rPr>
              <w:t>[89,90]</w:t>
            </w:r>
            <w:r w:rsidRPr="009D7D66">
              <w:rPr>
                <w:b w:val="0"/>
                <w:bCs w:val="0"/>
                <w:lang w:bidi="en-US"/>
              </w:rPr>
              <w:fldChar w:fldCharType="end"/>
            </w:r>
          </w:p>
        </w:tc>
      </w:tr>
      <w:tr w:rsidR="009D7D66" w:rsidRPr="009D7D66" w14:paraId="0408F8C7" w14:textId="77777777" w:rsidTr="009D7D66">
        <w:trPr>
          <w:jc w:val="center"/>
        </w:trPr>
        <w:tc>
          <w:tcPr>
            <w:tcW w:w="777" w:type="pct"/>
            <w:vMerge/>
            <w:tcBorders>
              <w:bottom w:val="single" w:sz="4" w:space="0" w:color="auto"/>
            </w:tcBorders>
            <w:vAlign w:val="center"/>
          </w:tcPr>
          <w:p w14:paraId="11708B33" w14:textId="77777777" w:rsidR="009D7D66" w:rsidRPr="009D7D66" w:rsidRDefault="009D7D66" w:rsidP="009D7D66">
            <w:pPr>
              <w:pStyle w:val="TableHeading"/>
              <w:rPr>
                <w:b w:val="0"/>
                <w:bCs w:val="0"/>
                <w:lang w:bidi="en-US"/>
              </w:rPr>
            </w:pPr>
          </w:p>
        </w:tc>
        <w:tc>
          <w:tcPr>
            <w:tcW w:w="976" w:type="pct"/>
            <w:tcBorders>
              <w:top w:val="dotted" w:sz="4" w:space="0" w:color="auto"/>
              <w:bottom w:val="single" w:sz="4" w:space="0" w:color="auto"/>
            </w:tcBorders>
            <w:vAlign w:val="center"/>
          </w:tcPr>
          <w:p w14:paraId="2598CEFD" w14:textId="77777777" w:rsidR="009D7D66" w:rsidRPr="009D7D66" w:rsidRDefault="009D7D66" w:rsidP="009D7D66">
            <w:pPr>
              <w:pStyle w:val="TableHeading"/>
              <w:rPr>
                <w:b w:val="0"/>
                <w:bCs w:val="0"/>
                <w:lang w:bidi="en-US"/>
              </w:rPr>
            </w:pPr>
            <w:r w:rsidRPr="009D7D66">
              <w:rPr>
                <w:b w:val="0"/>
                <w:bCs w:val="0"/>
                <w:lang w:bidi="en-US"/>
              </w:rPr>
              <w:t>Impact</w:t>
            </w:r>
          </w:p>
        </w:tc>
        <w:tc>
          <w:tcPr>
            <w:tcW w:w="1887" w:type="pct"/>
            <w:tcBorders>
              <w:top w:val="dotted" w:sz="4" w:space="0" w:color="auto"/>
              <w:bottom w:val="single" w:sz="4" w:space="0" w:color="auto"/>
            </w:tcBorders>
            <w:vAlign w:val="center"/>
          </w:tcPr>
          <w:p w14:paraId="724980DF" w14:textId="77777777" w:rsidR="009D7D66" w:rsidRPr="009D7D66" w:rsidRDefault="009D7D66" w:rsidP="009D7D66">
            <w:pPr>
              <w:pStyle w:val="TableHeading"/>
              <w:rPr>
                <w:b w:val="0"/>
                <w:bCs w:val="0"/>
                <w:lang w:bidi="en-US"/>
              </w:rPr>
            </w:pPr>
            <w:r w:rsidRPr="009D7D66">
              <w:rPr>
                <w:b w:val="0"/>
                <w:bCs w:val="0"/>
                <w:lang w:bidi="en-US"/>
              </w:rPr>
              <w:t>Both increase or decrease in impact properties are possible; an increase attributed to the reduction in fiber length and increased ductility of the compound, a decrease attributed to increased crystallinity and associated brittleness</w:t>
            </w:r>
          </w:p>
        </w:tc>
        <w:tc>
          <w:tcPr>
            <w:tcW w:w="673" w:type="pct"/>
            <w:tcBorders>
              <w:top w:val="dotted" w:sz="4" w:space="0" w:color="auto"/>
              <w:bottom w:val="single" w:sz="4" w:space="0" w:color="auto"/>
            </w:tcBorders>
            <w:vAlign w:val="center"/>
          </w:tcPr>
          <w:p w14:paraId="08E1D75D" w14:textId="77777777" w:rsidR="009D7D66" w:rsidRPr="009D7D66" w:rsidRDefault="009D7D66" w:rsidP="009D7D66">
            <w:pPr>
              <w:pStyle w:val="TableHeading"/>
              <w:rPr>
                <w:b w:val="0"/>
                <w:bCs w:val="0"/>
                <w:lang w:bidi="en-US"/>
              </w:rPr>
            </w:pPr>
            <w:r w:rsidRPr="009D7D66">
              <w:rPr>
                <w:b w:val="0"/>
                <w:bCs w:val="0"/>
                <w:lang w:bidi="en-US"/>
              </w:rPr>
              <w:t>Bagasse, coriander straw, cellulose fiber</w:t>
            </w:r>
          </w:p>
        </w:tc>
        <w:tc>
          <w:tcPr>
            <w:tcW w:w="687" w:type="pct"/>
            <w:tcBorders>
              <w:top w:val="dotted" w:sz="4" w:space="0" w:color="auto"/>
              <w:bottom w:val="single" w:sz="4" w:space="0" w:color="auto"/>
            </w:tcBorders>
            <w:vAlign w:val="center"/>
          </w:tcPr>
          <w:p w14:paraId="5B0FB112"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{"citationID":"ImV1mCml","properties":{"formattedCitation":"[89,91,92]","plainCitation":"[89,91,92]","noteIndex":0},"citationItems":[{"id":1471,"uris":["http://zotero.org/users/3415649/items/M65PG3GD"],"itemData":{"id":1471,"type":"article-journal","abstract":"This study explores the reprocessing behavior of polypropylene-sugarcane bagasse biocomposites using neat and chemically treated bagasse ﬁbers (20 wt.%). Biocomposites were reprocessed 5 times using the extrusion process followed by injection molding. The mechanical properties indicate that microﬁbers bagasse ﬁbers addition and chemical treatments generate improvements in the mechanical properties, reaching the highest performance in the third cycle where the ﬂexural modulus and ﬂexural strength increase 57 and 12% in comparison with neat PP. diﬀerential scanning calorimetry (DSC) and TGA characterization show that bagasse ﬁbers addition increases the crystallization temperature and thermal stability of the biocomposites 7 and 39 ◦C respectively, without disturbing the melting process of the PP phase for all extrusion cycles. The rheological test shows that viscosity values of PP and biocomposites decrease progressively with extrusion cycles; however, Cole–Cole plots, dynamic mechanical analysis (DMA), width at half maximum of tan delta peaks and SEM micrographs show that chemical treatments and reprocessing could improve ﬁber dispersion and ﬁber–matrix interaction. Based on these results, it can be concluded that recycling potential of polypropylene-sugarcane bagasse biocomposites is huge due to their mechanical, thermal and rheological performance resulting in advantages in terms of sustainability and life cycle impact of these materials.","container-title":"Polymers","DOI":"10.3390/polym12071440","ISSN":"2073-4360","issue":"7","journalAbbreviation":"Polymers","language":"en","page":"1440","source":"DOI.org (Crossref)","title":"The Effects of Reprocessing and Fiber Treatments on the Properties of Polypropylene-Sugarcane Bagasse Biocomposites","volume":"12","author":[{"family":"Correa-Aguirre","given":"Juan P."},{"family":"Luna-Vera","given":"Fernando"},{"family":"Caicedo","given":"Carolina"},{"family":"Vera-Mondragón","given":"Bairo"},{"family":"Hidalgo-Salazar","given":"Miguel A."}],"issued":{"date-parts":[["2020",6,27]]}}},{"id":1474,"uris":["http://zotero.org/users/3415649/items/267CRUH6"],"itemData":{"id":1474,"type":"article-journal","container-title":"Composites Part A: Applied Science and Manufacturing","DOI":"10.1016/j.compositesa.2018.07.038","ISSN":"1359835X","journalAbbreviation":"Composites Part A: Applied Science and Manufacturing","language":"en","page":"254-263","source":"DOI.org (Crossref)","title":"Performance, durability and recycling of thermoplastic biocomposites reinforced with coriander straw","volume":"113","author":[{"family":"Uitterhaegen","given":"E."},{"family":"Parinet","given":"J."},{"family":"Labonne","given":"L."},{"family":"Mérian","given":"T."},{"family":"Ballas","given":"S."},{"family":"Véronèse","given":"T."},{"family":"Merah","given":"O."},{"family":"Talou","given":"T."},{"family":"Stevens","given":"C.V."},{"family":"Chabert","given":"F."},{"family":"Evon","given":"Ph."}],"issued":{"date-parts":[["2018",10]]}}},{"id":1477,"uris":["http://zotero.org/users/3415649/items/6M68X8FI"],"itemData":{"id":1477,"type":"article-journal","abstract":"The present study focuses on the reprocessing behaviour of recycled injection moulded polylactide (PLA) composites. The composites are reinforced with regenerated cellulose fibres (lyocell) of variable fineness and a fibre mass content of 30%. They were reprocessed up to three times. The influence of reprocessing on the fibre length distribution and the resulting composite mechanical properties (tensile and impact strength) was analysed. While the first reprocessing cycle does not affect the mechanical characteristics of the neat PLA matrix, the strength of the composites decreases significantly due to a decreasing fibre aspect ratio. It was shown that fibres having a larger cross-sectional area display a lower aspect ratio than finer fibres, after reprocessing. This phenomenon leads to a larger decrease in tensile strength of composites reinforced with coarser fibres when compared to composites reinforced with finer fibres. A comparison of virgin composites and threefold reprocessed composites with a similar fibre length distribution resulted in a significantly higher tensile strength compared to the virgin sample. This result leads to the conclusion that not only the fibre length is drastically reduced by reprocessing but also that the fibres and the matrix were damaged.","container-title":"Express Polymer Letters","DOI":"10.3144/expresspolymlett.2016.59","ISSN":"1788618X","issue":"8","journalAbbreviation":"Express Polym. Lett.","language":"en","page":"647-663","source":"DOI.org (Crossref)","title":"Influence of reprocessing on fibre length distribution, tensile strength and impact strength of injection moulded cellulose fibre-reinforced polylactide (PLA) composites","volume":"10","author":[{"family":"Graupner","given":"N."},{"family":"Albrecht","given":"K."},{"family":"Ziegmann","given":"G."},{"family":"Enzler","given":"H."},{"family":"Muessig","given":"J."}],"issued":{"date-parts":[["2016"]]}}}],"schema":"https://github.com/citation-style-language/schema/raw/master/csl-citation.json"} </w:instrText>
            </w:r>
            <w:r w:rsidRPr="009D7D66">
              <w:rPr>
                <w:b w:val="0"/>
                <w:bCs w:val="0"/>
                <w:lang w:bidi="en-US"/>
              </w:rPr>
              <w:fldChar w:fldCharType="separate"/>
            </w:r>
            <w:r w:rsidRPr="009D7D66">
              <w:rPr>
                <w:b w:val="0"/>
                <w:bCs w:val="0"/>
                <w:lang w:bidi="en-US"/>
              </w:rPr>
              <w:t>[89,91,92]</w:t>
            </w:r>
            <w:r w:rsidRPr="009D7D66">
              <w:rPr>
                <w:b w:val="0"/>
                <w:bCs w:val="0"/>
                <w:lang w:bidi="en-US"/>
              </w:rPr>
              <w:fldChar w:fldCharType="end"/>
            </w:r>
          </w:p>
        </w:tc>
      </w:tr>
      <w:tr w:rsidR="009D7D66" w:rsidRPr="009D7D66" w14:paraId="6FB0532D" w14:textId="77777777" w:rsidTr="009D7D66">
        <w:trPr>
          <w:jc w:val="center"/>
        </w:trPr>
        <w:tc>
          <w:tcPr>
            <w:tcW w:w="777" w:type="pct"/>
            <w:vMerge w:val="restart"/>
            <w:tcBorders>
              <w:top w:val="single" w:sz="4" w:space="0" w:color="auto"/>
            </w:tcBorders>
            <w:vAlign w:val="center"/>
          </w:tcPr>
          <w:p w14:paraId="673C99B8" w14:textId="77777777" w:rsidR="009D7D66" w:rsidRPr="009D7D66" w:rsidRDefault="009D7D66" w:rsidP="009D7D66">
            <w:pPr>
              <w:pStyle w:val="TableHeading"/>
              <w:rPr>
                <w:b w:val="0"/>
                <w:bCs w:val="0"/>
                <w:lang w:bidi="en-US"/>
              </w:rPr>
            </w:pPr>
            <w:r w:rsidRPr="009D7D66">
              <w:rPr>
                <w:b w:val="0"/>
                <w:bCs w:val="0"/>
                <w:lang w:bidi="en-US"/>
              </w:rPr>
              <w:t>Thermal</w:t>
            </w:r>
          </w:p>
        </w:tc>
        <w:tc>
          <w:tcPr>
            <w:tcW w:w="976" w:type="pct"/>
            <w:tcBorders>
              <w:top w:val="single" w:sz="4" w:space="0" w:color="auto"/>
              <w:bottom w:val="dotted" w:sz="4" w:space="0" w:color="auto"/>
            </w:tcBorders>
            <w:vAlign w:val="center"/>
          </w:tcPr>
          <w:p w14:paraId="1AE22739" w14:textId="77777777" w:rsidR="009D7D66" w:rsidRPr="009D7D66" w:rsidRDefault="009D7D66" w:rsidP="009D7D66">
            <w:pPr>
              <w:pStyle w:val="TableHeading"/>
              <w:rPr>
                <w:b w:val="0"/>
                <w:bCs w:val="0"/>
                <w:lang w:bidi="en-US"/>
              </w:rPr>
            </w:pPr>
            <w:r w:rsidRPr="009D7D66">
              <w:rPr>
                <w:b w:val="0"/>
                <w:bCs w:val="0"/>
                <w:lang w:bidi="en-US"/>
              </w:rPr>
              <w:t>Crystallization</w:t>
            </w:r>
          </w:p>
        </w:tc>
        <w:tc>
          <w:tcPr>
            <w:tcW w:w="1887" w:type="pct"/>
            <w:tcBorders>
              <w:top w:val="single" w:sz="4" w:space="0" w:color="auto"/>
              <w:bottom w:val="dotted" w:sz="4" w:space="0" w:color="auto"/>
            </w:tcBorders>
            <w:vAlign w:val="center"/>
          </w:tcPr>
          <w:p w14:paraId="71078773" w14:textId="77777777" w:rsidR="009D7D66" w:rsidRPr="009D7D66" w:rsidRDefault="009D7D66" w:rsidP="009D7D66">
            <w:pPr>
              <w:pStyle w:val="TableHeading"/>
              <w:rPr>
                <w:b w:val="0"/>
                <w:bCs w:val="0"/>
                <w:lang w:bidi="en-US"/>
              </w:rPr>
            </w:pPr>
            <w:r w:rsidRPr="009D7D66">
              <w:rPr>
                <w:b w:val="0"/>
                <w:bCs w:val="0"/>
                <w:lang w:bidi="en-US"/>
              </w:rPr>
              <w:t xml:space="preserve">Increase in crystallinity and shift to lower temperatures due to reduction in polymer chain length, increase in fiber surface area, increased nucleation, and oxidation of fibers </w:t>
            </w:r>
          </w:p>
        </w:tc>
        <w:tc>
          <w:tcPr>
            <w:tcW w:w="673" w:type="pct"/>
            <w:tcBorders>
              <w:top w:val="single" w:sz="4" w:space="0" w:color="auto"/>
              <w:bottom w:val="dotted" w:sz="4" w:space="0" w:color="auto"/>
            </w:tcBorders>
            <w:vAlign w:val="center"/>
          </w:tcPr>
          <w:p w14:paraId="48E44D80" w14:textId="77777777" w:rsidR="009D7D66" w:rsidRPr="009D7D66" w:rsidRDefault="009D7D66" w:rsidP="009D7D66">
            <w:pPr>
              <w:pStyle w:val="TableHeading"/>
              <w:rPr>
                <w:b w:val="0"/>
                <w:bCs w:val="0"/>
                <w:lang w:bidi="en-US"/>
              </w:rPr>
            </w:pPr>
            <w:r w:rsidRPr="009D7D66">
              <w:rPr>
                <w:b w:val="0"/>
                <w:bCs w:val="0"/>
                <w:lang w:bidi="en-US"/>
              </w:rPr>
              <w:t>Wood flour, bagasse</w:t>
            </w:r>
          </w:p>
        </w:tc>
        <w:tc>
          <w:tcPr>
            <w:tcW w:w="687" w:type="pct"/>
            <w:tcBorders>
              <w:top w:val="single" w:sz="4" w:space="0" w:color="auto"/>
              <w:bottom w:val="dotted" w:sz="4" w:space="0" w:color="auto"/>
            </w:tcBorders>
            <w:vAlign w:val="center"/>
          </w:tcPr>
          <w:p w14:paraId="797DF1C0"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{"citationID":"Uo3a3hXX","properties":{"formattedCitation":"[88,89]","plainCitation":"[88,89]","noteIndex":0},"citationItems":[{"id":1468,"uris":["http://zotero.org/users/3415649/items/YX6FCIT4"],"itemData":{"id":1468,"type":"article-journal","container-title":"Polymer Degradation and Stability","DOI":"10.1016/j.polymdegradstab.2016.09.011","ISSN":"01413910","journalAbbreviation":"Polymer Degradation and Stability","language":"en","page":"389-398","source":"DOI.org (Crossref)","title":"Reprocessing of UV-weathered wood flour reinforced polypropylene composites: Study of a natural outdoor exposure","title-short":"Reprocessing of UV-weathered wood flour reinforced polypropylene composites","volume":"133","author":[{"family":"Soccalingame","given":"L."},{"family":"Perrin","given":"D."},{"family":"Bénézet","given":"J.-C."},{"family":"Bergeret","given":"A."}],"issued":{"date-parts":[["2016",11]]}}},{"id":1471,"uris":["http://zotero.org/users/3415649/items/M65PG3GD"],"itemData":{"id":1471,"type":"article-journal","abstract":"This study explores the reprocessing behavior of polypropylene-sugarcane bagasse biocomposites using neat and chemically treated bagasse ﬁbers (20 wt.%). Biocomposites were reprocessed 5 times using the extrusion process followed by injection molding. The mechanical properties indicate that microﬁbers bagasse ﬁbers addition and chemical treatments generate improvements in the mechanical properties, reaching the highest performance in the third cycle where the ﬂexural modulus and ﬂexural strength increase 57 and 12% in comparison with neat PP. diﬀerential scanning calorimetry (DSC) and TGA characterization show that bagasse ﬁbers addition increases the crystallization temperature and thermal stability of the biocomposites 7 and 39 ◦C respectively, without disturbing the melting process of the PP phase for all extrusion cycles. The rheological test shows that viscosity values of PP and biocomposites decrease progressively with extrusion cycles; however, Cole–Cole plots, dynamic mechanical analysis (DMA), width at half maximum of tan delta peaks and SEM micrographs show that chemical treatments and reprocessing could improve ﬁber dispersion and ﬁber–matrix interaction. Based on these results, it can be concluded that recycling potential of polypropylene-sugarcane bagasse biocomposites is huge due to their mechanical, thermal and rheological performance resulting in advantages in terms of sustainability and life cycle impact of these materials.","container-title":"Polymers","DOI":"10.3390/polym12071440","ISSN":"2073-4360","issue":"7","journalAbbreviation":"Polymers","language":"en","page":"1440","source":"DOI.org (Crossref)","title":"The Effects of Reprocessing and Fiber Treatments on the Properties of Polypropylene-Sugarcane Bagasse Biocomposites","volume":"12","author":[{"family":"Correa-Aguirre","given":"Juan P."},{"family":"Luna-Vera","given":"Fernando"},{"family":"Caicedo","given":"Carolina"},{"family":"Vera-Mondragón","given":"Bairo"},{"family":"Hidalgo-Salazar","given":"Miguel A."}],"issued":{"date-parts":[["2020",6,27]]}}}],"schema":"https://github.com/citation-style-language/schema/raw/master/csl-citation.json"} </w:instrText>
            </w:r>
            <w:r w:rsidRPr="009D7D66">
              <w:rPr>
                <w:b w:val="0"/>
                <w:bCs w:val="0"/>
                <w:lang w:bidi="en-US"/>
              </w:rPr>
              <w:fldChar w:fldCharType="separate"/>
            </w:r>
            <w:r w:rsidRPr="009D7D66">
              <w:rPr>
                <w:b w:val="0"/>
                <w:bCs w:val="0"/>
                <w:lang w:bidi="en-US"/>
              </w:rPr>
              <w:t>[88,89]</w:t>
            </w:r>
            <w:r w:rsidRPr="009D7D66">
              <w:rPr>
                <w:b w:val="0"/>
                <w:bCs w:val="0"/>
                <w:lang w:bidi="en-US"/>
              </w:rPr>
              <w:fldChar w:fldCharType="end"/>
            </w:r>
          </w:p>
        </w:tc>
      </w:tr>
      <w:tr w:rsidR="009D7D66" w:rsidRPr="009D7D66" w14:paraId="68E3DF97" w14:textId="77777777" w:rsidTr="009D7D66">
        <w:trPr>
          <w:trHeight w:val="332"/>
          <w:jc w:val="center"/>
        </w:trPr>
        <w:tc>
          <w:tcPr>
            <w:tcW w:w="777" w:type="pct"/>
            <w:vMerge/>
            <w:vAlign w:val="center"/>
          </w:tcPr>
          <w:p w14:paraId="5A73CC13" w14:textId="77777777" w:rsidR="009D7D66" w:rsidRPr="009D7D66" w:rsidRDefault="009D7D66" w:rsidP="009D7D66">
            <w:pPr>
              <w:pStyle w:val="TableHeading"/>
              <w:rPr>
                <w:b w:val="0"/>
                <w:bCs w:val="0"/>
                <w:lang w:bidi="en-US"/>
              </w:rPr>
            </w:pPr>
          </w:p>
        </w:tc>
        <w:tc>
          <w:tcPr>
            <w:tcW w:w="976" w:type="pct"/>
            <w:tcBorders>
              <w:top w:val="dotted" w:sz="4" w:space="0" w:color="auto"/>
              <w:bottom w:val="dotted" w:sz="4" w:space="0" w:color="auto"/>
            </w:tcBorders>
            <w:vAlign w:val="center"/>
          </w:tcPr>
          <w:p w14:paraId="2768CFF1" w14:textId="77777777" w:rsidR="009D7D66" w:rsidRPr="009D7D66" w:rsidRDefault="009D7D66" w:rsidP="009D7D66">
            <w:pPr>
              <w:pStyle w:val="TableHeading"/>
              <w:rPr>
                <w:b w:val="0"/>
                <w:bCs w:val="0"/>
                <w:lang w:bidi="en-US"/>
              </w:rPr>
            </w:pPr>
            <w:r w:rsidRPr="009D7D66">
              <w:rPr>
                <w:b w:val="0"/>
                <w:bCs w:val="0"/>
                <w:lang w:bidi="en-US"/>
              </w:rPr>
              <w:t xml:space="preserve">Glass </w:t>
            </w:r>
            <w:r w:rsidRPr="009D7D66">
              <w:rPr>
                <w:b w:val="0"/>
                <w:bCs w:val="0"/>
                <w:lang w:bidi="en-US"/>
              </w:rPr>
              <w:br/>
              <w:t>Transition</w:t>
            </w:r>
          </w:p>
        </w:tc>
        <w:tc>
          <w:tcPr>
            <w:tcW w:w="1887" w:type="pct"/>
            <w:tcBorders>
              <w:top w:val="dotted" w:sz="4" w:space="0" w:color="auto"/>
              <w:bottom w:val="dotted" w:sz="4" w:space="0" w:color="auto"/>
            </w:tcBorders>
            <w:vAlign w:val="center"/>
          </w:tcPr>
          <w:p w14:paraId="7AFE1E9F" w14:textId="77777777" w:rsidR="009D7D66" w:rsidRPr="009D7D66" w:rsidRDefault="009D7D66" w:rsidP="009D7D66">
            <w:pPr>
              <w:pStyle w:val="TableHeading"/>
              <w:rPr>
                <w:b w:val="0"/>
                <w:bCs w:val="0"/>
                <w:lang w:bidi="en-US"/>
              </w:rPr>
            </w:pPr>
            <w:r w:rsidRPr="009D7D66">
              <w:rPr>
                <w:b w:val="0"/>
                <w:bCs w:val="0"/>
                <w:lang w:bidi="en-US"/>
              </w:rPr>
              <w:t xml:space="preserve">Both increase and decrease possible; decrease was attributed to reduced molecular weight from chain scission, while increase was attributed </w:t>
            </w:r>
            <w:r w:rsidRPr="009D7D66">
              <w:rPr>
                <w:b w:val="0"/>
                <w:bCs w:val="0"/>
                <w:lang w:bidi="en-US"/>
              </w:rPr>
              <w:lastRenderedPageBreak/>
              <w:t>to increase in molecular weight through crosslinking</w:t>
            </w:r>
          </w:p>
        </w:tc>
        <w:tc>
          <w:tcPr>
            <w:tcW w:w="673" w:type="pct"/>
            <w:tcBorders>
              <w:top w:val="dotted" w:sz="4" w:space="0" w:color="auto"/>
              <w:bottom w:val="dotted" w:sz="4" w:space="0" w:color="auto"/>
            </w:tcBorders>
            <w:vAlign w:val="center"/>
          </w:tcPr>
          <w:p w14:paraId="01E9C44F" w14:textId="77777777" w:rsidR="009D7D66" w:rsidRPr="009D7D66" w:rsidRDefault="009D7D66" w:rsidP="009D7D66">
            <w:pPr>
              <w:pStyle w:val="TableHeading"/>
              <w:rPr>
                <w:b w:val="0"/>
                <w:bCs w:val="0"/>
                <w:lang w:bidi="en-US"/>
              </w:rPr>
            </w:pPr>
            <w:r w:rsidRPr="009D7D66">
              <w:rPr>
                <w:b w:val="0"/>
                <w:bCs w:val="0"/>
                <w:lang w:bidi="en-US"/>
              </w:rPr>
              <w:lastRenderedPageBreak/>
              <w:t>Wood fiber, flax</w:t>
            </w:r>
          </w:p>
        </w:tc>
        <w:tc>
          <w:tcPr>
            <w:tcW w:w="687" w:type="pct"/>
            <w:tcBorders>
              <w:top w:val="dotted" w:sz="4" w:space="0" w:color="auto"/>
              <w:bottom w:val="dotted" w:sz="4" w:space="0" w:color="auto"/>
            </w:tcBorders>
            <w:vAlign w:val="center"/>
          </w:tcPr>
          <w:p w14:paraId="001CB8A2"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{"citationID":"ej3fsGEP","properties":{"formattedCitation":"[85,93]","plainCitation":"[85,93]","noteIndex":0},"citationItems":[{"id":1483,"uris":["http://zotero.org/users/3415649/items/UI5Q6FXT"],"itemData":{"id":1483,"type":"article-journal","container-title":"Polymer Degradation and Stability","DOI":"10.1016/j.polymdegradstab.2007.04.010","ISSN":"01413910","issue":"7","journalAbbreviation":"Polymer Degradation and Stability","language":"en","page":"1169-1176","source":"DOI.org (Crossref)","title":"Influence of the wood fibre filler on the internal recycling of poly(vinyl chloride)-based composites","volume":"92","author":[{"family":"Augier","given":"Laurent"},{"family":"Sperone","given":"Gianluca"},{"family":"Vaca-Garcia","given":"Carlos"},{"family":"Borredon","given":"Marie-Elisabeth"}],"issued":{"date-parts":[["2007",7]]}}},{"id":1480,"uris":["http://zotero.org/users/3415649/items/VZJZJ2L7"],"itemData":{"id":1480,"type":"article-journal","container-title":"Polymer Degradation and Stability","DOI":"10.1016/j.polymdegradstab.2016.03.018","ISSN":"01413910","journalAbbreviation":"Polymer Degradation and Stability","language":"en","page":"77-88","source":"DOI.org (Crossref)","title":"Recycling of L-Poly-(lactide)-Poly-(butylene-succinate)-flax biocomposite","volume":"128","author":[{"family":"Bourmaud","given":"Alain"},{"family":"Åkesson","given":"Dan"},{"family":"Beaugrand","given":"Johnny"},{"family":"Le Duigou","given":"Antoine"},{"family":"Skrifvars","given":"Mikael"},{"family":"Baley","given":"Christophe"}],"issued":{"date-parts":[["2016",6]]}}}],"schema":"https://github.com/citation-style-language/schema/raw/master/csl-citation.json"} </w:instrText>
            </w:r>
            <w:r w:rsidRPr="009D7D66">
              <w:rPr>
                <w:b w:val="0"/>
                <w:bCs w:val="0"/>
                <w:lang w:bidi="en-US"/>
              </w:rPr>
              <w:fldChar w:fldCharType="separate"/>
            </w:r>
            <w:r w:rsidRPr="009D7D66">
              <w:rPr>
                <w:b w:val="0"/>
                <w:bCs w:val="0"/>
                <w:lang w:bidi="en-US"/>
              </w:rPr>
              <w:t>[85,93]</w:t>
            </w:r>
            <w:r w:rsidRPr="009D7D66">
              <w:rPr>
                <w:b w:val="0"/>
                <w:bCs w:val="0"/>
                <w:lang w:bidi="en-US"/>
              </w:rPr>
              <w:fldChar w:fldCharType="end"/>
            </w:r>
          </w:p>
        </w:tc>
      </w:tr>
      <w:tr w:rsidR="009D7D66" w:rsidRPr="009D7D66" w14:paraId="46909E11" w14:textId="77777777" w:rsidTr="009D7D66">
        <w:trPr>
          <w:jc w:val="center"/>
        </w:trPr>
        <w:tc>
          <w:tcPr>
            <w:tcW w:w="777" w:type="pct"/>
            <w:vMerge/>
            <w:tcBorders>
              <w:bottom w:val="single" w:sz="4" w:space="0" w:color="auto"/>
            </w:tcBorders>
            <w:vAlign w:val="center"/>
          </w:tcPr>
          <w:p w14:paraId="0905924C" w14:textId="77777777" w:rsidR="009D7D66" w:rsidRPr="009D7D66" w:rsidRDefault="009D7D66" w:rsidP="009D7D66">
            <w:pPr>
              <w:pStyle w:val="TableHeading"/>
              <w:rPr>
                <w:b w:val="0"/>
                <w:bCs w:val="0"/>
                <w:lang w:bidi="en-US"/>
              </w:rPr>
            </w:pPr>
          </w:p>
        </w:tc>
        <w:tc>
          <w:tcPr>
            <w:tcW w:w="976" w:type="pct"/>
            <w:tcBorders>
              <w:top w:val="dotted" w:sz="4" w:space="0" w:color="auto"/>
              <w:bottom w:val="single" w:sz="4" w:space="0" w:color="auto"/>
            </w:tcBorders>
            <w:vAlign w:val="center"/>
          </w:tcPr>
          <w:p w14:paraId="35CA2D26" w14:textId="77777777" w:rsidR="009D7D66" w:rsidRPr="009D7D66" w:rsidRDefault="009D7D66" w:rsidP="009D7D66">
            <w:pPr>
              <w:pStyle w:val="TableHeading"/>
              <w:rPr>
                <w:b w:val="0"/>
                <w:bCs w:val="0"/>
                <w:lang w:bidi="en-US"/>
              </w:rPr>
            </w:pPr>
            <w:r w:rsidRPr="009D7D66">
              <w:rPr>
                <w:b w:val="0"/>
                <w:bCs w:val="0"/>
                <w:lang w:bidi="en-US"/>
              </w:rPr>
              <w:t xml:space="preserve">Thermal </w:t>
            </w:r>
            <w:r w:rsidRPr="009D7D66">
              <w:rPr>
                <w:b w:val="0"/>
                <w:bCs w:val="0"/>
                <w:lang w:bidi="en-US"/>
              </w:rPr>
              <w:br/>
              <w:t>Stability</w:t>
            </w:r>
          </w:p>
        </w:tc>
        <w:tc>
          <w:tcPr>
            <w:tcW w:w="1887" w:type="pct"/>
            <w:tcBorders>
              <w:top w:val="dotted" w:sz="4" w:space="0" w:color="auto"/>
              <w:bottom w:val="single" w:sz="4" w:space="0" w:color="auto"/>
            </w:tcBorders>
            <w:vAlign w:val="center"/>
          </w:tcPr>
          <w:p w14:paraId="2832E5D8" w14:textId="77777777" w:rsidR="009D7D66" w:rsidRPr="009D7D66" w:rsidRDefault="009D7D66" w:rsidP="009D7D66">
            <w:pPr>
              <w:pStyle w:val="TableHeading"/>
              <w:rPr>
                <w:b w:val="0"/>
                <w:bCs w:val="0"/>
                <w:lang w:bidi="en-US"/>
              </w:rPr>
            </w:pPr>
            <w:r w:rsidRPr="009D7D66">
              <w:rPr>
                <w:b w:val="0"/>
                <w:bCs w:val="0"/>
                <w:lang w:bidi="en-US"/>
              </w:rPr>
              <w:t>Both increase and decrease possible, increases attributed to crosslinking of polymer, reduction in hemicellulose, and increase crystallinity; Reduction in thermal stability attributed to polymer matrix degradation and fiber degradation</w:t>
            </w:r>
          </w:p>
        </w:tc>
        <w:tc>
          <w:tcPr>
            <w:tcW w:w="673" w:type="pct"/>
            <w:tcBorders>
              <w:top w:val="dotted" w:sz="4" w:space="0" w:color="auto"/>
              <w:bottom w:val="single" w:sz="4" w:space="0" w:color="auto"/>
            </w:tcBorders>
            <w:vAlign w:val="center"/>
          </w:tcPr>
          <w:p w14:paraId="43A85D8B" w14:textId="77777777" w:rsidR="009D7D66" w:rsidRPr="009D7D66" w:rsidRDefault="009D7D66" w:rsidP="009D7D66">
            <w:pPr>
              <w:pStyle w:val="TableHeading"/>
              <w:rPr>
                <w:b w:val="0"/>
                <w:bCs w:val="0"/>
                <w:lang w:bidi="en-US"/>
              </w:rPr>
            </w:pPr>
            <w:r w:rsidRPr="009D7D66">
              <w:rPr>
                <w:b w:val="0"/>
                <w:bCs w:val="0"/>
                <w:lang w:bidi="en-US"/>
              </w:rPr>
              <w:t>Wood fiber, bagasse</w:t>
            </w:r>
          </w:p>
        </w:tc>
        <w:tc>
          <w:tcPr>
            <w:tcW w:w="687" w:type="pct"/>
            <w:tcBorders>
              <w:top w:val="dotted" w:sz="4" w:space="0" w:color="auto"/>
              <w:bottom w:val="single" w:sz="4" w:space="0" w:color="auto"/>
            </w:tcBorders>
            <w:vAlign w:val="center"/>
          </w:tcPr>
          <w:p w14:paraId="2D1981AD"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{"citationID":"B8vveeuO","properties":{"formattedCitation":"[85,86,89]","plainCitation":"[85,86,89]","noteIndex":0},"citationItems":[{"id":1465,"uris":["http://zotero.org/users/3415649/items/54HUPA57"],"itemData":{"id":1465,"type":"article-journal","container-title":"Composites Part A: Applied Science and Manufacturing","DOI":"10.1016/j.compositesa.2008.04.013","ISSN":"1359835X","issue":"7","journalAbbreviation":"Composites Part A: Applied Science and Manufacturing","language":"en","page":"1091-1100","source":"DOI.org (Crossref)","title":"Reprocessing of wood fibre reinforced polypropylene composites. Part I: Effects on physical and mechanical properties","title-short":"Reprocessing of wood fibre reinforced polypropylene composites. Part I","volume":"39","author":[{"family":"Beg","given":"M.D.H."},{"family":"Pickering","given":"K.L."}],"issued":{"date-parts":[["2008",7]]}}},{"id":1471,"uris":["http://zotero.org/users/3415649/items/M65PG3GD"],"itemData":{"id":1471,"type":"article-journal","abstract":"This study explores the reprocessing behavior of polypropylene-sugarcane bagasse biocomposites using neat and chemically treated bagasse ﬁbers (20 wt.%). Biocomposites were reprocessed 5 times using the extrusion process followed by injection molding. The mechanical properties indicate that microﬁbers bagasse ﬁbers addition and chemical treatments generate improvements in the mechanical properties, reaching the highest performance in the third cycle where the ﬂexural modulus and ﬂexural strength increase 57 and 12% in comparison with neat PP. diﬀerential scanning calorimetry (DSC) and TGA characterization show that bagasse ﬁbers addition increases the crystallization temperature and thermal stability of the biocomposites 7 and 39 ◦C respectively, without disturbing the melting process of the PP phase for all extrusion cycles. The rheological test shows that viscosity values of PP and biocomposites decrease progressively with extrusion cycles; however, Cole–Cole plots, dynamic mechanical analysis (DMA), width at half maximum of tan delta peaks and SEM micrographs show that chemical treatments and reprocessing could improve ﬁber dispersion and ﬁber–matrix interaction. Based on these results, it can be concluded that recycling potential of polypropylene-sugarcane bagasse biocomposites is huge due to their mechanical, thermal and rheological performance resulting in advantages in terms of sustainability and life cycle impact of these materials.","container-title":"Polymers","DOI":"10.3390/polym12071440","ISSN":"2073-4360","issue":"7","journalAbbreviation":"Polymers","language":"en","page":"1440","source":"DOI.org (Crossref)","title":"The Effects of Reprocessing and Fiber Treatments on the Properties of Polypropylene-Sugarcane Bagasse Biocomposites","volume":"12","author":[{"family":"Correa-Aguirre","given":"Juan P."},{"family":"Luna-Vera","given":"Fernando"},{"family":"Caicedo","given":"Carolina"},{"family":"Vera-Mondragón","given":"Bairo"},{"family":"Hidalgo-Salazar","given":"Miguel A."}],"issued":{"date-parts":[["2020",6,27]]}}},{"id":1483,"uris":["http://zotero.org/users/3415649/items/UI5Q6FXT"],"itemData":{"id":1483,"type":"article-journal","container-title":"Polymer Degradation and Stability","DOI":"10.1016/j.polymdegradstab.2007.04.010","ISSN":"01413910","issue":"7","journalAbbreviation":"Polymer Degradation and Stability","language":"en","page":"1169-1176","source":"DOI.org (Crossref)","title":"Influence of the wood fibre filler on the internal recycling of poly(vinyl chloride)-based composites","volume":"92","author":[{"family":"Augier","given":"Laurent"},{"family":"Sperone","given":"Gianluca"},{"family":"Vaca-Garcia","given":"Carlos"},{"family":"Borredon","given":"Marie-Elisabeth"}],"issued":{"date-parts":[["2007",7]]}}}],"schema":"https://github.com/citation-style-language/schema/raw/master/csl-citation.json"} </w:instrText>
            </w:r>
            <w:r w:rsidRPr="009D7D66">
              <w:rPr>
                <w:b w:val="0"/>
                <w:bCs w:val="0"/>
                <w:lang w:bidi="en-US"/>
              </w:rPr>
              <w:fldChar w:fldCharType="separate"/>
            </w:r>
            <w:r w:rsidRPr="009D7D66">
              <w:rPr>
                <w:b w:val="0"/>
                <w:bCs w:val="0"/>
                <w:lang w:bidi="en-US"/>
              </w:rPr>
              <w:t>[85,86,89]</w:t>
            </w:r>
            <w:r w:rsidRPr="009D7D66">
              <w:rPr>
                <w:b w:val="0"/>
                <w:bCs w:val="0"/>
                <w:lang w:bidi="en-US"/>
              </w:rPr>
              <w:fldChar w:fldCharType="end"/>
            </w:r>
          </w:p>
        </w:tc>
      </w:tr>
      <w:tr w:rsidR="009D7D66" w:rsidRPr="009D7D66" w14:paraId="504DB8D9" w14:textId="77777777" w:rsidTr="009D7D66">
        <w:trPr>
          <w:jc w:val="center"/>
        </w:trPr>
        <w:tc>
          <w:tcPr>
            <w:tcW w:w="777" w:type="pct"/>
            <w:vMerge w:val="restart"/>
            <w:tcBorders>
              <w:top w:val="single" w:sz="4" w:space="0" w:color="auto"/>
            </w:tcBorders>
            <w:vAlign w:val="center"/>
          </w:tcPr>
          <w:p w14:paraId="350CD24F" w14:textId="77777777" w:rsidR="009D7D66" w:rsidRPr="009D7D66" w:rsidRDefault="009D7D66" w:rsidP="009D7D66">
            <w:pPr>
              <w:pStyle w:val="TableHeading"/>
              <w:rPr>
                <w:b w:val="0"/>
                <w:bCs w:val="0"/>
                <w:lang w:bidi="en-US"/>
              </w:rPr>
            </w:pPr>
            <w:r w:rsidRPr="009D7D66">
              <w:rPr>
                <w:b w:val="0"/>
                <w:bCs w:val="0"/>
                <w:lang w:bidi="en-US"/>
              </w:rPr>
              <w:t>Other</w:t>
            </w:r>
          </w:p>
        </w:tc>
        <w:tc>
          <w:tcPr>
            <w:tcW w:w="976" w:type="pct"/>
            <w:tcBorders>
              <w:top w:val="single" w:sz="4" w:space="0" w:color="auto"/>
              <w:bottom w:val="dotted" w:sz="4" w:space="0" w:color="auto"/>
            </w:tcBorders>
            <w:vAlign w:val="center"/>
          </w:tcPr>
          <w:p w14:paraId="47ECFC43" w14:textId="77777777" w:rsidR="009D7D66" w:rsidRPr="009D7D66" w:rsidRDefault="009D7D66" w:rsidP="009D7D66">
            <w:pPr>
              <w:pStyle w:val="TableHeading"/>
              <w:rPr>
                <w:b w:val="0"/>
                <w:bCs w:val="0"/>
                <w:lang w:bidi="en-US"/>
              </w:rPr>
            </w:pPr>
            <w:r w:rsidRPr="009D7D66">
              <w:rPr>
                <w:b w:val="0"/>
                <w:bCs w:val="0"/>
                <w:lang w:bidi="en-US"/>
              </w:rPr>
              <w:t>Hygroscopicity</w:t>
            </w:r>
          </w:p>
        </w:tc>
        <w:tc>
          <w:tcPr>
            <w:tcW w:w="1887" w:type="pct"/>
            <w:tcBorders>
              <w:top w:val="single" w:sz="4" w:space="0" w:color="auto"/>
              <w:bottom w:val="dotted" w:sz="4" w:space="0" w:color="auto"/>
            </w:tcBorders>
            <w:vAlign w:val="center"/>
          </w:tcPr>
          <w:p w14:paraId="69966ED4" w14:textId="77777777" w:rsidR="009D7D66" w:rsidRPr="009D7D66" w:rsidRDefault="009D7D66" w:rsidP="009D7D66">
            <w:pPr>
              <w:pStyle w:val="TableHeading"/>
              <w:rPr>
                <w:b w:val="0"/>
                <w:bCs w:val="0"/>
                <w:lang w:bidi="en-US"/>
              </w:rPr>
            </w:pPr>
            <w:r w:rsidRPr="009D7D66">
              <w:rPr>
                <w:b w:val="0"/>
                <w:bCs w:val="0"/>
                <w:lang w:bidi="en-US"/>
              </w:rPr>
              <w:t>Both increase and decrease possible; decrease results from improved dispersion within the polymer matrix and reduction in hemicellulose with an increase in cellulose surface oxidation while increases attributed to increased moisture penetration pathways from defects at polymer/fiber interface</w:t>
            </w:r>
          </w:p>
        </w:tc>
        <w:tc>
          <w:tcPr>
            <w:tcW w:w="673" w:type="pct"/>
            <w:tcBorders>
              <w:top w:val="single" w:sz="4" w:space="0" w:color="auto"/>
              <w:bottom w:val="dotted" w:sz="4" w:space="0" w:color="auto"/>
            </w:tcBorders>
            <w:vAlign w:val="center"/>
          </w:tcPr>
          <w:p w14:paraId="4B26A8B6" w14:textId="77777777" w:rsidR="009D7D66" w:rsidRPr="009D7D66" w:rsidRDefault="009D7D66" w:rsidP="009D7D66">
            <w:pPr>
              <w:pStyle w:val="TableHeading"/>
              <w:rPr>
                <w:b w:val="0"/>
                <w:bCs w:val="0"/>
                <w:lang w:bidi="en-US"/>
              </w:rPr>
            </w:pPr>
            <w:r w:rsidRPr="009D7D66">
              <w:rPr>
                <w:b w:val="0"/>
                <w:bCs w:val="0"/>
                <w:lang w:bidi="en-US"/>
              </w:rPr>
              <w:t>Wood fiber, wood flour, rice hulls, bagasse</w:t>
            </w:r>
          </w:p>
        </w:tc>
        <w:tc>
          <w:tcPr>
            <w:tcW w:w="687" w:type="pct"/>
            <w:tcBorders>
              <w:top w:val="single" w:sz="4" w:space="0" w:color="auto"/>
              <w:bottom w:val="dotted" w:sz="4" w:space="0" w:color="auto"/>
            </w:tcBorders>
            <w:vAlign w:val="center"/>
          </w:tcPr>
          <w:p w14:paraId="252324F6"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{"citationID":"86qDwlQg","properties":{"formattedCitation":"[86,94]","plainCitation":"[86,94]","noteIndex":0},"citationItems":[{"id":1465,"uris":["http://zotero.org/users/3415649/items/54HUPA57"],"itemData":{"id":1465,"type":"article-journal","container-title":"Composites Part A: Applied Science and Manufacturing","DOI":"10.1016/j.compositesa.2008.04.013","ISSN":"1359835X","issue":"7","journalAbbreviation":"Composites Part A: Applied Science and Manufacturing","language":"en","page":"1091-1100","source":"DOI.org (Crossref)","title":"Reprocessing of wood fibre reinforced polypropylene composites. Part I: Effects on physical and mechanical properties","title-short":"Reprocessing of wood fibre reinforced polypropylene composites. Part I","volume":"39","author":[{"family":"Beg","given":"M.D.H."},{"family":"Pickering","given":"K.L."}],"issued":{"date-parts":[["2008",7]]}}},{"id":1486,"uris":["http://zotero.org/users/3415649/items/ZMMBB6WY"],"itemData":{"id":1486,"type":"article-journal","abstract":"Detailed analysis of the effects of recycling process on long-term water absorption, thickness swelling and water desorption behavior of natural ﬁber polypropylene composites is reported. Composite materials containing polypropylene and wood ﬂour, rice hulls or bagasse ﬁbers were produced at constant ﬁber loading and were exposed to a simulated recycling process consisting of up to ﬁve times grinding and reprocessing under controlled conditions. A wide range of analytical methods including water absorption/desorption tests, thickness swelling tests, density measurement, scanning electron microscopy, image analysis, contact angle, ﬁber length analysis and Fourier transform infrared spectroscopy was employed to understand the hygroscopic behavior of the recycled composites. Water absorption and thickness swelling behaviors were modeled using existing predictive models. Results indicated that generally the recycled composites had considerably lower water absorption and thickness swellings as compared with the original composites which were attributed to changes in physical and chemical properties of the composites induced by the recycling process.","container-title":"Journal of Polymers and the Environment","DOI":"10.1007/s10924-010-0215-y","ISSN":"1566-2543, 1572-8900","issue":"4","journalAbbreviation":"J Polym Environ","language":"en","page":"500-509","source":"DOI.org (Crossref)","title":"Recycled Natural Fiber Polypropylene Composites: Water Absorption/Desorption Kinetics and Dimensional Stability","title-short":"Recycled Natural Fiber Polypropylene Composites","volume":"18","author":[{"family":"Tajvidi","given":"Mehdi"},{"family":"Takemura","given":"Akio"}],"issued":{"date-parts":[["2010",12]]}}}],"schema":"https://github.com/citation-style-language/schema/raw/master/csl-citation.json"} </w:instrText>
            </w:r>
            <w:r w:rsidRPr="009D7D66">
              <w:rPr>
                <w:b w:val="0"/>
                <w:bCs w:val="0"/>
                <w:lang w:bidi="en-US"/>
              </w:rPr>
              <w:fldChar w:fldCharType="separate"/>
            </w:r>
            <w:r w:rsidRPr="009D7D66">
              <w:rPr>
                <w:b w:val="0"/>
                <w:bCs w:val="0"/>
                <w:lang w:bidi="en-US"/>
              </w:rPr>
              <w:t>[86,94]</w:t>
            </w:r>
            <w:r w:rsidRPr="009D7D66">
              <w:rPr>
                <w:b w:val="0"/>
                <w:bCs w:val="0"/>
                <w:lang w:bidi="en-US"/>
              </w:rPr>
              <w:fldChar w:fldCharType="end"/>
            </w:r>
          </w:p>
        </w:tc>
      </w:tr>
      <w:tr w:rsidR="009D7D66" w:rsidRPr="009D7D66" w14:paraId="2A7D5458" w14:textId="77777777" w:rsidTr="009D7D66">
        <w:trPr>
          <w:jc w:val="center"/>
        </w:trPr>
        <w:tc>
          <w:tcPr>
            <w:tcW w:w="777" w:type="pct"/>
            <w:vMerge/>
            <w:tcBorders>
              <w:bottom w:val="single" w:sz="4" w:space="0" w:color="auto"/>
            </w:tcBorders>
            <w:vAlign w:val="center"/>
          </w:tcPr>
          <w:p w14:paraId="50B9419C" w14:textId="77777777" w:rsidR="009D7D66" w:rsidRPr="009D7D66" w:rsidRDefault="009D7D66" w:rsidP="009D7D66">
            <w:pPr>
              <w:pStyle w:val="TableHeading"/>
              <w:rPr>
                <w:b w:val="0"/>
                <w:bCs w:val="0"/>
                <w:lang w:bidi="en-US"/>
              </w:rPr>
            </w:pPr>
          </w:p>
        </w:tc>
        <w:tc>
          <w:tcPr>
            <w:tcW w:w="976" w:type="pct"/>
            <w:tcBorders>
              <w:top w:val="dotted" w:sz="4" w:space="0" w:color="auto"/>
              <w:bottom w:val="single" w:sz="4" w:space="0" w:color="auto"/>
            </w:tcBorders>
            <w:vAlign w:val="center"/>
          </w:tcPr>
          <w:p w14:paraId="6E16E346" w14:textId="77777777" w:rsidR="009D7D66" w:rsidRPr="009D7D66" w:rsidRDefault="009D7D66" w:rsidP="009D7D66">
            <w:pPr>
              <w:pStyle w:val="TableHeading"/>
              <w:rPr>
                <w:b w:val="0"/>
                <w:bCs w:val="0"/>
                <w:lang w:bidi="en-US"/>
              </w:rPr>
            </w:pPr>
            <w:r w:rsidRPr="009D7D66">
              <w:rPr>
                <w:b w:val="0"/>
                <w:bCs w:val="0"/>
                <w:lang w:bidi="en-US"/>
              </w:rPr>
              <w:t>Rheological</w:t>
            </w:r>
          </w:p>
        </w:tc>
        <w:tc>
          <w:tcPr>
            <w:tcW w:w="1887" w:type="pct"/>
            <w:tcBorders>
              <w:top w:val="dotted" w:sz="4" w:space="0" w:color="auto"/>
              <w:bottom w:val="single" w:sz="4" w:space="0" w:color="auto"/>
            </w:tcBorders>
            <w:vAlign w:val="center"/>
          </w:tcPr>
          <w:p w14:paraId="7F19D9F4" w14:textId="77777777" w:rsidR="009D7D66" w:rsidRPr="009D7D66" w:rsidRDefault="009D7D66" w:rsidP="009D7D66">
            <w:pPr>
              <w:pStyle w:val="TableHeading"/>
              <w:rPr>
                <w:b w:val="0"/>
                <w:bCs w:val="0"/>
                <w:lang w:bidi="en-US"/>
              </w:rPr>
            </w:pPr>
            <w:r w:rsidRPr="009D7D66">
              <w:rPr>
                <w:b w:val="0"/>
                <w:bCs w:val="0"/>
                <w:lang w:bidi="en-US"/>
              </w:rPr>
              <w:t xml:space="preserve">Both increase and decrease are possible; a decrease in melt viscosity results from chain scission and a reduction in fiber length, increase is also possible due to an increase in surface area from fiber length reduction; Shear sensitivity may also increase </w:t>
            </w:r>
          </w:p>
        </w:tc>
        <w:tc>
          <w:tcPr>
            <w:tcW w:w="673" w:type="pct"/>
            <w:tcBorders>
              <w:top w:val="dotted" w:sz="4" w:space="0" w:color="auto"/>
              <w:bottom w:val="single" w:sz="4" w:space="0" w:color="auto"/>
            </w:tcBorders>
            <w:vAlign w:val="center"/>
          </w:tcPr>
          <w:p w14:paraId="1DCB6AA4" w14:textId="77777777" w:rsidR="009D7D66" w:rsidRPr="009D7D66" w:rsidRDefault="009D7D66" w:rsidP="009D7D66">
            <w:pPr>
              <w:pStyle w:val="TableHeading"/>
              <w:rPr>
                <w:b w:val="0"/>
                <w:bCs w:val="0"/>
                <w:lang w:bidi="en-US"/>
              </w:rPr>
            </w:pPr>
            <w:r w:rsidRPr="009D7D66">
              <w:rPr>
                <w:b w:val="0"/>
                <w:bCs w:val="0"/>
                <w:lang w:bidi="en-US"/>
              </w:rPr>
              <w:t>Wood fiber, wood flour</w:t>
            </w:r>
          </w:p>
        </w:tc>
        <w:tc>
          <w:tcPr>
            <w:tcW w:w="687" w:type="pct"/>
            <w:tcBorders>
              <w:top w:val="dotted" w:sz="4" w:space="0" w:color="auto"/>
              <w:bottom w:val="single" w:sz="4" w:space="0" w:color="auto"/>
            </w:tcBorders>
            <w:vAlign w:val="center"/>
          </w:tcPr>
          <w:p w14:paraId="1FC6D8F1" w14:textId="77777777" w:rsidR="009D7D66" w:rsidRPr="009D7D66" w:rsidRDefault="009D7D66" w:rsidP="009D7D66">
            <w:pPr>
              <w:pStyle w:val="TableHeading"/>
              <w:rPr>
                <w:b w:val="0"/>
                <w:bCs w:val="0"/>
                <w:lang w:bidi="en-US"/>
              </w:rPr>
            </w:pPr>
            <w:r w:rsidRPr="009D7D66">
              <w:rPr>
                <w:b w:val="0"/>
                <w:bCs w:val="0"/>
                <w:lang w:bidi="en-US"/>
              </w:rPr>
              <w:fldChar w:fldCharType="begin"/>
            </w:r>
            <w:r w:rsidRPr="009D7D66">
              <w:rPr>
                <w:b w:val="0"/>
                <w:bCs w:val="0"/>
                <w:lang w:bidi="en-US"/>
              </w:rPr>
              <w:instrText xml:space="preserve"> ADDIN ZOTERO_ITEM CSL_CITATION {"citationID":"cAyPm0fq","properties":{"formattedCitation":"[86,88]","plainCitation":"[86,88]","noteIndex":0},"citationItems":[{"id":1465,"uris":["http://zotero.org/users/3415649/items/54HUPA57"],"itemData":{"id":1465,"type":"article-journal","container-title":"Composites Part A: Applied Science and Manufacturing","DOI":"10.1016/j.compositesa.2008.04.013","ISSN":"1359835X","issue":"7","journalAbbreviation":"Composites Part A: Applied Science and Manufacturing","language":"en","page":"1091-1100","source":"DOI.org (Crossref)","title":"Reprocessing of wood fibre reinforced polypropylene composites. Part I: Effects on physical and mechanical properties","title-short":"Reprocessing of wood fibre reinforced polypropylene composites. Part I","volume":"39","author":[{"family":"Beg","given":"M.D.H."},{"family":"Pickering","given":"K.L."}],"issued":{"date-parts":[["2008",7]]}}},{"id":1468,"uris":["http://zotero.org/users/3415649/items/YX6FCIT4"],"itemData":{"id":1468,"type":"article-journal","container-title":"Polymer Degradation and Stability","DOI":"10.1016/j.polymdegradstab.2016.09.011","ISSN":"01413910","journalAbbreviation":"Polymer Degradation and Stability","language":"en","page":"389-398","source":"DOI.org (Crossref)","title":"Reprocessing of UV-weathered wood flour reinforced polypropylene composites: Study of a natural outdoor exposure","title-short":"Reprocessing of UV-weathered wood flour reinforced polypropylene composites","volume":"133","author":[{"family":"Soccalingame","given":"L."},{"family":"Perrin","given":"D."},{"family":"Bénézet","given":"J.-C."},{"family":"Bergeret","given":"A."}],"issued":{"date-parts":[["2016",11]]}}}],"schema":"https://github.com/citation-style-language/schema/raw/master/csl-citation.json"} </w:instrText>
            </w:r>
            <w:r w:rsidRPr="009D7D66">
              <w:rPr>
                <w:b w:val="0"/>
                <w:bCs w:val="0"/>
                <w:lang w:bidi="en-US"/>
              </w:rPr>
              <w:fldChar w:fldCharType="separate"/>
            </w:r>
            <w:r w:rsidRPr="009D7D66">
              <w:rPr>
                <w:b w:val="0"/>
                <w:bCs w:val="0"/>
                <w:lang w:bidi="en-US"/>
              </w:rPr>
              <w:t>[86,88]</w:t>
            </w:r>
            <w:r w:rsidRPr="009D7D66">
              <w:rPr>
                <w:b w:val="0"/>
                <w:bCs w:val="0"/>
                <w:lang w:bidi="en-US"/>
              </w:rPr>
              <w:fldChar w:fldCharType="end"/>
            </w:r>
          </w:p>
        </w:tc>
      </w:tr>
    </w:tbl>
    <w:p w14:paraId="7A8CF717" w14:textId="7187EA62" w:rsidR="009D7D66" w:rsidRDefault="009D7D66" w:rsidP="009D7D66">
      <w:pPr>
        <w:pStyle w:val="TableHeading"/>
        <w:rPr>
          <w:lang w:bidi="en-US"/>
        </w:rPr>
      </w:pPr>
      <w:r w:rsidRPr="009D7D66">
        <w:rPr>
          <w:b w:val="0"/>
          <w:bCs w:val="0"/>
          <w:lang w:bidi="en-US"/>
        </w:rPr>
        <w:br w:type="page"/>
      </w:r>
    </w:p>
    <w:p w14:paraId="33F02C17" w14:textId="3C99FD08" w:rsidR="001E2BDE" w:rsidRDefault="001E2BDE" w:rsidP="009D7D66">
      <w:pPr>
        <w:ind w:firstLine="0"/>
        <w:rPr>
          <w:lang w:bidi="en-US"/>
        </w:rPr>
      </w:pPr>
      <w:r w:rsidRPr="001E2BDE">
        <w:rPr>
          <w:lang w:bidi="en-US"/>
        </w:rPr>
        <w:lastRenderedPageBreak/>
        <w:t xml:space="preserve">identified that balance achieving a high degree of polymer crystallinity in the samples while minimizing fiber degradation, the combination of which results in optimal mechanical properties. We anticipate these results will pave the way for future adoption of both the virgin composite laminates and their recycled counterparts within the automotive industry.   </w:t>
      </w:r>
    </w:p>
    <w:p w14:paraId="192F3B96" w14:textId="7AB60524" w:rsidR="001E2BDE" w:rsidRPr="001E2BDE" w:rsidRDefault="001E2BDE" w:rsidP="001E2BDE">
      <w:pPr>
        <w:rPr>
          <w:lang w:bidi="en-US"/>
        </w:rPr>
      </w:pPr>
      <w:r w:rsidRPr="001E2BDE">
        <w:rPr>
          <w:lang w:bidi="en-US"/>
        </w:rPr>
        <w:t xml:space="preserve"> </w:t>
      </w:r>
    </w:p>
    <w:p w14:paraId="33847BCA" w14:textId="06C17635" w:rsidR="001E2BDE" w:rsidRDefault="001E2BDE" w:rsidP="001E2BDE">
      <w:pPr>
        <w:pStyle w:val="MajorHeadings"/>
        <w:rPr>
          <w:lang w:bidi="en-US"/>
        </w:rPr>
      </w:pPr>
      <w:bookmarkStart w:id="42" w:name="_Toc190951797"/>
      <w:r>
        <w:rPr>
          <w:lang w:bidi="en-US"/>
        </w:rPr>
        <w:t>3.2 REsults and discussion</w:t>
      </w:r>
      <w:bookmarkEnd w:id="42"/>
    </w:p>
    <w:p w14:paraId="2DFE51DE" w14:textId="75167C93" w:rsidR="001E2BDE" w:rsidRPr="001E2BDE" w:rsidRDefault="001E2BDE" w:rsidP="001E2BDE">
      <w:pPr>
        <w:pStyle w:val="Heading2"/>
        <w:rPr>
          <w:lang w:bidi="en-US"/>
        </w:rPr>
      </w:pPr>
      <w:bookmarkStart w:id="43" w:name="_Toc190951798"/>
      <w:r>
        <w:rPr>
          <w:lang w:bidi="en-US"/>
        </w:rPr>
        <w:t>3.2.1 Recycling Process Development</w:t>
      </w:r>
      <w:bookmarkEnd w:id="43"/>
    </w:p>
    <w:p w14:paraId="58217D7F" w14:textId="306A219A" w:rsidR="001E2BDE" w:rsidRPr="001E2BDE" w:rsidRDefault="001E2BDE" w:rsidP="001E2BDE">
      <w:pPr>
        <w:rPr>
          <w:lang w:bidi="en-US"/>
        </w:rPr>
      </w:pPr>
      <w:r w:rsidRPr="001E2BDE">
        <w:rPr>
          <w:lang w:bidi="en-US"/>
        </w:rPr>
        <w:t>The goal of this work was to develop industrially viable recycling processes for paper-reinforced polypropylene composites and identify limitations and challenges along the way. This started with the size reduction of the composite laminates. The initial effort focused on the use of a Conair-</w:t>
      </w:r>
      <w:proofErr w:type="spellStart"/>
      <w:r w:rsidRPr="001E2BDE">
        <w:rPr>
          <w:lang w:bidi="en-US"/>
        </w:rPr>
        <w:t>Wortex</w:t>
      </w:r>
      <w:proofErr w:type="spellEnd"/>
      <w:r w:rsidRPr="001E2BDE">
        <w:rPr>
          <w:lang w:bidi="en-US"/>
        </w:rPr>
        <w:t xml:space="preserve"> granulator, a commonly used piece of equipment in the injection molding industry for regrinding production scrap to create post-industrial recyclate </w:t>
      </w:r>
      <w:r w:rsidRPr="001E2BDE">
        <w:rPr>
          <w:lang w:bidi="en-US"/>
        </w:rPr>
        <w:fldChar w:fldCharType="begin"/>
      </w:r>
      <w:r w:rsidR="009D7D66">
        <w:rPr>
          <w:lang w:bidi="en-US"/>
        </w:rPr>
        <w:instrText xml:space="preserve"> ADDIN ZOTERO_ITEM CSL_CITATION {"citationID":"ZYLKqr5c","properties":{"formattedCitation":"[95]","plainCitation":"[95]","noteIndex":0},"citationItems":[{"id":1830,"uris":["http://zotero.org/users/3415649/items/AQ4VKAEJ"],"itemData":{"id":1830,"type":"book","collection-title":"Particle Technology Series","event-place":"Dordrecht","ISBN":"978-90-481-6533-9","license":"http://www.springer.com/tdm","note":"DOI: 10.1007/978-94-017-0546-2","publisher":"Springer Netherlands","publisher-place":"Dordrecht","source":"DOI.org (Crossref)","title":"The Science and Engineering of Granulation Processes","URL":"http://link.springer.com/10.1007/978-94-017-0546-2","volume":"15","author":[{"family":"Litster","given":"Jim"},{"family":"Ennis","given":"Bryan"}],"collection-editor":[{"family":"Scarlett","given":"Brian"}],"accessed":{"date-parts":[["2024",9,5]]},"issued":{"date-parts":[["2004"]]}}}],"schema":"https://github.com/citation-style-language/schema/raw/master/csl-citation.json"} </w:instrText>
      </w:r>
      <w:r w:rsidRPr="001E2BDE">
        <w:rPr>
          <w:lang w:bidi="en-US"/>
        </w:rPr>
        <w:fldChar w:fldCharType="separate"/>
      </w:r>
      <w:r w:rsidR="009D7D66" w:rsidRPr="009D7D66">
        <w:t>[95]</w:t>
      </w:r>
      <w:r w:rsidRPr="001E2BDE">
        <w:fldChar w:fldCharType="end"/>
      </w:r>
      <w:r w:rsidRPr="001E2BDE">
        <w:rPr>
          <w:lang w:bidi="en-US"/>
        </w:rPr>
        <w:t xml:space="preserve">. However, the resulting “fluffy” flake posed challenges in material feeding during extrusion process due to their size. To address this, we therefore added a second step, in which we used a knife mill to further reduce the size of the granulate to ~ 4.5 × 2.5 × 1 mm. At this point, the granulate was still low-bulk density, but it fed into the extruder without bridging or clogging issues seen in previous tests. </w:t>
      </w:r>
    </w:p>
    <w:p w14:paraId="17D861C2" w14:textId="47EEE003" w:rsidR="001E2BDE" w:rsidRPr="001E2BDE" w:rsidRDefault="001E2BDE" w:rsidP="001E2BDE">
      <w:pPr>
        <w:rPr>
          <w:lang w:bidi="en-US"/>
        </w:rPr>
      </w:pPr>
      <w:r w:rsidRPr="001E2BDE">
        <w:rPr>
          <w:lang w:bidi="en-US"/>
        </w:rPr>
        <w:t xml:space="preserve"> Following size reduction, the granulate was compounded with polypropylene pellets and maleic anhydride copolymer (MAPP), the latter of which acted as a coupling agent between the paper fibers and polypropylene matrix. We processed the material under the lowest possible temperature profile in the twin screw extruder, as detailed in Section 3.2. The reason for this was to minimize thermal degradation of paper fibers, while preventing excessive torque on extruder motor. The addition of MAPP was necessary to prevent severe “shark-skinning” of extrudate, a phenomenon that occurs due to melt fracture of the polymer when exiting the extruder die </w:t>
      </w:r>
      <w:r w:rsidRPr="001E2BDE">
        <w:rPr>
          <w:i/>
          <w:lang w:bidi="en-US"/>
        </w:rPr>
        <w:fldChar w:fldCharType="begin"/>
      </w:r>
      <w:r w:rsidR="009D7D66">
        <w:rPr>
          <w:lang w:bidi="en-US"/>
        </w:rPr>
        <w:instrText xml:space="preserve"> ADDIN ZOTERO_ITEM CSL_CITATION {"citationID":"zcdcVcrQ","properties":{"formattedCitation":"[96]","plainCitation":"[96]","noteIndex":0},"citationItems":[{"id":1829,"uris":["http://zotero.org/users/3415649/items/GEL9DB3Y"],"itemData":{"id":1829,"type":"article-journal","abstract":"Abstract\n            This paper presents and reviews findings in relation to three key areas where polymer processing instabilities occur. The paper also describes methods that can be utilised to reduce, or eliminate, the particular instability. Using previously published results in each of the three areas and work presented in the paper, physical insight into the three mechanisms is reviewed and compared. Extrusion instabilities develop with increasing extrusion rate and the onset of extrusion instability is often a key limitation to the maximum output of an extrusion line. The sharkskin instability is an exit effect instability that can be modified by changing exit geometries and eliminated using certain additives. The stick-spurt instability is intimately related to wall boundary conditions which can be influenced by certain wall and polymer formulations. Finally volume instabilities occur in the entry region of a die and result in a highly distorted product. The instabilities are related to viscoelastic effects within the die and can be minimised by appropriate die and polymer modification. The paper provides sufficient experimental background to identify the key physical aspects associated with each of the instabilities and this in turn provides insight into the different way each instability occurs and how they can be minimised.","container-title":"International Polymer Processing","DOI":"10.3139/217.0084","ISSN":"0930-777X, 2195-8602","issue":"3","language":"en","page":"239-255","source":"DOI.org (Crossref)","title":"Polymer Processing Extrusion Instabilities and Methods for their Elimination or Minimisation","volume":"21","author":[{"family":"Agassant","given":"J.-F."},{"family":"Arda","given":"D. R."},{"family":"Combeaud","given":"C."},{"family":"Merten","given":"A."},{"family":"Münstedt","given":"H."},{"family":"Mackley","given":"M. R."},{"family":"Robert","given":"L."},{"family":"Vergnes","given":"B."}],"issued":{"date-parts":[["2006",7,1]]}}}],"schema":"https://github.com/citation-style-language/schema/raw/master/csl-citation.json"} </w:instrText>
      </w:r>
      <w:r w:rsidRPr="001E2BDE">
        <w:rPr>
          <w:i/>
          <w:lang w:bidi="en-US"/>
        </w:rPr>
        <w:fldChar w:fldCharType="separate"/>
      </w:r>
      <w:r w:rsidR="009D7D66" w:rsidRPr="009D7D66">
        <w:t>[96]</w:t>
      </w:r>
      <w:r w:rsidRPr="001E2BDE">
        <w:fldChar w:fldCharType="end"/>
      </w:r>
      <w:r w:rsidRPr="001E2BDE">
        <w:rPr>
          <w:lang w:bidi="en-US"/>
        </w:rPr>
        <w:t>. The extrudate was pelletized with an in-line unit, generating the feedstock for the subsequent injection molding stage.</w:t>
      </w:r>
    </w:p>
    <w:p w14:paraId="1763F6FE" w14:textId="7297E310" w:rsidR="001E2BDE" w:rsidRDefault="001E2BDE" w:rsidP="001E2BDE">
      <w:r w:rsidRPr="001E2BDE">
        <w:rPr>
          <w:lang w:bidi="en-US"/>
        </w:rPr>
        <w:t xml:space="preserve"> As with extrusion, we aimed to injection mold the paper-polypropylene composite at the lowest possible temperature. This was ultimately determined to be 200 °C, as lower temperatures resulted in “short shots” – parts in which the material was unable to </w:t>
      </w:r>
      <w:r w:rsidRPr="001E2BDE">
        <w:rPr>
          <w:lang w:bidi="en-US"/>
        </w:rPr>
        <w:lastRenderedPageBreak/>
        <w:t>completely fill the mold cavity. From this baseline, we were able to investigate the different combinations of temperature and injection rate on the processability of the composite material, with the goal of identifying the upper limit of the processing window. The composite material processed well until we reached 240 °C, at which point we were only able to produce parts at injection rates of 32.8 – 49.2 ml/s (2 – 3 in</w:t>
      </w:r>
      <w:r w:rsidRPr="001E2BDE">
        <w:rPr>
          <w:vertAlign w:val="superscript"/>
          <w:lang w:bidi="en-US"/>
        </w:rPr>
        <w:t>3</w:t>
      </w:r>
      <w:r w:rsidRPr="001E2BDE">
        <w:rPr>
          <w:lang w:bidi="en-US"/>
        </w:rPr>
        <w:t>/s), as the material would not inject properly at either 16.4 or 65.6 ml/s (1 or 4 in</w:t>
      </w:r>
      <w:r w:rsidRPr="001E2BDE">
        <w:rPr>
          <w:vertAlign w:val="superscript"/>
          <w:lang w:bidi="en-US"/>
        </w:rPr>
        <w:t>3</w:t>
      </w:r>
      <w:r w:rsidRPr="001E2BDE">
        <w:rPr>
          <w:lang w:bidi="en-US"/>
        </w:rPr>
        <w:t xml:space="preserve">/s). The full recycling process is shown in </w:t>
      </w:r>
      <w:r w:rsidRPr="001E2BDE">
        <w:rPr>
          <w:b/>
          <w:bCs/>
          <w:lang w:bidi="en-US"/>
        </w:rPr>
        <w:t>Figure 3.1.</w:t>
      </w:r>
    </w:p>
    <w:p w14:paraId="06D8931C" w14:textId="259A2025" w:rsidR="001E2BDE" w:rsidRDefault="007016BF" w:rsidP="007016BF">
      <w:pPr>
        <w:pStyle w:val="Heading2"/>
      </w:pPr>
      <w:bookmarkStart w:id="44" w:name="_Toc190951799"/>
      <w:r>
        <w:t xml:space="preserve">3.2.2 </w:t>
      </w:r>
      <w:r w:rsidRPr="007016BF">
        <w:t>Impact of Injection Molding Parameters on Composite Thermal Behavior</w:t>
      </w:r>
      <w:bookmarkEnd w:id="44"/>
    </w:p>
    <w:p w14:paraId="1AC1AC50" w14:textId="77777777" w:rsidR="007016BF" w:rsidRPr="007016BF" w:rsidRDefault="007016BF" w:rsidP="007016BF">
      <w:r w:rsidRPr="007016BF">
        <w:t xml:space="preserve">The thermal properties of the injection molded specimens were measured using differential scanning calorimetry (DSC) and thermogravimetric analysis (TGA). DSC was used to study the melting and crystallization behavior, while TGA was used to characterize the thermal stability of the materials. </w:t>
      </w:r>
      <w:r w:rsidRPr="007016BF">
        <w:rPr>
          <w:b/>
          <w:bCs/>
        </w:rPr>
        <w:t>Figure 3.2</w:t>
      </w:r>
      <w:r w:rsidRPr="007016BF">
        <w:t xml:space="preserve"> shows the results of the DSC testing, with melt temperatures and enthalpies reported for both heating cycles, and crystallization temperatures and enthalpies reported for the sole cooling cycle. TGA data is reported in the appendix (Table XXX), as no statistical significance was seen within the results. </w:t>
      </w:r>
    </w:p>
    <w:p w14:paraId="01BB23B7" w14:textId="3214AF07" w:rsidR="007016BF" w:rsidRDefault="007016BF" w:rsidP="007016BF">
      <w:r w:rsidRPr="007016BF">
        <w:t xml:space="preserve"> Overall, thermal analysis shows subtle correlations between the processing conditions and the resulting properties. The most notable analysis outcome is the positive correlation between the processing temperature and both recrystallization temperature and enthalpy, seen in </w:t>
      </w:r>
      <w:r w:rsidRPr="007016BF">
        <w:rPr>
          <w:b/>
          <w:bCs/>
        </w:rPr>
        <w:t>Figures 3.2C</w:t>
      </w:r>
      <w:r w:rsidRPr="007016BF">
        <w:t xml:space="preserve"> and </w:t>
      </w:r>
      <w:r w:rsidRPr="007016BF">
        <w:rPr>
          <w:b/>
          <w:bCs/>
        </w:rPr>
        <w:t>3.2D</w:t>
      </w:r>
      <w:r w:rsidRPr="007016BF">
        <w:t xml:space="preserve">. Likewise, it appears that both of the recrystallization properties are positively correlated with injection rate, although this is more difficult to visually detect. The impacts of processing parameters on the melting temperature and enthalpy during both the first and second heating cycles are not visually obvious. Regression analysis was employed to further elucidate the complex relationships between processing parameters and material properties. For this, we considered both linear (temperature, injection rate) and interactions between the two (temperature*injection rate) terms. The p-values for each term are presented in </w:t>
      </w:r>
      <w:r w:rsidRPr="007016BF">
        <w:rPr>
          <w:b/>
          <w:bCs/>
        </w:rPr>
        <w:t>Table 3.2</w:t>
      </w:r>
      <w:r w:rsidRPr="007016BF">
        <w:t xml:space="preserve">, where bold values indicate statistical significance at a level of p &lt; 0.05. Additionally, </w:t>
      </w:r>
      <w:r w:rsidRPr="007016BF">
        <w:rPr>
          <w:b/>
          <w:bCs/>
        </w:rPr>
        <w:t>Table 3.2</w:t>
      </w:r>
      <w:r w:rsidRPr="007016BF">
        <w:t xml:space="preserve"> includes the direction of correlation (↑ for positive, ↓ for negative) for all statistically significant terms</w:t>
      </w:r>
      <w:r>
        <w:t xml:space="preserve">. </w:t>
      </w:r>
    </w:p>
    <w:p w14:paraId="45030685" w14:textId="77777777" w:rsidR="00677A40" w:rsidRDefault="00677A40">
      <w:pPr>
        <w:spacing w:after="160" w:line="259" w:lineRule="auto"/>
        <w:ind w:firstLine="0"/>
        <w:jc w:val="left"/>
        <w:rPr>
          <w:lang w:bidi="en-US"/>
        </w:rPr>
      </w:pPr>
      <w:r>
        <w:rPr>
          <w:lang w:bidi="en-US"/>
        </w:rPr>
        <w:br w:type="page"/>
      </w:r>
    </w:p>
    <w:p w14:paraId="7F23D3E2" w14:textId="0128785F" w:rsidR="00677A40" w:rsidRDefault="00677A40" w:rsidP="00677A40">
      <w:pPr>
        <w:pStyle w:val="FigureCaption"/>
        <w:rPr>
          <w:lang w:bidi="en-US"/>
        </w:rPr>
      </w:pPr>
      <w:r w:rsidRPr="00677A40">
        <w:rPr>
          <w:rFonts w:ascii="Arial" w:hAnsi="Arial" w:cs="Arial"/>
          <w:lang w:bidi="en-US"/>
        </w:rPr>
        <w:lastRenderedPageBreak/>
        <w:drawing>
          <wp:anchor distT="0" distB="0" distL="114300" distR="114300" simplePos="0" relativeHeight="251668480" behindDoc="1" locked="0" layoutInCell="1" allowOverlap="1" wp14:anchorId="6BF2E22B" wp14:editId="745B8702">
            <wp:simplePos x="0" y="0"/>
            <wp:positionH relativeFrom="margin">
              <wp:align>center</wp:align>
            </wp:positionH>
            <wp:positionV relativeFrom="paragraph">
              <wp:posOffset>235417</wp:posOffset>
            </wp:positionV>
            <wp:extent cx="6462395" cy="4493260"/>
            <wp:effectExtent l="0" t="0" r="0" b="2540"/>
            <wp:wrapNone/>
            <wp:docPr id="1366169419" name="Picture 4" descr="A diagram of a production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69419" name="Picture 4" descr="A diagram of a production proces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62395" cy="4493260"/>
                    </a:xfrm>
                    <a:prstGeom prst="rect">
                      <a:avLst/>
                    </a:prstGeom>
                    <a:noFill/>
                  </pic:spPr>
                </pic:pic>
              </a:graphicData>
            </a:graphic>
            <wp14:sizeRelH relativeFrom="page">
              <wp14:pctWidth>0</wp14:pctWidth>
            </wp14:sizeRelH>
            <wp14:sizeRelV relativeFrom="page">
              <wp14:pctHeight>0</wp14:pctHeight>
            </wp14:sizeRelV>
          </wp:anchor>
        </w:drawing>
      </w:r>
    </w:p>
    <w:p w14:paraId="2381ED15" w14:textId="77777777" w:rsidR="00677A40" w:rsidRDefault="00677A40" w:rsidP="00677A40">
      <w:pPr>
        <w:pStyle w:val="FigureCaption"/>
        <w:rPr>
          <w:lang w:bidi="en-US"/>
        </w:rPr>
      </w:pPr>
    </w:p>
    <w:p w14:paraId="6BC2536F" w14:textId="77777777" w:rsidR="00677A40" w:rsidRDefault="00677A40" w:rsidP="00677A40">
      <w:pPr>
        <w:pStyle w:val="FigureCaption"/>
        <w:rPr>
          <w:lang w:bidi="en-US"/>
        </w:rPr>
      </w:pPr>
    </w:p>
    <w:p w14:paraId="432779DA" w14:textId="77777777" w:rsidR="00677A40" w:rsidRDefault="00677A40" w:rsidP="00677A40">
      <w:pPr>
        <w:pStyle w:val="FigureCaption"/>
        <w:rPr>
          <w:lang w:bidi="en-US"/>
        </w:rPr>
      </w:pPr>
    </w:p>
    <w:p w14:paraId="63591970" w14:textId="77777777" w:rsidR="00677A40" w:rsidRDefault="00677A40" w:rsidP="00677A40">
      <w:pPr>
        <w:pStyle w:val="FigureCaption"/>
        <w:rPr>
          <w:lang w:bidi="en-US"/>
        </w:rPr>
      </w:pPr>
    </w:p>
    <w:p w14:paraId="4E8D9759" w14:textId="77777777" w:rsidR="00677A40" w:rsidRDefault="00677A40" w:rsidP="00677A40">
      <w:pPr>
        <w:pStyle w:val="FigureCaption"/>
        <w:rPr>
          <w:lang w:bidi="en-US"/>
        </w:rPr>
      </w:pPr>
    </w:p>
    <w:p w14:paraId="34497513" w14:textId="77777777" w:rsidR="00677A40" w:rsidRDefault="00677A40" w:rsidP="00677A40">
      <w:pPr>
        <w:pStyle w:val="FigureCaption"/>
        <w:rPr>
          <w:lang w:bidi="en-US"/>
        </w:rPr>
      </w:pPr>
    </w:p>
    <w:p w14:paraId="5451BFFE" w14:textId="77777777" w:rsidR="00677A40" w:rsidRDefault="00677A40" w:rsidP="00677A40">
      <w:pPr>
        <w:pStyle w:val="FigureCaption"/>
        <w:rPr>
          <w:lang w:bidi="en-US"/>
        </w:rPr>
      </w:pPr>
    </w:p>
    <w:p w14:paraId="1D0D9130" w14:textId="77777777" w:rsidR="00677A40" w:rsidRDefault="00677A40" w:rsidP="00677A40">
      <w:pPr>
        <w:pStyle w:val="FigureCaption"/>
        <w:rPr>
          <w:lang w:bidi="en-US"/>
        </w:rPr>
      </w:pPr>
    </w:p>
    <w:p w14:paraId="699C1CAB" w14:textId="77777777" w:rsidR="00677A40" w:rsidRDefault="00677A40" w:rsidP="00677A40">
      <w:pPr>
        <w:pStyle w:val="FigureCaption"/>
        <w:rPr>
          <w:lang w:bidi="en-US"/>
        </w:rPr>
      </w:pPr>
    </w:p>
    <w:p w14:paraId="3F81F2FA" w14:textId="77777777" w:rsidR="00677A40" w:rsidRDefault="00677A40" w:rsidP="00677A40">
      <w:pPr>
        <w:pStyle w:val="FigureCaption"/>
        <w:rPr>
          <w:lang w:bidi="en-US"/>
        </w:rPr>
      </w:pPr>
    </w:p>
    <w:p w14:paraId="4FCA4DE2" w14:textId="77777777" w:rsidR="00677A40" w:rsidRDefault="00677A40" w:rsidP="00677A40">
      <w:pPr>
        <w:pStyle w:val="FigureCaption"/>
        <w:rPr>
          <w:lang w:bidi="en-US"/>
        </w:rPr>
      </w:pPr>
    </w:p>
    <w:p w14:paraId="6019872B" w14:textId="77777777" w:rsidR="00677A40" w:rsidRDefault="00677A40" w:rsidP="00677A40">
      <w:pPr>
        <w:pStyle w:val="FigureCaption"/>
        <w:rPr>
          <w:lang w:bidi="en-US"/>
        </w:rPr>
      </w:pPr>
    </w:p>
    <w:p w14:paraId="54043E05" w14:textId="77777777" w:rsidR="00677A40" w:rsidRDefault="00677A40" w:rsidP="00677A40">
      <w:pPr>
        <w:pStyle w:val="FigureCaption"/>
        <w:rPr>
          <w:lang w:bidi="en-US"/>
        </w:rPr>
      </w:pPr>
    </w:p>
    <w:p w14:paraId="521D5CB7" w14:textId="77777777" w:rsidR="00677A40" w:rsidRDefault="00677A40" w:rsidP="00677A40">
      <w:pPr>
        <w:pStyle w:val="FigureCaption"/>
        <w:rPr>
          <w:lang w:bidi="en-US"/>
        </w:rPr>
      </w:pPr>
    </w:p>
    <w:p w14:paraId="3E9EB3DF" w14:textId="77777777" w:rsidR="00677A40" w:rsidRDefault="00677A40" w:rsidP="00677A40">
      <w:pPr>
        <w:pStyle w:val="FigureCaption"/>
        <w:rPr>
          <w:lang w:bidi="en-US"/>
        </w:rPr>
      </w:pPr>
    </w:p>
    <w:p w14:paraId="3D0362C7" w14:textId="77777777" w:rsidR="00677A40" w:rsidRDefault="00677A40" w:rsidP="00677A40">
      <w:pPr>
        <w:pStyle w:val="FigureCaption"/>
        <w:rPr>
          <w:lang w:bidi="en-US"/>
        </w:rPr>
      </w:pPr>
    </w:p>
    <w:p w14:paraId="18B2B760" w14:textId="77777777" w:rsidR="00677A40" w:rsidRDefault="00677A40" w:rsidP="00677A40">
      <w:pPr>
        <w:pStyle w:val="FigureCaption"/>
        <w:rPr>
          <w:lang w:bidi="en-US"/>
        </w:rPr>
      </w:pPr>
    </w:p>
    <w:p w14:paraId="39CF3ED0" w14:textId="5EA8D870" w:rsidR="00677A40" w:rsidRDefault="00677A40" w:rsidP="00677A40">
      <w:pPr>
        <w:pStyle w:val="FigureCaption"/>
        <w:rPr>
          <w:lang w:bidi="en-US"/>
        </w:rPr>
      </w:pPr>
      <w:r>
        <w:rPr>
          <w:lang w:bidi="en-US"/>
        </w:rPr>
        <w:t>Figure 3.1</w:t>
      </w:r>
      <w:r w:rsidRPr="00677A40">
        <w:rPr>
          <w:rFonts w:ascii="Arial" w:hAnsi="Arial" w:cs="Arial"/>
          <w:b w:val="0"/>
          <w:bCs w:val="0"/>
          <w:noProof w:val="0"/>
          <w:lang w:bidi="en-US"/>
        </w:rPr>
        <w:t xml:space="preserve"> </w:t>
      </w:r>
      <w:r w:rsidRPr="00677A40">
        <w:rPr>
          <w:b w:val="0"/>
          <w:bCs w:val="0"/>
          <w:lang w:bidi="en-US"/>
        </w:rPr>
        <w:t>Overview of the manufacturing process used in this research. Step 1 represents production of virgin paper composites, while steps 2 – 4 represent recycling process.</w:t>
      </w:r>
      <w:r>
        <w:rPr>
          <w:lang w:bidi="en-US"/>
        </w:rPr>
        <w:br w:type="page"/>
      </w:r>
    </w:p>
    <w:p w14:paraId="6EDD1B91" w14:textId="226657D8" w:rsidR="00677A40" w:rsidRDefault="00677A40" w:rsidP="00677A40">
      <w:pPr>
        <w:pStyle w:val="FigureCaption"/>
        <w:rPr>
          <w:lang w:bidi="en-US"/>
        </w:rPr>
      </w:pPr>
      <w:r w:rsidRPr="00677A40">
        <w:rPr>
          <w:rFonts w:ascii="Arial" w:hAnsi="Arial" w:cs="Arial"/>
          <w:b w:val="0"/>
          <w:bCs w:val="0"/>
          <w:lang w:bidi="en-US"/>
        </w:rPr>
        <w:lastRenderedPageBreak/>
        <w:drawing>
          <wp:anchor distT="0" distB="0" distL="114300" distR="114300" simplePos="0" relativeHeight="251669504" behindDoc="1" locked="0" layoutInCell="1" allowOverlap="1" wp14:anchorId="70F74976" wp14:editId="4B44C585">
            <wp:simplePos x="0" y="0"/>
            <wp:positionH relativeFrom="margin">
              <wp:align>right</wp:align>
            </wp:positionH>
            <wp:positionV relativeFrom="paragraph">
              <wp:posOffset>90435</wp:posOffset>
            </wp:positionV>
            <wp:extent cx="5205046" cy="6592898"/>
            <wp:effectExtent l="0" t="0" r="0" b="0"/>
            <wp:wrapNone/>
            <wp:docPr id="302174357" name="Picture 5" descr="A group of colorful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74357" name="Picture 5" descr="A group of colorful bar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05046" cy="6592898"/>
                    </a:xfrm>
                    <a:prstGeom prst="rect">
                      <a:avLst/>
                    </a:prstGeom>
                    <a:noFill/>
                  </pic:spPr>
                </pic:pic>
              </a:graphicData>
            </a:graphic>
            <wp14:sizeRelH relativeFrom="page">
              <wp14:pctWidth>0</wp14:pctWidth>
            </wp14:sizeRelH>
            <wp14:sizeRelV relativeFrom="page">
              <wp14:pctHeight>0</wp14:pctHeight>
            </wp14:sizeRelV>
          </wp:anchor>
        </w:drawing>
      </w:r>
    </w:p>
    <w:p w14:paraId="0A2B22EC" w14:textId="7AAB97AE" w:rsidR="00677A40" w:rsidRDefault="00677A40" w:rsidP="00677A40">
      <w:pPr>
        <w:pStyle w:val="FigureCaption"/>
        <w:rPr>
          <w:lang w:bidi="en-US"/>
        </w:rPr>
      </w:pPr>
    </w:p>
    <w:p w14:paraId="50DA9ED9" w14:textId="77777777" w:rsidR="00677A40" w:rsidRDefault="00677A40" w:rsidP="00677A40">
      <w:pPr>
        <w:pStyle w:val="FigureCaption"/>
        <w:rPr>
          <w:lang w:bidi="en-US"/>
        </w:rPr>
      </w:pPr>
    </w:p>
    <w:p w14:paraId="7BB96274" w14:textId="77777777" w:rsidR="00677A40" w:rsidRDefault="00677A40" w:rsidP="00677A40">
      <w:pPr>
        <w:pStyle w:val="FigureCaption"/>
        <w:rPr>
          <w:lang w:bidi="en-US"/>
        </w:rPr>
      </w:pPr>
    </w:p>
    <w:p w14:paraId="1735D21E" w14:textId="77777777" w:rsidR="00677A40" w:rsidRDefault="00677A40" w:rsidP="00677A40">
      <w:pPr>
        <w:pStyle w:val="FigureCaption"/>
        <w:rPr>
          <w:lang w:bidi="en-US"/>
        </w:rPr>
      </w:pPr>
    </w:p>
    <w:p w14:paraId="200CAC51" w14:textId="77777777" w:rsidR="00677A40" w:rsidRDefault="00677A40" w:rsidP="00677A40">
      <w:pPr>
        <w:pStyle w:val="FigureCaption"/>
        <w:rPr>
          <w:lang w:bidi="en-US"/>
        </w:rPr>
      </w:pPr>
    </w:p>
    <w:p w14:paraId="004C2707" w14:textId="6BD9ED02" w:rsidR="00677A40" w:rsidRDefault="00677A40" w:rsidP="00677A40">
      <w:pPr>
        <w:pStyle w:val="FigureCaption"/>
        <w:rPr>
          <w:lang w:bidi="en-US"/>
        </w:rPr>
      </w:pPr>
    </w:p>
    <w:p w14:paraId="070DD166" w14:textId="77777777" w:rsidR="00677A40" w:rsidRDefault="00677A40" w:rsidP="00677A40">
      <w:pPr>
        <w:pStyle w:val="FigureCaption"/>
        <w:rPr>
          <w:lang w:bidi="en-US"/>
        </w:rPr>
      </w:pPr>
    </w:p>
    <w:p w14:paraId="4882E678" w14:textId="77777777" w:rsidR="00677A40" w:rsidRDefault="00677A40" w:rsidP="00677A40">
      <w:pPr>
        <w:pStyle w:val="FigureCaption"/>
        <w:rPr>
          <w:lang w:bidi="en-US"/>
        </w:rPr>
      </w:pPr>
    </w:p>
    <w:p w14:paraId="338C61A1" w14:textId="77777777" w:rsidR="00677A40" w:rsidRDefault="00677A40" w:rsidP="00677A40">
      <w:pPr>
        <w:pStyle w:val="FigureCaption"/>
        <w:rPr>
          <w:lang w:bidi="en-US"/>
        </w:rPr>
      </w:pPr>
    </w:p>
    <w:p w14:paraId="6F401148" w14:textId="77777777" w:rsidR="00677A40" w:rsidRDefault="00677A40" w:rsidP="00677A40">
      <w:pPr>
        <w:pStyle w:val="FigureCaption"/>
        <w:rPr>
          <w:lang w:bidi="en-US"/>
        </w:rPr>
      </w:pPr>
    </w:p>
    <w:p w14:paraId="4DD7CA24" w14:textId="77777777" w:rsidR="00677A40" w:rsidRDefault="00677A40" w:rsidP="00677A40">
      <w:pPr>
        <w:pStyle w:val="FigureCaption"/>
        <w:rPr>
          <w:lang w:bidi="en-US"/>
        </w:rPr>
      </w:pPr>
    </w:p>
    <w:p w14:paraId="488060F8" w14:textId="77777777" w:rsidR="00677A40" w:rsidRDefault="00677A40" w:rsidP="00677A40">
      <w:pPr>
        <w:pStyle w:val="FigureCaption"/>
        <w:rPr>
          <w:lang w:bidi="en-US"/>
        </w:rPr>
      </w:pPr>
    </w:p>
    <w:p w14:paraId="3BAD02AE" w14:textId="77777777" w:rsidR="00677A40" w:rsidRDefault="00677A40" w:rsidP="00677A40">
      <w:pPr>
        <w:pStyle w:val="FigureCaption"/>
        <w:rPr>
          <w:lang w:bidi="en-US"/>
        </w:rPr>
      </w:pPr>
    </w:p>
    <w:p w14:paraId="507B3682" w14:textId="77777777" w:rsidR="00677A40" w:rsidRDefault="00677A40" w:rsidP="00677A40">
      <w:pPr>
        <w:pStyle w:val="FigureCaption"/>
        <w:rPr>
          <w:lang w:bidi="en-US"/>
        </w:rPr>
      </w:pPr>
    </w:p>
    <w:p w14:paraId="353E16E2" w14:textId="77777777" w:rsidR="00677A40" w:rsidRDefault="00677A40" w:rsidP="00677A40">
      <w:pPr>
        <w:pStyle w:val="FigureCaption"/>
        <w:rPr>
          <w:lang w:bidi="en-US"/>
        </w:rPr>
      </w:pPr>
    </w:p>
    <w:p w14:paraId="74CA18D4" w14:textId="77777777" w:rsidR="00677A40" w:rsidRDefault="00677A40" w:rsidP="00677A40">
      <w:pPr>
        <w:pStyle w:val="FigureCaption"/>
        <w:rPr>
          <w:lang w:bidi="en-US"/>
        </w:rPr>
      </w:pPr>
    </w:p>
    <w:p w14:paraId="6C5DB1B6" w14:textId="77777777" w:rsidR="00677A40" w:rsidRDefault="00677A40" w:rsidP="00677A40">
      <w:pPr>
        <w:pStyle w:val="FigureCaption"/>
        <w:rPr>
          <w:lang w:bidi="en-US"/>
        </w:rPr>
      </w:pPr>
    </w:p>
    <w:p w14:paraId="4147BA89" w14:textId="77777777" w:rsidR="00677A40" w:rsidRDefault="00677A40" w:rsidP="00677A40">
      <w:pPr>
        <w:pStyle w:val="FigureCaption"/>
        <w:rPr>
          <w:lang w:bidi="en-US"/>
        </w:rPr>
      </w:pPr>
    </w:p>
    <w:p w14:paraId="67980A78" w14:textId="77777777" w:rsidR="00677A40" w:rsidRDefault="00677A40" w:rsidP="00677A40">
      <w:pPr>
        <w:pStyle w:val="FigureCaption"/>
        <w:rPr>
          <w:lang w:bidi="en-US"/>
        </w:rPr>
      </w:pPr>
    </w:p>
    <w:p w14:paraId="1859C4D7" w14:textId="77777777" w:rsidR="00677A40" w:rsidRDefault="00677A40" w:rsidP="00677A40">
      <w:pPr>
        <w:pStyle w:val="FigureCaption"/>
        <w:rPr>
          <w:lang w:bidi="en-US"/>
        </w:rPr>
      </w:pPr>
    </w:p>
    <w:p w14:paraId="45576ADF" w14:textId="77777777" w:rsidR="00677A40" w:rsidRDefault="00677A40" w:rsidP="00677A40">
      <w:pPr>
        <w:pStyle w:val="FigureCaption"/>
        <w:rPr>
          <w:lang w:bidi="en-US"/>
        </w:rPr>
      </w:pPr>
    </w:p>
    <w:p w14:paraId="68493E44" w14:textId="77777777" w:rsidR="00677A40" w:rsidRDefault="00677A40" w:rsidP="00677A40">
      <w:pPr>
        <w:pStyle w:val="FigureCaption"/>
        <w:rPr>
          <w:lang w:bidi="en-US"/>
        </w:rPr>
      </w:pPr>
    </w:p>
    <w:p w14:paraId="14D96F72" w14:textId="77777777" w:rsidR="00677A40" w:rsidRDefault="00677A40" w:rsidP="00677A40">
      <w:pPr>
        <w:pStyle w:val="FigureCaption"/>
        <w:rPr>
          <w:lang w:bidi="en-US"/>
        </w:rPr>
      </w:pPr>
    </w:p>
    <w:p w14:paraId="19ABF0DD" w14:textId="77777777" w:rsidR="00677A40" w:rsidRDefault="00677A40" w:rsidP="00677A40">
      <w:pPr>
        <w:pStyle w:val="FigureCaption"/>
        <w:rPr>
          <w:lang w:bidi="en-US"/>
        </w:rPr>
      </w:pPr>
    </w:p>
    <w:p w14:paraId="6F3570D2" w14:textId="77777777" w:rsidR="00677A40" w:rsidRDefault="00677A40" w:rsidP="00677A40">
      <w:pPr>
        <w:pStyle w:val="FigureCaption"/>
        <w:rPr>
          <w:lang w:bidi="en-US"/>
        </w:rPr>
      </w:pPr>
    </w:p>
    <w:p w14:paraId="0E036C29" w14:textId="70361E00" w:rsidR="00677A40" w:rsidRDefault="00677A40" w:rsidP="00677A40">
      <w:pPr>
        <w:pStyle w:val="FigureCaption"/>
        <w:rPr>
          <w:lang w:bidi="en-US"/>
        </w:rPr>
      </w:pPr>
      <w:r w:rsidRPr="00677A40">
        <w:rPr>
          <w:lang w:bidi="en-US"/>
        </w:rPr>
        <w:t xml:space="preserve">Figure 3.2 </w:t>
      </w:r>
      <w:r w:rsidRPr="00677A40">
        <w:rPr>
          <w:b w:val="0"/>
          <w:bCs w:val="0"/>
          <w:lang w:bidi="en-US"/>
        </w:rPr>
        <w:t>Thermal properties of injection molded samples: (A) Melting temperatures of the 1st heat cycle, (B) melting enthalpies for the 1st heating cycle, (C) recrystallization temperatures, (D) recrystallization enthalpies, (E) melting temperatures of the 2nd heat cycle, and (F) melting enthalpies for the 2nd heating cycle.</w:t>
      </w:r>
      <w:r>
        <w:rPr>
          <w:lang w:bidi="en-US"/>
        </w:rPr>
        <w:br w:type="page"/>
      </w:r>
    </w:p>
    <w:p w14:paraId="572BCEFC" w14:textId="77777777" w:rsidR="000C37DC" w:rsidRDefault="000C37DC" w:rsidP="000C37DC">
      <w:pPr>
        <w:pStyle w:val="TableHeading"/>
        <w:rPr>
          <w:b w:val="0"/>
          <w:bCs w:val="0"/>
          <w:lang w:bidi="en-US"/>
        </w:rPr>
      </w:pPr>
      <w:r w:rsidRPr="000C37DC">
        <w:rPr>
          <w:lang w:bidi="en-US"/>
        </w:rPr>
        <w:lastRenderedPageBreak/>
        <w:t xml:space="preserve">Table 3.2 </w:t>
      </w:r>
      <w:r w:rsidRPr="000C37DC">
        <w:rPr>
          <w:b w:val="0"/>
          <w:bCs w:val="0"/>
          <w:lang w:bidi="en-US"/>
        </w:rPr>
        <w:t>P-values and correlation direction for the effects of temperature, injection rate, and their interaction on thermal properties.</w:t>
      </w:r>
    </w:p>
    <w:tbl>
      <w:tblPr>
        <w:tblpPr w:leftFromText="180" w:rightFromText="180" w:vertAnchor="page" w:horzAnchor="margin" w:tblpXSpec="center" w:tblpY="2207"/>
        <w:tblW w:w="5000" w:type="pct"/>
        <w:tblLook w:val="04A0" w:firstRow="1" w:lastRow="0" w:firstColumn="1" w:lastColumn="0" w:noHBand="0" w:noVBand="1"/>
      </w:tblPr>
      <w:tblGrid>
        <w:gridCol w:w="901"/>
        <w:gridCol w:w="1526"/>
        <w:gridCol w:w="946"/>
        <w:gridCol w:w="998"/>
        <w:gridCol w:w="1346"/>
        <w:gridCol w:w="899"/>
        <w:gridCol w:w="1026"/>
        <w:gridCol w:w="998"/>
      </w:tblGrid>
      <w:tr w:rsidR="000C37DC" w:rsidRPr="000C37DC" w14:paraId="68C234EC" w14:textId="77777777" w:rsidTr="000C37DC">
        <w:trPr>
          <w:trHeight w:val="20"/>
        </w:trPr>
        <w:tc>
          <w:tcPr>
            <w:tcW w:w="504" w:type="pct"/>
            <w:tcBorders>
              <w:top w:val="single" w:sz="4" w:space="0" w:color="auto"/>
              <w:left w:val="nil"/>
              <w:bottom w:val="single" w:sz="4" w:space="0" w:color="auto"/>
              <w:right w:val="nil"/>
            </w:tcBorders>
            <w:vAlign w:val="center"/>
          </w:tcPr>
          <w:p w14:paraId="0712F6B7" w14:textId="77777777" w:rsidR="000C37DC" w:rsidRPr="000C37DC" w:rsidRDefault="000C37DC" w:rsidP="000C37DC">
            <w:pPr>
              <w:pStyle w:val="TableHeading"/>
              <w:rPr>
                <w:b w:val="0"/>
                <w:bCs w:val="0"/>
                <w:sz w:val="22"/>
                <w:szCs w:val="22"/>
                <w:lang w:bidi="en-US"/>
              </w:rPr>
            </w:pPr>
          </w:p>
        </w:tc>
        <w:tc>
          <w:tcPr>
            <w:tcW w:w="903" w:type="pct"/>
            <w:tcBorders>
              <w:top w:val="single" w:sz="4" w:space="0" w:color="auto"/>
              <w:left w:val="nil"/>
              <w:bottom w:val="single" w:sz="4" w:space="0" w:color="auto"/>
              <w:right w:val="nil"/>
            </w:tcBorders>
            <w:vAlign w:val="center"/>
          </w:tcPr>
          <w:p w14:paraId="7D8F7C4E" w14:textId="77777777" w:rsidR="000C37DC" w:rsidRPr="000C37DC" w:rsidRDefault="000C37DC" w:rsidP="000C37DC">
            <w:pPr>
              <w:pStyle w:val="TableHeading"/>
              <w:rPr>
                <w:b w:val="0"/>
                <w:bCs w:val="0"/>
                <w:sz w:val="22"/>
                <w:szCs w:val="22"/>
                <w:lang w:bidi="en-US"/>
              </w:rPr>
            </w:pPr>
          </w:p>
        </w:tc>
        <w:tc>
          <w:tcPr>
            <w:tcW w:w="1903" w:type="pct"/>
            <w:gridSpan w:val="3"/>
            <w:tcBorders>
              <w:top w:val="single" w:sz="4" w:space="0" w:color="auto"/>
              <w:left w:val="nil"/>
              <w:bottom w:val="single" w:sz="4" w:space="0" w:color="auto"/>
              <w:right w:val="nil"/>
            </w:tcBorders>
            <w:vAlign w:val="center"/>
            <w:hideMark/>
          </w:tcPr>
          <w:p w14:paraId="04A0B486"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P-Values</w:t>
            </w:r>
          </w:p>
        </w:tc>
        <w:tc>
          <w:tcPr>
            <w:tcW w:w="1689" w:type="pct"/>
            <w:gridSpan w:val="3"/>
            <w:tcBorders>
              <w:top w:val="single" w:sz="4" w:space="0" w:color="auto"/>
              <w:left w:val="nil"/>
              <w:bottom w:val="single" w:sz="4" w:space="0" w:color="auto"/>
              <w:right w:val="nil"/>
            </w:tcBorders>
            <w:vAlign w:val="center"/>
            <w:hideMark/>
          </w:tcPr>
          <w:p w14:paraId="243A39A5"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Correlation Direction</w:t>
            </w:r>
          </w:p>
        </w:tc>
      </w:tr>
      <w:tr w:rsidR="000C37DC" w:rsidRPr="000C37DC" w14:paraId="5043F459" w14:textId="77777777" w:rsidTr="000C37DC">
        <w:trPr>
          <w:trHeight w:val="20"/>
        </w:trPr>
        <w:tc>
          <w:tcPr>
            <w:tcW w:w="504" w:type="pct"/>
            <w:tcBorders>
              <w:top w:val="single" w:sz="4" w:space="0" w:color="auto"/>
              <w:left w:val="nil"/>
              <w:bottom w:val="single" w:sz="4" w:space="0" w:color="auto"/>
              <w:right w:val="nil"/>
            </w:tcBorders>
            <w:vAlign w:val="center"/>
            <w:hideMark/>
          </w:tcPr>
          <w:p w14:paraId="7D753499"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Test Method</w:t>
            </w:r>
          </w:p>
        </w:tc>
        <w:tc>
          <w:tcPr>
            <w:tcW w:w="903" w:type="pct"/>
            <w:tcBorders>
              <w:top w:val="single" w:sz="4" w:space="0" w:color="auto"/>
              <w:left w:val="nil"/>
              <w:bottom w:val="single" w:sz="4" w:space="0" w:color="auto"/>
              <w:right w:val="nil"/>
            </w:tcBorders>
            <w:vAlign w:val="center"/>
            <w:hideMark/>
          </w:tcPr>
          <w:p w14:paraId="146FBCE2"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Property</w:t>
            </w:r>
          </w:p>
        </w:tc>
        <w:tc>
          <w:tcPr>
            <w:tcW w:w="566" w:type="pct"/>
            <w:tcBorders>
              <w:top w:val="single" w:sz="4" w:space="0" w:color="auto"/>
              <w:left w:val="nil"/>
              <w:bottom w:val="single" w:sz="4" w:space="0" w:color="auto"/>
              <w:right w:val="nil"/>
            </w:tcBorders>
            <w:vAlign w:val="center"/>
            <w:hideMark/>
          </w:tcPr>
          <w:p w14:paraId="1DADE1C7"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Temp.</w:t>
            </w:r>
          </w:p>
        </w:tc>
        <w:tc>
          <w:tcPr>
            <w:tcW w:w="537" w:type="pct"/>
            <w:tcBorders>
              <w:top w:val="single" w:sz="4" w:space="0" w:color="auto"/>
              <w:left w:val="nil"/>
              <w:bottom w:val="single" w:sz="4" w:space="0" w:color="auto"/>
              <w:right w:val="nil"/>
            </w:tcBorders>
            <w:vAlign w:val="center"/>
            <w:hideMark/>
          </w:tcPr>
          <w:p w14:paraId="32BB4132"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Injection Rate</w:t>
            </w:r>
          </w:p>
        </w:tc>
        <w:tc>
          <w:tcPr>
            <w:tcW w:w="800" w:type="pct"/>
            <w:tcBorders>
              <w:top w:val="single" w:sz="4" w:space="0" w:color="auto"/>
              <w:left w:val="nil"/>
              <w:bottom w:val="single" w:sz="4" w:space="0" w:color="auto"/>
              <w:right w:val="nil"/>
            </w:tcBorders>
            <w:vAlign w:val="center"/>
            <w:hideMark/>
          </w:tcPr>
          <w:p w14:paraId="54C0F3F4"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Temp.*</w:t>
            </w:r>
            <w:r w:rsidRPr="000C37DC">
              <w:rPr>
                <w:b w:val="0"/>
                <w:bCs w:val="0"/>
                <w:sz w:val="22"/>
                <w:szCs w:val="22"/>
                <w:lang w:bidi="en-US"/>
              </w:rPr>
              <w:br/>
              <w:t>Injection Rate</w:t>
            </w:r>
          </w:p>
        </w:tc>
        <w:tc>
          <w:tcPr>
            <w:tcW w:w="540" w:type="pct"/>
            <w:tcBorders>
              <w:top w:val="single" w:sz="4" w:space="0" w:color="auto"/>
              <w:left w:val="nil"/>
              <w:bottom w:val="single" w:sz="4" w:space="0" w:color="auto"/>
              <w:right w:val="nil"/>
            </w:tcBorders>
            <w:vAlign w:val="center"/>
            <w:hideMark/>
          </w:tcPr>
          <w:p w14:paraId="095BBAD9"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Temp.</w:t>
            </w:r>
          </w:p>
        </w:tc>
        <w:tc>
          <w:tcPr>
            <w:tcW w:w="613" w:type="pct"/>
            <w:tcBorders>
              <w:top w:val="single" w:sz="4" w:space="0" w:color="auto"/>
              <w:left w:val="nil"/>
              <w:bottom w:val="single" w:sz="4" w:space="0" w:color="auto"/>
              <w:right w:val="nil"/>
            </w:tcBorders>
            <w:vAlign w:val="center"/>
            <w:hideMark/>
          </w:tcPr>
          <w:p w14:paraId="1F1BDD3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 xml:space="preserve">Injection </w:t>
            </w:r>
            <w:r w:rsidRPr="000C37DC">
              <w:rPr>
                <w:b w:val="0"/>
                <w:bCs w:val="0"/>
                <w:sz w:val="22"/>
                <w:szCs w:val="22"/>
                <w:lang w:bidi="en-US"/>
              </w:rPr>
              <w:br/>
              <w:t>Rate</w:t>
            </w:r>
          </w:p>
        </w:tc>
        <w:tc>
          <w:tcPr>
            <w:tcW w:w="537" w:type="pct"/>
            <w:tcBorders>
              <w:top w:val="single" w:sz="4" w:space="0" w:color="auto"/>
              <w:left w:val="nil"/>
              <w:bottom w:val="single" w:sz="4" w:space="0" w:color="auto"/>
              <w:right w:val="nil"/>
            </w:tcBorders>
            <w:vAlign w:val="center"/>
            <w:hideMark/>
          </w:tcPr>
          <w:p w14:paraId="0B0169C9"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Temp.*</w:t>
            </w:r>
            <w:r w:rsidRPr="000C37DC">
              <w:rPr>
                <w:b w:val="0"/>
                <w:bCs w:val="0"/>
                <w:sz w:val="22"/>
                <w:szCs w:val="22"/>
                <w:lang w:bidi="en-US"/>
              </w:rPr>
              <w:br/>
              <w:t>Injection Rate</w:t>
            </w:r>
          </w:p>
        </w:tc>
      </w:tr>
      <w:tr w:rsidR="000C37DC" w:rsidRPr="000C37DC" w14:paraId="001E1802" w14:textId="77777777" w:rsidTr="000C37DC">
        <w:trPr>
          <w:trHeight w:val="20"/>
        </w:trPr>
        <w:tc>
          <w:tcPr>
            <w:tcW w:w="504" w:type="pct"/>
            <w:vMerge w:val="restart"/>
            <w:tcBorders>
              <w:top w:val="single" w:sz="4" w:space="0" w:color="auto"/>
              <w:left w:val="nil"/>
              <w:bottom w:val="single" w:sz="4" w:space="0" w:color="auto"/>
              <w:right w:val="nil"/>
            </w:tcBorders>
            <w:vAlign w:val="center"/>
            <w:hideMark/>
          </w:tcPr>
          <w:p w14:paraId="5A01DA3D"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DSC</w:t>
            </w:r>
          </w:p>
        </w:tc>
        <w:tc>
          <w:tcPr>
            <w:tcW w:w="903" w:type="pct"/>
            <w:tcBorders>
              <w:top w:val="single" w:sz="4" w:space="0" w:color="auto"/>
              <w:left w:val="nil"/>
              <w:bottom w:val="nil"/>
              <w:right w:val="nil"/>
            </w:tcBorders>
            <w:vAlign w:val="center"/>
            <w:hideMark/>
          </w:tcPr>
          <w:p w14:paraId="141E432F"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w:t>
            </w:r>
            <w:r w:rsidRPr="000C37DC">
              <w:rPr>
                <w:b w:val="0"/>
                <w:bCs w:val="0"/>
                <w:sz w:val="22"/>
                <w:szCs w:val="22"/>
                <w:vertAlign w:val="subscript"/>
                <w:lang w:bidi="en-US"/>
              </w:rPr>
              <w:t>m</w:t>
            </w:r>
            <w:r w:rsidRPr="000C37DC">
              <w:rPr>
                <w:b w:val="0"/>
                <w:bCs w:val="0"/>
                <w:sz w:val="22"/>
                <w:szCs w:val="22"/>
                <w:vertAlign w:val="subscript"/>
                <w:lang w:bidi="en-US"/>
              </w:rPr>
              <w:softHyphen/>
              <w:t xml:space="preserve"> </w:t>
            </w:r>
            <w:r w:rsidRPr="000C37DC">
              <w:rPr>
                <w:b w:val="0"/>
                <w:bCs w:val="0"/>
                <w:sz w:val="22"/>
                <w:szCs w:val="22"/>
                <w:lang w:bidi="en-US"/>
              </w:rPr>
              <w:t>(1</w:t>
            </w:r>
            <w:r w:rsidRPr="000C37DC">
              <w:rPr>
                <w:b w:val="0"/>
                <w:bCs w:val="0"/>
                <w:sz w:val="22"/>
                <w:szCs w:val="22"/>
                <w:vertAlign w:val="superscript"/>
                <w:lang w:bidi="en-US"/>
              </w:rPr>
              <w:t>st</w:t>
            </w:r>
            <w:r w:rsidRPr="000C37DC">
              <w:rPr>
                <w:b w:val="0"/>
                <w:bCs w:val="0"/>
                <w:sz w:val="22"/>
                <w:szCs w:val="22"/>
                <w:lang w:bidi="en-US"/>
              </w:rPr>
              <w:t xml:space="preserve"> Heat)</w:t>
            </w:r>
          </w:p>
        </w:tc>
        <w:tc>
          <w:tcPr>
            <w:tcW w:w="566" w:type="pct"/>
            <w:tcBorders>
              <w:top w:val="single" w:sz="4" w:space="0" w:color="auto"/>
              <w:left w:val="nil"/>
              <w:bottom w:val="nil"/>
              <w:right w:val="nil"/>
            </w:tcBorders>
            <w:vAlign w:val="center"/>
            <w:hideMark/>
          </w:tcPr>
          <w:p w14:paraId="68042090"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0.59607</w:t>
            </w:r>
          </w:p>
        </w:tc>
        <w:tc>
          <w:tcPr>
            <w:tcW w:w="537" w:type="pct"/>
            <w:tcBorders>
              <w:top w:val="single" w:sz="4" w:space="0" w:color="auto"/>
              <w:left w:val="nil"/>
              <w:bottom w:val="nil"/>
              <w:right w:val="nil"/>
            </w:tcBorders>
            <w:vAlign w:val="center"/>
            <w:hideMark/>
          </w:tcPr>
          <w:p w14:paraId="016220E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0.00972</w:t>
            </w:r>
          </w:p>
        </w:tc>
        <w:tc>
          <w:tcPr>
            <w:tcW w:w="800" w:type="pct"/>
            <w:tcBorders>
              <w:top w:val="single" w:sz="4" w:space="0" w:color="auto"/>
              <w:left w:val="nil"/>
              <w:bottom w:val="nil"/>
              <w:right w:val="nil"/>
            </w:tcBorders>
            <w:vAlign w:val="center"/>
            <w:hideMark/>
          </w:tcPr>
          <w:p w14:paraId="2C945F8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0.25472</w:t>
            </w:r>
          </w:p>
        </w:tc>
        <w:tc>
          <w:tcPr>
            <w:tcW w:w="540" w:type="pct"/>
            <w:tcBorders>
              <w:top w:val="single" w:sz="4" w:space="0" w:color="auto"/>
              <w:left w:val="nil"/>
              <w:bottom w:val="nil"/>
              <w:right w:val="nil"/>
            </w:tcBorders>
            <w:vAlign w:val="center"/>
            <w:hideMark/>
          </w:tcPr>
          <w:p w14:paraId="5320DD29"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tcBorders>
              <w:top w:val="single" w:sz="4" w:space="0" w:color="auto"/>
              <w:left w:val="nil"/>
              <w:bottom w:val="nil"/>
              <w:right w:val="nil"/>
            </w:tcBorders>
            <w:vAlign w:val="center"/>
            <w:hideMark/>
          </w:tcPr>
          <w:p w14:paraId="2ED1588E"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tcBorders>
              <w:top w:val="single" w:sz="4" w:space="0" w:color="auto"/>
              <w:left w:val="nil"/>
              <w:bottom w:val="nil"/>
              <w:right w:val="nil"/>
            </w:tcBorders>
            <w:vAlign w:val="center"/>
            <w:hideMark/>
          </w:tcPr>
          <w:p w14:paraId="303F1BE6"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6C8DC666" w14:textId="77777777" w:rsidTr="000C37DC">
        <w:trPr>
          <w:trHeight w:val="20"/>
        </w:trPr>
        <w:tc>
          <w:tcPr>
            <w:tcW w:w="504" w:type="pct"/>
            <w:vMerge/>
            <w:tcBorders>
              <w:top w:val="single" w:sz="4" w:space="0" w:color="auto"/>
              <w:left w:val="nil"/>
              <w:bottom w:val="single" w:sz="4" w:space="0" w:color="auto"/>
              <w:right w:val="nil"/>
            </w:tcBorders>
            <w:vAlign w:val="center"/>
            <w:hideMark/>
          </w:tcPr>
          <w:p w14:paraId="1D8BA2DA" w14:textId="77777777" w:rsidR="000C37DC" w:rsidRPr="000C37DC" w:rsidRDefault="000C37DC" w:rsidP="000C37DC">
            <w:pPr>
              <w:pStyle w:val="TableHeading"/>
              <w:rPr>
                <w:b w:val="0"/>
                <w:bCs w:val="0"/>
                <w:sz w:val="22"/>
                <w:szCs w:val="22"/>
                <w:lang w:bidi="en-US"/>
              </w:rPr>
            </w:pPr>
          </w:p>
        </w:tc>
        <w:tc>
          <w:tcPr>
            <w:tcW w:w="903" w:type="pct"/>
            <w:vAlign w:val="center"/>
            <w:hideMark/>
          </w:tcPr>
          <w:p w14:paraId="10F3396D"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 xml:space="preserve"> </w:t>
            </w:r>
            <w:proofErr w:type="spellStart"/>
            <w:r w:rsidRPr="000C37DC">
              <w:rPr>
                <w:b w:val="0"/>
                <w:bCs w:val="0"/>
                <w:sz w:val="22"/>
                <w:szCs w:val="22"/>
                <w:lang w:bidi="en-US"/>
              </w:rPr>
              <w:t>ΔH</w:t>
            </w:r>
            <w:r w:rsidRPr="000C37DC">
              <w:rPr>
                <w:b w:val="0"/>
                <w:bCs w:val="0"/>
                <w:sz w:val="22"/>
                <w:szCs w:val="22"/>
                <w:vertAlign w:val="subscript"/>
                <w:lang w:bidi="en-US"/>
              </w:rPr>
              <w:t>m</w:t>
            </w:r>
            <w:proofErr w:type="spellEnd"/>
            <w:r w:rsidRPr="000C37DC">
              <w:rPr>
                <w:b w:val="0"/>
                <w:bCs w:val="0"/>
                <w:sz w:val="22"/>
                <w:szCs w:val="22"/>
                <w:lang w:bidi="en-US"/>
              </w:rPr>
              <w:t xml:space="preserve"> (1</w:t>
            </w:r>
            <w:r w:rsidRPr="000C37DC">
              <w:rPr>
                <w:b w:val="0"/>
                <w:bCs w:val="0"/>
                <w:sz w:val="22"/>
                <w:szCs w:val="22"/>
                <w:vertAlign w:val="superscript"/>
                <w:lang w:bidi="en-US"/>
              </w:rPr>
              <w:t>st</w:t>
            </w:r>
            <w:r w:rsidRPr="000C37DC">
              <w:rPr>
                <w:b w:val="0"/>
                <w:bCs w:val="0"/>
                <w:sz w:val="22"/>
                <w:szCs w:val="22"/>
                <w:lang w:bidi="en-US"/>
              </w:rPr>
              <w:t xml:space="preserve"> Heat)</w:t>
            </w:r>
          </w:p>
        </w:tc>
        <w:tc>
          <w:tcPr>
            <w:tcW w:w="566" w:type="pct"/>
            <w:vAlign w:val="center"/>
            <w:hideMark/>
          </w:tcPr>
          <w:p w14:paraId="5DEEBD3F"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0.02989</w:t>
            </w:r>
          </w:p>
        </w:tc>
        <w:tc>
          <w:tcPr>
            <w:tcW w:w="537" w:type="pct"/>
            <w:vAlign w:val="center"/>
            <w:hideMark/>
          </w:tcPr>
          <w:p w14:paraId="2ADF1200"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0.08279</w:t>
            </w:r>
          </w:p>
        </w:tc>
        <w:tc>
          <w:tcPr>
            <w:tcW w:w="800" w:type="pct"/>
            <w:vAlign w:val="center"/>
            <w:hideMark/>
          </w:tcPr>
          <w:p w14:paraId="4AC243FF"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0.08824</w:t>
            </w:r>
          </w:p>
        </w:tc>
        <w:tc>
          <w:tcPr>
            <w:tcW w:w="540" w:type="pct"/>
            <w:vAlign w:val="center"/>
            <w:hideMark/>
          </w:tcPr>
          <w:p w14:paraId="19B757BE"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vAlign w:val="center"/>
            <w:hideMark/>
          </w:tcPr>
          <w:p w14:paraId="29ADE027"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vAlign w:val="center"/>
            <w:hideMark/>
          </w:tcPr>
          <w:p w14:paraId="0E7D00A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69BE9727" w14:textId="77777777" w:rsidTr="000C37DC">
        <w:trPr>
          <w:trHeight w:val="20"/>
        </w:trPr>
        <w:tc>
          <w:tcPr>
            <w:tcW w:w="504" w:type="pct"/>
            <w:vMerge/>
            <w:tcBorders>
              <w:top w:val="single" w:sz="4" w:space="0" w:color="auto"/>
              <w:left w:val="nil"/>
              <w:bottom w:val="single" w:sz="4" w:space="0" w:color="auto"/>
              <w:right w:val="nil"/>
            </w:tcBorders>
            <w:vAlign w:val="center"/>
            <w:hideMark/>
          </w:tcPr>
          <w:p w14:paraId="160133D0" w14:textId="77777777" w:rsidR="000C37DC" w:rsidRPr="000C37DC" w:rsidRDefault="000C37DC" w:rsidP="000C37DC">
            <w:pPr>
              <w:pStyle w:val="TableHeading"/>
              <w:rPr>
                <w:b w:val="0"/>
                <w:bCs w:val="0"/>
                <w:sz w:val="22"/>
                <w:szCs w:val="22"/>
                <w:lang w:bidi="en-US"/>
              </w:rPr>
            </w:pPr>
          </w:p>
        </w:tc>
        <w:tc>
          <w:tcPr>
            <w:tcW w:w="903" w:type="pct"/>
            <w:vAlign w:val="center"/>
            <w:hideMark/>
          </w:tcPr>
          <w:p w14:paraId="472D76AC"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w:t>
            </w:r>
            <w:r w:rsidRPr="000C37DC">
              <w:rPr>
                <w:b w:val="0"/>
                <w:bCs w:val="0"/>
                <w:sz w:val="22"/>
                <w:szCs w:val="22"/>
                <w:vertAlign w:val="subscript"/>
                <w:lang w:bidi="en-US"/>
              </w:rPr>
              <w:t xml:space="preserve">m </w:t>
            </w:r>
            <w:r w:rsidRPr="000C37DC">
              <w:rPr>
                <w:b w:val="0"/>
                <w:bCs w:val="0"/>
                <w:sz w:val="22"/>
                <w:szCs w:val="22"/>
                <w:lang w:bidi="en-US"/>
              </w:rPr>
              <w:t>(2</w:t>
            </w:r>
            <w:r w:rsidRPr="000C37DC">
              <w:rPr>
                <w:b w:val="0"/>
                <w:bCs w:val="0"/>
                <w:sz w:val="22"/>
                <w:szCs w:val="22"/>
                <w:vertAlign w:val="superscript"/>
                <w:lang w:bidi="en-US"/>
              </w:rPr>
              <w:t>nd</w:t>
            </w:r>
            <w:r w:rsidRPr="000C37DC">
              <w:rPr>
                <w:b w:val="0"/>
                <w:bCs w:val="0"/>
                <w:sz w:val="22"/>
                <w:szCs w:val="22"/>
                <w:lang w:bidi="en-US"/>
              </w:rPr>
              <w:t xml:space="preserve"> Heat)</w:t>
            </w:r>
          </w:p>
        </w:tc>
        <w:tc>
          <w:tcPr>
            <w:tcW w:w="566" w:type="pct"/>
            <w:vAlign w:val="center"/>
            <w:hideMark/>
          </w:tcPr>
          <w:p w14:paraId="362E8298"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0.04818</w:t>
            </w:r>
          </w:p>
        </w:tc>
        <w:tc>
          <w:tcPr>
            <w:tcW w:w="537" w:type="pct"/>
            <w:vAlign w:val="center"/>
            <w:hideMark/>
          </w:tcPr>
          <w:p w14:paraId="3154E074"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0.67182</w:t>
            </w:r>
          </w:p>
        </w:tc>
        <w:tc>
          <w:tcPr>
            <w:tcW w:w="800" w:type="pct"/>
            <w:vAlign w:val="center"/>
            <w:hideMark/>
          </w:tcPr>
          <w:p w14:paraId="203396D0"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0.33610</w:t>
            </w:r>
          </w:p>
        </w:tc>
        <w:tc>
          <w:tcPr>
            <w:tcW w:w="540" w:type="pct"/>
            <w:vAlign w:val="center"/>
            <w:hideMark/>
          </w:tcPr>
          <w:p w14:paraId="762D66C7"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vAlign w:val="center"/>
            <w:hideMark/>
          </w:tcPr>
          <w:p w14:paraId="46CCC97E"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vAlign w:val="center"/>
            <w:hideMark/>
          </w:tcPr>
          <w:p w14:paraId="395AC18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76517E4D" w14:textId="77777777" w:rsidTr="000C37DC">
        <w:trPr>
          <w:trHeight w:val="20"/>
        </w:trPr>
        <w:tc>
          <w:tcPr>
            <w:tcW w:w="504" w:type="pct"/>
            <w:vMerge/>
            <w:tcBorders>
              <w:top w:val="single" w:sz="4" w:space="0" w:color="auto"/>
              <w:left w:val="nil"/>
              <w:bottom w:val="single" w:sz="4" w:space="0" w:color="auto"/>
              <w:right w:val="nil"/>
            </w:tcBorders>
            <w:vAlign w:val="center"/>
            <w:hideMark/>
          </w:tcPr>
          <w:p w14:paraId="4FB9A7D5" w14:textId="77777777" w:rsidR="000C37DC" w:rsidRPr="000C37DC" w:rsidRDefault="000C37DC" w:rsidP="000C37DC">
            <w:pPr>
              <w:pStyle w:val="TableHeading"/>
              <w:rPr>
                <w:b w:val="0"/>
                <w:bCs w:val="0"/>
                <w:sz w:val="22"/>
                <w:szCs w:val="22"/>
                <w:lang w:bidi="en-US"/>
              </w:rPr>
            </w:pPr>
          </w:p>
        </w:tc>
        <w:tc>
          <w:tcPr>
            <w:tcW w:w="903" w:type="pct"/>
            <w:vAlign w:val="center"/>
            <w:hideMark/>
          </w:tcPr>
          <w:p w14:paraId="2068691A" w14:textId="77777777" w:rsidR="000C37DC" w:rsidRPr="000C37DC" w:rsidRDefault="000C37DC" w:rsidP="000C37DC">
            <w:pPr>
              <w:pStyle w:val="TableHeading"/>
              <w:rPr>
                <w:b w:val="0"/>
                <w:bCs w:val="0"/>
                <w:sz w:val="22"/>
                <w:szCs w:val="22"/>
                <w:lang w:bidi="en-US"/>
              </w:rPr>
            </w:pPr>
            <w:proofErr w:type="spellStart"/>
            <w:r w:rsidRPr="000C37DC">
              <w:rPr>
                <w:b w:val="0"/>
                <w:bCs w:val="0"/>
                <w:sz w:val="22"/>
                <w:szCs w:val="22"/>
                <w:lang w:bidi="en-US"/>
              </w:rPr>
              <w:t>ΔH</w:t>
            </w:r>
            <w:r w:rsidRPr="000C37DC">
              <w:rPr>
                <w:b w:val="0"/>
                <w:bCs w:val="0"/>
                <w:sz w:val="22"/>
                <w:szCs w:val="22"/>
                <w:vertAlign w:val="subscript"/>
                <w:lang w:bidi="en-US"/>
              </w:rPr>
              <w:t>m</w:t>
            </w:r>
            <w:proofErr w:type="spellEnd"/>
            <w:r w:rsidRPr="000C37DC">
              <w:rPr>
                <w:b w:val="0"/>
                <w:bCs w:val="0"/>
                <w:sz w:val="22"/>
                <w:szCs w:val="22"/>
                <w:lang w:bidi="en-US"/>
              </w:rPr>
              <w:t xml:space="preserve"> (2</w:t>
            </w:r>
            <w:r w:rsidRPr="000C37DC">
              <w:rPr>
                <w:b w:val="0"/>
                <w:bCs w:val="0"/>
                <w:sz w:val="22"/>
                <w:szCs w:val="22"/>
                <w:vertAlign w:val="superscript"/>
                <w:lang w:bidi="en-US"/>
              </w:rPr>
              <w:t>nd</w:t>
            </w:r>
            <w:r w:rsidRPr="000C37DC">
              <w:rPr>
                <w:b w:val="0"/>
                <w:bCs w:val="0"/>
                <w:sz w:val="22"/>
                <w:szCs w:val="22"/>
                <w:lang w:bidi="en-US"/>
              </w:rPr>
              <w:t xml:space="preserve"> Heat)</w:t>
            </w:r>
          </w:p>
        </w:tc>
        <w:tc>
          <w:tcPr>
            <w:tcW w:w="566" w:type="pct"/>
            <w:vAlign w:val="center"/>
            <w:hideMark/>
          </w:tcPr>
          <w:p w14:paraId="6094D24D"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0.24570</w:t>
            </w:r>
          </w:p>
        </w:tc>
        <w:tc>
          <w:tcPr>
            <w:tcW w:w="537" w:type="pct"/>
            <w:vAlign w:val="center"/>
            <w:hideMark/>
          </w:tcPr>
          <w:p w14:paraId="4854B53B"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0.29333</w:t>
            </w:r>
          </w:p>
        </w:tc>
        <w:tc>
          <w:tcPr>
            <w:tcW w:w="800" w:type="pct"/>
            <w:vAlign w:val="center"/>
            <w:hideMark/>
          </w:tcPr>
          <w:p w14:paraId="74B9696E"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0.48744</w:t>
            </w:r>
          </w:p>
        </w:tc>
        <w:tc>
          <w:tcPr>
            <w:tcW w:w="540" w:type="pct"/>
            <w:vAlign w:val="center"/>
            <w:hideMark/>
          </w:tcPr>
          <w:p w14:paraId="080E885E"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vAlign w:val="center"/>
            <w:hideMark/>
          </w:tcPr>
          <w:p w14:paraId="309224BD"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vAlign w:val="center"/>
            <w:hideMark/>
          </w:tcPr>
          <w:p w14:paraId="71982F0A"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69463984" w14:textId="77777777" w:rsidTr="000C37DC">
        <w:trPr>
          <w:trHeight w:val="20"/>
        </w:trPr>
        <w:tc>
          <w:tcPr>
            <w:tcW w:w="504" w:type="pct"/>
            <w:vMerge/>
            <w:tcBorders>
              <w:top w:val="single" w:sz="4" w:space="0" w:color="auto"/>
              <w:left w:val="nil"/>
              <w:bottom w:val="single" w:sz="4" w:space="0" w:color="auto"/>
              <w:right w:val="nil"/>
            </w:tcBorders>
            <w:vAlign w:val="center"/>
            <w:hideMark/>
          </w:tcPr>
          <w:p w14:paraId="2F6750ED" w14:textId="77777777" w:rsidR="000C37DC" w:rsidRPr="000C37DC" w:rsidRDefault="000C37DC" w:rsidP="000C37DC">
            <w:pPr>
              <w:pStyle w:val="TableHeading"/>
              <w:rPr>
                <w:b w:val="0"/>
                <w:bCs w:val="0"/>
                <w:sz w:val="22"/>
                <w:szCs w:val="22"/>
                <w:lang w:bidi="en-US"/>
              </w:rPr>
            </w:pPr>
          </w:p>
        </w:tc>
        <w:tc>
          <w:tcPr>
            <w:tcW w:w="903" w:type="pct"/>
            <w:vAlign w:val="center"/>
            <w:hideMark/>
          </w:tcPr>
          <w:p w14:paraId="29985ECE" w14:textId="77777777" w:rsidR="000C37DC" w:rsidRPr="000C37DC" w:rsidRDefault="000C37DC" w:rsidP="000C37DC">
            <w:pPr>
              <w:pStyle w:val="TableHeading"/>
              <w:rPr>
                <w:b w:val="0"/>
                <w:bCs w:val="0"/>
                <w:sz w:val="22"/>
                <w:szCs w:val="22"/>
                <w:vertAlign w:val="subscript"/>
                <w:lang w:bidi="en-US"/>
              </w:rPr>
            </w:pPr>
            <w:r w:rsidRPr="000C37DC">
              <w:rPr>
                <w:b w:val="0"/>
                <w:bCs w:val="0"/>
                <w:sz w:val="22"/>
                <w:szCs w:val="22"/>
                <w:lang w:bidi="en-US"/>
              </w:rPr>
              <w:t>T</w:t>
            </w:r>
            <w:r w:rsidRPr="000C37DC">
              <w:rPr>
                <w:b w:val="0"/>
                <w:bCs w:val="0"/>
                <w:sz w:val="22"/>
                <w:szCs w:val="22"/>
                <w:vertAlign w:val="subscript"/>
                <w:lang w:bidi="en-US"/>
              </w:rPr>
              <w:t>c</w:t>
            </w:r>
          </w:p>
        </w:tc>
        <w:tc>
          <w:tcPr>
            <w:tcW w:w="566" w:type="pct"/>
            <w:vAlign w:val="center"/>
            <w:hideMark/>
          </w:tcPr>
          <w:p w14:paraId="5579BBFB"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&lt;0.0001</w:t>
            </w:r>
          </w:p>
        </w:tc>
        <w:tc>
          <w:tcPr>
            <w:tcW w:w="537" w:type="pct"/>
            <w:vAlign w:val="center"/>
            <w:hideMark/>
          </w:tcPr>
          <w:p w14:paraId="3A2D8066"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0.01404</w:t>
            </w:r>
          </w:p>
        </w:tc>
        <w:tc>
          <w:tcPr>
            <w:tcW w:w="800" w:type="pct"/>
            <w:vAlign w:val="center"/>
            <w:hideMark/>
          </w:tcPr>
          <w:p w14:paraId="7EA3985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0.25712</w:t>
            </w:r>
          </w:p>
        </w:tc>
        <w:tc>
          <w:tcPr>
            <w:tcW w:w="540" w:type="pct"/>
            <w:vAlign w:val="center"/>
            <w:hideMark/>
          </w:tcPr>
          <w:p w14:paraId="6517AF19"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vAlign w:val="center"/>
            <w:hideMark/>
          </w:tcPr>
          <w:p w14:paraId="58A5312A"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vAlign w:val="center"/>
            <w:hideMark/>
          </w:tcPr>
          <w:p w14:paraId="545C055A"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358BACAB" w14:textId="77777777" w:rsidTr="000C37DC">
        <w:trPr>
          <w:trHeight w:val="20"/>
        </w:trPr>
        <w:tc>
          <w:tcPr>
            <w:tcW w:w="504" w:type="pct"/>
            <w:vMerge/>
            <w:tcBorders>
              <w:top w:val="single" w:sz="4" w:space="0" w:color="auto"/>
              <w:left w:val="nil"/>
              <w:bottom w:val="single" w:sz="4" w:space="0" w:color="auto"/>
              <w:right w:val="nil"/>
            </w:tcBorders>
            <w:vAlign w:val="center"/>
            <w:hideMark/>
          </w:tcPr>
          <w:p w14:paraId="46196567" w14:textId="77777777" w:rsidR="000C37DC" w:rsidRPr="000C37DC" w:rsidRDefault="000C37DC" w:rsidP="000C37DC">
            <w:pPr>
              <w:pStyle w:val="TableHeading"/>
              <w:rPr>
                <w:b w:val="0"/>
                <w:bCs w:val="0"/>
                <w:sz w:val="22"/>
                <w:szCs w:val="22"/>
                <w:lang w:bidi="en-US"/>
              </w:rPr>
            </w:pPr>
          </w:p>
        </w:tc>
        <w:tc>
          <w:tcPr>
            <w:tcW w:w="903" w:type="pct"/>
            <w:tcBorders>
              <w:top w:val="nil"/>
              <w:left w:val="nil"/>
              <w:bottom w:val="single" w:sz="4" w:space="0" w:color="auto"/>
              <w:right w:val="nil"/>
            </w:tcBorders>
            <w:vAlign w:val="center"/>
            <w:hideMark/>
          </w:tcPr>
          <w:p w14:paraId="57540233" w14:textId="77777777" w:rsidR="000C37DC" w:rsidRPr="000C37DC" w:rsidRDefault="000C37DC" w:rsidP="000C37DC">
            <w:pPr>
              <w:pStyle w:val="TableHeading"/>
              <w:rPr>
                <w:b w:val="0"/>
                <w:bCs w:val="0"/>
                <w:sz w:val="22"/>
                <w:szCs w:val="22"/>
                <w:vertAlign w:val="subscript"/>
                <w:lang w:bidi="en-US"/>
              </w:rPr>
            </w:pPr>
            <w:proofErr w:type="spellStart"/>
            <w:r w:rsidRPr="000C37DC">
              <w:rPr>
                <w:b w:val="0"/>
                <w:bCs w:val="0"/>
                <w:sz w:val="22"/>
                <w:szCs w:val="22"/>
                <w:lang w:bidi="en-US"/>
              </w:rPr>
              <w:t>ΔH</w:t>
            </w:r>
            <w:r w:rsidRPr="000C37DC">
              <w:rPr>
                <w:b w:val="0"/>
                <w:bCs w:val="0"/>
                <w:sz w:val="22"/>
                <w:szCs w:val="22"/>
                <w:vertAlign w:val="subscript"/>
                <w:lang w:bidi="en-US"/>
              </w:rPr>
              <w:t>c</w:t>
            </w:r>
            <w:proofErr w:type="spellEnd"/>
          </w:p>
        </w:tc>
        <w:tc>
          <w:tcPr>
            <w:tcW w:w="566" w:type="pct"/>
            <w:tcBorders>
              <w:top w:val="nil"/>
              <w:left w:val="nil"/>
              <w:bottom w:val="single" w:sz="4" w:space="0" w:color="auto"/>
              <w:right w:val="nil"/>
            </w:tcBorders>
            <w:vAlign w:val="center"/>
            <w:hideMark/>
          </w:tcPr>
          <w:p w14:paraId="4CE539F0"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&lt;0.0001</w:t>
            </w:r>
          </w:p>
        </w:tc>
        <w:tc>
          <w:tcPr>
            <w:tcW w:w="537" w:type="pct"/>
            <w:tcBorders>
              <w:top w:val="nil"/>
              <w:left w:val="nil"/>
              <w:bottom w:val="single" w:sz="4" w:space="0" w:color="auto"/>
              <w:right w:val="nil"/>
            </w:tcBorders>
            <w:vAlign w:val="center"/>
            <w:hideMark/>
          </w:tcPr>
          <w:p w14:paraId="10EC9D1C"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0.00612</w:t>
            </w:r>
          </w:p>
        </w:tc>
        <w:tc>
          <w:tcPr>
            <w:tcW w:w="800" w:type="pct"/>
            <w:tcBorders>
              <w:top w:val="nil"/>
              <w:left w:val="nil"/>
              <w:bottom w:val="single" w:sz="4" w:space="0" w:color="auto"/>
              <w:right w:val="nil"/>
            </w:tcBorders>
            <w:vAlign w:val="center"/>
            <w:hideMark/>
          </w:tcPr>
          <w:p w14:paraId="6053E46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0.02801</w:t>
            </w:r>
          </w:p>
        </w:tc>
        <w:tc>
          <w:tcPr>
            <w:tcW w:w="540" w:type="pct"/>
            <w:tcBorders>
              <w:top w:val="nil"/>
              <w:left w:val="nil"/>
              <w:bottom w:val="single" w:sz="4" w:space="0" w:color="auto"/>
              <w:right w:val="nil"/>
            </w:tcBorders>
            <w:vAlign w:val="center"/>
            <w:hideMark/>
          </w:tcPr>
          <w:p w14:paraId="0D6D59B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tcBorders>
              <w:top w:val="nil"/>
              <w:left w:val="nil"/>
              <w:bottom w:val="single" w:sz="4" w:space="0" w:color="auto"/>
              <w:right w:val="nil"/>
            </w:tcBorders>
            <w:vAlign w:val="center"/>
            <w:hideMark/>
          </w:tcPr>
          <w:p w14:paraId="3716D03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tcBorders>
              <w:top w:val="nil"/>
              <w:left w:val="nil"/>
              <w:bottom w:val="single" w:sz="4" w:space="0" w:color="auto"/>
              <w:right w:val="nil"/>
            </w:tcBorders>
            <w:vAlign w:val="center"/>
            <w:hideMark/>
          </w:tcPr>
          <w:p w14:paraId="013DA91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55BAB252" w14:textId="77777777" w:rsidTr="000C37DC">
        <w:trPr>
          <w:trHeight w:val="20"/>
        </w:trPr>
        <w:tc>
          <w:tcPr>
            <w:tcW w:w="504" w:type="pct"/>
            <w:vMerge w:val="restart"/>
            <w:tcBorders>
              <w:top w:val="single" w:sz="4" w:space="0" w:color="auto"/>
              <w:left w:val="nil"/>
              <w:bottom w:val="single" w:sz="4" w:space="0" w:color="auto"/>
              <w:right w:val="nil"/>
            </w:tcBorders>
            <w:vAlign w:val="center"/>
            <w:hideMark/>
          </w:tcPr>
          <w:p w14:paraId="4A6BFE8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TGA</w:t>
            </w:r>
          </w:p>
        </w:tc>
        <w:tc>
          <w:tcPr>
            <w:tcW w:w="903" w:type="pct"/>
            <w:tcBorders>
              <w:top w:val="single" w:sz="4" w:space="0" w:color="auto"/>
            </w:tcBorders>
            <w:vAlign w:val="center"/>
            <w:hideMark/>
          </w:tcPr>
          <w:p w14:paraId="2C0F6CC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T</w:t>
            </w:r>
            <w:r w:rsidRPr="000C37DC">
              <w:rPr>
                <w:b w:val="0"/>
                <w:bCs w:val="0"/>
                <w:sz w:val="22"/>
                <w:szCs w:val="22"/>
                <w:vertAlign w:val="subscript"/>
                <w:lang w:bidi="en-US"/>
              </w:rPr>
              <w:t>50</w:t>
            </w:r>
          </w:p>
        </w:tc>
        <w:tc>
          <w:tcPr>
            <w:tcW w:w="566" w:type="pct"/>
            <w:tcBorders>
              <w:top w:val="single" w:sz="4" w:space="0" w:color="auto"/>
            </w:tcBorders>
            <w:vAlign w:val="center"/>
          </w:tcPr>
          <w:p w14:paraId="66CC3CC5"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0.34323</w:t>
            </w:r>
          </w:p>
        </w:tc>
        <w:tc>
          <w:tcPr>
            <w:tcW w:w="537" w:type="pct"/>
            <w:tcBorders>
              <w:top w:val="single" w:sz="4" w:space="0" w:color="auto"/>
            </w:tcBorders>
            <w:vAlign w:val="center"/>
          </w:tcPr>
          <w:p w14:paraId="444439CB"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0.13614</w:t>
            </w:r>
          </w:p>
        </w:tc>
        <w:tc>
          <w:tcPr>
            <w:tcW w:w="800" w:type="pct"/>
            <w:tcBorders>
              <w:top w:val="single" w:sz="4" w:space="0" w:color="auto"/>
            </w:tcBorders>
            <w:vAlign w:val="center"/>
          </w:tcPr>
          <w:p w14:paraId="0869EDA0"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0.54321</w:t>
            </w:r>
          </w:p>
        </w:tc>
        <w:tc>
          <w:tcPr>
            <w:tcW w:w="540" w:type="pct"/>
            <w:tcBorders>
              <w:top w:val="single" w:sz="4" w:space="0" w:color="auto"/>
              <w:left w:val="nil"/>
              <w:right w:val="nil"/>
            </w:tcBorders>
            <w:vAlign w:val="center"/>
            <w:hideMark/>
          </w:tcPr>
          <w:p w14:paraId="62CDD489"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tcBorders>
              <w:top w:val="single" w:sz="4" w:space="0" w:color="auto"/>
              <w:left w:val="nil"/>
              <w:right w:val="nil"/>
            </w:tcBorders>
            <w:vAlign w:val="center"/>
            <w:hideMark/>
          </w:tcPr>
          <w:p w14:paraId="0D5F7B91"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tcBorders>
              <w:top w:val="single" w:sz="4" w:space="0" w:color="auto"/>
              <w:left w:val="nil"/>
              <w:right w:val="nil"/>
            </w:tcBorders>
            <w:vAlign w:val="center"/>
            <w:hideMark/>
          </w:tcPr>
          <w:p w14:paraId="23141D74"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r w:rsidR="000C37DC" w:rsidRPr="000C37DC" w14:paraId="27D0F910" w14:textId="77777777" w:rsidTr="000C37DC">
        <w:trPr>
          <w:trHeight w:val="20"/>
        </w:trPr>
        <w:tc>
          <w:tcPr>
            <w:tcW w:w="504" w:type="pct"/>
            <w:vMerge/>
            <w:tcBorders>
              <w:top w:val="single" w:sz="4" w:space="0" w:color="auto"/>
              <w:left w:val="nil"/>
              <w:bottom w:val="single" w:sz="4" w:space="0" w:color="auto"/>
              <w:right w:val="nil"/>
            </w:tcBorders>
            <w:vAlign w:val="center"/>
            <w:hideMark/>
          </w:tcPr>
          <w:p w14:paraId="7657E30E" w14:textId="77777777" w:rsidR="000C37DC" w:rsidRPr="000C37DC" w:rsidRDefault="000C37DC" w:rsidP="000C37DC">
            <w:pPr>
              <w:pStyle w:val="TableHeading"/>
              <w:rPr>
                <w:b w:val="0"/>
                <w:bCs w:val="0"/>
                <w:sz w:val="22"/>
                <w:szCs w:val="22"/>
                <w:lang w:bidi="en-US"/>
              </w:rPr>
            </w:pPr>
          </w:p>
        </w:tc>
        <w:tc>
          <w:tcPr>
            <w:tcW w:w="903" w:type="pct"/>
            <w:tcBorders>
              <w:top w:val="nil"/>
              <w:left w:val="nil"/>
              <w:bottom w:val="single" w:sz="4" w:space="0" w:color="auto"/>
              <w:right w:val="nil"/>
            </w:tcBorders>
            <w:vAlign w:val="center"/>
            <w:hideMark/>
          </w:tcPr>
          <w:p w14:paraId="24AE862D" w14:textId="77777777" w:rsidR="000C37DC" w:rsidRPr="000C37DC" w:rsidRDefault="000C37DC" w:rsidP="000C37DC">
            <w:pPr>
              <w:pStyle w:val="TableHeading"/>
              <w:rPr>
                <w:b w:val="0"/>
                <w:bCs w:val="0"/>
                <w:sz w:val="22"/>
                <w:szCs w:val="22"/>
                <w:vertAlign w:val="subscript"/>
                <w:lang w:bidi="en-US"/>
              </w:rPr>
            </w:pPr>
            <w:r w:rsidRPr="000C37DC">
              <w:rPr>
                <w:b w:val="0"/>
                <w:bCs w:val="0"/>
                <w:sz w:val="22"/>
                <w:szCs w:val="22"/>
                <w:lang w:bidi="en-US"/>
              </w:rPr>
              <w:t>Residual Mass</w:t>
            </w:r>
          </w:p>
        </w:tc>
        <w:tc>
          <w:tcPr>
            <w:tcW w:w="566" w:type="pct"/>
            <w:tcBorders>
              <w:top w:val="nil"/>
              <w:left w:val="nil"/>
              <w:bottom w:val="single" w:sz="4" w:space="0" w:color="auto"/>
              <w:right w:val="nil"/>
            </w:tcBorders>
            <w:vAlign w:val="center"/>
          </w:tcPr>
          <w:p w14:paraId="565E2A03"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0.21116</w:t>
            </w:r>
          </w:p>
        </w:tc>
        <w:tc>
          <w:tcPr>
            <w:tcW w:w="537" w:type="pct"/>
            <w:tcBorders>
              <w:top w:val="nil"/>
              <w:left w:val="nil"/>
              <w:bottom w:val="single" w:sz="4" w:space="0" w:color="auto"/>
              <w:right w:val="nil"/>
            </w:tcBorders>
            <w:vAlign w:val="center"/>
          </w:tcPr>
          <w:p w14:paraId="757EA1BC"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0.21116</w:t>
            </w:r>
          </w:p>
        </w:tc>
        <w:tc>
          <w:tcPr>
            <w:tcW w:w="800" w:type="pct"/>
            <w:tcBorders>
              <w:top w:val="nil"/>
              <w:left w:val="nil"/>
              <w:bottom w:val="single" w:sz="4" w:space="0" w:color="auto"/>
              <w:right w:val="nil"/>
            </w:tcBorders>
            <w:vAlign w:val="center"/>
          </w:tcPr>
          <w:p w14:paraId="160F91AD"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0.38690</w:t>
            </w:r>
          </w:p>
        </w:tc>
        <w:tc>
          <w:tcPr>
            <w:tcW w:w="540" w:type="pct"/>
            <w:tcBorders>
              <w:bottom w:val="single" w:sz="4" w:space="0" w:color="auto"/>
            </w:tcBorders>
            <w:vAlign w:val="center"/>
            <w:hideMark/>
          </w:tcPr>
          <w:p w14:paraId="6E544E5F"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613" w:type="pct"/>
            <w:tcBorders>
              <w:bottom w:val="single" w:sz="4" w:space="0" w:color="auto"/>
            </w:tcBorders>
            <w:vAlign w:val="center"/>
            <w:hideMark/>
          </w:tcPr>
          <w:p w14:paraId="334F7904"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c>
          <w:tcPr>
            <w:tcW w:w="537" w:type="pct"/>
            <w:tcBorders>
              <w:bottom w:val="single" w:sz="4" w:space="0" w:color="auto"/>
            </w:tcBorders>
            <w:vAlign w:val="center"/>
            <w:hideMark/>
          </w:tcPr>
          <w:p w14:paraId="0AE25484" w14:textId="77777777" w:rsidR="000C37DC" w:rsidRPr="000C37DC" w:rsidRDefault="000C37DC" w:rsidP="000C37DC">
            <w:pPr>
              <w:pStyle w:val="TableHeading"/>
              <w:rPr>
                <w:b w:val="0"/>
                <w:bCs w:val="0"/>
                <w:sz w:val="22"/>
                <w:szCs w:val="22"/>
                <w:lang w:bidi="en-US"/>
              </w:rPr>
            </w:pPr>
            <w:r w:rsidRPr="000C37DC">
              <w:rPr>
                <w:b w:val="0"/>
                <w:bCs w:val="0"/>
                <w:sz w:val="22"/>
                <w:szCs w:val="22"/>
                <w:lang w:bidi="en-US"/>
              </w:rPr>
              <w:t>-</w:t>
            </w:r>
          </w:p>
        </w:tc>
      </w:tr>
    </w:tbl>
    <w:p w14:paraId="60B3A8D8" w14:textId="360E219A" w:rsidR="000C37DC" w:rsidRDefault="000C37DC" w:rsidP="000C37DC">
      <w:pPr>
        <w:pStyle w:val="TableHeading"/>
        <w:rPr>
          <w:lang w:bidi="en-US"/>
        </w:rPr>
      </w:pPr>
      <w:r w:rsidRPr="000C37DC">
        <w:rPr>
          <w:b w:val="0"/>
          <w:bCs w:val="0"/>
          <w:lang w:bidi="en-US"/>
        </w:rPr>
        <w:br w:type="page"/>
      </w:r>
    </w:p>
    <w:p w14:paraId="67F77DDE" w14:textId="3373132E" w:rsidR="007016BF" w:rsidRPr="007016BF" w:rsidRDefault="007016BF" w:rsidP="007016BF">
      <w:pPr>
        <w:rPr>
          <w:lang w:bidi="en-US"/>
        </w:rPr>
      </w:pPr>
      <w:r w:rsidRPr="007016BF">
        <w:rPr>
          <w:lang w:bidi="en-US"/>
        </w:rPr>
        <w:lastRenderedPageBreak/>
        <w:t xml:space="preserve">Processing temperature has the most significant impact on melting and recrystallization behavior of the samples. Within the melting behavior, the processing temperature is positively correlated with the melting enthalpy on the first heat cycle and negatively correlated with the re-melting temperature on the second heat cycle. It is also positively correlated with both the recrystallization temperature and recrystallization enthalpy. </w:t>
      </w:r>
      <w:proofErr w:type="spellStart"/>
      <w:r w:rsidRPr="007016BF">
        <w:rPr>
          <w:lang w:bidi="en-US"/>
        </w:rPr>
        <w:t>ΔH</w:t>
      </w:r>
      <w:r w:rsidRPr="007016BF">
        <w:rPr>
          <w:vertAlign w:val="subscript"/>
          <w:lang w:bidi="en-US"/>
        </w:rPr>
        <w:t>m</w:t>
      </w:r>
      <w:proofErr w:type="spellEnd"/>
      <w:r w:rsidRPr="007016BF">
        <w:rPr>
          <w:vertAlign w:val="subscript"/>
          <w:lang w:bidi="en-US"/>
        </w:rPr>
        <w:t xml:space="preserve"> </w:t>
      </w:r>
      <w:r w:rsidRPr="007016BF">
        <w:rPr>
          <w:lang w:bidi="en-US"/>
        </w:rPr>
        <w:t>(1</w:t>
      </w:r>
      <w:r w:rsidRPr="007016BF">
        <w:rPr>
          <w:vertAlign w:val="superscript"/>
          <w:lang w:bidi="en-US"/>
        </w:rPr>
        <w:t>st</w:t>
      </w:r>
      <w:r w:rsidRPr="007016BF">
        <w:rPr>
          <w:lang w:bidi="en-US"/>
        </w:rPr>
        <w:t xml:space="preserve"> heat) corresponds with the thermal history from cooling the polymer in the injection molding tool. At higher processing temperatures, the polymer reaches a lower viscosity during injection molding. This improves the ability of the polymer to crystallize while cooling due to improved chain mobility with decreased viscosity </w:t>
      </w:r>
      <w:r w:rsidRPr="007016BF">
        <w:rPr>
          <w:lang w:bidi="en-US"/>
        </w:rPr>
        <w:fldChar w:fldCharType="begin"/>
      </w:r>
      <w:r w:rsidR="009D7D66">
        <w:rPr>
          <w:lang w:bidi="en-US"/>
        </w:rPr>
        <w:instrText xml:space="preserve"> ADDIN ZOTERO_ITEM CSL_CITATION {"citationID":"bGDyCZ3W","properties":{"formattedCitation":"[97]","plainCitation":"[97]","noteIndex":0},"citationItems":[{"id":1877,"uris":["http://zotero.org/users/3415649/items/HLMHYVNY"],"itemData":{"id":1877,"type":"article-journal","abstract":"It is the aim of this article to review the major theories of polymer crystallization since up to now we still have not completely comprehended the underlying mechanism in a uniﬁed framework. A lack of paradigm is an indicator of immaturity of the ﬁeld itself; thus, the fundamental issue of polymer crystallization remains unsolved. This paper provides an understanding of the basic hypothesis, as well as relevant physical implications and consequences of each theory without too much bias. We try to present the essential aspects of the major theories, and intuitive physical arguments over rigorously mathematical calculations are highlighted. In addition, a detailed comparison of various theories will be made in a logical and self-contained fashion. Our personal view of the existing theories is presented as well, aiming to inspire further open discussions. We expect that new theories based on the framework of kinetics with direct consideration of long-range multi-body correlation will help solve the remaining problems in the field of polymer crystallization.","container-title":"Crystals","DOI":"10.3390/cryst7010004","ISSN":"2073-4352","issue":"1","journalAbbreviation":"Crystals","language":"en","license":"https://creativecommons.org/licenses/by/4.0/","page":"4","source":"DOI.org (Crossref)","title":"A Review on Polymer Crystallization Theories","volume":"7","author":[{"family":"Zhang","given":"Michael"},{"family":"Guo","given":"Bao-Hua"},{"family":"Xu","given":"Jun"}],"issued":{"date-parts":[["2016",12,29]]}}}],"schema":"https://github.com/citation-style-language/schema/raw/master/csl-citation.json"} </w:instrText>
      </w:r>
      <w:r w:rsidRPr="007016BF">
        <w:rPr>
          <w:lang w:bidi="en-US"/>
        </w:rPr>
        <w:fldChar w:fldCharType="separate"/>
      </w:r>
      <w:r w:rsidR="009D7D66" w:rsidRPr="009D7D66">
        <w:t>[97]</w:t>
      </w:r>
      <w:r w:rsidRPr="007016BF">
        <w:fldChar w:fldCharType="end"/>
      </w:r>
      <w:r w:rsidRPr="007016BF">
        <w:rPr>
          <w:lang w:bidi="en-US"/>
        </w:rPr>
        <w:t>.</w:t>
      </w:r>
    </w:p>
    <w:p w14:paraId="1CA4A037" w14:textId="5CEF4F98" w:rsidR="007016BF" w:rsidRPr="007016BF" w:rsidRDefault="007016BF" w:rsidP="007016BF">
      <w:pPr>
        <w:rPr>
          <w:lang w:bidi="en-US"/>
        </w:rPr>
      </w:pPr>
      <w:r w:rsidRPr="007016BF">
        <w:rPr>
          <w:lang w:bidi="en-US"/>
        </w:rPr>
        <w:t xml:space="preserve"> </w:t>
      </w:r>
      <w:r w:rsidRPr="007016BF">
        <w:rPr>
          <w:lang w:bidi="en-US"/>
        </w:rPr>
        <w:tab/>
        <w:t>The inverse correlation between processing temperature and with T</w:t>
      </w:r>
      <w:r w:rsidRPr="007016BF">
        <w:rPr>
          <w:vertAlign w:val="subscript"/>
          <w:lang w:bidi="en-US"/>
        </w:rPr>
        <w:t>m</w:t>
      </w:r>
      <w:r w:rsidRPr="007016BF">
        <w:rPr>
          <w:lang w:bidi="en-US"/>
        </w:rPr>
        <w:t xml:space="preserve"> (2</w:t>
      </w:r>
      <w:r w:rsidRPr="007016BF">
        <w:rPr>
          <w:vertAlign w:val="superscript"/>
          <w:lang w:bidi="en-US"/>
        </w:rPr>
        <w:t>nd</w:t>
      </w:r>
      <w:r w:rsidRPr="007016BF">
        <w:rPr>
          <w:lang w:bidi="en-US"/>
        </w:rPr>
        <w:t xml:space="preserve"> heat) is likely due to a decrease in PP molecular weight from thermo-oxidative degradation. Previous literature has noted that </w:t>
      </w:r>
      <w:r w:rsidRPr="007016BF">
        <w:rPr>
          <w:iCs/>
          <w:lang w:bidi="en-US"/>
        </w:rPr>
        <w:t xml:space="preserve">that polypropylene molecular weight is relatively stable up to processing temperatures of 230 °C, however above this point, chain scission rises rapidly with increasing temperature </w:t>
      </w:r>
      <w:r w:rsidRPr="007016BF">
        <w:rPr>
          <w:i/>
          <w:iCs/>
          <w:lang w:bidi="en-US"/>
        </w:rPr>
        <w:fldChar w:fldCharType="begin"/>
      </w:r>
      <w:r w:rsidR="009D7D66">
        <w:rPr>
          <w:iCs/>
          <w:lang w:bidi="en-US"/>
        </w:rPr>
        <w:instrText xml:space="preserve"> ADDIN ZOTERO_ITEM CSL_CITATION {"citationID":"ViVpTaKx","properties":{"formattedCitation":"[98]","plainCitation":"[98]","noteIndex":0},"citationItems":[{"id":1838,"uris":["http://zotero.org/users/3415649/items/AZ9NLGQG"],"itemData":{"id":1838,"type":"article-journal","container-title":"Polymer Degradation and Stability","DOI":"10.1016/S0141-3910(96)00233-9","ISSN":"01413910","issue":"1","journalAbbreviation":"Polymer Degradation and Stability","language":"en","license":"https://www.elsevier.com/tdm/userlicense/1.0/","page":"33-42","source":"DOI.org (Crossref)","title":"Polypropylene chain scissions and molecular weight changes in multiple extrusion","volume":"60","author":[{"family":"González-González","given":"V.A."},{"family":"Neira-Velázquez","given":"G."},{"family":"Angulo-Sánchez","given":"J.L."}],"issued":{"date-parts":[["1998",4]]}}}],"schema":"https://github.com/citation-style-language/schema/raw/master/csl-citation.json"} </w:instrText>
      </w:r>
      <w:r w:rsidRPr="007016BF">
        <w:rPr>
          <w:i/>
          <w:iCs/>
          <w:lang w:bidi="en-US"/>
        </w:rPr>
        <w:fldChar w:fldCharType="separate"/>
      </w:r>
      <w:r w:rsidR="009D7D66" w:rsidRPr="009D7D66">
        <w:t>[98]</w:t>
      </w:r>
      <w:r w:rsidRPr="007016BF">
        <w:fldChar w:fldCharType="end"/>
      </w:r>
      <w:r w:rsidRPr="007016BF">
        <w:rPr>
          <w:iCs/>
          <w:lang w:bidi="en-US"/>
        </w:rPr>
        <w:t xml:space="preserve">. These changes in molecular weight are not apparent in the first heating cycle as the effects are masked by </w:t>
      </w:r>
      <w:r w:rsidRPr="007016BF">
        <w:rPr>
          <w:lang w:bidi="en-US"/>
        </w:rPr>
        <w:t>the different temperature differentials (</w:t>
      </w:r>
      <m:oMath>
        <m:r>
          <m:rPr>
            <m:sty m:val="p"/>
          </m:rPr>
          <w:rPr>
            <w:rFonts w:ascii="Cambria Math" w:hAnsi="Cambria Math"/>
            <w:lang w:bidi="en-US"/>
          </w:rPr>
          <m:t>ΔT</m:t>
        </m:r>
        <m:sSub>
          <m:sSubPr>
            <m:ctrlPr>
              <w:rPr>
                <w:rFonts w:ascii="Cambria Math" w:hAnsi="Cambria Math"/>
                <w:iCs/>
                <w:lang w:bidi="en-US"/>
              </w:rPr>
            </m:ctrlPr>
          </m:sSubPr>
          <m:e>
            <m:r>
              <m:rPr>
                <m:sty m:val="p"/>
              </m:rPr>
              <w:rPr>
                <w:rFonts w:ascii="Cambria Math" w:hAnsi="Cambria Math"/>
                <w:lang w:bidi="en-US"/>
              </w:rPr>
              <m:t>=T</m:t>
            </m:r>
          </m:e>
          <m:sub>
            <m:r>
              <m:rPr>
                <m:sty m:val="p"/>
              </m:rPr>
              <w:rPr>
                <w:rFonts w:ascii="Cambria Math" w:hAnsi="Cambria Math"/>
                <w:lang w:bidi="en-US"/>
              </w:rPr>
              <m:t>process</m:t>
            </m:r>
          </m:sub>
        </m:sSub>
        <m:r>
          <m:rPr>
            <m:sty m:val="p"/>
          </m:rPr>
          <w:rPr>
            <w:rFonts w:ascii="Cambria Math" w:hAnsi="Cambria Math"/>
            <w:lang w:bidi="en-US"/>
          </w:rPr>
          <m:t>-</m:t>
        </m:r>
        <m:sSub>
          <m:sSubPr>
            <m:ctrlPr>
              <w:rPr>
                <w:rFonts w:ascii="Cambria Math" w:hAnsi="Cambria Math"/>
                <w:iCs/>
                <w:lang w:bidi="en-US"/>
              </w:rPr>
            </m:ctrlPr>
          </m:sSubPr>
          <m:e>
            <m:r>
              <m:rPr>
                <m:sty m:val="p"/>
              </m:rPr>
              <w:rPr>
                <w:rFonts w:ascii="Cambria Math" w:hAnsi="Cambria Math"/>
                <w:lang w:bidi="en-US"/>
              </w:rPr>
              <m:t>T</m:t>
            </m:r>
          </m:e>
          <m:sub>
            <m:r>
              <m:rPr>
                <m:sty m:val="p"/>
              </m:rPr>
              <w:rPr>
                <w:rFonts w:ascii="Cambria Math" w:hAnsi="Cambria Math"/>
                <w:lang w:bidi="en-US"/>
              </w:rPr>
              <m:t>room temperature</m:t>
            </m:r>
          </m:sub>
        </m:sSub>
      </m:oMath>
      <w:r w:rsidRPr="007016BF">
        <w:rPr>
          <w:iCs/>
          <w:lang w:bidi="en-US"/>
        </w:rPr>
        <w:t xml:space="preserve">) </w:t>
      </w:r>
      <w:r w:rsidRPr="007016BF">
        <w:rPr>
          <w:lang w:bidi="en-US"/>
        </w:rPr>
        <w:t>associated with different processing temperatures during injection molding, which leads to disparate cooling experiences between different processing conditions. Conversely, the cooling cycle in the DSC leads to uniform thermal histories and reveals the differences between melting temperatures during the second heating cycle. The positive correlation between processing temperature and recrystallization behavior (T</w:t>
      </w:r>
      <w:r w:rsidRPr="007016BF">
        <w:rPr>
          <w:vertAlign w:val="subscript"/>
          <w:lang w:bidi="en-US"/>
        </w:rPr>
        <w:t>c</w:t>
      </w:r>
      <w:r w:rsidRPr="007016BF">
        <w:rPr>
          <w:lang w:bidi="en-US"/>
        </w:rPr>
        <w:t xml:space="preserve"> and </w:t>
      </w:r>
      <w:proofErr w:type="spellStart"/>
      <w:r w:rsidRPr="007016BF">
        <w:rPr>
          <w:lang w:bidi="en-US"/>
        </w:rPr>
        <w:t>ΔH</w:t>
      </w:r>
      <w:r w:rsidRPr="007016BF">
        <w:rPr>
          <w:vertAlign w:val="subscript"/>
          <w:lang w:bidi="en-US"/>
        </w:rPr>
        <w:t>c</w:t>
      </w:r>
      <w:proofErr w:type="spellEnd"/>
      <w:r w:rsidRPr="007016BF">
        <w:rPr>
          <w:lang w:bidi="en-US"/>
        </w:rPr>
        <w:t xml:space="preserve">) is also likely due to this decreasing molecular weight, which allows for improved nucleation of PP crystals during cooling. </w:t>
      </w:r>
    </w:p>
    <w:p w14:paraId="72A32D67" w14:textId="30384570" w:rsidR="007016BF" w:rsidRPr="007016BF" w:rsidRDefault="007016BF" w:rsidP="007016BF">
      <w:pPr>
        <w:rPr>
          <w:lang w:bidi="en-US"/>
        </w:rPr>
      </w:pPr>
      <w:bookmarkStart w:id="45" w:name="_Hlk171937972"/>
      <w:r w:rsidRPr="007016BF">
        <w:rPr>
          <w:lang w:bidi="en-US"/>
        </w:rPr>
        <w:t xml:space="preserve"> </w:t>
      </w:r>
      <w:r w:rsidRPr="007016BF">
        <w:rPr>
          <w:lang w:bidi="en-US"/>
        </w:rPr>
        <w:tab/>
        <w:t>The injection rate shows less statistically significant impact on the thermal properties, however there are a few key relationships that can be observed. The injection rate is negatively correlated with T</w:t>
      </w:r>
      <w:r w:rsidRPr="007016BF">
        <w:rPr>
          <w:vertAlign w:val="subscript"/>
          <w:lang w:bidi="en-US"/>
        </w:rPr>
        <w:t>m</w:t>
      </w:r>
      <w:r w:rsidRPr="007016BF">
        <w:rPr>
          <w:lang w:bidi="en-US"/>
        </w:rPr>
        <w:t xml:space="preserve"> on the first heating cycle only, while it is positively correlated with both T</w:t>
      </w:r>
      <w:r w:rsidRPr="007016BF">
        <w:rPr>
          <w:vertAlign w:val="subscript"/>
          <w:lang w:bidi="en-US"/>
        </w:rPr>
        <w:t>c</w:t>
      </w:r>
      <w:r w:rsidRPr="007016BF">
        <w:rPr>
          <w:lang w:bidi="en-US"/>
        </w:rPr>
        <w:t xml:space="preserve"> and </w:t>
      </w:r>
      <w:proofErr w:type="spellStart"/>
      <w:r w:rsidRPr="007016BF">
        <w:rPr>
          <w:lang w:bidi="en-US"/>
        </w:rPr>
        <w:t>ΔH</w:t>
      </w:r>
      <w:r w:rsidRPr="007016BF">
        <w:rPr>
          <w:vertAlign w:val="subscript"/>
          <w:lang w:bidi="en-US"/>
        </w:rPr>
        <w:t>c</w:t>
      </w:r>
      <w:proofErr w:type="spellEnd"/>
      <w:r w:rsidRPr="007016BF">
        <w:rPr>
          <w:lang w:bidi="en-US"/>
        </w:rPr>
        <w:t xml:space="preserve">. The injection rate and associated shear likely have a greater impact on the reinforcing fibers than the polymer matrix and would be expected to decrease the fiber length, in turn increasing the number of nucleation sites available. The increasing shear rate also favors the formation of β-phase crystalline structure in the polypropylene matrix </w:t>
      </w:r>
      <w:r w:rsidRPr="007016BF">
        <w:rPr>
          <w:i/>
          <w:lang w:bidi="en-US"/>
        </w:rPr>
        <w:fldChar w:fldCharType="begin"/>
      </w:r>
      <w:r w:rsidR="009D7D66">
        <w:rPr>
          <w:lang w:bidi="en-US"/>
        </w:rPr>
        <w:instrText xml:space="preserve"> ADDIN ZOTERO_ITEM CSL_CITATION {"citationID":"F6wGTDAu","properties":{"formattedCitation":"[99]","plainCitation":"[99]","noteIndex":0},"citationItems":[{"id":1793,"uris":["http://zotero.org/users/3415649/items/ZJTTKBMI"],"itemData":{"id":1793,"type":"article-journal","container-title":"Polymer","DOI":"10.1016/j.polymer.2012.02.023","ISSN":"00323861","issue":"8","journalAbbreviation":"Polymer","language":"en","license":"https://www.elsevier.com/tdm/userlicense/1.0/","page":"1791-1800","source":"DOI.org (Crossref)","title":"Effects of melt structure on shear-induced β-cylindrites of isotactic polypropylene","volume":"53","author":[{"family":"Zhang","given":"Bin"},{"family":"Chen","given":"Jingbo"},{"family":"Ji","given":"Fangfang"},{"family":"Zhang","given":"Xiaoli"},{"family":"Zheng","given":"Guoqiang"},{"family":"Shen","given":"Changyu"}],"issued":{"date-parts":[["2012",4]]}}}],"schema":"https://github.com/citation-style-language/schema/raw/master/csl-citation.json"} </w:instrText>
      </w:r>
      <w:r w:rsidRPr="007016BF">
        <w:rPr>
          <w:i/>
          <w:lang w:bidi="en-US"/>
        </w:rPr>
        <w:fldChar w:fldCharType="separate"/>
      </w:r>
      <w:r w:rsidR="009D7D66" w:rsidRPr="009D7D66">
        <w:t>[99]</w:t>
      </w:r>
      <w:r w:rsidRPr="007016BF">
        <w:fldChar w:fldCharType="end"/>
      </w:r>
      <w:r w:rsidRPr="007016BF">
        <w:rPr>
          <w:lang w:bidi="en-US"/>
        </w:rPr>
        <w:t xml:space="preserve">. The combination of these two effects explains both the changes </w:t>
      </w:r>
      <w:r w:rsidRPr="007016BF">
        <w:rPr>
          <w:lang w:bidi="en-US"/>
        </w:rPr>
        <w:lastRenderedPageBreak/>
        <w:t xml:space="preserve">in melting temperature and recrystallization behavior. The increase in nucleation sites will improve nucleation efficiency, increasing the crystallization rate and resulting in the corresponding increase in crystallization temperature and enthalpy </w:t>
      </w:r>
      <w:r w:rsidRPr="007016BF">
        <w:rPr>
          <w:i/>
          <w:lang w:bidi="en-US"/>
        </w:rPr>
        <w:fldChar w:fldCharType="begin"/>
      </w:r>
      <w:r w:rsidR="009D7D66">
        <w:rPr>
          <w:lang w:bidi="en-US"/>
        </w:rPr>
        <w:instrText xml:space="preserve"> ADDIN ZOTERO_ITEM CSL_CITATION {"citationID":"3scSDqQ0","properties":{"formattedCitation":"[100]","plainCitation":"[100]","noteIndex":0},"citationItems":[{"id":1794,"uris":["http://zotero.org/users/3415649/items/MZMGD7K9"],"itemData":{"id":1794,"type":"article-journal","container-title":"Solar Energy Materials and Solar Cells","DOI":"10.1016/j.solmat.2013.07.033","ISSN":"09270248","journalAbbreviation":"Solar Energy Materials and Solar Cells","language":"en","page":"577-584","source":"DOI.org (Crossref)","title":"Effect of nucleating agent on the crystallization behavior, crystal form and solar reflectance of polypropylene","volume":"117","author":[{"family":"Wang","given":"Shichao"},{"family":"Zhang","given":"Jun"}],"issued":{"date-parts":[["2013",10]]}}}],"schema":"https://github.com/citation-style-language/schema/raw/master/csl-citation.json"} </w:instrText>
      </w:r>
      <w:r w:rsidRPr="007016BF">
        <w:rPr>
          <w:i/>
          <w:lang w:bidi="en-US"/>
        </w:rPr>
        <w:fldChar w:fldCharType="separate"/>
      </w:r>
      <w:r w:rsidR="009D7D66" w:rsidRPr="009D7D66">
        <w:t>[100]</w:t>
      </w:r>
      <w:r w:rsidRPr="007016BF">
        <w:fldChar w:fldCharType="end"/>
      </w:r>
      <w:r w:rsidRPr="007016BF">
        <w:rPr>
          <w:lang w:bidi="en-US"/>
        </w:rPr>
        <w:t xml:space="preserve">. Likewise, the β-crystals of polypropylene are known to melt at a lower temperature than α-crystals, hence the depression of melt temperature </w:t>
      </w:r>
      <w:r w:rsidRPr="007016BF">
        <w:rPr>
          <w:i/>
          <w:lang w:bidi="en-US"/>
        </w:rPr>
        <w:fldChar w:fldCharType="begin"/>
      </w:r>
      <w:r w:rsidR="009D7D66">
        <w:rPr>
          <w:lang w:bidi="en-US"/>
        </w:rPr>
        <w:instrText xml:space="preserve"> ADDIN ZOTERO_ITEM CSL_CITATION {"citationID":"R8wNUkcS","properties":{"formattedCitation":"[101]","plainCitation":"[101]","noteIndex":0},"citationItems":[{"id":1795,"uris":["http://zotero.org/users/3415649/items/NW88524J"],"itemData":{"id":1795,"type":"article-journal","abstract":"Abstract\n            The complex and incompletely understood phenomenon of shear-induced crystallization of polymers may be nowadays analysed via the in situ POM-shear stage methodology. In this research, the two main issues were investigated with the use of the Linkam CCS450 shear stage connected with POM microscope. It was found that the secondary nucleation in the tree well-known temperature regimes plays the greater role in the overall crystallization kinetics than the shear induced primary nucleation. Furthermore, it was found that the tendency towards β-phase formation in shear conditions is dependent on the temperature value during shear treatment. It may be concluded that the temperature is the key parameter in the primary and secondary nucleation process and beta-phase formation in the iPP melts.","container-title":"Journal of Polymer Research","DOI":"10.1007/s10965-021-02652-5","ISSN":"1022-9760, 1572-8935","issue":"11","journalAbbreviation":"J Polym Res","language":"en","page":"439","source":"DOI.org (Crossref)","title":"Fundamental studies on shear-induced nucleation and beta-phase formation in the isotactic polypropylene—effect of the temperature","volume":"28","author":[{"family":"Bednarek","given":"W. H."},{"family":"Paukszta","given":"D."},{"family":"Szostak","given":"M."},{"family":"Szymańska","given":"J."}],"issued":{"date-parts":[["2021",11]]}}}],"schema":"https://github.com/citation-style-language/schema/raw/master/csl-citation.json"} </w:instrText>
      </w:r>
      <w:r w:rsidRPr="007016BF">
        <w:rPr>
          <w:i/>
          <w:lang w:bidi="en-US"/>
        </w:rPr>
        <w:fldChar w:fldCharType="separate"/>
      </w:r>
      <w:r w:rsidR="009D7D66" w:rsidRPr="009D7D66">
        <w:t>[101]</w:t>
      </w:r>
      <w:r w:rsidRPr="007016BF">
        <w:fldChar w:fldCharType="end"/>
      </w:r>
      <w:r w:rsidRPr="007016BF">
        <w:rPr>
          <w:lang w:bidi="en-US"/>
        </w:rPr>
        <w:t xml:space="preserve">. This effect is only seen in the first heat cycle, however, as there are no shear forces during the DSC experiment to re-induce the β crystallite structure. </w:t>
      </w:r>
      <w:bookmarkEnd w:id="45"/>
      <w:r w:rsidRPr="007016BF">
        <w:rPr>
          <w:lang w:bidi="en-US"/>
        </w:rPr>
        <w:t xml:space="preserve">It is also possible that the depression of the melting point is due to the formation of α-crystals with an imperfect crystal structure, as these defects will also reduce the melting temperature </w:t>
      </w:r>
      <w:r w:rsidRPr="007016BF">
        <w:rPr>
          <w:lang w:bidi="en-US"/>
        </w:rPr>
        <w:fldChar w:fldCharType="begin"/>
      </w:r>
      <w:r w:rsidR="009D7D66">
        <w:rPr>
          <w:lang w:bidi="en-US"/>
        </w:rPr>
        <w:instrText xml:space="preserve"> ADDIN ZOTERO_ITEM CSL_CITATION {"citationID":"oevRE0Px","properties":{"formattedCitation":"[102]","plainCitation":"[102]","noteIndex":0},"citationItems":[{"id":1893,"uris":["http://zotero.org/users/3415649/items/FKNWELIQ"],"itemData":{"id":1893,"type":"article-journal","container-title":"Journal of Crystal Growth","DOI":"10.1016/j.jcrysgro.2014.09.028","ISSN":"00220248","journalAbbreviation":"Journal of Crystal Growth","language":"en","page":"91-96","source":"DOI.org (Crossref)","title":"Effect of an alpha-phase nucleating agent on the crystallization kinetics of a propylene/ethylene random copolymer at largely different supercooling","volume":"408","author":[{"family":"Androsch","given":"René"},{"family":"Monami","given":"Andrea"},{"family":"Kucera","given":"Jaroslav"}],"issued":{"date-parts":[["2014",12]]}}}],"schema":"https://github.com/citation-style-language/schema/raw/master/csl-citation.json"} </w:instrText>
      </w:r>
      <w:r w:rsidRPr="007016BF">
        <w:rPr>
          <w:lang w:bidi="en-US"/>
        </w:rPr>
        <w:fldChar w:fldCharType="separate"/>
      </w:r>
      <w:r w:rsidR="009D7D66" w:rsidRPr="009D7D66">
        <w:t>[102]</w:t>
      </w:r>
      <w:r w:rsidRPr="007016BF">
        <w:fldChar w:fldCharType="end"/>
      </w:r>
      <w:r w:rsidRPr="007016BF">
        <w:rPr>
          <w:lang w:bidi="en-US"/>
        </w:rPr>
        <w:t xml:space="preserve">. </w:t>
      </w:r>
    </w:p>
    <w:p w14:paraId="155D5D36" w14:textId="557AC8FA" w:rsidR="007016BF" w:rsidRDefault="007016BF" w:rsidP="007016BF">
      <w:pPr>
        <w:pStyle w:val="Heading2"/>
      </w:pPr>
      <w:bookmarkStart w:id="46" w:name="_Toc190951800"/>
      <w:r>
        <w:t>3.2.3</w:t>
      </w:r>
      <w:r w:rsidRPr="007016BF">
        <w:rPr>
          <w:rFonts w:ascii="Arial" w:eastAsia="Times New Roman" w:hAnsi="Arial" w:cs="Arial"/>
          <w:b w:val="0"/>
          <w:bCs w:val="0"/>
          <w:i w:val="0"/>
          <w:iCs w:val="0"/>
        </w:rPr>
        <w:t xml:space="preserve"> </w:t>
      </w:r>
      <w:r w:rsidRPr="007016BF">
        <w:t>Impact of Injection Molding Parameters on Chemical Composition of Composites</w:t>
      </w:r>
      <w:bookmarkEnd w:id="46"/>
    </w:p>
    <w:p w14:paraId="7667787C" w14:textId="77777777" w:rsidR="007016BF" w:rsidRPr="007016BF" w:rsidRDefault="007016BF" w:rsidP="007016BF">
      <w:pPr>
        <w:rPr>
          <w:lang w:bidi="en-US"/>
        </w:rPr>
      </w:pPr>
      <w:r w:rsidRPr="007016BF">
        <w:rPr>
          <w:lang w:bidi="en-US"/>
        </w:rPr>
        <w:t>Fourier Transform Infrared Spectroscopy (FTIR) was used to analyze the chemical changes in the injection molded samples. This technique measures the characteristic vibrational frequencies of molecules, allowing for identification of various functional groups present in the composites.</w:t>
      </w:r>
      <w:r w:rsidRPr="007016BF" w:rsidDel="00E75D3F">
        <w:rPr>
          <w:lang w:bidi="en-US"/>
        </w:rPr>
        <w:t xml:space="preserve"> </w:t>
      </w:r>
      <w:r w:rsidRPr="007016BF">
        <w:rPr>
          <w:lang w:bidi="en-US"/>
        </w:rPr>
        <w:t>The peaks of interest were identified as 3330 cm</w:t>
      </w:r>
      <w:r w:rsidRPr="007016BF">
        <w:rPr>
          <w:vertAlign w:val="superscript"/>
          <w:lang w:bidi="en-US"/>
        </w:rPr>
        <w:t>-1</w:t>
      </w:r>
      <w:r w:rsidRPr="007016BF">
        <w:rPr>
          <w:lang w:bidi="en-US"/>
        </w:rPr>
        <w:t xml:space="preserve"> (O-H stretch), 2917 cm</w:t>
      </w:r>
      <w:r w:rsidRPr="007016BF">
        <w:rPr>
          <w:vertAlign w:val="superscript"/>
          <w:lang w:bidi="en-US"/>
        </w:rPr>
        <w:t>-1</w:t>
      </w:r>
      <w:r w:rsidRPr="007016BF">
        <w:rPr>
          <w:lang w:bidi="en-US"/>
        </w:rPr>
        <w:t xml:space="preserve"> (C-CH</w:t>
      </w:r>
      <w:r w:rsidRPr="007016BF">
        <w:rPr>
          <w:vertAlign w:val="subscript"/>
          <w:lang w:bidi="en-US"/>
        </w:rPr>
        <w:t>3</w:t>
      </w:r>
      <w:r w:rsidRPr="007016BF">
        <w:rPr>
          <w:lang w:bidi="en-US"/>
        </w:rPr>
        <w:t xml:space="preserve"> stretch), 1761 cm</w:t>
      </w:r>
      <w:r w:rsidRPr="007016BF">
        <w:rPr>
          <w:vertAlign w:val="superscript"/>
          <w:lang w:bidi="en-US"/>
        </w:rPr>
        <w:t>-1</w:t>
      </w:r>
      <w:r w:rsidRPr="007016BF">
        <w:rPr>
          <w:lang w:bidi="en-US"/>
        </w:rPr>
        <w:t xml:space="preserve"> (C=O stretch), 1656 cm</w:t>
      </w:r>
      <w:r w:rsidRPr="007016BF">
        <w:rPr>
          <w:vertAlign w:val="superscript"/>
          <w:lang w:bidi="en-US"/>
        </w:rPr>
        <w:t>-1</w:t>
      </w:r>
      <w:r w:rsidRPr="007016BF">
        <w:rPr>
          <w:lang w:bidi="en-US"/>
        </w:rPr>
        <w:t xml:space="preserve"> (enolic groups), 1456 cm</w:t>
      </w:r>
      <w:r w:rsidRPr="007016BF">
        <w:rPr>
          <w:vertAlign w:val="superscript"/>
          <w:lang w:bidi="en-US"/>
        </w:rPr>
        <w:t>-1</w:t>
      </w:r>
      <w:r w:rsidRPr="007016BF">
        <w:rPr>
          <w:lang w:bidi="en-US"/>
        </w:rPr>
        <w:t xml:space="preserve"> (CH</w:t>
      </w:r>
      <w:r w:rsidRPr="007016BF">
        <w:rPr>
          <w:vertAlign w:val="subscript"/>
          <w:lang w:bidi="en-US"/>
        </w:rPr>
        <w:t>2</w:t>
      </w:r>
      <w:r w:rsidRPr="007016BF">
        <w:rPr>
          <w:lang w:bidi="en-US"/>
        </w:rPr>
        <w:t xml:space="preserve"> bend), 1375 cm</w:t>
      </w:r>
      <w:r w:rsidRPr="007016BF">
        <w:rPr>
          <w:vertAlign w:val="superscript"/>
          <w:lang w:bidi="en-US"/>
        </w:rPr>
        <w:t>-1</w:t>
      </w:r>
      <w:r w:rsidRPr="007016BF">
        <w:rPr>
          <w:lang w:bidi="en-US"/>
        </w:rPr>
        <w:t xml:space="preserve"> (CH</w:t>
      </w:r>
      <w:r w:rsidRPr="007016BF">
        <w:rPr>
          <w:vertAlign w:val="subscript"/>
          <w:lang w:bidi="en-US"/>
        </w:rPr>
        <w:t>3</w:t>
      </w:r>
      <w:r w:rsidRPr="007016BF">
        <w:rPr>
          <w:lang w:bidi="en-US"/>
        </w:rPr>
        <w:t xml:space="preserve"> bend), 1033 cm-1 (C-O stretch) </w:t>
      </w:r>
      <w:r w:rsidRPr="007016BF">
        <w:rPr>
          <w:i/>
          <w:lang w:bidi="en-US"/>
        </w:rPr>
        <w:fldChar w:fldCharType="begin"/>
      </w:r>
      <w:r w:rsidRPr="007016BF">
        <w:rPr>
          <w:lang w:bidi="en-US"/>
        </w:rPr>
        <w:instrText xml:space="preserve"> ADDIN ZOTERO_ITEM CSL_CITATION {"citationID":"xLH1yfOm","properties":{"formattedCitation":"[103]","plainCitation":"[103]","noteIndex":0},"citationItems":[{"id":1797,"uris":["http://zotero.org/users/3415649/items/IN64XC9P"],"itemData":{"id":1797,"type":"article-journal","container-title":"Marine Pollution Bulletin","DOI":"10.1016/j.marpolbul.2017.12.061","ISSN":"0025326X","journalAbbreviation":"Marine Pollution Bulletin","language":"en","page":"704-716","source":"DOI.org (Crossref)","title":"Validation of ATR FT-IR to identify polymers of plastic marine debris, including those ingested by marine organisms","volume":"127","author":[{"family":"Jung","given":"Melissa R."},{"family":"Horgen","given":"F. David"},{"family":"Orski","given":"Sara V."},{"family":"Rodriguez C.","given":"Viviana"},{"family":"Beers","given":"Kathryn L."},{"family":"Balazs","given":"George H."},{"family":"Jones","given":"T. Todd"},{"family":"Work","given":"Thierry M."},{"family":"Brignac","given":"Kayla C."},{"family":"Royer","given":"Sarah-Jeanne"},{"family":"Hyrenbach","given":"K. David"},{"family":"Jensen","given":"Brenda A."},{"family":"Lynch","given":"Jennifer M."}],"issued":{"date-parts":[["2018",2]]}}}],"schema":"https://github.com/citation-style-language/schema/raw/master/csl-citation.json"} </w:instrText>
      </w:r>
      <w:r w:rsidRPr="007016BF">
        <w:rPr>
          <w:i/>
          <w:lang w:bidi="en-US"/>
        </w:rPr>
        <w:fldChar w:fldCharType="separate"/>
      </w:r>
      <w:r w:rsidRPr="007016BF">
        <w:t>[103]</w:t>
      </w:r>
      <w:r w:rsidRPr="007016BF">
        <w:fldChar w:fldCharType="end"/>
      </w:r>
      <w:r w:rsidRPr="007016BF">
        <w:rPr>
          <w:lang w:bidi="en-US"/>
        </w:rPr>
        <w:t xml:space="preserve">. An example plot with these peaks highlighted is shown in </w:t>
      </w:r>
      <w:r w:rsidRPr="007016BF">
        <w:rPr>
          <w:b/>
          <w:bCs/>
          <w:lang w:bidi="en-US"/>
        </w:rPr>
        <w:t>Figure 3.3</w:t>
      </w:r>
      <w:r w:rsidRPr="007016BF">
        <w:rPr>
          <w:lang w:bidi="en-US"/>
        </w:rPr>
        <w:t>. We chose to normalize against the C-CH</w:t>
      </w:r>
      <w:r w:rsidRPr="007016BF">
        <w:rPr>
          <w:vertAlign w:val="subscript"/>
          <w:lang w:bidi="en-US"/>
        </w:rPr>
        <w:t>3</w:t>
      </w:r>
      <w:r w:rsidRPr="007016BF">
        <w:rPr>
          <w:lang w:bidi="en-US"/>
        </w:rPr>
        <w:t xml:space="preserve"> peak at 2917 cm</w:t>
      </w:r>
      <w:r w:rsidRPr="007016BF">
        <w:rPr>
          <w:vertAlign w:val="superscript"/>
          <w:lang w:bidi="en-US"/>
        </w:rPr>
        <w:t>-1</w:t>
      </w:r>
      <w:r w:rsidRPr="007016BF">
        <w:rPr>
          <w:lang w:bidi="en-US"/>
        </w:rPr>
        <w:t xml:space="preserve"> for further analysis, as it appears in all the raw materials and is not expected to change significantly with oxidation. The carbonyl index (CI), a measure of the relative amount of carbonyl groups (C=O) present in the material, was calculated for each sample using Equation 3.1.</w:t>
      </w:r>
      <w:r w:rsidRPr="007016BF" w:rsidDel="00C20D39">
        <w:rPr>
          <w:lang w:bidi="en-US"/>
        </w:rPr>
        <w:t xml:space="preserve"> </w:t>
      </w:r>
    </w:p>
    <w:tbl>
      <w:tblPr>
        <w:tblStyle w:val="TableGrid"/>
        <w:tblW w:w="0" w:type="auto"/>
        <w:jc w:val="center"/>
        <w:tblLook w:val="04A0" w:firstRow="1" w:lastRow="0" w:firstColumn="1" w:lastColumn="0" w:noHBand="0" w:noVBand="1"/>
      </w:tblPr>
      <w:tblGrid>
        <w:gridCol w:w="7244"/>
        <w:gridCol w:w="1396"/>
      </w:tblGrid>
      <w:tr w:rsidR="007016BF" w:rsidRPr="007016BF" w14:paraId="0964439F" w14:textId="77777777" w:rsidTr="000164F3">
        <w:trPr>
          <w:trHeight w:val="576"/>
          <w:jc w:val="center"/>
        </w:trPr>
        <w:tc>
          <w:tcPr>
            <w:tcW w:w="7244" w:type="dxa"/>
            <w:tcBorders>
              <w:top w:val="nil"/>
              <w:left w:val="nil"/>
              <w:bottom w:val="nil"/>
              <w:right w:val="nil"/>
            </w:tcBorders>
            <w:vAlign w:val="center"/>
          </w:tcPr>
          <w:p w14:paraId="7A863710" w14:textId="40EE5179" w:rsidR="007016BF" w:rsidRPr="007016BF" w:rsidRDefault="007016BF" w:rsidP="007016BF">
            <m:oMathPara>
              <m:oMath>
                <m:r>
                  <w:rPr>
                    <w:rFonts w:ascii="Cambria Math" w:hAnsi="Cambria Math"/>
                  </w:rPr>
                  <m:t>CI=</m:t>
                </m:r>
                <m:f>
                  <m:fPr>
                    <m:ctrlPr>
                      <w:rPr>
                        <w:rFonts w:ascii="Cambria Math" w:hAnsi="Cambria Math"/>
                        <w:i/>
                      </w:rPr>
                    </m:ctrlPr>
                  </m:fPr>
                  <m:num>
                    <m:r>
                      <w:rPr>
                        <w:rFonts w:ascii="Cambria Math" w:hAnsi="Cambria Math"/>
                      </w:rPr>
                      <m:t>Intensity of 1761 c</m:t>
                    </m:r>
                    <m:sSup>
                      <m:sSupPr>
                        <m:ctrlPr>
                          <w:rPr>
                            <w:rFonts w:ascii="Cambria Math" w:hAnsi="Cambria Math"/>
                            <w:i/>
                          </w:rPr>
                        </m:ctrlPr>
                      </m:sSupPr>
                      <m:e>
                        <m:r>
                          <w:rPr>
                            <w:rFonts w:ascii="Cambria Math" w:hAnsi="Cambria Math"/>
                          </w:rPr>
                          <m:t>m</m:t>
                        </m:r>
                      </m:e>
                      <m:sup>
                        <m:r>
                          <w:rPr>
                            <w:rFonts w:ascii="Cambria Math" w:hAnsi="Cambria Math"/>
                          </w:rPr>
                          <m:t>-1</m:t>
                        </m:r>
                      </m:sup>
                    </m:sSup>
                  </m:num>
                  <m:den>
                    <m:r>
                      <w:rPr>
                        <w:rFonts w:ascii="Cambria Math" w:hAnsi="Cambria Math"/>
                      </w:rPr>
                      <m:t>Intensity of 1456 c</m:t>
                    </m:r>
                    <m:sSup>
                      <m:sSupPr>
                        <m:ctrlPr>
                          <w:rPr>
                            <w:rFonts w:ascii="Cambria Math" w:hAnsi="Cambria Math"/>
                            <w:i/>
                          </w:rPr>
                        </m:ctrlPr>
                      </m:sSupPr>
                      <m:e>
                        <m:r>
                          <w:rPr>
                            <w:rFonts w:ascii="Cambria Math" w:hAnsi="Cambria Math"/>
                          </w:rPr>
                          <m:t>m</m:t>
                        </m:r>
                      </m:e>
                      <m:sup>
                        <m:r>
                          <w:rPr>
                            <w:rFonts w:ascii="Cambria Math" w:hAnsi="Cambria Math"/>
                          </w:rPr>
                          <m:t>-1</m:t>
                        </m:r>
                      </m:sup>
                    </m:sSup>
                  </m:den>
                </m:f>
              </m:oMath>
            </m:oMathPara>
          </w:p>
        </w:tc>
        <w:tc>
          <w:tcPr>
            <w:tcW w:w="1396" w:type="dxa"/>
            <w:tcBorders>
              <w:top w:val="nil"/>
              <w:left w:val="nil"/>
              <w:bottom w:val="nil"/>
              <w:right w:val="nil"/>
            </w:tcBorders>
            <w:vAlign w:val="center"/>
          </w:tcPr>
          <w:p w14:paraId="09FB5122" w14:textId="77777777" w:rsidR="007016BF" w:rsidRPr="007016BF" w:rsidRDefault="007016BF" w:rsidP="007016BF">
            <w:r w:rsidRPr="007016BF">
              <w:t>(3.1)</w:t>
            </w:r>
          </w:p>
        </w:tc>
      </w:tr>
    </w:tbl>
    <w:p w14:paraId="2AD9D1E8" w14:textId="77777777" w:rsidR="007016BF" w:rsidRDefault="007016BF" w:rsidP="007016BF">
      <w:r w:rsidRPr="007016BF">
        <w:rPr>
          <w:lang w:bidi="en-US"/>
        </w:rPr>
        <w:t xml:space="preserve">The full results of both the normalization and CI calculations are included in the appendix; however </w:t>
      </w:r>
      <w:r w:rsidRPr="007016BF">
        <w:rPr>
          <w:b/>
          <w:bCs/>
          <w:lang w:bidi="en-US"/>
        </w:rPr>
        <w:t>Figure 3.4</w:t>
      </w:r>
      <w:r w:rsidRPr="007016BF">
        <w:rPr>
          <w:lang w:bidi="en-US"/>
        </w:rPr>
        <w:t xml:space="preserve"> shows the trends observed in the samples molded at 2 in</w:t>
      </w:r>
      <w:r w:rsidRPr="007016BF">
        <w:rPr>
          <w:vertAlign w:val="superscript"/>
          <w:lang w:bidi="en-US"/>
        </w:rPr>
        <w:t>3</w:t>
      </w:r>
      <w:r w:rsidRPr="007016BF">
        <w:rPr>
          <w:lang w:bidi="en-US"/>
        </w:rPr>
        <w:t xml:space="preserve">/s which are representative of the overall trends observed across all injection rates. Finally, as with the thermal analysis, regression analysis was used to determine the statistical impact of the processing parameters on studied peak intensities and CI. The p-values and correlation directions are shown in </w:t>
      </w:r>
      <w:r w:rsidRPr="007016BF">
        <w:rPr>
          <w:b/>
          <w:bCs/>
          <w:lang w:bidi="en-US"/>
        </w:rPr>
        <w:t>Table 3.3</w:t>
      </w:r>
      <w:r w:rsidRPr="007016BF">
        <w:rPr>
          <w:lang w:bidi="en-US"/>
        </w:rPr>
        <w:t>.</w:t>
      </w:r>
      <w:r w:rsidRPr="007016BF">
        <w:t xml:space="preserve"> </w:t>
      </w:r>
      <w:r>
        <w:t xml:space="preserve"> </w:t>
      </w:r>
    </w:p>
    <w:p w14:paraId="0132278A" w14:textId="77777777" w:rsidR="000C37DC" w:rsidRDefault="000C37DC">
      <w:pPr>
        <w:spacing w:after="160" w:line="259" w:lineRule="auto"/>
        <w:ind w:firstLine="0"/>
        <w:jc w:val="left"/>
        <w:rPr>
          <w:lang w:bidi="en-US"/>
        </w:rPr>
      </w:pPr>
      <w:r>
        <w:rPr>
          <w:lang w:bidi="en-US"/>
        </w:rPr>
        <w:br w:type="page"/>
      </w:r>
    </w:p>
    <w:p w14:paraId="07EFE81C" w14:textId="64C67131" w:rsidR="000C37DC" w:rsidRDefault="000C37DC" w:rsidP="000C37DC">
      <w:pPr>
        <w:pStyle w:val="FigureCaption"/>
        <w:rPr>
          <w:lang w:bidi="en-US"/>
        </w:rPr>
      </w:pPr>
      <w:r w:rsidRPr="000C37DC">
        <w:rPr>
          <w:rFonts w:ascii="Arial" w:hAnsi="Arial" w:cs="Arial"/>
          <w:b w:val="0"/>
          <w:bCs w:val="0"/>
          <w:lang w:bidi="en-US"/>
        </w:rPr>
        <w:lastRenderedPageBreak/>
        <w:drawing>
          <wp:anchor distT="0" distB="0" distL="114300" distR="114300" simplePos="0" relativeHeight="251671552" behindDoc="1" locked="0" layoutInCell="1" allowOverlap="1" wp14:anchorId="258FC013" wp14:editId="44BF8F74">
            <wp:simplePos x="0" y="0"/>
            <wp:positionH relativeFrom="margin">
              <wp:align>center</wp:align>
            </wp:positionH>
            <wp:positionV relativeFrom="page">
              <wp:posOffset>1021012</wp:posOffset>
            </wp:positionV>
            <wp:extent cx="5380548" cy="2743200"/>
            <wp:effectExtent l="0" t="0" r="0" b="0"/>
            <wp:wrapNone/>
            <wp:docPr id="1260730085" name="Picture 7" descr="A graph of a spectr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30085" name="Picture 7" descr="A graph of a spectrum&#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0548" cy="2743200"/>
                    </a:xfrm>
                    <a:prstGeom prst="rect">
                      <a:avLst/>
                    </a:prstGeom>
                    <a:noFill/>
                  </pic:spPr>
                </pic:pic>
              </a:graphicData>
            </a:graphic>
            <wp14:sizeRelH relativeFrom="page">
              <wp14:pctWidth>0</wp14:pctWidth>
            </wp14:sizeRelH>
            <wp14:sizeRelV relativeFrom="page">
              <wp14:pctHeight>0</wp14:pctHeight>
            </wp14:sizeRelV>
          </wp:anchor>
        </w:drawing>
      </w:r>
    </w:p>
    <w:p w14:paraId="65C93582" w14:textId="2E2BE394" w:rsidR="000C37DC" w:rsidRDefault="000C37DC" w:rsidP="000C37DC">
      <w:pPr>
        <w:pStyle w:val="FigureCaption"/>
        <w:rPr>
          <w:lang w:bidi="en-US"/>
        </w:rPr>
      </w:pPr>
    </w:p>
    <w:p w14:paraId="456DD180" w14:textId="77777777" w:rsidR="000C37DC" w:rsidRDefault="000C37DC" w:rsidP="000C37DC">
      <w:pPr>
        <w:pStyle w:val="FigureCaption"/>
        <w:rPr>
          <w:lang w:bidi="en-US"/>
        </w:rPr>
      </w:pPr>
    </w:p>
    <w:p w14:paraId="3EBD41E5" w14:textId="77777777" w:rsidR="000C37DC" w:rsidRDefault="000C37DC" w:rsidP="000C37DC">
      <w:pPr>
        <w:pStyle w:val="FigureCaption"/>
        <w:rPr>
          <w:lang w:bidi="en-US"/>
        </w:rPr>
      </w:pPr>
    </w:p>
    <w:p w14:paraId="7694E7A9" w14:textId="77777777" w:rsidR="000C37DC" w:rsidRDefault="000C37DC" w:rsidP="000C37DC">
      <w:pPr>
        <w:pStyle w:val="FigureCaption"/>
        <w:rPr>
          <w:lang w:bidi="en-US"/>
        </w:rPr>
      </w:pPr>
    </w:p>
    <w:p w14:paraId="0A4C4B8A" w14:textId="77777777" w:rsidR="000C37DC" w:rsidRDefault="000C37DC" w:rsidP="000C37DC">
      <w:pPr>
        <w:pStyle w:val="FigureCaption"/>
        <w:rPr>
          <w:lang w:bidi="en-US"/>
        </w:rPr>
      </w:pPr>
    </w:p>
    <w:p w14:paraId="4AD05CBF" w14:textId="77777777" w:rsidR="000C37DC" w:rsidRDefault="000C37DC" w:rsidP="000C37DC">
      <w:pPr>
        <w:pStyle w:val="FigureCaption"/>
        <w:rPr>
          <w:lang w:bidi="en-US"/>
        </w:rPr>
      </w:pPr>
    </w:p>
    <w:p w14:paraId="56E89082" w14:textId="77777777" w:rsidR="000C37DC" w:rsidRDefault="000C37DC" w:rsidP="000C37DC">
      <w:pPr>
        <w:pStyle w:val="FigureCaption"/>
        <w:rPr>
          <w:lang w:bidi="en-US"/>
        </w:rPr>
      </w:pPr>
    </w:p>
    <w:p w14:paraId="2312DACE" w14:textId="77777777" w:rsidR="000C37DC" w:rsidRDefault="000C37DC" w:rsidP="000C37DC">
      <w:pPr>
        <w:pStyle w:val="FigureCaption"/>
        <w:rPr>
          <w:lang w:bidi="en-US"/>
        </w:rPr>
      </w:pPr>
    </w:p>
    <w:p w14:paraId="08ADF316" w14:textId="77777777" w:rsidR="000C37DC" w:rsidRDefault="000C37DC" w:rsidP="000C37DC">
      <w:pPr>
        <w:pStyle w:val="FigureCaption"/>
        <w:rPr>
          <w:lang w:bidi="en-US"/>
        </w:rPr>
      </w:pPr>
    </w:p>
    <w:p w14:paraId="58A3C832" w14:textId="77777777" w:rsidR="000C37DC" w:rsidRDefault="000C37DC" w:rsidP="000C37DC">
      <w:pPr>
        <w:pStyle w:val="FigureCaption"/>
        <w:rPr>
          <w:lang w:bidi="en-US"/>
        </w:rPr>
      </w:pPr>
    </w:p>
    <w:p w14:paraId="35F407AB" w14:textId="1336ADD2" w:rsidR="000C37DC" w:rsidRDefault="000C37DC" w:rsidP="000C37DC">
      <w:pPr>
        <w:pStyle w:val="FigureCaption"/>
        <w:rPr>
          <w:lang w:bidi="en-US"/>
        </w:rPr>
      </w:pPr>
    </w:p>
    <w:p w14:paraId="08BC0B12" w14:textId="68EF973F" w:rsidR="000C37DC" w:rsidRDefault="000C37DC" w:rsidP="000C37DC">
      <w:pPr>
        <w:pStyle w:val="FigureCaption"/>
      </w:pPr>
      <w:r w:rsidRPr="000C37DC">
        <w:rPr>
          <w:lang w:bidi="en-US"/>
        </w:rPr>
        <w:t xml:space="preserve">Figure 3.3 </w:t>
      </w:r>
      <w:r w:rsidRPr="000C37DC">
        <w:rPr>
          <w:b w:val="0"/>
          <w:bCs w:val="0"/>
          <w:lang w:bidi="en-US"/>
        </w:rPr>
        <w:t>Example spectra of T230-I2 with relevant peaks identified.</w:t>
      </w:r>
      <w:r w:rsidRPr="000C37DC">
        <w:t xml:space="preserve"> </w:t>
      </w:r>
    </w:p>
    <w:p w14:paraId="1CDAE425" w14:textId="6A9D4FB8" w:rsidR="000C37DC" w:rsidRDefault="000C37DC" w:rsidP="000C37DC">
      <w:pPr>
        <w:pStyle w:val="FigureCaption"/>
      </w:pPr>
      <w:r w:rsidRPr="000C37DC">
        <w:rPr>
          <w:rFonts w:ascii="Arial" w:hAnsi="Arial" w:cs="Arial"/>
          <w:b w:val="0"/>
          <w:bCs w:val="0"/>
        </w:rPr>
        <w:drawing>
          <wp:anchor distT="0" distB="0" distL="114300" distR="114300" simplePos="0" relativeHeight="251673600" behindDoc="1" locked="0" layoutInCell="1" allowOverlap="1" wp14:anchorId="37D99FE9" wp14:editId="4F939D7A">
            <wp:simplePos x="0" y="0"/>
            <wp:positionH relativeFrom="margin">
              <wp:align>center</wp:align>
            </wp:positionH>
            <wp:positionV relativeFrom="page">
              <wp:posOffset>4534696</wp:posOffset>
            </wp:positionV>
            <wp:extent cx="3674295" cy="3200400"/>
            <wp:effectExtent l="0" t="0" r="2540" b="0"/>
            <wp:wrapNone/>
            <wp:docPr id="359640245" name="Picture 3" descr="A graph of different colored bars&#10;&#10;Description automatically generated">
              <a:extLst xmlns:a="http://schemas.openxmlformats.org/drawingml/2006/main">
                <a:ext uri="{FF2B5EF4-FFF2-40B4-BE49-F238E27FC236}">
                  <a16:creationId xmlns:a16="http://schemas.microsoft.com/office/drawing/2014/main" id="{0C6697BD-E686-647B-A320-C39167EDF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different colored bars&#10;&#10;Description automatically generated">
                      <a:extLst>
                        <a:ext uri="{FF2B5EF4-FFF2-40B4-BE49-F238E27FC236}">
                          <a16:creationId xmlns:a16="http://schemas.microsoft.com/office/drawing/2014/main" id="{0C6697BD-E686-647B-A320-C39167EDF943}"/>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6775" t="7508" r="11926"/>
                    <a:stretch/>
                  </pic:blipFill>
                  <pic:spPr bwMode="auto">
                    <a:xfrm>
                      <a:off x="0" y="0"/>
                      <a:ext cx="3674295"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5BB855" w14:textId="19945569" w:rsidR="000C37DC" w:rsidRDefault="000C37DC" w:rsidP="000C37DC">
      <w:pPr>
        <w:pStyle w:val="FigureCaption"/>
      </w:pPr>
    </w:p>
    <w:p w14:paraId="136F3544" w14:textId="77777777" w:rsidR="000C37DC" w:rsidRDefault="000C37DC" w:rsidP="000C37DC">
      <w:pPr>
        <w:pStyle w:val="FigureCaption"/>
      </w:pPr>
    </w:p>
    <w:p w14:paraId="3E8054F6" w14:textId="77777777" w:rsidR="000C37DC" w:rsidRDefault="000C37DC" w:rsidP="000C37DC">
      <w:pPr>
        <w:pStyle w:val="FigureCaption"/>
      </w:pPr>
    </w:p>
    <w:p w14:paraId="5B9E0035" w14:textId="77777777" w:rsidR="000C37DC" w:rsidRDefault="000C37DC" w:rsidP="000C37DC">
      <w:pPr>
        <w:pStyle w:val="FigureCaption"/>
      </w:pPr>
    </w:p>
    <w:p w14:paraId="1E5DB76B" w14:textId="77777777" w:rsidR="000C37DC" w:rsidRDefault="000C37DC" w:rsidP="000C37DC">
      <w:pPr>
        <w:pStyle w:val="FigureCaption"/>
      </w:pPr>
    </w:p>
    <w:p w14:paraId="49757F41" w14:textId="77777777" w:rsidR="000C37DC" w:rsidRDefault="000C37DC" w:rsidP="000C37DC">
      <w:pPr>
        <w:pStyle w:val="FigureCaption"/>
      </w:pPr>
    </w:p>
    <w:p w14:paraId="7905EE37" w14:textId="77777777" w:rsidR="000C37DC" w:rsidRDefault="000C37DC" w:rsidP="000C37DC">
      <w:pPr>
        <w:pStyle w:val="FigureCaption"/>
      </w:pPr>
    </w:p>
    <w:p w14:paraId="113222B0" w14:textId="77777777" w:rsidR="000C37DC" w:rsidRDefault="000C37DC" w:rsidP="000C37DC">
      <w:pPr>
        <w:pStyle w:val="FigureCaption"/>
      </w:pPr>
    </w:p>
    <w:p w14:paraId="2A0CA559" w14:textId="77777777" w:rsidR="000C37DC" w:rsidRDefault="000C37DC" w:rsidP="000C37DC">
      <w:pPr>
        <w:pStyle w:val="FigureCaption"/>
      </w:pPr>
    </w:p>
    <w:p w14:paraId="4AE5AD1F" w14:textId="77777777" w:rsidR="000C37DC" w:rsidRDefault="000C37DC" w:rsidP="000C37DC">
      <w:pPr>
        <w:pStyle w:val="FigureCaption"/>
      </w:pPr>
    </w:p>
    <w:p w14:paraId="7D649751" w14:textId="77777777" w:rsidR="000C37DC" w:rsidRDefault="000C37DC" w:rsidP="000C37DC">
      <w:pPr>
        <w:pStyle w:val="FigureCaption"/>
      </w:pPr>
    </w:p>
    <w:p w14:paraId="5562C372" w14:textId="77777777" w:rsidR="000C37DC" w:rsidRDefault="000C37DC" w:rsidP="000C37DC">
      <w:pPr>
        <w:pStyle w:val="FigureCaption"/>
        <w:rPr>
          <w:lang w:bidi="en-US"/>
        </w:rPr>
      </w:pPr>
    </w:p>
    <w:p w14:paraId="5A4E2220" w14:textId="77777777" w:rsidR="000C37DC" w:rsidRDefault="000C37DC" w:rsidP="000C37DC">
      <w:pPr>
        <w:pStyle w:val="FigureCaption"/>
        <w:rPr>
          <w:lang w:bidi="en-US"/>
        </w:rPr>
      </w:pPr>
    </w:p>
    <w:p w14:paraId="7A129723" w14:textId="7D3AFC41" w:rsidR="000C37DC" w:rsidRDefault="000C37DC" w:rsidP="000C37DC">
      <w:pPr>
        <w:pStyle w:val="FigureCaption"/>
        <w:rPr>
          <w:lang w:bidi="en-US"/>
        </w:rPr>
      </w:pPr>
      <w:r w:rsidRPr="000C37DC">
        <w:rPr>
          <w:lang w:bidi="en-US"/>
        </w:rPr>
        <w:t xml:space="preserve">Figure 3.4 </w:t>
      </w:r>
      <w:r w:rsidRPr="000C37DC">
        <w:rPr>
          <w:b w:val="0"/>
          <w:bCs w:val="0"/>
          <w:lang w:bidi="en-US"/>
        </w:rPr>
        <w:t>Ratio of intensities of various peaks to intensity of C-CH3 peak at 2917 cm</w:t>
      </w:r>
      <w:r w:rsidRPr="000C37DC">
        <w:rPr>
          <w:b w:val="0"/>
          <w:bCs w:val="0"/>
          <w:vertAlign w:val="superscript"/>
          <w:lang w:bidi="en-US"/>
        </w:rPr>
        <w:t>-1</w:t>
      </w:r>
      <w:r w:rsidRPr="000C37DC">
        <w:rPr>
          <w:b w:val="0"/>
          <w:bCs w:val="0"/>
          <w:lang w:bidi="en-US"/>
        </w:rPr>
        <w:t>. Trends are shown only for samples molded at an injection rate of 2 in</w:t>
      </w:r>
      <w:r w:rsidRPr="000C37DC">
        <w:rPr>
          <w:b w:val="0"/>
          <w:bCs w:val="0"/>
          <w:vertAlign w:val="superscript"/>
          <w:lang w:bidi="en-US"/>
        </w:rPr>
        <w:t>3</w:t>
      </w:r>
      <w:r w:rsidRPr="000C37DC">
        <w:rPr>
          <w:b w:val="0"/>
          <w:bCs w:val="0"/>
          <w:lang w:bidi="en-US"/>
        </w:rPr>
        <w:t>/s, as they are representative of other injection rates.</w:t>
      </w:r>
      <w:r w:rsidRPr="000C37DC">
        <w:rPr>
          <w:lang w:bidi="en-US"/>
        </w:rPr>
        <w:t xml:space="preserve"> </w:t>
      </w:r>
      <w:r>
        <w:rPr>
          <w:lang w:bidi="en-US"/>
        </w:rPr>
        <w:br w:type="page"/>
      </w:r>
    </w:p>
    <w:p w14:paraId="10ABC4BD" w14:textId="77777777" w:rsidR="00C52A43" w:rsidRDefault="00C52A43" w:rsidP="00C52A43">
      <w:pPr>
        <w:pStyle w:val="TableHeading"/>
        <w:rPr>
          <w:b w:val="0"/>
          <w:bCs w:val="0"/>
          <w:lang w:bidi="en-US"/>
        </w:rPr>
      </w:pPr>
      <w:r w:rsidRPr="00C52A43">
        <w:rPr>
          <w:lang w:bidi="en-US"/>
        </w:rPr>
        <w:lastRenderedPageBreak/>
        <w:t>Table 3.3</w:t>
      </w:r>
      <w:r w:rsidRPr="00C52A43">
        <w:rPr>
          <w:b w:val="0"/>
          <w:bCs w:val="0"/>
          <w:lang w:bidi="en-US"/>
        </w:rPr>
        <w:t xml:space="preserve"> P-values and correlation directions for the effects of temperature, injection rate, and their interaction on FTIR peak intensities.</w:t>
      </w:r>
    </w:p>
    <w:tbl>
      <w:tblPr>
        <w:tblStyle w:val="TableGrid"/>
        <w:tblpPr w:leftFromText="180" w:rightFromText="180" w:vertAnchor="text" w:horzAnchor="margin" w:tblpY="8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876"/>
        <w:gridCol w:w="1426"/>
        <w:gridCol w:w="1375"/>
        <w:gridCol w:w="836"/>
        <w:gridCol w:w="1177"/>
        <w:gridCol w:w="1360"/>
      </w:tblGrid>
      <w:tr w:rsidR="00C52A43" w:rsidRPr="00C52A43" w14:paraId="54E48425" w14:textId="77777777" w:rsidTr="00C52A43">
        <w:trPr>
          <w:trHeight w:val="20"/>
        </w:trPr>
        <w:tc>
          <w:tcPr>
            <w:tcW w:w="920" w:type="pct"/>
            <w:tcBorders>
              <w:top w:val="single" w:sz="4" w:space="0" w:color="auto"/>
              <w:bottom w:val="single" w:sz="4" w:space="0" w:color="auto"/>
            </w:tcBorders>
            <w:vAlign w:val="center"/>
          </w:tcPr>
          <w:p w14:paraId="40D9CA7E" w14:textId="77777777" w:rsidR="00C52A43" w:rsidRPr="00C52A43" w:rsidRDefault="00C52A43" w:rsidP="00C52A43">
            <w:pPr>
              <w:pStyle w:val="TableDescription"/>
              <w:rPr>
                <w:lang w:bidi="en-US"/>
              </w:rPr>
            </w:pPr>
          </w:p>
        </w:tc>
        <w:tc>
          <w:tcPr>
            <w:tcW w:w="2127" w:type="pct"/>
            <w:gridSpan w:val="3"/>
            <w:tcBorders>
              <w:top w:val="single" w:sz="4" w:space="0" w:color="auto"/>
              <w:bottom w:val="single" w:sz="4" w:space="0" w:color="auto"/>
            </w:tcBorders>
            <w:vAlign w:val="center"/>
          </w:tcPr>
          <w:p w14:paraId="7E3A28A0" w14:textId="77777777" w:rsidR="00C52A43" w:rsidRPr="00C52A43" w:rsidRDefault="00C52A43" w:rsidP="00C52A43">
            <w:pPr>
              <w:pStyle w:val="TableDescription"/>
              <w:rPr>
                <w:b/>
                <w:bCs/>
                <w:lang w:bidi="en-US"/>
              </w:rPr>
            </w:pPr>
            <w:r w:rsidRPr="00C52A43">
              <w:rPr>
                <w:b/>
                <w:bCs/>
                <w:lang w:bidi="en-US"/>
              </w:rPr>
              <w:t>P-Values</w:t>
            </w:r>
          </w:p>
        </w:tc>
        <w:tc>
          <w:tcPr>
            <w:tcW w:w="1953" w:type="pct"/>
            <w:gridSpan w:val="3"/>
            <w:tcBorders>
              <w:top w:val="single" w:sz="4" w:space="0" w:color="auto"/>
              <w:bottom w:val="single" w:sz="4" w:space="0" w:color="auto"/>
            </w:tcBorders>
            <w:vAlign w:val="center"/>
          </w:tcPr>
          <w:p w14:paraId="18356EB3" w14:textId="77777777" w:rsidR="00C52A43" w:rsidRPr="00C52A43" w:rsidRDefault="00C52A43" w:rsidP="00C52A43">
            <w:pPr>
              <w:pStyle w:val="TableDescription"/>
              <w:rPr>
                <w:b/>
                <w:bCs/>
                <w:lang w:bidi="en-US"/>
              </w:rPr>
            </w:pPr>
            <w:r w:rsidRPr="00C52A43">
              <w:rPr>
                <w:b/>
                <w:bCs/>
                <w:lang w:bidi="en-US"/>
              </w:rPr>
              <w:t>Correlation Directions</w:t>
            </w:r>
          </w:p>
        </w:tc>
      </w:tr>
      <w:tr w:rsidR="00C52A43" w:rsidRPr="00C52A43" w14:paraId="3AF2C923" w14:textId="77777777" w:rsidTr="00C52A43">
        <w:trPr>
          <w:trHeight w:val="20"/>
        </w:trPr>
        <w:tc>
          <w:tcPr>
            <w:tcW w:w="920" w:type="pct"/>
            <w:tcBorders>
              <w:top w:val="single" w:sz="4" w:space="0" w:color="auto"/>
              <w:bottom w:val="single" w:sz="4" w:space="0" w:color="auto"/>
            </w:tcBorders>
            <w:vAlign w:val="center"/>
          </w:tcPr>
          <w:p w14:paraId="5DAE6558" w14:textId="77777777" w:rsidR="00C52A43" w:rsidRPr="00C52A43" w:rsidRDefault="00C52A43" w:rsidP="00C52A43">
            <w:pPr>
              <w:pStyle w:val="TableDescription"/>
              <w:rPr>
                <w:lang w:bidi="en-US"/>
              </w:rPr>
            </w:pPr>
            <w:r w:rsidRPr="00C52A43">
              <w:rPr>
                <w:lang w:bidi="en-US"/>
              </w:rPr>
              <w:t>Peak Number</w:t>
            </w:r>
          </w:p>
        </w:tc>
        <w:tc>
          <w:tcPr>
            <w:tcW w:w="507" w:type="pct"/>
            <w:tcBorders>
              <w:top w:val="single" w:sz="4" w:space="0" w:color="auto"/>
              <w:bottom w:val="single" w:sz="4" w:space="0" w:color="auto"/>
            </w:tcBorders>
            <w:vAlign w:val="center"/>
          </w:tcPr>
          <w:p w14:paraId="0672BC03" w14:textId="77777777" w:rsidR="00C52A43" w:rsidRPr="00C52A43" w:rsidRDefault="00C52A43" w:rsidP="00C52A43">
            <w:pPr>
              <w:pStyle w:val="TableDescription"/>
              <w:rPr>
                <w:lang w:bidi="en-US"/>
              </w:rPr>
            </w:pPr>
            <w:r w:rsidRPr="00C52A43">
              <w:rPr>
                <w:lang w:bidi="en-US"/>
              </w:rPr>
              <w:t>Temp.</w:t>
            </w:r>
          </w:p>
        </w:tc>
        <w:tc>
          <w:tcPr>
            <w:tcW w:w="825" w:type="pct"/>
            <w:tcBorders>
              <w:top w:val="single" w:sz="4" w:space="0" w:color="auto"/>
              <w:bottom w:val="single" w:sz="4" w:space="0" w:color="auto"/>
            </w:tcBorders>
            <w:vAlign w:val="center"/>
          </w:tcPr>
          <w:p w14:paraId="7AA366CC" w14:textId="77777777" w:rsidR="00C52A43" w:rsidRPr="00C52A43" w:rsidRDefault="00C52A43" w:rsidP="00C52A43">
            <w:pPr>
              <w:pStyle w:val="TableDescription"/>
              <w:rPr>
                <w:lang w:bidi="en-US"/>
              </w:rPr>
            </w:pPr>
            <w:r w:rsidRPr="00C52A43">
              <w:rPr>
                <w:lang w:bidi="en-US"/>
              </w:rPr>
              <w:t>Injection Rate</w:t>
            </w:r>
          </w:p>
        </w:tc>
        <w:tc>
          <w:tcPr>
            <w:tcW w:w="796" w:type="pct"/>
            <w:tcBorders>
              <w:top w:val="single" w:sz="4" w:space="0" w:color="auto"/>
              <w:bottom w:val="single" w:sz="4" w:space="0" w:color="auto"/>
            </w:tcBorders>
            <w:vAlign w:val="center"/>
          </w:tcPr>
          <w:p w14:paraId="69ABAAA6" w14:textId="77777777" w:rsidR="00C52A43" w:rsidRPr="00C52A43" w:rsidRDefault="00C52A43" w:rsidP="00C52A43">
            <w:pPr>
              <w:pStyle w:val="TableDescription"/>
              <w:rPr>
                <w:lang w:bidi="en-US"/>
              </w:rPr>
            </w:pPr>
            <w:r w:rsidRPr="00C52A43">
              <w:rPr>
                <w:lang w:bidi="en-US"/>
              </w:rPr>
              <w:t>Temp.*</w:t>
            </w:r>
            <w:r w:rsidRPr="00C52A43">
              <w:rPr>
                <w:lang w:bidi="en-US"/>
              </w:rPr>
              <w:br/>
              <w:t>Injection Rate</w:t>
            </w:r>
          </w:p>
        </w:tc>
        <w:tc>
          <w:tcPr>
            <w:tcW w:w="484" w:type="pct"/>
            <w:tcBorders>
              <w:top w:val="single" w:sz="4" w:space="0" w:color="auto"/>
              <w:bottom w:val="single" w:sz="4" w:space="0" w:color="auto"/>
            </w:tcBorders>
            <w:vAlign w:val="center"/>
          </w:tcPr>
          <w:p w14:paraId="79BE9CF6" w14:textId="77777777" w:rsidR="00C52A43" w:rsidRPr="00C52A43" w:rsidRDefault="00C52A43" w:rsidP="00C52A43">
            <w:pPr>
              <w:pStyle w:val="TableDescription"/>
              <w:rPr>
                <w:lang w:bidi="en-US"/>
              </w:rPr>
            </w:pPr>
            <w:r w:rsidRPr="00C52A43">
              <w:rPr>
                <w:lang w:bidi="en-US"/>
              </w:rPr>
              <w:t>Temp.</w:t>
            </w:r>
          </w:p>
        </w:tc>
        <w:tc>
          <w:tcPr>
            <w:tcW w:w="681" w:type="pct"/>
            <w:tcBorders>
              <w:top w:val="single" w:sz="4" w:space="0" w:color="auto"/>
              <w:bottom w:val="single" w:sz="4" w:space="0" w:color="auto"/>
            </w:tcBorders>
            <w:vAlign w:val="center"/>
          </w:tcPr>
          <w:p w14:paraId="20987079" w14:textId="77777777" w:rsidR="00C52A43" w:rsidRPr="00C52A43" w:rsidRDefault="00C52A43" w:rsidP="00C52A43">
            <w:pPr>
              <w:pStyle w:val="TableDescription"/>
              <w:rPr>
                <w:lang w:bidi="en-US"/>
              </w:rPr>
            </w:pPr>
            <w:r w:rsidRPr="00C52A43">
              <w:rPr>
                <w:lang w:bidi="en-US"/>
              </w:rPr>
              <w:t xml:space="preserve">Injection </w:t>
            </w:r>
            <w:r w:rsidRPr="00C52A43">
              <w:rPr>
                <w:lang w:bidi="en-US"/>
              </w:rPr>
              <w:br/>
              <w:t>Rate</w:t>
            </w:r>
          </w:p>
        </w:tc>
        <w:tc>
          <w:tcPr>
            <w:tcW w:w="788" w:type="pct"/>
            <w:tcBorders>
              <w:top w:val="single" w:sz="4" w:space="0" w:color="auto"/>
              <w:bottom w:val="single" w:sz="4" w:space="0" w:color="auto"/>
            </w:tcBorders>
            <w:vAlign w:val="center"/>
          </w:tcPr>
          <w:p w14:paraId="131F830A" w14:textId="77777777" w:rsidR="00C52A43" w:rsidRPr="00C52A43" w:rsidRDefault="00C52A43" w:rsidP="00C52A43">
            <w:pPr>
              <w:pStyle w:val="TableDescription"/>
              <w:rPr>
                <w:lang w:bidi="en-US"/>
              </w:rPr>
            </w:pPr>
            <w:r w:rsidRPr="00C52A43">
              <w:rPr>
                <w:lang w:bidi="en-US"/>
              </w:rPr>
              <w:t>Temp.*</w:t>
            </w:r>
            <w:r w:rsidRPr="00C52A43">
              <w:rPr>
                <w:lang w:bidi="en-US"/>
              </w:rPr>
              <w:br/>
              <w:t>Injection Rate</w:t>
            </w:r>
          </w:p>
        </w:tc>
      </w:tr>
      <w:tr w:rsidR="00C52A43" w:rsidRPr="00C52A43" w14:paraId="4647D4A9" w14:textId="77777777" w:rsidTr="00C52A43">
        <w:trPr>
          <w:trHeight w:val="20"/>
        </w:trPr>
        <w:tc>
          <w:tcPr>
            <w:tcW w:w="920" w:type="pct"/>
            <w:tcBorders>
              <w:top w:val="single" w:sz="4" w:space="0" w:color="auto"/>
            </w:tcBorders>
            <w:vAlign w:val="center"/>
          </w:tcPr>
          <w:p w14:paraId="0F1B0787" w14:textId="77777777" w:rsidR="00C52A43" w:rsidRPr="00C52A43" w:rsidRDefault="00C52A43" w:rsidP="00C52A43">
            <w:pPr>
              <w:pStyle w:val="TableDescription"/>
              <w:rPr>
                <w:lang w:bidi="en-US"/>
              </w:rPr>
            </w:pPr>
            <w:r w:rsidRPr="00C52A43">
              <w:rPr>
                <w:lang w:bidi="en-US"/>
              </w:rPr>
              <w:t>1033</w:t>
            </w:r>
          </w:p>
        </w:tc>
        <w:tc>
          <w:tcPr>
            <w:tcW w:w="507" w:type="pct"/>
            <w:tcBorders>
              <w:top w:val="single" w:sz="4" w:space="0" w:color="auto"/>
            </w:tcBorders>
            <w:vAlign w:val="center"/>
          </w:tcPr>
          <w:p w14:paraId="1AFC8848" w14:textId="77777777" w:rsidR="00C52A43" w:rsidRPr="00C52A43" w:rsidRDefault="00C52A43" w:rsidP="00C52A43">
            <w:pPr>
              <w:pStyle w:val="TableDescription"/>
              <w:rPr>
                <w:lang w:bidi="en-US"/>
              </w:rPr>
            </w:pPr>
            <w:r w:rsidRPr="00C52A43">
              <w:rPr>
                <w:lang w:bidi="en-US"/>
              </w:rPr>
              <w:t>0.2827</w:t>
            </w:r>
          </w:p>
        </w:tc>
        <w:tc>
          <w:tcPr>
            <w:tcW w:w="825" w:type="pct"/>
            <w:tcBorders>
              <w:top w:val="single" w:sz="4" w:space="0" w:color="auto"/>
            </w:tcBorders>
            <w:vAlign w:val="center"/>
          </w:tcPr>
          <w:p w14:paraId="6504FB82" w14:textId="77777777" w:rsidR="00C52A43" w:rsidRPr="00C52A43" w:rsidRDefault="00C52A43" w:rsidP="00C52A43">
            <w:pPr>
              <w:pStyle w:val="TableDescription"/>
              <w:rPr>
                <w:lang w:bidi="en-US"/>
              </w:rPr>
            </w:pPr>
            <w:r w:rsidRPr="00C52A43">
              <w:rPr>
                <w:lang w:bidi="en-US"/>
              </w:rPr>
              <w:t>0.6382</w:t>
            </w:r>
          </w:p>
        </w:tc>
        <w:tc>
          <w:tcPr>
            <w:tcW w:w="796" w:type="pct"/>
            <w:tcBorders>
              <w:top w:val="single" w:sz="4" w:space="0" w:color="auto"/>
            </w:tcBorders>
            <w:vAlign w:val="center"/>
          </w:tcPr>
          <w:p w14:paraId="0B31A3C4" w14:textId="77777777" w:rsidR="00C52A43" w:rsidRPr="00C52A43" w:rsidRDefault="00C52A43" w:rsidP="00C52A43">
            <w:pPr>
              <w:pStyle w:val="TableDescription"/>
              <w:rPr>
                <w:lang w:bidi="en-US"/>
              </w:rPr>
            </w:pPr>
            <w:r w:rsidRPr="00C52A43">
              <w:rPr>
                <w:lang w:bidi="en-US"/>
              </w:rPr>
              <w:t>0.2174</w:t>
            </w:r>
          </w:p>
        </w:tc>
        <w:tc>
          <w:tcPr>
            <w:tcW w:w="484" w:type="pct"/>
            <w:tcBorders>
              <w:top w:val="single" w:sz="4" w:space="0" w:color="auto"/>
            </w:tcBorders>
          </w:tcPr>
          <w:p w14:paraId="0A643B25" w14:textId="77777777" w:rsidR="00C52A43" w:rsidRPr="00C52A43" w:rsidRDefault="00C52A43" w:rsidP="00C52A43">
            <w:pPr>
              <w:pStyle w:val="TableDescription"/>
              <w:rPr>
                <w:lang w:bidi="en-US"/>
              </w:rPr>
            </w:pPr>
            <w:r w:rsidRPr="00C52A43">
              <w:rPr>
                <w:lang w:bidi="en-US"/>
              </w:rPr>
              <w:t>-</w:t>
            </w:r>
          </w:p>
        </w:tc>
        <w:tc>
          <w:tcPr>
            <w:tcW w:w="681" w:type="pct"/>
            <w:tcBorders>
              <w:top w:val="single" w:sz="4" w:space="0" w:color="auto"/>
            </w:tcBorders>
          </w:tcPr>
          <w:p w14:paraId="423DC2F9" w14:textId="77777777" w:rsidR="00C52A43" w:rsidRPr="00C52A43" w:rsidRDefault="00C52A43" w:rsidP="00C52A43">
            <w:pPr>
              <w:pStyle w:val="TableDescription"/>
              <w:rPr>
                <w:lang w:bidi="en-US"/>
              </w:rPr>
            </w:pPr>
            <w:r w:rsidRPr="00C52A43">
              <w:rPr>
                <w:lang w:bidi="en-US"/>
              </w:rPr>
              <w:t>-</w:t>
            </w:r>
          </w:p>
        </w:tc>
        <w:tc>
          <w:tcPr>
            <w:tcW w:w="788" w:type="pct"/>
            <w:tcBorders>
              <w:top w:val="single" w:sz="4" w:space="0" w:color="auto"/>
            </w:tcBorders>
          </w:tcPr>
          <w:p w14:paraId="566D9DB4" w14:textId="77777777" w:rsidR="00C52A43" w:rsidRPr="00C52A43" w:rsidRDefault="00C52A43" w:rsidP="00C52A43">
            <w:pPr>
              <w:pStyle w:val="TableDescription"/>
              <w:rPr>
                <w:lang w:bidi="en-US"/>
              </w:rPr>
            </w:pPr>
            <w:r w:rsidRPr="00C52A43">
              <w:rPr>
                <w:lang w:bidi="en-US"/>
              </w:rPr>
              <w:t>-</w:t>
            </w:r>
          </w:p>
        </w:tc>
      </w:tr>
      <w:tr w:rsidR="00C52A43" w:rsidRPr="00C52A43" w14:paraId="4A30CDD7" w14:textId="77777777" w:rsidTr="00C52A43">
        <w:trPr>
          <w:trHeight w:val="20"/>
        </w:trPr>
        <w:tc>
          <w:tcPr>
            <w:tcW w:w="920" w:type="pct"/>
            <w:vAlign w:val="center"/>
          </w:tcPr>
          <w:p w14:paraId="4CB6422B" w14:textId="77777777" w:rsidR="00C52A43" w:rsidRPr="00C52A43" w:rsidRDefault="00C52A43" w:rsidP="00C52A43">
            <w:pPr>
              <w:pStyle w:val="TableDescription"/>
              <w:rPr>
                <w:lang w:bidi="en-US"/>
              </w:rPr>
            </w:pPr>
            <w:r w:rsidRPr="00C52A43">
              <w:rPr>
                <w:lang w:bidi="en-US"/>
              </w:rPr>
              <w:t>1375</w:t>
            </w:r>
          </w:p>
        </w:tc>
        <w:tc>
          <w:tcPr>
            <w:tcW w:w="507" w:type="pct"/>
            <w:vAlign w:val="center"/>
          </w:tcPr>
          <w:p w14:paraId="07153F3F" w14:textId="77777777" w:rsidR="00C52A43" w:rsidRPr="00C52A43" w:rsidRDefault="00C52A43" w:rsidP="00C52A43">
            <w:pPr>
              <w:pStyle w:val="TableDescription"/>
              <w:rPr>
                <w:b/>
                <w:bCs/>
                <w:lang w:bidi="en-US"/>
              </w:rPr>
            </w:pPr>
            <w:r w:rsidRPr="00C52A43">
              <w:rPr>
                <w:b/>
                <w:bCs/>
                <w:lang w:bidi="en-US"/>
              </w:rPr>
              <w:t>0.0277</w:t>
            </w:r>
          </w:p>
        </w:tc>
        <w:tc>
          <w:tcPr>
            <w:tcW w:w="825" w:type="pct"/>
            <w:vAlign w:val="center"/>
          </w:tcPr>
          <w:p w14:paraId="5527FC46" w14:textId="77777777" w:rsidR="00C52A43" w:rsidRPr="00C52A43" w:rsidRDefault="00C52A43" w:rsidP="00C52A43">
            <w:pPr>
              <w:pStyle w:val="TableDescription"/>
              <w:rPr>
                <w:lang w:bidi="en-US"/>
              </w:rPr>
            </w:pPr>
            <w:r w:rsidRPr="00C52A43">
              <w:rPr>
                <w:lang w:bidi="en-US"/>
              </w:rPr>
              <w:t>0.1243</w:t>
            </w:r>
          </w:p>
        </w:tc>
        <w:tc>
          <w:tcPr>
            <w:tcW w:w="796" w:type="pct"/>
            <w:vAlign w:val="center"/>
          </w:tcPr>
          <w:p w14:paraId="7A05DF98" w14:textId="77777777" w:rsidR="00C52A43" w:rsidRPr="00C52A43" w:rsidRDefault="00C52A43" w:rsidP="00C52A43">
            <w:pPr>
              <w:pStyle w:val="TableDescription"/>
              <w:rPr>
                <w:lang w:bidi="en-US"/>
              </w:rPr>
            </w:pPr>
            <w:r w:rsidRPr="00C52A43">
              <w:rPr>
                <w:lang w:bidi="en-US"/>
              </w:rPr>
              <w:t>0.3028</w:t>
            </w:r>
          </w:p>
        </w:tc>
        <w:tc>
          <w:tcPr>
            <w:tcW w:w="484" w:type="pct"/>
          </w:tcPr>
          <w:p w14:paraId="4E5FC613" w14:textId="77777777" w:rsidR="00C52A43" w:rsidRPr="00C52A43" w:rsidRDefault="00C52A43" w:rsidP="00C52A43">
            <w:pPr>
              <w:pStyle w:val="TableDescription"/>
              <w:rPr>
                <w:lang w:bidi="en-US"/>
              </w:rPr>
            </w:pPr>
            <w:r w:rsidRPr="00C52A43">
              <w:rPr>
                <w:lang w:bidi="en-US"/>
              </w:rPr>
              <w:t>↑</w:t>
            </w:r>
          </w:p>
        </w:tc>
        <w:tc>
          <w:tcPr>
            <w:tcW w:w="681" w:type="pct"/>
          </w:tcPr>
          <w:p w14:paraId="4B3EAA7B" w14:textId="77777777" w:rsidR="00C52A43" w:rsidRPr="00C52A43" w:rsidRDefault="00C52A43" w:rsidP="00C52A43">
            <w:pPr>
              <w:pStyle w:val="TableDescription"/>
              <w:rPr>
                <w:lang w:bidi="en-US"/>
              </w:rPr>
            </w:pPr>
            <w:r w:rsidRPr="00C52A43">
              <w:rPr>
                <w:lang w:bidi="en-US"/>
              </w:rPr>
              <w:t>-</w:t>
            </w:r>
          </w:p>
        </w:tc>
        <w:tc>
          <w:tcPr>
            <w:tcW w:w="788" w:type="pct"/>
          </w:tcPr>
          <w:p w14:paraId="3E1F19E2" w14:textId="77777777" w:rsidR="00C52A43" w:rsidRPr="00C52A43" w:rsidRDefault="00C52A43" w:rsidP="00C52A43">
            <w:pPr>
              <w:pStyle w:val="TableDescription"/>
              <w:rPr>
                <w:lang w:bidi="en-US"/>
              </w:rPr>
            </w:pPr>
            <w:r w:rsidRPr="00C52A43">
              <w:rPr>
                <w:lang w:bidi="en-US"/>
              </w:rPr>
              <w:t>-</w:t>
            </w:r>
          </w:p>
        </w:tc>
      </w:tr>
      <w:tr w:rsidR="00C52A43" w:rsidRPr="00C52A43" w14:paraId="56CAC590" w14:textId="77777777" w:rsidTr="00C52A43">
        <w:trPr>
          <w:trHeight w:val="20"/>
        </w:trPr>
        <w:tc>
          <w:tcPr>
            <w:tcW w:w="920" w:type="pct"/>
            <w:vAlign w:val="center"/>
          </w:tcPr>
          <w:p w14:paraId="4D5589AC" w14:textId="77777777" w:rsidR="00C52A43" w:rsidRPr="00C52A43" w:rsidRDefault="00C52A43" w:rsidP="00C52A43">
            <w:pPr>
              <w:pStyle w:val="TableDescription"/>
              <w:rPr>
                <w:lang w:bidi="en-US"/>
              </w:rPr>
            </w:pPr>
            <w:r w:rsidRPr="00C52A43">
              <w:rPr>
                <w:lang w:bidi="en-US"/>
              </w:rPr>
              <w:t>1456</w:t>
            </w:r>
          </w:p>
        </w:tc>
        <w:tc>
          <w:tcPr>
            <w:tcW w:w="507" w:type="pct"/>
            <w:vAlign w:val="center"/>
          </w:tcPr>
          <w:p w14:paraId="658F59C8" w14:textId="77777777" w:rsidR="00C52A43" w:rsidRPr="00C52A43" w:rsidRDefault="00C52A43" w:rsidP="00C52A43">
            <w:pPr>
              <w:pStyle w:val="TableDescription"/>
              <w:rPr>
                <w:b/>
                <w:bCs/>
                <w:lang w:bidi="en-US"/>
              </w:rPr>
            </w:pPr>
            <w:r w:rsidRPr="00C52A43">
              <w:rPr>
                <w:b/>
                <w:bCs/>
                <w:lang w:bidi="en-US"/>
              </w:rPr>
              <w:t>0.0209</w:t>
            </w:r>
          </w:p>
        </w:tc>
        <w:tc>
          <w:tcPr>
            <w:tcW w:w="825" w:type="pct"/>
            <w:vAlign w:val="center"/>
          </w:tcPr>
          <w:p w14:paraId="477446BE" w14:textId="77777777" w:rsidR="00C52A43" w:rsidRPr="00C52A43" w:rsidRDefault="00C52A43" w:rsidP="00C52A43">
            <w:pPr>
              <w:pStyle w:val="TableDescription"/>
              <w:rPr>
                <w:lang w:bidi="en-US"/>
              </w:rPr>
            </w:pPr>
            <w:r w:rsidRPr="00C52A43">
              <w:rPr>
                <w:lang w:bidi="en-US"/>
              </w:rPr>
              <w:t>0.5179</w:t>
            </w:r>
          </w:p>
        </w:tc>
        <w:tc>
          <w:tcPr>
            <w:tcW w:w="796" w:type="pct"/>
            <w:vAlign w:val="center"/>
          </w:tcPr>
          <w:p w14:paraId="52CAAEE1" w14:textId="77777777" w:rsidR="00C52A43" w:rsidRPr="00C52A43" w:rsidRDefault="00C52A43" w:rsidP="00C52A43">
            <w:pPr>
              <w:pStyle w:val="TableDescription"/>
              <w:rPr>
                <w:lang w:bidi="en-US"/>
              </w:rPr>
            </w:pPr>
            <w:r w:rsidRPr="00C52A43">
              <w:rPr>
                <w:lang w:bidi="en-US"/>
              </w:rPr>
              <w:t>0.7500</w:t>
            </w:r>
          </w:p>
        </w:tc>
        <w:tc>
          <w:tcPr>
            <w:tcW w:w="484" w:type="pct"/>
          </w:tcPr>
          <w:p w14:paraId="44A3CEFF" w14:textId="77777777" w:rsidR="00C52A43" w:rsidRPr="00C52A43" w:rsidRDefault="00C52A43" w:rsidP="00C52A43">
            <w:pPr>
              <w:pStyle w:val="TableDescription"/>
              <w:rPr>
                <w:lang w:bidi="en-US"/>
              </w:rPr>
            </w:pPr>
            <w:r w:rsidRPr="00C52A43">
              <w:rPr>
                <w:lang w:bidi="en-US"/>
              </w:rPr>
              <w:t>↑</w:t>
            </w:r>
          </w:p>
        </w:tc>
        <w:tc>
          <w:tcPr>
            <w:tcW w:w="681" w:type="pct"/>
          </w:tcPr>
          <w:p w14:paraId="5B48DDA2" w14:textId="77777777" w:rsidR="00C52A43" w:rsidRPr="00C52A43" w:rsidRDefault="00C52A43" w:rsidP="00C52A43">
            <w:pPr>
              <w:pStyle w:val="TableDescription"/>
              <w:rPr>
                <w:lang w:bidi="en-US"/>
              </w:rPr>
            </w:pPr>
            <w:r w:rsidRPr="00C52A43">
              <w:rPr>
                <w:lang w:bidi="en-US"/>
              </w:rPr>
              <w:t>-</w:t>
            </w:r>
          </w:p>
        </w:tc>
        <w:tc>
          <w:tcPr>
            <w:tcW w:w="788" w:type="pct"/>
          </w:tcPr>
          <w:p w14:paraId="156B7741" w14:textId="77777777" w:rsidR="00C52A43" w:rsidRPr="00C52A43" w:rsidRDefault="00C52A43" w:rsidP="00C52A43">
            <w:pPr>
              <w:pStyle w:val="TableDescription"/>
              <w:rPr>
                <w:lang w:bidi="en-US"/>
              </w:rPr>
            </w:pPr>
            <w:r w:rsidRPr="00C52A43">
              <w:rPr>
                <w:lang w:bidi="en-US"/>
              </w:rPr>
              <w:t>-</w:t>
            </w:r>
          </w:p>
        </w:tc>
      </w:tr>
      <w:tr w:rsidR="00C52A43" w:rsidRPr="00C52A43" w14:paraId="7D149A26" w14:textId="77777777" w:rsidTr="00C52A43">
        <w:trPr>
          <w:trHeight w:val="20"/>
        </w:trPr>
        <w:tc>
          <w:tcPr>
            <w:tcW w:w="920" w:type="pct"/>
            <w:vAlign w:val="center"/>
          </w:tcPr>
          <w:p w14:paraId="3C0A140F" w14:textId="77777777" w:rsidR="00C52A43" w:rsidRPr="00C52A43" w:rsidRDefault="00C52A43" w:rsidP="00C52A43">
            <w:pPr>
              <w:pStyle w:val="TableDescription"/>
              <w:rPr>
                <w:lang w:bidi="en-US"/>
              </w:rPr>
            </w:pPr>
            <w:r w:rsidRPr="00C52A43">
              <w:rPr>
                <w:lang w:bidi="en-US"/>
              </w:rPr>
              <w:t>1656</w:t>
            </w:r>
          </w:p>
        </w:tc>
        <w:tc>
          <w:tcPr>
            <w:tcW w:w="507" w:type="pct"/>
            <w:vAlign w:val="center"/>
          </w:tcPr>
          <w:p w14:paraId="69B048C1" w14:textId="77777777" w:rsidR="00C52A43" w:rsidRPr="00C52A43" w:rsidRDefault="00C52A43" w:rsidP="00C52A43">
            <w:pPr>
              <w:pStyle w:val="TableDescription"/>
              <w:rPr>
                <w:b/>
                <w:bCs/>
                <w:lang w:bidi="en-US"/>
              </w:rPr>
            </w:pPr>
            <w:r w:rsidRPr="00C52A43">
              <w:rPr>
                <w:b/>
                <w:bCs/>
                <w:lang w:bidi="en-US"/>
              </w:rPr>
              <w:t>0.0051</w:t>
            </w:r>
          </w:p>
        </w:tc>
        <w:tc>
          <w:tcPr>
            <w:tcW w:w="825" w:type="pct"/>
            <w:vAlign w:val="center"/>
          </w:tcPr>
          <w:p w14:paraId="2AE414FE" w14:textId="77777777" w:rsidR="00C52A43" w:rsidRPr="00C52A43" w:rsidRDefault="00C52A43" w:rsidP="00C52A43">
            <w:pPr>
              <w:pStyle w:val="TableDescription"/>
              <w:rPr>
                <w:lang w:bidi="en-US"/>
              </w:rPr>
            </w:pPr>
            <w:r w:rsidRPr="00C52A43">
              <w:rPr>
                <w:lang w:bidi="en-US"/>
              </w:rPr>
              <w:t>0.7285</w:t>
            </w:r>
          </w:p>
        </w:tc>
        <w:tc>
          <w:tcPr>
            <w:tcW w:w="796" w:type="pct"/>
            <w:vAlign w:val="center"/>
          </w:tcPr>
          <w:p w14:paraId="0B0617F0" w14:textId="77777777" w:rsidR="00C52A43" w:rsidRPr="00C52A43" w:rsidRDefault="00C52A43" w:rsidP="00C52A43">
            <w:pPr>
              <w:pStyle w:val="TableDescription"/>
              <w:rPr>
                <w:lang w:bidi="en-US"/>
              </w:rPr>
            </w:pPr>
            <w:r w:rsidRPr="00C52A43">
              <w:rPr>
                <w:lang w:bidi="en-US"/>
              </w:rPr>
              <w:t>0.7555</w:t>
            </w:r>
          </w:p>
        </w:tc>
        <w:tc>
          <w:tcPr>
            <w:tcW w:w="484" w:type="pct"/>
          </w:tcPr>
          <w:p w14:paraId="03D1067E" w14:textId="77777777" w:rsidR="00C52A43" w:rsidRPr="00C52A43" w:rsidRDefault="00C52A43" w:rsidP="00C52A43">
            <w:pPr>
              <w:pStyle w:val="TableDescription"/>
              <w:rPr>
                <w:lang w:bidi="en-US"/>
              </w:rPr>
            </w:pPr>
            <w:r w:rsidRPr="00C52A43">
              <w:rPr>
                <w:lang w:bidi="en-US"/>
              </w:rPr>
              <w:t>↑</w:t>
            </w:r>
          </w:p>
        </w:tc>
        <w:tc>
          <w:tcPr>
            <w:tcW w:w="681" w:type="pct"/>
          </w:tcPr>
          <w:p w14:paraId="04F2BB03" w14:textId="77777777" w:rsidR="00C52A43" w:rsidRPr="00C52A43" w:rsidRDefault="00C52A43" w:rsidP="00C52A43">
            <w:pPr>
              <w:pStyle w:val="TableDescription"/>
              <w:rPr>
                <w:lang w:bidi="en-US"/>
              </w:rPr>
            </w:pPr>
            <w:r w:rsidRPr="00C52A43">
              <w:rPr>
                <w:lang w:bidi="en-US"/>
              </w:rPr>
              <w:t>-</w:t>
            </w:r>
          </w:p>
        </w:tc>
        <w:tc>
          <w:tcPr>
            <w:tcW w:w="788" w:type="pct"/>
          </w:tcPr>
          <w:p w14:paraId="6EFD0E25" w14:textId="77777777" w:rsidR="00C52A43" w:rsidRPr="00C52A43" w:rsidRDefault="00C52A43" w:rsidP="00C52A43">
            <w:pPr>
              <w:pStyle w:val="TableDescription"/>
              <w:rPr>
                <w:lang w:bidi="en-US"/>
              </w:rPr>
            </w:pPr>
            <w:r w:rsidRPr="00C52A43">
              <w:rPr>
                <w:lang w:bidi="en-US"/>
              </w:rPr>
              <w:t>-</w:t>
            </w:r>
          </w:p>
        </w:tc>
      </w:tr>
      <w:tr w:rsidR="00C52A43" w:rsidRPr="00C52A43" w14:paraId="57B497C2" w14:textId="77777777" w:rsidTr="00C52A43">
        <w:trPr>
          <w:trHeight w:val="20"/>
        </w:trPr>
        <w:tc>
          <w:tcPr>
            <w:tcW w:w="920" w:type="pct"/>
            <w:vAlign w:val="center"/>
          </w:tcPr>
          <w:p w14:paraId="1A6A95A0" w14:textId="77777777" w:rsidR="00C52A43" w:rsidRPr="00C52A43" w:rsidRDefault="00C52A43" w:rsidP="00C52A43">
            <w:pPr>
              <w:pStyle w:val="TableDescription"/>
              <w:rPr>
                <w:lang w:bidi="en-US"/>
              </w:rPr>
            </w:pPr>
            <w:r w:rsidRPr="00C52A43">
              <w:rPr>
                <w:lang w:bidi="en-US"/>
              </w:rPr>
              <w:t>1761</w:t>
            </w:r>
          </w:p>
        </w:tc>
        <w:tc>
          <w:tcPr>
            <w:tcW w:w="507" w:type="pct"/>
            <w:vAlign w:val="center"/>
          </w:tcPr>
          <w:p w14:paraId="05FACB4F" w14:textId="77777777" w:rsidR="00C52A43" w:rsidRPr="00C52A43" w:rsidRDefault="00C52A43" w:rsidP="00C52A43">
            <w:pPr>
              <w:pStyle w:val="TableDescription"/>
              <w:rPr>
                <w:b/>
                <w:bCs/>
                <w:lang w:bidi="en-US"/>
              </w:rPr>
            </w:pPr>
            <w:r w:rsidRPr="00C52A43">
              <w:rPr>
                <w:b/>
                <w:bCs/>
                <w:lang w:bidi="en-US"/>
              </w:rPr>
              <w:t>0.0057</w:t>
            </w:r>
          </w:p>
        </w:tc>
        <w:tc>
          <w:tcPr>
            <w:tcW w:w="825" w:type="pct"/>
            <w:vAlign w:val="center"/>
          </w:tcPr>
          <w:p w14:paraId="01564150" w14:textId="77777777" w:rsidR="00C52A43" w:rsidRPr="00C52A43" w:rsidRDefault="00C52A43" w:rsidP="00C52A43">
            <w:pPr>
              <w:pStyle w:val="TableDescription"/>
              <w:rPr>
                <w:lang w:bidi="en-US"/>
              </w:rPr>
            </w:pPr>
            <w:r w:rsidRPr="00C52A43">
              <w:rPr>
                <w:lang w:bidi="en-US"/>
              </w:rPr>
              <w:t>0.6360</w:t>
            </w:r>
          </w:p>
        </w:tc>
        <w:tc>
          <w:tcPr>
            <w:tcW w:w="796" w:type="pct"/>
            <w:vAlign w:val="center"/>
          </w:tcPr>
          <w:p w14:paraId="65144299" w14:textId="77777777" w:rsidR="00C52A43" w:rsidRPr="00C52A43" w:rsidRDefault="00C52A43" w:rsidP="00C52A43">
            <w:pPr>
              <w:pStyle w:val="TableDescription"/>
              <w:rPr>
                <w:lang w:bidi="en-US"/>
              </w:rPr>
            </w:pPr>
            <w:r w:rsidRPr="00C52A43">
              <w:rPr>
                <w:lang w:bidi="en-US"/>
              </w:rPr>
              <w:t>0.7259</w:t>
            </w:r>
          </w:p>
        </w:tc>
        <w:tc>
          <w:tcPr>
            <w:tcW w:w="484" w:type="pct"/>
          </w:tcPr>
          <w:p w14:paraId="554BCBB0" w14:textId="77777777" w:rsidR="00C52A43" w:rsidRPr="00C52A43" w:rsidRDefault="00C52A43" w:rsidP="00C52A43">
            <w:pPr>
              <w:pStyle w:val="TableDescription"/>
              <w:rPr>
                <w:lang w:bidi="en-US"/>
              </w:rPr>
            </w:pPr>
            <w:r w:rsidRPr="00C52A43">
              <w:rPr>
                <w:lang w:bidi="en-US"/>
              </w:rPr>
              <w:t>↑</w:t>
            </w:r>
          </w:p>
        </w:tc>
        <w:tc>
          <w:tcPr>
            <w:tcW w:w="681" w:type="pct"/>
          </w:tcPr>
          <w:p w14:paraId="57D1F7A7" w14:textId="77777777" w:rsidR="00C52A43" w:rsidRPr="00C52A43" w:rsidRDefault="00C52A43" w:rsidP="00C52A43">
            <w:pPr>
              <w:pStyle w:val="TableDescription"/>
              <w:rPr>
                <w:lang w:bidi="en-US"/>
              </w:rPr>
            </w:pPr>
            <w:r w:rsidRPr="00C52A43">
              <w:rPr>
                <w:lang w:bidi="en-US"/>
              </w:rPr>
              <w:t>-</w:t>
            </w:r>
          </w:p>
        </w:tc>
        <w:tc>
          <w:tcPr>
            <w:tcW w:w="788" w:type="pct"/>
          </w:tcPr>
          <w:p w14:paraId="2D169DE8" w14:textId="77777777" w:rsidR="00C52A43" w:rsidRPr="00C52A43" w:rsidRDefault="00C52A43" w:rsidP="00C52A43">
            <w:pPr>
              <w:pStyle w:val="TableDescription"/>
              <w:rPr>
                <w:lang w:bidi="en-US"/>
              </w:rPr>
            </w:pPr>
            <w:r w:rsidRPr="00C52A43">
              <w:rPr>
                <w:lang w:bidi="en-US"/>
              </w:rPr>
              <w:t>-</w:t>
            </w:r>
          </w:p>
        </w:tc>
      </w:tr>
      <w:tr w:rsidR="00C52A43" w:rsidRPr="00C52A43" w14:paraId="4A536C42" w14:textId="77777777" w:rsidTr="00C52A43">
        <w:trPr>
          <w:trHeight w:val="20"/>
        </w:trPr>
        <w:tc>
          <w:tcPr>
            <w:tcW w:w="920" w:type="pct"/>
            <w:vAlign w:val="center"/>
          </w:tcPr>
          <w:p w14:paraId="462EDC72" w14:textId="77777777" w:rsidR="00C52A43" w:rsidRPr="00C52A43" w:rsidRDefault="00C52A43" w:rsidP="00C52A43">
            <w:pPr>
              <w:pStyle w:val="TableDescription"/>
              <w:rPr>
                <w:lang w:bidi="en-US"/>
              </w:rPr>
            </w:pPr>
            <w:r w:rsidRPr="00C52A43">
              <w:rPr>
                <w:lang w:bidi="en-US"/>
              </w:rPr>
              <w:t>3330</w:t>
            </w:r>
          </w:p>
        </w:tc>
        <w:tc>
          <w:tcPr>
            <w:tcW w:w="507" w:type="pct"/>
            <w:vAlign w:val="center"/>
          </w:tcPr>
          <w:p w14:paraId="0ECBDBA2" w14:textId="77777777" w:rsidR="00C52A43" w:rsidRPr="00C52A43" w:rsidRDefault="00C52A43" w:rsidP="00C52A43">
            <w:pPr>
              <w:pStyle w:val="TableDescription"/>
              <w:rPr>
                <w:lang w:bidi="en-US"/>
              </w:rPr>
            </w:pPr>
            <w:r w:rsidRPr="00C52A43">
              <w:rPr>
                <w:lang w:bidi="en-US"/>
              </w:rPr>
              <w:t>0.4062</w:t>
            </w:r>
          </w:p>
        </w:tc>
        <w:tc>
          <w:tcPr>
            <w:tcW w:w="825" w:type="pct"/>
            <w:vAlign w:val="center"/>
          </w:tcPr>
          <w:p w14:paraId="3DB57DA4" w14:textId="77777777" w:rsidR="00C52A43" w:rsidRPr="00C52A43" w:rsidRDefault="00C52A43" w:rsidP="00C52A43">
            <w:pPr>
              <w:pStyle w:val="TableDescription"/>
              <w:rPr>
                <w:lang w:bidi="en-US"/>
              </w:rPr>
            </w:pPr>
            <w:r w:rsidRPr="00C52A43">
              <w:rPr>
                <w:lang w:bidi="en-US"/>
              </w:rPr>
              <w:t>0.5064</w:t>
            </w:r>
          </w:p>
        </w:tc>
        <w:tc>
          <w:tcPr>
            <w:tcW w:w="796" w:type="pct"/>
            <w:vAlign w:val="center"/>
          </w:tcPr>
          <w:p w14:paraId="76A1C15C" w14:textId="77777777" w:rsidR="00C52A43" w:rsidRPr="00C52A43" w:rsidRDefault="00C52A43" w:rsidP="00C52A43">
            <w:pPr>
              <w:pStyle w:val="TableDescription"/>
              <w:rPr>
                <w:lang w:bidi="en-US"/>
              </w:rPr>
            </w:pPr>
            <w:r w:rsidRPr="00C52A43">
              <w:rPr>
                <w:lang w:bidi="en-US"/>
              </w:rPr>
              <w:t>0.2623</w:t>
            </w:r>
          </w:p>
        </w:tc>
        <w:tc>
          <w:tcPr>
            <w:tcW w:w="484" w:type="pct"/>
          </w:tcPr>
          <w:p w14:paraId="3683DCE2" w14:textId="77777777" w:rsidR="00C52A43" w:rsidRPr="00C52A43" w:rsidRDefault="00C52A43" w:rsidP="00C52A43">
            <w:pPr>
              <w:pStyle w:val="TableDescription"/>
              <w:rPr>
                <w:lang w:bidi="en-US"/>
              </w:rPr>
            </w:pPr>
            <w:r w:rsidRPr="00C52A43">
              <w:rPr>
                <w:lang w:bidi="en-US"/>
              </w:rPr>
              <w:t>-</w:t>
            </w:r>
          </w:p>
        </w:tc>
        <w:tc>
          <w:tcPr>
            <w:tcW w:w="681" w:type="pct"/>
          </w:tcPr>
          <w:p w14:paraId="7BBDAAAE" w14:textId="77777777" w:rsidR="00C52A43" w:rsidRPr="00C52A43" w:rsidRDefault="00C52A43" w:rsidP="00C52A43">
            <w:pPr>
              <w:pStyle w:val="TableDescription"/>
              <w:rPr>
                <w:lang w:bidi="en-US"/>
              </w:rPr>
            </w:pPr>
            <w:r w:rsidRPr="00C52A43">
              <w:rPr>
                <w:lang w:bidi="en-US"/>
              </w:rPr>
              <w:t>-</w:t>
            </w:r>
          </w:p>
        </w:tc>
        <w:tc>
          <w:tcPr>
            <w:tcW w:w="788" w:type="pct"/>
          </w:tcPr>
          <w:p w14:paraId="3649DA96" w14:textId="77777777" w:rsidR="00C52A43" w:rsidRPr="00C52A43" w:rsidRDefault="00C52A43" w:rsidP="00C52A43">
            <w:pPr>
              <w:pStyle w:val="TableDescription"/>
              <w:rPr>
                <w:lang w:bidi="en-US"/>
              </w:rPr>
            </w:pPr>
            <w:r w:rsidRPr="00C52A43">
              <w:rPr>
                <w:lang w:bidi="en-US"/>
              </w:rPr>
              <w:t>-</w:t>
            </w:r>
          </w:p>
        </w:tc>
      </w:tr>
      <w:tr w:rsidR="00C52A43" w:rsidRPr="00C52A43" w14:paraId="4E94D925" w14:textId="77777777" w:rsidTr="00C52A43">
        <w:trPr>
          <w:trHeight w:val="20"/>
        </w:trPr>
        <w:tc>
          <w:tcPr>
            <w:tcW w:w="920" w:type="pct"/>
            <w:tcBorders>
              <w:bottom w:val="single" w:sz="4" w:space="0" w:color="auto"/>
            </w:tcBorders>
            <w:vAlign w:val="center"/>
          </w:tcPr>
          <w:p w14:paraId="7D6CE98D" w14:textId="77777777" w:rsidR="00C52A43" w:rsidRPr="00C52A43" w:rsidRDefault="00C52A43" w:rsidP="00C52A43">
            <w:pPr>
              <w:pStyle w:val="TableDescription"/>
              <w:rPr>
                <w:lang w:bidi="en-US"/>
              </w:rPr>
            </w:pPr>
            <w:r w:rsidRPr="00C52A43">
              <w:rPr>
                <w:lang w:bidi="en-US"/>
              </w:rPr>
              <w:t>Carbonyl Index</w:t>
            </w:r>
          </w:p>
        </w:tc>
        <w:tc>
          <w:tcPr>
            <w:tcW w:w="507" w:type="pct"/>
            <w:tcBorders>
              <w:bottom w:val="single" w:sz="4" w:space="0" w:color="auto"/>
            </w:tcBorders>
            <w:vAlign w:val="center"/>
          </w:tcPr>
          <w:p w14:paraId="5648D4A9" w14:textId="77777777" w:rsidR="00C52A43" w:rsidRPr="00C52A43" w:rsidRDefault="00C52A43" w:rsidP="00C52A43">
            <w:pPr>
              <w:pStyle w:val="TableDescription"/>
              <w:rPr>
                <w:b/>
                <w:bCs/>
                <w:lang w:bidi="en-US"/>
              </w:rPr>
            </w:pPr>
            <w:r w:rsidRPr="00C52A43">
              <w:rPr>
                <w:b/>
                <w:bCs/>
                <w:lang w:bidi="en-US"/>
              </w:rPr>
              <w:t>0.0481</w:t>
            </w:r>
          </w:p>
        </w:tc>
        <w:tc>
          <w:tcPr>
            <w:tcW w:w="825" w:type="pct"/>
            <w:tcBorders>
              <w:bottom w:val="single" w:sz="4" w:space="0" w:color="auto"/>
            </w:tcBorders>
            <w:vAlign w:val="center"/>
          </w:tcPr>
          <w:p w14:paraId="43133CC6" w14:textId="77777777" w:rsidR="00C52A43" w:rsidRPr="00C52A43" w:rsidRDefault="00C52A43" w:rsidP="00C52A43">
            <w:pPr>
              <w:pStyle w:val="TableDescription"/>
              <w:rPr>
                <w:lang w:bidi="en-US"/>
              </w:rPr>
            </w:pPr>
            <w:r w:rsidRPr="00C52A43">
              <w:rPr>
                <w:lang w:bidi="en-US"/>
              </w:rPr>
              <w:t>0.9432</w:t>
            </w:r>
          </w:p>
        </w:tc>
        <w:tc>
          <w:tcPr>
            <w:tcW w:w="796" w:type="pct"/>
            <w:tcBorders>
              <w:bottom w:val="single" w:sz="4" w:space="0" w:color="auto"/>
            </w:tcBorders>
            <w:vAlign w:val="center"/>
          </w:tcPr>
          <w:p w14:paraId="540F488D" w14:textId="77777777" w:rsidR="00C52A43" w:rsidRPr="00C52A43" w:rsidRDefault="00C52A43" w:rsidP="00C52A43">
            <w:pPr>
              <w:pStyle w:val="TableDescription"/>
              <w:rPr>
                <w:lang w:bidi="en-US"/>
              </w:rPr>
            </w:pPr>
            <w:r w:rsidRPr="00C52A43">
              <w:rPr>
                <w:lang w:bidi="en-US"/>
              </w:rPr>
              <w:t>0.9975</w:t>
            </w:r>
          </w:p>
        </w:tc>
        <w:tc>
          <w:tcPr>
            <w:tcW w:w="484" w:type="pct"/>
            <w:tcBorders>
              <w:bottom w:val="single" w:sz="4" w:space="0" w:color="auto"/>
            </w:tcBorders>
          </w:tcPr>
          <w:p w14:paraId="695F3425" w14:textId="77777777" w:rsidR="00C52A43" w:rsidRPr="00C52A43" w:rsidRDefault="00C52A43" w:rsidP="00C52A43">
            <w:pPr>
              <w:pStyle w:val="TableDescription"/>
              <w:rPr>
                <w:lang w:bidi="en-US"/>
              </w:rPr>
            </w:pPr>
            <w:r w:rsidRPr="00C52A43">
              <w:rPr>
                <w:lang w:bidi="en-US"/>
              </w:rPr>
              <w:t>↑</w:t>
            </w:r>
          </w:p>
        </w:tc>
        <w:tc>
          <w:tcPr>
            <w:tcW w:w="681" w:type="pct"/>
            <w:tcBorders>
              <w:bottom w:val="single" w:sz="4" w:space="0" w:color="auto"/>
            </w:tcBorders>
          </w:tcPr>
          <w:p w14:paraId="04605101" w14:textId="77777777" w:rsidR="00C52A43" w:rsidRPr="00C52A43" w:rsidRDefault="00C52A43" w:rsidP="00C52A43">
            <w:pPr>
              <w:pStyle w:val="TableDescription"/>
              <w:rPr>
                <w:lang w:bidi="en-US"/>
              </w:rPr>
            </w:pPr>
            <w:r w:rsidRPr="00C52A43">
              <w:rPr>
                <w:lang w:bidi="en-US"/>
              </w:rPr>
              <w:t>-</w:t>
            </w:r>
          </w:p>
        </w:tc>
        <w:tc>
          <w:tcPr>
            <w:tcW w:w="788" w:type="pct"/>
            <w:tcBorders>
              <w:bottom w:val="single" w:sz="4" w:space="0" w:color="auto"/>
            </w:tcBorders>
          </w:tcPr>
          <w:p w14:paraId="7E103381" w14:textId="77777777" w:rsidR="00C52A43" w:rsidRPr="00C52A43" w:rsidRDefault="00C52A43" w:rsidP="00C52A43">
            <w:pPr>
              <w:pStyle w:val="TableDescription"/>
              <w:rPr>
                <w:lang w:bidi="en-US"/>
              </w:rPr>
            </w:pPr>
            <w:r w:rsidRPr="00C52A43">
              <w:rPr>
                <w:lang w:bidi="en-US"/>
              </w:rPr>
              <w:t>-</w:t>
            </w:r>
          </w:p>
        </w:tc>
      </w:tr>
    </w:tbl>
    <w:p w14:paraId="562B6D51" w14:textId="77777777" w:rsidR="00C52A43" w:rsidRDefault="00C52A43">
      <w:pPr>
        <w:spacing w:after="160" w:line="259" w:lineRule="auto"/>
        <w:ind w:firstLine="0"/>
        <w:jc w:val="left"/>
        <w:rPr>
          <w:lang w:bidi="en-US"/>
        </w:rPr>
      </w:pPr>
      <w:r>
        <w:rPr>
          <w:lang w:bidi="en-US"/>
        </w:rPr>
        <w:br w:type="page"/>
      </w:r>
    </w:p>
    <w:p w14:paraId="0D3A3294" w14:textId="52BA751B" w:rsidR="007016BF" w:rsidRPr="007016BF" w:rsidRDefault="007016BF" w:rsidP="007016BF">
      <w:pPr>
        <w:rPr>
          <w:lang w:bidi="en-US"/>
        </w:rPr>
      </w:pPr>
      <w:r w:rsidRPr="007016BF">
        <w:rPr>
          <w:lang w:bidi="en-US"/>
        </w:rPr>
        <w:lastRenderedPageBreak/>
        <w:t>Overall, injection molding temperature was the only processing parameter that had a statistically significant impact on the chemical composition of the samples. Increasing injection molding temperature led to increases in all FTIR peaks associated with degradation, as well as a pronounced rise in the carbonyl index. The peak at 1761 cm</w:t>
      </w:r>
      <w:r w:rsidRPr="007016BF">
        <w:rPr>
          <w:vertAlign w:val="superscript"/>
          <w:lang w:bidi="en-US"/>
        </w:rPr>
        <w:t>-1</w:t>
      </w:r>
      <w:r w:rsidRPr="007016BF">
        <w:rPr>
          <w:lang w:bidi="en-US"/>
        </w:rPr>
        <w:t xml:space="preserve"> is associated with the formation of carbonyl groups during oxidative degradation of both polypropylene and paper fibers </w:t>
      </w:r>
      <w:r w:rsidRPr="007016BF">
        <w:rPr>
          <w:i/>
          <w:lang w:bidi="en-US"/>
        </w:rPr>
        <w:fldChar w:fldCharType="begin"/>
      </w:r>
      <w:r w:rsidRPr="007016BF">
        <w:rPr>
          <w:lang w:bidi="en-US"/>
        </w:rPr>
        <w:instrText xml:space="preserve"> ADDIN ZOTERO_ITEM CSL_CITATION {"citationID":"lNERBKlf","properties":{"formattedCitation":"[104,105]","plainCitation":"[104,105]","noteIndex":0},"citationItems":[{"id":1798,"uris":["http://zotero.org/users/3415649/items/SDKU47FV"],"itemData":{"id":1798,"type":"article-journal","container-title":"Polymer Bulletin","DOI":"10.1007/s00289-011-0560-6","ISSN":"0170-0839, 1436-2449","issue":"8","journalAbbreviation":"Polym. Bull.","language":"en","license":"http://www.springer.com/tdm","page":"1661-1670","source":"DOI.org (Crossref)","title":"Thermal degradation behavior of polypropylene in the melt state: molecular weight distribution changes and chain scission mechanism","title-short":"Thermal degradation behavior of polypropylene in the melt state","volume":"67","author":[{"family":"Qian","given":"Shengying"},{"family":"Igarashi","given":"Toshiro"},{"family":"Nitta","given":"Koh-hei"}],"issued":{"date-parts":[["2011",11]]}}},{"id":1799,"uris":["http://zotero.org/users/3415649/items/KZ57YR2L"],"itemData":{"id":1799,"type":"article-journal","container-title":"Polymer Degradation and Stability","DOI":"10.1016/j.polymdegradstab.2004.12.012","ISSN":"01413910","issue":"3","journalAbbreviation":"Polymer Degradation and Stability","language":"en","license":"https://www.elsevier.com/tdm/userlicense/1.0/","page":"512-520","source":"DOI.org (Crossref)","title":"Cellulose oxidative and hydrolytic degradation: In situ FTIR approach","title-short":"Cellulose oxidative and hydrolytic degradation","volume":"88","author":[{"family":"Łojewska","given":"J."},{"family":"Miśkowiec","given":"P."},{"family":"Łojewski","given":"T."},{"family":"Proniewicz","given":"L.M."}],"issued":{"date-parts":[["2005",6]]}}}],"schema":"https://github.com/citation-style-language/schema/raw/master/csl-citation.json"} </w:instrText>
      </w:r>
      <w:r w:rsidRPr="007016BF">
        <w:rPr>
          <w:i/>
          <w:lang w:bidi="en-US"/>
        </w:rPr>
        <w:fldChar w:fldCharType="separate"/>
      </w:r>
      <w:r w:rsidRPr="007016BF">
        <w:t>[104,105]</w:t>
      </w:r>
      <w:r w:rsidRPr="007016BF">
        <w:fldChar w:fldCharType="end"/>
      </w:r>
      <w:r w:rsidRPr="007016BF">
        <w:rPr>
          <w:lang w:bidi="en-US"/>
        </w:rPr>
        <w:t>. The 1656 cm</w:t>
      </w:r>
      <w:r w:rsidRPr="007016BF">
        <w:rPr>
          <w:vertAlign w:val="superscript"/>
          <w:lang w:bidi="en-US"/>
        </w:rPr>
        <w:t>-1</w:t>
      </w:r>
      <w:r w:rsidRPr="007016BF">
        <w:rPr>
          <w:lang w:bidi="en-US"/>
        </w:rPr>
        <w:t xml:space="preserve"> peak is associated with the formation of enolic or conjugated ketone groups during cellulose oxidative and hydrothermal degradation </w:t>
      </w:r>
      <w:r w:rsidRPr="007016BF">
        <w:rPr>
          <w:i/>
          <w:lang w:bidi="en-US"/>
        </w:rPr>
        <w:fldChar w:fldCharType="begin"/>
      </w:r>
      <w:r w:rsidRPr="007016BF">
        <w:rPr>
          <w:lang w:bidi="en-US"/>
        </w:rPr>
        <w:instrText xml:space="preserve"> ADDIN ZOTERO_ITEM CSL_CITATION {"citationID":"NzA25V0j","properties":{"formattedCitation":"[106]","plainCitation":"[106]","noteIndex":0},"citationItems":[{"id":1800,"uris":["http://zotero.org/users/3415649/items/ZKB46MUJ"],"itemData":{"id":1800,"type":"article-journal","container-title":"Applied Physics A","DOI":"10.1007/s00339-007-4220-5","ISSN":"0947-8396, 1432-0630","issue":"4","journalAbbreviation":"Appl. Phys. A","language":"en","license":"http://www.springer.com/tdm","page":"883-887","source":"DOI.org (Crossref)","title":"Carbonyl groups development on degraded cellulose. Correlation between spectroscopic and chemical results","volume":"89","author":[{"family":"Łojewska","given":"J."},{"family":"Missori","given":"M."},{"family":"Lubańska","given":"A."},{"family":"Grimaldi","given":"P."},{"family":"Ziȩba","given":"K."},{"family":"Proniewicz","given":"L.M."},{"family":"Congiu Castellano","given":"A."}],"issued":{"date-parts":[["2007",10,17]]}}}],"schema":"https://github.com/citation-style-language/schema/raw/master/csl-citation.json"} </w:instrText>
      </w:r>
      <w:r w:rsidRPr="007016BF">
        <w:rPr>
          <w:i/>
          <w:lang w:bidi="en-US"/>
        </w:rPr>
        <w:fldChar w:fldCharType="separate"/>
      </w:r>
      <w:r w:rsidRPr="007016BF">
        <w:t>[106]</w:t>
      </w:r>
      <w:r w:rsidRPr="007016BF">
        <w:fldChar w:fldCharType="end"/>
      </w:r>
      <w:r w:rsidRPr="007016BF">
        <w:rPr>
          <w:lang w:bidi="en-US"/>
        </w:rPr>
        <w:t>. The peaks at 1465 and 1375 cm</w:t>
      </w:r>
      <w:r w:rsidRPr="007016BF">
        <w:rPr>
          <w:vertAlign w:val="superscript"/>
          <w:lang w:bidi="en-US"/>
        </w:rPr>
        <w:t xml:space="preserve">-1 </w:t>
      </w:r>
      <w:r w:rsidRPr="007016BF">
        <w:rPr>
          <w:lang w:bidi="en-US"/>
        </w:rPr>
        <w:t>are associated with CH</w:t>
      </w:r>
      <w:r w:rsidRPr="007016BF">
        <w:rPr>
          <w:vertAlign w:val="subscript"/>
          <w:lang w:bidi="en-US"/>
        </w:rPr>
        <w:t>2</w:t>
      </w:r>
      <w:r w:rsidRPr="007016BF">
        <w:rPr>
          <w:lang w:bidi="en-US"/>
        </w:rPr>
        <w:t xml:space="preserve"> scissoring and C-H bending in cellulose and are strongly correlated with cellulose crystallinity </w:t>
      </w:r>
      <w:r w:rsidRPr="007016BF">
        <w:rPr>
          <w:i/>
          <w:lang w:bidi="en-US"/>
        </w:rPr>
        <w:fldChar w:fldCharType="begin"/>
      </w:r>
      <w:r w:rsidRPr="007016BF">
        <w:rPr>
          <w:lang w:bidi="en-US"/>
        </w:rPr>
        <w:instrText xml:space="preserve"> ADDIN ZOTERO_ITEM CSL_CITATION {"citationID":"azoFjGIo","properties":{"formattedCitation":"[107]","plainCitation":"[107]","noteIndex":0},"citationItems":[{"id":1801,"uris":["http://zotero.org/users/3415649/items/KJMIGHYB"],"itemData":{"id":1801,"type":"article-journal","abstract":"The hemicellulose composition of a pulp significantly affects its chemical and physical properties and thus represents an important process control variable. However, complicated steps of sample preparation make standard methods for the carbohydrate analysis of pulp samples, such as high performance liquid chromatography (HPLC), expensive and time-consuming. In contrast, pulp analysis by attenuated total internal reflection Fourier transform infrared spectroscopy (ATR FT-IR) requires little sample preparation. Here we show that ATR FT-IR with discrete wavelet transform (DWT) and standard normal variate (SNV) spectral preprocessing offers a convenient means for the qualitative and quantitative analysis of hemicelluloses in bleached kraft pulp and alkaline treated kraft pulp. The pulp samples investigated include bleached softwood kraft pulps, bleached hardwood kraft pulps, and their mixtures, as obtained from Canadian industry mills or blended in a lab, and bleached kraft pulp samples treated with 0–6% NaOH solutions. In the principal component analysis (PCA) of these spectra, we find the potential both to differentiate all pulps on the basis of hemicellulose compositions and to distinguish bleached hardwood pulps by species. Partial least squares (PLS) multivariate analysis gives a 0.442 wt% root mean square errors of prediction (RMSEP) for the prediction of xylan content and 0.233 wt% RMSEP for the prediction of mannan content. These data all support the idea that ATR FT-IR has a great potential to rapidly and accurately predict the content of xylan and mannan for bleached kraft pulps (softwood, hardwood, and their mixtures) in industry. However, the prediction of xylan and mannan concentrations presented a difficulty for pulp samples with modified cellulose crystalline structure.","container-title":"Applied Spectroscopy","DOI":"10.1177/0003702816675363","ISSN":"0003-7028, 1943-3530","issue":"12","journalAbbreviation":"Appl Spectrosc","language":"en","page":"1981-1993","source":"DOI.org (Crossref)","title":"Multivariate Analysis of Hemicelluloses in Bleached Kraft Pulp Using Infrared Spectroscopy","volume":"70","author":[{"family":"Chen","given":"Zhiwen"},{"family":"Hu","given":"Thomas Q."},{"family":"Jang","given":"Ho Fan"},{"family":"Grant","given":"Edward"}],"issued":{"date-parts":[["2016",12]]}}}],"schema":"https://github.com/citation-style-language/schema/raw/master/csl-citation.json"} </w:instrText>
      </w:r>
      <w:r w:rsidRPr="007016BF">
        <w:rPr>
          <w:i/>
          <w:lang w:bidi="en-US"/>
        </w:rPr>
        <w:fldChar w:fldCharType="separate"/>
      </w:r>
      <w:r w:rsidRPr="007016BF">
        <w:t>[107]</w:t>
      </w:r>
      <w:r w:rsidRPr="007016BF">
        <w:fldChar w:fldCharType="end"/>
      </w:r>
      <w:r w:rsidRPr="007016BF">
        <w:rPr>
          <w:lang w:bidi="en-US"/>
        </w:rPr>
        <w:t>. When the paper fibers are exposed to a thermo-oxidative environment, the amorphous regions of the cellulose will degrade at lower temperatures, leaving behind a larger portion of the crystalline cellulose, thus resulting in increases in the 1465 and 1375 cm</w:t>
      </w:r>
      <w:r w:rsidRPr="007016BF">
        <w:rPr>
          <w:vertAlign w:val="superscript"/>
          <w:lang w:bidi="en-US"/>
        </w:rPr>
        <w:t>-1</w:t>
      </w:r>
      <w:r w:rsidRPr="007016BF">
        <w:rPr>
          <w:lang w:bidi="en-US"/>
        </w:rPr>
        <w:t xml:space="preserve"> peaks. Similar effects have been seen in wood degradation, although they were outsized in comparison to this study, as wood has a much higher lignin and hemi-cellulose content than the paper fibers used in this study </w:t>
      </w:r>
      <w:r w:rsidRPr="007016BF">
        <w:rPr>
          <w:i/>
          <w:lang w:bidi="en-US"/>
        </w:rPr>
        <w:fldChar w:fldCharType="begin"/>
      </w:r>
      <w:r w:rsidRPr="007016BF">
        <w:rPr>
          <w:lang w:bidi="en-US"/>
        </w:rPr>
        <w:instrText xml:space="preserve"> ADDIN ZOTERO_ITEM CSL_CITATION {"citationID":"1vwZvntL","properties":{"formattedCitation":"[108]","plainCitation":"[108]","noteIndex":0},"citationItems":[{"id":1802,"uris":["http://zotero.org/users/3415649/items/J2A7ED9Y"],"itemData":{"id":1802,"type":"article-journal","abstract":"The degree of crystallinity of cellulose was used for assessing the degradation level of coated and uncoated samples of pine wood after weathering. X-ray diffraction (XRD) and Fourier Transform Infrared (FT-IR) spectroscopy measured the changes in the surface crystallinity of cellulose resulting from weathering, both natural and artificial. Both techniques revealed an increase in the crystallinity index (CI) of cellulose when wood was subjected to weathering. An increase in the size of crystallites was also observed by XRD measurements. These results were related to the reduction of the amorphous fractions of wood, and, consequently, to the enrichment of the relative crystalline content. Thanks to FT-IR analysis, the degradation of hemicellulose was observed for uncoated samples after exposure to artificial weathering. The effect of weathering was less evident on coated samples because of the protective action of the coating. A good correlation between the crystallinity indexes obtained from FT-IR and XRD was found. The experimental results proved that the proposed method may be a very useful tool for a rapid and accurate estimation of the degradation level of wood exposed to weathering. This methodology can find application in the field of conservation and restoration of wooden objects or in the industry of wood coatings.","container-title":"Materials","DOI":"10.3390/ma5101910","ISSN":"1996-1944","issue":"10","journalAbbreviation":"Materials","language":"en","license":"https://creativecommons.org/licenses/by/3.0/","page":"1910-1922","source":"DOI.org (Crossref)","title":"Monitoring Wood Degradation during Weathering by Cellulose Crystallinity","volume":"5","author":[{"family":"Lionetto","given":"Francesca"},{"family":"Del Sole","given":"Roberta"},{"family":"Cannoletta","given":"Donato"},{"family":"Vasapollo","given":"Giuseppe"},{"family":"Maffezzoli","given":"Alfonso"}],"issued":{"date-parts":[["2012",10,19]]}}}],"schema":"https://github.com/citation-style-language/schema/raw/master/csl-citation.json"} </w:instrText>
      </w:r>
      <w:r w:rsidRPr="007016BF">
        <w:rPr>
          <w:i/>
          <w:lang w:bidi="en-US"/>
        </w:rPr>
        <w:fldChar w:fldCharType="separate"/>
      </w:r>
      <w:r w:rsidRPr="007016BF">
        <w:t>[108]</w:t>
      </w:r>
      <w:r w:rsidRPr="007016BF">
        <w:fldChar w:fldCharType="end"/>
      </w:r>
      <w:r w:rsidRPr="007016BF">
        <w:rPr>
          <w:lang w:bidi="en-US"/>
        </w:rPr>
        <w:t xml:space="preserve">. Overall, the FTIR results suggest that the material experiences a higher degree of oxidative degradation with increased temperature, as would be expected. Furthermore, the results seem to suggest that the oxidative degradation primarily affects the paper fibers rather than the polypropylene matrix.  </w:t>
      </w:r>
    </w:p>
    <w:p w14:paraId="6682DC10" w14:textId="48A51320" w:rsidR="007016BF" w:rsidRPr="007016BF" w:rsidRDefault="007016BF" w:rsidP="007016BF">
      <w:pPr>
        <w:pStyle w:val="Heading2"/>
        <w:rPr>
          <w:lang w:bidi="en-US"/>
        </w:rPr>
      </w:pPr>
      <w:bookmarkStart w:id="47" w:name="_Toc190951801"/>
      <w:r>
        <w:rPr>
          <w:lang w:bidi="en-US"/>
        </w:rPr>
        <w:t>3.2.4</w:t>
      </w:r>
      <w:r w:rsidRPr="007016BF">
        <w:t xml:space="preserve"> </w:t>
      </w:r>
      <w:r w:rsidRPr="00E97481">
        <w:t>Impact of Injection Molding Parameters on Composite Mechanical Behavior</w:t>
      </w:r>
      <w:bookmarkEnd w:id="47"/>
    </w:p>
    <w:p w14:paraId="3D9AC0E9" w14:textId="437A26F4" w:rsidR="007016BF" w:rsidRDefault="007016BF" w:rsidP="007016BF">
      <w:pPr>
        <w:rPr>
          <w:rFonts w:ascii="Arial" w:hAnsi="Arial" w:cs="Arial"/>
          <w:lang w:bidi="en-US"/>
        </w:rPr>
      </w:pPr>
      <w:r w:rsidRPr="007016BF">
        <w:rPr>
          <w:lang w:bidi="en-US"/>
        </w:rPr>
        <w:t xml:space="preserve">The mechanical behavior of the composites was studied using flexural and tensile analysis. For both methods, the modulus, strength, and strain at failure were recorded as these properties are critical for composite part performance in automotive applications. In particular, the moduli and strength are used as design criteria. The three measured properties are shown in </w:t>
      </w:r>
      <w:r w:rsidRPr="007016BF">
        <w:rPr>
          <w:b/>
          <w:bCs/>
          <w:lang w:bidi="en-US"/>
        </w:rPr>
        <w:t>Figure 3.</w:t>
      </w:r>
      <w:r w:rsidR="00184379">
        <w:rPr>
          <w:b/>
          <w:bCs/>
          <w:lang w:bidi="en-US"/>
        </w:rPr>
        <w:t>5</w:t>
      </w:r>
      <w:r w:rsidRPr="007016BF">
        <w:rPr>
          <w:lang w:bidi="en-US"/>
        </w:rPr>
        <w:t xml:space="preserve"> for both tensile and flexural testing. The same method of regression analysis as previously described was used to determine statistical significance of processing parameters. The p-values for this analysis are reported in </w:t>
      </w:r>
      <w:r w:rsidRPr="007016BF">
        <w:rPr>
          <w:b/>
          <w:bCs/>
          <w:lang w:bidi="en-US"/>
        </w:rPr>
        <w:t>Table 3.4.</w:t>
      </w:r>
      <w:r w:rsidRPr="007016BF">
        <w:rPr>
          <w:lang w:bidi="en-US"/>
        </w:rPr>
        <w:t xml:space="preserve"> One- way analysis of variance (ANOVA) was used to determine statistically different pairs via the Tukey-Kramer test, the results of which are included in </w:t>
      </w:r>
      <w:r w:rsidRPr="007016BF">
        <w:rPr>
          <w:b/>
          <w:bCs/>
          <w:lang w:bidi="en-US"/>
        </w:rPr>
        <w:t>Figure 3.</w:t>
      </w:r>
      <w:r w:rsidR="00184379">
        <w:rPr>
          <w:b/>
          <w:bCs/>
          <w:lang w:bidi="en-US"/>
        </w:rPr>
        <w:t>5</w:t>
      </w:r>
      <w:r w:rsidRPr="007016BF">
        <w:rPr>
          <w:lang w:bidi="en-US"/>
        </w:rPr>
        <w:t>.</w:t>
      </w:r>
      <w:r w:rsidRPr="007016BF">
        <w:rPr>
          <w:rFonts w:ascii="Arial" w:hAnsi="Arial" w:cs="Arial"/>
          <w:lang w:bidi="en-US"/>
        </w:rPr>
        <w:t xml:space="preserve"> </w:t>
      </w:r>
    </w:p>
    <w:p w14:paraId="70FF5257" w14:textId="0E8B90EF" w:rsidR="00184379" w:rsidRDefault="00184379" w:rsidP="00184379">
      <w:pPr>
        <w:pStyle w:val="FigureCaption"/>
        <w:rPr>
          <w:lang w:bidi="en-US"/>
        </w:rPr>
      </w:pPr>
      <w:r w:rsidRPr="00184379">
        <w:rPr>
          <w:b w:val="0"/>
          <w:bCs w:val="0"/>
          <w:lang w:bidi="en-US"/>
        </w:rPr>
        <w:lastRenderedPageBreak/>
        <w:drawing>
          <wp:anchor distT="0" distB="0" distL="114300" distR="114300" simplePos="0" relativeHeight="251675648" behindDoc="1" locked="0" layoutInCell="1" allowOverlap="1" wp14:anchorId="67862F46" wp14:editId="4BADAEF0">
            <wp:simplePos x="0" y="0"/>
            <wp:positionH relativeFrom="margin">
              <wp:align>center</wp:align>
            </wp:positionH>
            <wp:positionV relativeFrom="margin">
              <wp:align>top</wp:align>
            </wp:positionV>
            <wp:extent cx="5060112" cy="6849098"/>
            <wp:effectExtent l="0" t="0" r="7620" b="9525"/>
            <wp:wrapNone/>
            <wp:docPr id="394894427" name="Picture 9" descr="A group of colorful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94427" name="Picture 9" descr="A group of colorful bar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0112" cy="6849098"/>
                    </a:xfrm>
                    <a:prstGeom prst="rect">
                      <a:avLst/>
                    </a:prstGeom>
                    <a:noFill/>
                  </pic:spPr>
                </pic:pic>
              </a:graphicData>
            </a:graphic>
            <wp14:sizeRelH relativeFrom="page">
              <wp14:pctWidth>0</wp14:pctWidth>
            </wp14:sizeRelH>
            <wp14:sizeRelV relativeFrom="page">
              <wp14:pctHeight>0</wp14:pctHeight>
            </wp14:sizeRelV>
          </wp:anchor>
        </w:drawing>
      </w:r>
    </w:p>
    <w:p w14:paraId="367FC361" w14:textId="1E145EF5" w:rsidR="00184379" w:rsidRDefault="00184379" w:rsidP="00184379">
      <w:pPr>
        <w:pStyle w:val="FigureCaption"/>
        <w:rPr>
          <w:lang w:bidi="en-US"/>
        </w:rPr>
      </w:pPr>
    </w:p>
    <w:p w14:paraId="1D275805" w14:textId="70BA18A9" w:rsidR="00184379" w:rsidRDefault="00184379" w:rsidP="00184379">
      <w:pPr>
        <w:pStyle w:val="FigureCaption"/>
        <w:rPr>
          <w:lang w:bidi="en-US"/>
        </w:rPr>
      </w:pPr>
    </w:p>
    <w:p w14:paraId="08C5ECF2" w14:textId="77777777" w:rsidR="00184379" w:rsidRDefault="00184379" w:rsidP="00184379">
      <w:pPr>
        <w:pStyle w:val="FigureCaption"/>
        <w:rPr>
          <w:lang w:bidi="en-US"/>
        </w:rPr>
      </w:pPr>
    </w:p>
    <w:p w14:paraId="54DECFC5" w14:textId="77777777" w:rsidR="00184379" w:rsidRDefault="00184379" w:rsidP="00184379">
      <w:pPr>
        <w:pStyle w:val="FigureCaption"/>
        <w:rPr>
          <w:lang w:bidi="en-US"/>
        </w:rPr>
      </w:pPr>
    </w:p>
    <w:p w14:paraId="57A90294" w14:textId="77777777" w:rsidR="00184379" w:rsidRDefault="00184379" w:rsidP="00184379">
      <w:pPr>
        <w:pStyle w:val="FigureCaption"/>
        <w:rPr>
          <w:lang w:bidi="en-US"/>
        </w:rPr>
      </w:pPr>
    </w:p>
    <w:p w14:paraId="45BA75F4" w14:textId="77777777" w:rsidR="00184379" w:rsidRDefault="00184379" w:rsidP="00184379">
      <w:pPr>
        <w:pStyle w:val="FigureCaption"/>
        <w:rPr>
          <w:lang w:bidi="en-US"/>
        </w:rPr>
      </w:pPr>
    </w:p>
    <w:p w14:paraId="03A9E9F7" w14:textId="77777777" w:rsidR="00184379" w:rsidRDefault="00184379" w:rsidP="00184379">
      <w:pPr>
        <w:pStyle w:val="FigureCaption"/>
        <w:rPr>
          <w:lang w:bidi="en-US"/>
        </w:rPr>
      </w:pPr>
    </w:p>
    <w:p w14:paraId="04903C61" w14:textId="77777777" w:rsidR="00184379" w:rsidRDefault="00184379" w:rsidP="00184379">
      <w:pPr>
        <w:pStyle w:val="FigureCaption"/>
        <w:rPr>
          <w:lang w:bidi="en-US"/>
        </w:rPr>
      </w:pPr>
    </w:p>
    <w:p w14:paraId="556BDB8C" w14:textId="77777777" w:rsidR="00184379" w:rsidRDefault="00184379" w:rsidP="00184379">
      <w:pPr>
        <w:pStyle w:val="FigureCaption"/>
        <w:rPr>
          <w:lang w:bidi="en-US"/>
        </w:rPr>
      </w:pPr>
    </w:p>
    <w:p w14:paraId="14500FCE" w14:textId="77777777" w:rsidR="00184379" w:rsidRDefault="00184379" w:rsidP="00184379">
      <w:pPr>
        <w:pStyle w:val="FigureCaption"/>
        <w:rPr>
          <w:lang w:bidi="en-US"/>
        </w:rPr>
      </w:pPr>
    </w:p>
    <w:p w14:paraId="3122D8C1" w14:textId="77777777" w:rsidR="00184379" w:rsidRDefault="00184379" w:rsidP="00184379">
      <w:pPr>
        <w:pStyle w:val="FigureCaption"/>
        <w:rPr>
          <w:lang w:bidi="en-US"/>
        </w:rPr>
      </w:pPr>
    </w:p>
    <w:p w14:paraId="1DC3C11D" w14:textId="77777777" w:rsidR="00184379" w:rsidRDefault="00184379" w:rsidP="00184379">
      <w:pPr>
        <w:pStyle w:val="FigureCaption"/>
        <w:rPr>
          <w:lang w:bidi="en-US"/>
        </w:rPr>
      </w:pPr>
    </w:p>
    <w:p w14:paraId="5F18BD03" w14:textId="77777777" w:rsidR="00184379" w:rsidRDefault="00184379" w:rsidP="00184379">
      <w:pPr>
        <w:pStyle w:val="FigureCaption"/>
        <w:rPr>
          <w:lang w:bidi="en-US"/>
        </w:rPr>
      </w:pPr>
    </w:p>
    <w:p w14:paraId="5DF9C6D0" w14:textId="77777777" w:rsidR="00184379" w:rsidRDefault="00184379" w:rsidP="00184379">
      <w:pPr>
        <w:pStyle w:val="FigureCaption"/>
        <w:rPr>
          <w:lang w:bidi="en-US"/>
        </w:rPr>
      </w:pPr>
    </w:p>
    <w:p w14:paraId="72248E68" w14:textId="77777777" w:rsidR="00184379" w:rsidRDefault="00184379" w:rsidP="00184379">
      <w:pPr>
        <w:pStyle w:val="FigureCaption"/>
        <w:rPr>
          <w:lang w:bidi="en-US"/>
        </w:rPr>
      </w:pPr>
    </w:p>
    <w:p w14:paraId="40AF2F1F" w14:textId="77777777" w:rsidR="00184379" w:rsidRDefault="00184379" w:rsidP="00184379">
      <w:pPr>
        <w:pStyle w:val="FigureCaption"/>
        <w:rPr>
          <w:lang w:bidi="en-US"/>
        </w:rPr>
      </w:pPr>
    </w:p>
    <w:p w14:paraId="38CCC965" w14:textId="77777777" w:rsidR="00184379" w:rsidRDefault="00184379" w:rsidP="00184379">
      <w:pPr>
        <w:pStyle w:val="FigureCaption"/>
        <w:rPr>
          <w:lang w:bidi="en-US"/>
        </w:rPr>
      </w:pPr>
    </w:p>
    <w:p w14:paraId="5B195921" w14:textId="77777777" w:rsidR="00184379" w:rsidRDefault="00184379" w:rsidP="00184379">
      <w:pPr>
        <w:pStyle w:val="FigureCaption"/>
        <w:rPr>
          <w:lang w:bidi="en-US"/>
        </w:rPr>
      </w:pPr>
    </w:p>
    <w:p w14:paraId="3C4C9510" w14:textId="77777777" w:rsidR="00184379" w:rsidRPr="00184379" w:rsidRDefault="00184379" w:rsidP="00184379">
      <w:pPr>
        <w:pStyle w:val="FigureCaption"/>
        <w:rPr>
          <w:lang w:bidi="en-US"/>
        </w:rPr>
      </w:pPr>
    </w:p>
    <w:p w14:paraId="4087B434" w14:textId="77777777" w:rsidR="00184379" w:rsidRDefault="00184379" w:rsidP="00184379">
      <w:pPr>
        <w:pStyle w:val="FigureCaption"/>
        <w:rPr>
          <w:lang w:bidi="en-US"/>
        </w:rPr>
      </w:pPr>
    </w:p>
    <w:p w14:paraId="25DB9D5A" w14:textId="77777777" w:rsidR="00184379" w:rsidRDefault="00184379" w:rsidP="00184379">
      <w:pPr>
        <w:pStyle w:val="FigureCaption"/>
        <w:rPr>
          <w:lang w:bidi="en-US"/>
        </w:rPr>
      </w:pPr>
    </w:p>
    <w:p w14:paraId="5A0D709D" w14:textId="77777777" w:rsidR="00184379" w:rsidRDefault="00184379" w:rsidP="00184379">
      <w:pPr>
        <w:pStyle w:val="FigureCaption"/>
        <w:rPr>
          <w:lang w:bidi="en-US"/>
        </w:rPr>
      </w:pPr>
    </w:p>
    <w:p w14:paraId="12320164" w14:textId="77777777" w:rsidR="00184379" w:rsidRDefault="00184379" w:rsidP="00184379">
      <w:pPr>
        <w:pStyle w:val="FigureCaption"/>
        <w:rPr>
          <w:lang w:bidi="en-US"/>
        </w:rPr>
      </w:pPr>
    </w:p>
    <w:p w14:paraId="300231A3" w14:textId="77777777" w:rsidR="00184379" w:rsidRDefault="00184379" w:rsidP="00184379">
      <w:pPr>
        <w:pStyle w:val="FigureCaption"/>
        <w:rPr>
          <w:lang w:bidi="en-US"/>
        </w:rPr>
      </w:pPr>
    </w:p>
    <w:p w14:paraId="1AEE42EB" w14:textId="77777777" w:rsidR="00184379" w:rsidRDefault="00184379" w:rsidP="00184379">
      <w:pPr>
        <w:pStyle w:val="FigureCaption"/>
        <w:rPr>
          <w:lang w:bidi="en-US"/>
        </w:rPr>
      </w:pPr>
    </w:p>
    <w:p w14:paraId="57065E5C" w14:textId="4189EEBD" w:rsidR="00184379" w:rsidRPr="00184379" w:rsidRDefault="00184379" w:rsidP="00184379">
      <w:pPr>
        <w:pStyle w:val="FigureCaption"/>
        <w:rPr>
          <w:b w:val="0"/>
          <w:bCs w:val="0"/>
          <w:lang w:bidi="en-US"/>
        </w:rPr>
      </w:pPr>
      <w:r w:rsidRPr="00184379">
        <w:rPr>
          <w:lang w:bidi="en-US"/>
        </w:rPr>
        <w:t xml:space="preserve">Figure </w:t>
      </w:r>
      <w:r>
        <w:rPr>
          <w:lang w:bidi="en-US"/>
        </w:rPr>
        <w:t>3.</w:t>
      </w:r>
      <w:r w:rsidRPr="00184379">
        <w:rPr>
          <w:lang w:bidi="en-US"/>
        </w:rPr>
        <w:t xml:space="preserve">5 </w:t>
      </w:r>
      <w:r w:rsidRPr="00184379">
        <w:rPr>
          <w:b w:val="0"/>
          <w:bCs w:val="0"/>
          <w:lang w:bidi="en-US"/>
        </w:rPr>
        <w:t>Mechanical properties of injection molded specimens: (A) ultimate tensile strength, (B) flexural strength (B) Young’s modulus, (D) flexural modulus, (E) tensile strain at break and (F) flexural strain at maximum stress. Different letters (i.e., a,b,c,d, and e) designate statistically different data sets at p &lt; 0.05.</w:t>
      </w:r>
    </w:p>
    <w:p w14:paraId="6B428756" w14:textId="6D7F16E6" w:rsidR="00184379" w:rsidRDefault="00184379" w:rsidP="00184379">
      <w:pPr>
        <w:pStyle w:val="TableHeading"/>
        <w:rPr>
          <w:lang w:bidi="en-US"/>
        </w:rPr>
      </w:pPr>
      <w:r w:rsidRPr="00184379">
        <w:rPr>
          <w:lang w:bidi="en-US"/>
        </w:rPr>
        <w:lastRenderedPageBreak/>
        <w:t xml:space="preserve">Table 3.4 </w:t>
      </w:r>
      <w:r w:rsidRPr="00184379">
        <w:rPr>
          <w:b w:val="0"/>
          <w:bCs w:val="0"/>
          <w:lang w:bidi="en-US"/>
        </w:rPr>
        <w:t>P-values and correlation direction for the effects of temperature, injection rate, and their interaction on mechanical properties.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1858"/>
        <w:gridCol w:w="947"/>
        <w:gridCol w:w="998"/>
        <w:gridCol w:w="1089"/>
        <w:gridCol w:w="785"/>
        <w:gridCol w:w="998"/>
        <w:gridCol w:w="1015"/>
      </w:tblGrid>
      <w:tr w:rsidR="00184379" w:rsidRPr="00184379" w14:paraId="0CCCA425" w14:textId="77777777" w:rsidTr="00184379">
        <w:trPr>
          <w:trHeight w:val="288"/>
          <w:jc w:val="center"/>
        </w:trPr>
        <w:tc>
          <w:tcPr>
            <w:tcW w:w="529" w:type="pct"/>
            <w:tcBorders>
              <w:top w:val="single" w:sz="4" w:space="0" w:color="auto"/>
              <w:bottom w:val="single" w:sz="4" w:space="0" w:color="auto"/>
            </w:tcBorders>
            <w:vAlign w:val="center"/>
          </w:tcPr>
          <w:p w14:paraId="37D58F26" w14:textId="77777777" w:rsidR="00184379" w:rsidRPr="00184379" w:rsidRDefault="00184379" w:rsidP="00184379">
            <w:pPr>
              <w:pStyle w:val="TableDescription"/>
              <w:rPr>
                <w:sz w:val="22"/>
                <w:szCs w:val="22"/>
                <w:lang w:bidi="en-US"/>
              </w:rPr>
            </w:pPr>
          </w:p>
        </w:tc>
        <w:tc>
          <w:tcPr>
            <w:tcW w:w="1201" w:type="pct"/>
            <w:tcBorders>
              <w:top w:val="single" w:sz="4" w:space="0" w:color="auto"/>
              <w:bottom w:val="single" w:sz="4" w:space="0" w:color="auto"/>
            </w:tcBorders>
            <w:vAlign w:val="center"/>
          </w:tcPr>
          <w:p w14:paraId="16E18743" w14:textId="77777777" w:rsidR="00184379" w:rsidRPr="00184379" w:rsidRDefault="00184379" w:rsidP="00184379">
            <w:pPr>
              <w:pStyle w:val="TableDescription"/>
              <w:rPr>
                <w:sz w:val="22"/>
                <w:szCs w:val="22"/>
                <w:lang w:bidi="en-US"/>
              </w:rPr>
            </w:pPr>
          </w:p>
        </w:tc>
        <w:tc>
          <w:tcPr>
            <w:tcW w:w="1674" w:type="pct"/>
            <w:gridSpan w:val="3"/>
            <w:tcBorders>
              <w:top w:val="single" w:sz="4" w:space="0" w:color="auto"/>
              <w:bottom w:val="single" w:sz="4" w:space="0" w:color="auto"/>
            </w:tcBorders>
            <w:vAlign w:val="center"/>
          </w:tcPr>
          <w:p w14:paraId="650EE2BD" w14:textId="77777777" w:rsidR="00184379" w:rsidRPr="00184379" w:rsidRDefault="00184379" w:rsidP="00184379">
            <w:pPr>
              <w:pStyle w:val="TableDescription"/>
              <w:rPr>
                <w:b/>
                <w:bCs/>
                <w:sz w:val="22"/>
                <w:szCs w:val="22"/>
                <w:lang w:bidi="en-US"/>
              </w:rPr>
            </w:pPr>
            <w:r w:rsidRPr="00184379">
              <w:rPr>
                <w:b/>
                <w:bCs/>
                <w:sz w:val="22"/>
                <w:szCs w:val="22"/>
                <w:lang w:bidi="en-US"/>
              </w:rPr>
              <w:t>P-Values</w:t>
            </w:r>
          </w:p>
        </w:tc>
        <w:tc>
          <w:tcPr>
            <w:tcW w:w="1596" w:type="pct"/>
            <w:gridSpan w:val="3"/>
            <w:tcBorders>
              <w:top w:val="single" w:sz="4" w:space="0" w:color="auto"/>
              <w:bottom w:val="single" w:sz="4" w:space="0" w:color="auto"/>
            </w:tcBorders>
            <w:vAlign w:val="center"/>
          </w:tcPr>
          <w:p w14:paraId="071D5EDB" w14:textId="77777777" w:rsidR="00184379" w:rsidRPr="00184379" w:rsidRDefault="00184379" w:rsidP="00184379">
            <w:pPr>
              <w:pStyle w:val="TableDescription"/>
              <w:rPr>
                <w:b/>
                <w:bCs/>
                <w:sz w:val="22"/>
                <w:szCs w:val="22"/>
                <w:lang w:bidi="en-US"/>
              </w:rPr>
            </w:pPr>
            <w:r w:rsidRPr="00184379">
              <w:rPr>
                <w:b/>
                <w:bCs/>
                <w:sz w:val="22"/>
                <w:szCs w:val="22"/>
                <w:lang w:bidi="en-US"/>
              </w:rPr>
              <w:t>Correlation Directions</w:t>
            </w:r>
          </w:p>
        </w:tc>
      </w:tr>
      <w:tr w:rsidR="00184379" w:rsidRPr="00184379" w14:paraId="31C0CB54" w14:textId="77777777" w:rsidTr="00184379">
        <w:trPr>
          <w:trHeight w:val="288"/>
          <w:jc w:val="center"/>
        </w:trPr>
        <w:tc>
          <w:tcPr>
            <w:tcW w:w="529" w:type="pct"/>
            <w:tcBorders>
              <w:top w:val="single" w:sz="4" w:space="0" w:color="auto"/>
              <w:bottom w:val="single" w:sz="4" w:space="0" w:color="auto"/>
            </w:tcBorders>
            <w:vAlign w:val="center"/>
          </w:tcPr>
          <w:p w14:paraId="21C1D5D7" w14:textId="77777777" w:rsidR="00184379" w:rsidRPr="00184379" w:rsidRDefault="00184379" w:rsidP="00184379">
            <w:pPr>
              <w:pStyle w:val="TableDescription"/>
              <w:rPr>
                <w:sz w:val="22"/>
                <w:szCs w:val="22"/>
                <w:lang w:bidi="en-US"/>
              </w:rPr>
            </w:pPr>
            <w:r w:rsidRPr="00184379">
              <w:rPr>
                <w:sz w:val="22"/>
                <w:szCs w:val="22"/>
                <w:lang w:bidi="en-US"/>
              </w:rPr>
              <w:t>Test Method</w:t>
            </w:r>
          </w:p>
        </w:tc>
        <w:tc>
          <w:tcPr>
            <w:tcW w:w="1201" w:type="pct"/>
            <w:tcBorders>
              <w:top w:val="single" w:sz="4" w:space="0" w:color="auto"/>
              <w:bottom w:val="single" w:sz="4" w:space="0" w:color="auto"/>
            </w:tcBorders>
            <w:vAlign w:val="center"/>
          </w:tcPr>
          <w:p w14:paraId="24356E00" w14:textId="77777777" w:rsidR="00184379" w:rsidRPr="00184379" w:rsidRDefault="00184379" w:rsidP="00184379">
            <w:pPr>
              <w:pStyle w:val="TableDescription"/>
              <w:rPr>
                <w:sz w:val="22"/>
                <w:szCs w:val="22"/>
                <w:lang w:bidi="en-US"/>
              </w:rPr>
            </w:pPr>
            <w:r w:rsidRPr="00184379">
              <w:rPr>
                <w:sz w:val="22"/>
                <w:szCs w:val="22"/>
                <w:lang w:bidi="en-US"/>
              </w:rPr>
              <w:t>Property</w:t>
            </w:r>
          </w:p>
        </w:tc>
        <w:tc>
          <w:tcPr>
            <w:tcW w:w="415" w:type="pct"/>
            <w:tcBorders>
              <w:top w:val="single" w:sz="4" w:space="0" w:color="auto"/>
              <w:bottom w:val="single" w:sz="4" w:space="0" w:color="auto"/>
            </w:tcBorders>
            <w:vAlign w:val="center"/>
          </w:tcPr>
          <w:p w14:paraId="30C9C81F" w14:textId="77777777" w:rsidR="00184379" w:rsidRPr="00184379" w:rsidRDefault="00184379" w:rsidP="00184379">
            <w:pPr>
              <w:pStyle w:val="TableDescription"/>
              <w:rPr>
                <w:sz w:val="22"/>
                <w:szCs w:val="22"/>
                <w:lang w:bidi="en-US"/>
              </w:rPr>
            </w:pPr>
            <w:r w:rsidRPr="00184379">
              <w:rPr>
                <w:sz w:val="22"/>
                <w:szCs w:val="22"/>
                <w:lang w:bidi="en-US"/>
              </w:rPr>
              <w:t>Temp.</w:t>
            </w:r>
          </w:p>
        </w:tc>
        <w:tc>
          <w:tcPr>
            <w:tcW w:w="503" w:type="pct"/>
            <w:tcBorders>
              <w:top w:val="single" w:sz="4" w:space="0" w:color="auto"/>
              <w:bottom w:val="single" w:sz="4" w:space="0" w:color="auto"/>
            </w:tcBorders>
            <w:vAlign w:val="center"/>
          </w:tcPr>
          <w:p w14:paraId="480F2A19" w14:textId="77777777" w:rsidR="00184379" w:rsidRPr="00184379" w:rsidRDefault="00184379" w:rsidP="00184379">
            <w:pPr>
              <w:pStyle w:val="TableDescription"/>
              <w:rPr>
                <w:sz w:val="22"/>
                <w:szCs w:val="22"/>
                <w:lang w:bidi="en-US"/>
              </w:rPr>
            </w:pPr>
            <w:r w:rsidRPr="00184379">
              <w:rPr>
                <w:sz w:val="22"/>
                <w:szCs w:val="22"/>
                <w:lang w:bidi="en-US"/>
              </w:rPr>
              <w:t>Injection Rate</w:t>
            </w:r>
          </w:p>
        </w:tc>
        <w:tc>
          <w:tcPr>
            <w:tcW w:w="755" w:type="pct"/>
            <w:tcBorders>
              <w:top w:val="single" w:sz="4" w:space="0" w:color="auto"/>
              <w:bottom w:val="single" w:sz="4" w:space="0" w:color="auto"/>
            </w:tcBorders>
            <w:vAlign w:val="center"/>
          </w:tcPr>
          <w:p w14:paraId="08CEDCF3" w14:textId="77777777" w:rsidR="00184379" w:rsidRPr="00184379" w:rsidRDefault="00184379" w:rsidP="00184379">
            <w:pPr>
              <w:pStyle w:val="TableDescription"/>
              <w:rPr>
                <w:sz w:val="22"/>
                <w:szCs w:val="22"/>
                <w:lang w:bidi="en-US"/>
              </w:rPr>
            </w:pPr>
            <w:r w:rsidRPr="00184379">
              <w:rPr>
                <w:sz w:val="22"/>
                <w:szCs w:val="22"/>
                <w:lang w:bidi="en-US"/>
              </w:rPr>
              <w:t>Temp.*</w:t>
            </w:r>
            <w:r w:rsidRPr="00184379">
              <w:rPr>
                <w:sz w:val="22"/>
                <w:szCs w:val="22"/>
                <w:lang w:bidi="en-US"/>
              </w:rPr>
              <w:br/>
              <w:t>Injection Rate</w:t>
            </w:r>
          </w:p>
        </w:tc>
        <w:tc>
          <w:tcPr>
            <w:tcW w:w="380" w:type="pct"/>
            <w:tcBorders>
              <w:top w:val="single" w:sz="4" w:space="0" w:color="auto"/>
              <w:bottom w:val="single" w:sz="4" w:space="0" w:color="auto"/>
            </w:tcBorders>
            <w:vAlign w:val="center"/>
          </w:tcPr>
          <w:p w14:paraId="02FEFDEB" w14:textId="77777777" w:rsidR="00184379" w:rsidRPr="00184379" w:rsidRDefault="00184379" w:rsidP="00184379">
            <w:pPr>
              <w:pStyle w:val="TableDescription"/>
              <w:rPr>
                <w:sz w:val="22"/>
                <w:szCs w:val="22"/>
                <w:lang w:bidi="en-US"/>
              </w:rPr>
            </w:pPr>
            <w:r w:rsidRPr="00184379">
              <w:rPr>
                <w:sz w:val="22"/>
                <w:szCs w:val="22"/>
                <w:lang w:bidi="en-US"/>
              </w:rPr>
              <w:t>Temp.</w:t>
            </w:r>
          </w:p>
        </w:tc>
        <w:tc>
          <w:tcPr>
            <w:tcW w:w="503" w:type="pct"/>
            <w:tcBorders>
              <w:top w:val="single" w:sz="4" w:space="0" w:color="auto"/>
              <w:bottom w:val="single" w:sz="4" w:space="0" w:color="auto"/>
            </w:tcBorders>
            <w:vAlign w:val="center"/>
          </w:tcPr>
          <w:p w14:paraId="0B5FD739" w14:textId="77777777" w:rsidR="00184379" w:rsidRPr="00184379" w:rsidRDefault="00184379" w:rsidP="00184379">
            <w:pPr>
              <w:pStyle w:val="TableDescription"/>
              <w:rPr>
                <w:sz w:val="22"/>
                <w:szCs w:val="22"/>
                <w:lang w:bidi="en-US"/>
              </w:rPr>
            </w:pPr>
            <w:r w:rsidRPr="00184379">
              <w:rPr>
                <w:sz w:val="22"/>
                <w:szCs w:val="22"/>
                <w:lang w:bidi="en-US"/>
              </w:rPr>
              <w:t xml:space="preserve">Injection </w:t>
            </w:r>
            <w:r w:rsidRPr="00184379">
              <w:rPr>
                <w:sz w:val="22"/>
                <w:szCs w:val="22"/>
                <w:lang w:bidi="en-US"/>
              </w:rPr>
              <w:br/>
              <w:t>Rate</w:t>
            </w:r>
          </w:p>
        </w:tc>
        <w:tc>
          <w:tcPr>
            <w:tcW w:w="713" w:type="pct"/>
            <w:tcBorders>
              <w:top w:val="single" w:sz="4" w:space="0" w:color="auto"/>
              <w:bottom w:val="single" w:sz="4" w:space="0" w:color="auto"/>
            </w:tcBorders>
            <w:vAlign w:val="center"/>
          </w:tcPr>
          <w:p w14:paraId="76D057AF" w14:textId="77777777" w:rsidR="00184379" w:rsidRPr="00184379" w:rsidRDefault="00184379" w:rsidP="00184379">
            <w:pPr>
              <w:pStyle w:val="TableDescription"/>
              <w:rPr>
                <w:sz w:val="22"/>
                <w:szCs w:val="22"/>
                <w:lang w:bidi="en-US"/>
              </w:rPr>
            </w:pPr>
            <w:r w:rsidRPr="00184379">
              <w:rPr>
                <w:sz w:val="22"/>
                <w:szCs w:val="22"/>
                <w:lang w:bidi="en-US"/>
              </w:rPr>
              <w:t>Temp.*</w:t>
            </w:r>
            <w:r w:rsidRPr="00184379">
              <w:rPr>
                <w:sz w:val="22"/>
                <w:szCs w:val="22"/>
                <w:lang w:bidi="en-US"/>
              </w:rPr>
              <w:br/>
              <w:t>Injection Rate</w:t>
            </w:r>
          </w:p>
        </w:tc>
      </w:tr>
      <w:tr w:rsidR="00184379" w:rsidRPr="00184379" w14:paraId="223B02BF" w14:textId="77777777" w:rsidTr="00184379">
        <w:trPr>
          <w:trHeight w:val="288"/>
          <w:jc w:val="center"/>
        </w:trPr>
        <w:tc>
          <w:tcPr>
            <w:tcW w:w="529" w:type="pct"/>
            <w:vMerge w:val="restart"/>
            <w:tcBorders>
              <w:top w:val="single" w:sz="4" w:space="0" w:color="auto"/>
            </w:tcBorders>
            <w:vAlign w:val="center"/>
          </w:tcPr>
          <w:p w14:paraId="4C451C53" w14:textId="77777777" w:rsidR="00184379" w:rsidRPr="00184379" w:rsidRDefault="00184379" w:rsidP="00184379">
            <w:pPr>
              <w:pStyle w:val="TableDescription"/>
              <w:rPr>
                <w:sz w:val="22"/>
                <w:szCs w:val="22"/>
                <w:lang w:bidi="en-US"/>
              </w:rPr>
            </w:pPr>
            <w:r w:rsidRPr="00184379">
              <w:rPr>
                <w:sz w:val="22"/>
                <w:szCs w:val="22"/>
                <w:lang w:bidi="en-US"/>
              </w:rPr>
              <w:t>Tensile</w:t>
            </w:r>
          </w:p>
        </w:tc>
        <w:tc>
          <w:tcPr>
            <w:tcW w:w="1201" w:type="pct"/>
            <w:tcBorders>
              <w:top w:val="single" w:sz="4" w:space="0" w:color="auto"/>
            </w:tcBorders>
            <w:vAlign w:val="center"/>
          </w:tcPr>
          <w:p w14:paraId="125C6895" w14:textId="77777777" w:rsidR="00184379" w:rsidRPr="00184379" w:rsidRDefault="00184379" w:rsidP="00184379">
            <w:pPr>
              <w:pStyle w:val="TableDescription"/>
              <w:rPr>
                <w:sz w:val="22"/>
                <w:szCs w:val="22"/>
                <w:lang w:bidi="en-US"/>
              </w:rPr>
            </w:pPr>
            <w:r w:rsidRPr="00184379">
              <w:rPr>
                <w:sz w:val="22"/>
                <w:szCs w:val="22"/>
                <w:lang w:bidi="en-US"/>
              </w:rPr>
              <w:t>Young’s Modulus</w:t>
            </w:r>
          </w:p>
        </w:tc>
        <w:tc>
          <w:tcPr>
            <w:tcW w:w="415" w:type="pct"/>
            <w:tcBorders>
              <w:top w:val="single" w:sz="4" w:space="0" w:color="auto"/>
            </w:tcBorders>
            <w:vAlign w:val="center"/>
          </w:tcPr>
          <w:p w14:paraId="7E24DA17" w14:textId="77777777" w:rsidR="00184379" w:rsidRPr="00184379" w:rsidRDefault="00184379" w:rsidP="00184379">
            <w:pPr>
              <w:pStyle w:val="TableDescription"/>
              <w:rPr>
                <w:b/>
                <w:bCs/>
                <w:sz w:val="22"/>
                <w:szCs w:val="22"/>
                <w:lang w:bidi="en-US"/>
              </w:rPr>
            </w:pPr>
            <w:r w:rsidRPr="00184379">
              <w:rPr>
                <w:b/>
                <w:bCs/>
                <w:sz w:val="22"/>
                <w:szCs w:val="22"/>
                <w:lang w:bidi="en-US"/>
              </w:rPr>
              <w:t>0.02119</w:t>
            </w:r>
          </w:p>
        </w:tc>
        <w:tc>
          <w:tcPr>
            <w:tcW w:w="503" w:type="pct"/>
            <w:tcBorders>
              <w:top w:val="single" w:sz="4" w:space="0" w:color="auto"/>
            </w:tcBorders>
            <w:vAlign w:val="center"/>
          </w:tcPr>
          <w:p w14:paraId="66CFACDF" w14:textId="77777777" w:rsidR="00184379" w:rsidRPr="00184379" w:rsidRDefault="00184379" w:rsidP="00184379">
            <w:pPr>
              <w:pStyle w:val="TableDescription"/>
              <w:rPr>
                <w:b/>
                <w:bCs/>
                <w:sz w:val="22"/>
                <w:szCs w:val="22"/>
                <w:lang w:bidi="en-US"/>
              </w:rPr>
            </w:pPr>
            <w:r w:rsidRPr="00184379">
              <w:rPr>
                <w:b/>
                <w:bCs/>
                <w:sz w:val="22"/>
                <w:szCs w:val="22"/>
                <w:lang w:bidi="en-US"/>
              </w:rPr>
              <w:t>0.02684</w:t>
            </w:r>
          </w:p>
        </w:tc>
        <w:tc>
          <w:tcPr>
            <w:tcW w:w="755" w:type="pct"/>
            <w:tcBorders>
              <w:top w:val="single" w:sz="4" w:space="0" w:color="auto"/>
            </w:tcBorders>
            <w:vAlign w:val="center"/>
          </w:tcPr>
          <w:p w14:paraId="4827E56A" w14:textId="77777777" w:rsidR="00184379" w:rsidRPr="00184379" w:rsidRDefault="00184379" w:rsidP="00184379">
            <w:pPr>
              <w:pStyle w:val="TableDescription"/>
              <w:rPr>
                <w:sz w:val="22"/>
                <w:szCs w:val="22"/>
                <w:lang w:bidi="en-US"/>
              </w:rPr>
            </w:pPr>
            <w:r w:rsidRPr="00184379">
              <w:rPr>
                <w:sz w:val="22"/>
                <w:szCs w:val="22"/>
                <w:lang w:bidi="en-US"/>
              </w:rPr>
              <w:t>0.30428</w:t>
            </w:r>
          </w:p>
        </w:tc>
        <w:tc>
          <w:tcPr>
            <w:tcW w:w="380" w:type="pct"/>
            <w:tcBorders>
              <w:top w:val="single" w:sz="4" w:space="0" w:color="auto"/>
            </w:tcBorders>
            <w:vAlign w:val="center"/>
          </w:tcPr>
          <w:p w14:paraId="3D98FDC2" w14:textId="77777777" w:rsidR="00184379" w:rsidRPr="00184379" w:rsidRDefault="00184379" w:rsidP="00184379">
            <w:pPr>
              <w:pStyle w:val="TableDescription"/>
              <w:rPr>
                <w:sz w:val="22"/>
                <w:szCs w:val="22"/>
                <w:lang w:bidi="en-US"/>
              </w:rPr>
            </w:pPr>
            <w:r w:rsidRPr="00184379">
              <w:rPr>
                <w:sz w:val="22"/>
                <w:szCs w:val="22"/>
                <w:lang w:bidi="en-US"/>
              </w:rPr>
              <w:t>↑</w:t>
            </w:r>
          </w:p>
        </w:tc>
        <w:tc>
          <w:tcPr>
            <w:tcW w:w="503" w:type="pct"/>
            <w:tcBorders>
              <w:top w:val="single" w:sz="4" w:space="0" w:color="auto"/>
            </w:tcBorders>
            <w:vAlign w:val="center"/>
          </w:tcPr>
          <w:p w14:paraId="314BC4AF" w14:textId="77777777" w:rsidR="00184379" w:rsidRPr="00184379" w:rsidRDefault="00184379" w:rsidP="00184379">
            <w:pPr>
              <w:pStyle w:val="TableDescription"/>
              <w:rPr>
                <w:sz w:val="22"/>
                <w:szCs w:val="22"/>
                <w:lang w:bidi="en-US"/>
              </w:rPr>
            </w:pPr>
            <w:r w:rsidRPr="00184379">
              <w:rPr>
                <w:sz w:val="22"/>
                <w:szCs w:val="22"/>
                <w:lang w:bidi="en-US"/>
              </w:rPr>
              <w:t>↓</w:t>
            </w:r>
          </w:p>
        </w:tc>
        <w:tc>
          <w:tcPr>
            <w:tcW w:w="713" w:type="pct"/>
            <w:tcBorders>
              <w:top w:val="single" w:sz="4" w:space="0" w:color="auto"/>
            </w:tcBorders>
            <w:vAlign w:val="center"/>
          </w:tcPr>
          <w:p w14:paraId="42C532CF" w14:textId="77777777" w:rsidR="00184379" w:rsidRPr="00184379" w:rsidRDefault="00184379" w:rsidP="00184379">
            <w:pPr>
              <w:pStyle w:val="TableDescription"/>
              <w:rPr>
                <w:sz w:val="22"/>
                <w:szCs w:val="22"/>
                <w:lang w:bidi="en-US"/>
              </w:rPr>
            </w:pPr>
            <w:r w:rsidRPr="00184379">
              <w:rPr>
                <w:sz w:val="22"/>
                <w:szCs w:val="22"/>
                <w:lang w:bidi="en-US"/>
              </w:rPr>
              <w:t>-</w:t>
            </w:r>
          </w:p>
        </w:tc>
      </w:tr>
      <w:tr w:rsidR="00184379" w:rsidRPr="00184379" w14:paraId="19BF6DFF" w14:textId="77777777" w:rsidTr="00184379">
        <w:trPr>
          <w:trHeight w:val="288"/>
          <w:jc w:val="center"/>
        </w:trPr>
        <w:tc>
          <w:tcPr>
            <w:tcW w:w="529" w:type="pct"/>
            <w:vMerge/>
            <w:vAlign w:val="center"/>
          </w:tcPr>
          <w:p w14:paraId="4CE5212B" w14:textId="77777777" w:rsidR="00184379" w:rsidRPr="00184379" w:rsidRDefault="00184379" w:rsidP="00184379">
            <w:pPr>
              <w:pStyle w:val="TableDescription"/>
              <w:rPr>
                <w:sz w:val="22"/>
                <w:szCs w:val="22"/>
                <w:lang w:bidi="en-US"/>
              </w:rPr>
            </w:pPr>
          </w:p>
        </w:tc>
        <w:tc>
          <w:tcPr>
            <w:tcW w:w="1201" w:type="pct"/>
            <w:vAlign w:val="center"/>
          </w:tcPr>
          <w:p w14:paraId="0D3648EA" w14:textId="77777777" w:rsidR="00184379" w:rsidRPr="00184379" w:rsidRDefault="00184379" w:rsidP="00184379">
            <w:pPr>
              <w:pStyle w:val="TableDescription"/>
              <w:rPr>
                <w:sz w:val="22"/>
                <w:szCs w:val="22"/>
                <w:lang w:bidi="en-US"/>
              </w:rPr>
            </w:pPr>
            <w:r w:rsidRPr="00184379">
              <w:rPr>
                <w:sz w:val="22"/>
                <w:szCs w:val="22"/>
                <w:lang w:bidi="en-US"/>
              </w:rPr>
              <w:t>Ultimate Tensile Strength</w:t>
            </w:r>
          </w:p>
        </w:tc>
        <w:tc>
          <w:tcPr>
            <w:tcW w:w="415" w:type="pct"/>
            <w:vAlign w:val="center"/>
          </w:tcPr>
          <w:p w14:paraId="7697E7C3" w14:textId="77777777" w:rsidR="00184379" w:rsidRPr="00184379" w:rsidRDefault="00184379" w:rsidP="00184379">
            <w:pPr>
              <w:pStyle w:val="TableDescription"/>
              <w:rPr>
                <w:b/>
                <w:bCs/>
                <w:sz w:val="22"/>
                <w:szCs w:val="22"/>
                <w:lang w:bidi="en-US"/>
              </w:rPr>
            </w:pPr>
            <w:r w:rsidRPr="00184379">
              <w:rPr>
                <w:b/>
                <w:bCs/>
                <w:sz w:val="22"/>
                <w:szCs w:val="22"/>
                <w:lang w:bidi="en-US"/>
              </w:rPr>
              <w:t>&lt;0.0001</w:t>
            </w:r>
          </w:p>
        </w:tc>
        <w:tc>
          <w:tcPr>
            <w:tcW w:w="503" w:type="pct"/>
            <w:vAlign w:val="center"/>
          </w:tcPr>
          <w:p w14:paraId="3CA30ADE" w14:textId="77777777" w:rsidR="00184379" w:rsidRPr="00184379" w:rsidRDefault="00184379" w:rsidP="00184379">
            <w:pPr>
              <w:pStyle w:val="TableDescription"/>
              <w:rPr>
                <w:b/>
                <w:bCs/>
                <w:sz w:val="22"/>
                <w:szCs w:val="22"/>
                <w:lang w:bidi="en-US"/>
              </w:rPr>
            </w:pPr>
            <w:r w:rsidRPr="00184379">
              <w:rPr>
                <w:b/>
                <w:bCs/>
                <w:sz w:val="22"/>
                <w:szCs w:val="22"/>
                <w:lang w:bidi="en-US"/>
              </w:rPr>
              <w:t>0.00988</w:t>
            </w:r>
          </w:p>
        </w:tc>
        <w:tc>
          <w:tcPr>
            <w:tcW w:w="755" w:type="pct"/>
            <w:vAlign w:val="center"/>
          </w:tcPr>
          <w:p w14:paraId="55E4B732" w14:textId="77777777" w:rsidR="00184379" w:rsidRPr="00184379" w:rsidRDefault="00184379" w:rsidP="00184379">
            <w:pPr>
              <w:pStyle w:val="TableDescription"/>
              <w:rPr>
                <w:sz w:val="22"/>
                <w:szCs w:val="22"/>
                <w:lang w:bidi="en-US"/>
              </w:rPr>
            </w:pPr>
            <w:r w:rsidRPr="00184379">
              <w:rPr>
                <w:sz w:val="22"/>
                <w:szCs w:val="22"/>
                <w:lang w:bidi="en-US"/>
              </w:rPr>
              <w:t>0.33631</w:t>
            </w:r>
          </w:p>
        </w:tc>
        <w:tc>
          <w:tcPr>
            <w:tcW w:w="380" w:type="pct"/>
            <w:vAlign w:val="center"/>
          </w:tcPr>
          <w:p w14:paraId="4254DD1E" w14:textId="77777777" w:rsidR="00184379" w:rsidRPr="00184379" w:rsidRDefault="00184379" w:rsidP="00184379">
            <w:pPr>
              <w:pStyle w:val="TableDescription"/>
              <w:rPr>
                <w:sz w:val="22"/>
                <w:szCs w:val="22"/>
                <w:lang w:bidi="en-US"/>
              </w:rPr>
            </w:pPr>
            <w:r w:rsidRPr="00184379">
              <w:rPr>
                <w:sz w:val="22"/>
                <w:szCs w:val="22"/>
                <w:lang w:bidi="en-US"/>
              </w:rPr>
              <w:t>↓</w:t>
            </w:r>
          </w:p>
        </w:tc>
        <w:tc>
          <w:tcPr>
            <w:tcW w:w="503" w:type="pct"/>
            <w:vAlign w:val="center"/>
          </w:tcPr>
          <w:p w14:paraId="4CB3AD93" w14:textId="77777777" w:rsidR="00184379" w:rsidRPr="00184379" w:rsidRDefault="00184379" w:rsidP="00184379">
            <w:pPr>
              <w:pStyle w:val="TableDescription"/>
              <w:rPr>
                <w:sz w:val="22"/>
                <w:szCs w:val="22"/>
                <w:lang w:bidi="en-US"/>
              </w:rPr>
            </w:pPr>
            <w:r w:rsidRPr="00184379">
              <w:rPr>
                <w:sz w:val="22"/>
                <w:szCs w:val="22"/>
                <w:lang w:bidi="en-US"/>
              </w:rPr>
              <w:t>↓</w:t>
            </w:r>
          </w:p>
        </w:tc>
        <w:tc>
          <w:tcPr>
            <w:tcW w:w="713" w:type="pct"/>
            <w:vAlign w:val="center"/>
          </w:tcPr>
          <w:p w14:paraId="2416CCE7" w14:textId="77777777" w:rsidR="00184379" w:rsidRPr="00184379" w:rsidRDefault="00184379" w:rsidP="00184379">
            <w:pPr>
              <w:pStyle w:val="TableDescription"/>
              <w:rPr>
                <w:sz w:val="22"/>
                <w:szCs w:val="22"/>
                <w:lang w:bidi="en-US"/>
              </w:rPr>
            </w:pPr>
            <w:r w:rsidRPr="00184379">
              <w:rPr>
                <w:sz w:val="22"/>
                <w:szCs w:val="22"/>
                <w:lang w:bidi="en-US"/>
              </w:rPr>
              <w:t>-</w:t>
            </w:r>
          </w:p>
        </w:tc>
      </w:tr>
      <w:tr w:rsidR="00184379" w:rsidRPr="00184379" w14:paraId="44801ACC" w14:textId="77777777" w:rsidTr="00184379">
        <w:trPr>
          <w:trHeight w:val="288"/>
          <w:jc w:val="center"/>
        </w:trPr>
        <w:tc>
          <w:tcPr>
            <w:tcW w:w="529" w:type="pct"/>
            <w:vMerge/>
            <w:tcBorders>
              <w:bottom w:val="single" w:sz="4" w:space="0" w:color="auto"/>
            </w:tcBorders>
            <w:vAlign w:val="center"/>
          </w:tcPr>
          <w:p w14:paraId="5FEB8C54" w14:textId="77777777" w:rsidR="00184379" w:rsidRPr="00184379" w:rsidRDefault="00184379" w:rsidP="00184379">
            <w:pPr>
              <w:pStyle w:val="TableDescription"/>
              <w:rPr>
                <w:sz w:val="22"/>
                <w:szCs w:val="22"/>
                <w:lang w:bidi="en-US"/>
              </w:rPr>
            </w:pPr>
          </w:p>
        </w:tc>
        <w:tc>
          <w:tcPr>
            <w:tcW w:w="1201" w:type="pct"/>
            <w:tcBorders>
              <w:bottom w:val="single" w:sz="4" w:space="0" w:color="auto"/>
            </w:tcBorders>
            <w:vAlign w:val="center"/>
          </w:tcPr>
          <w:p w14:paraId="6A73514C" w14:textId="77777777" w:rsidR="00184379" w:rsidRPr="00184379" w:rsidRDefault="00184379" w:rsidP="00184379">
            <w:pPr>
              <w:pStyle w:val="TableDescription"/>
              <w:rPr>
                <w:sz w:val="22"/>
                <w:szCs w:val="22"/>
                <w:lang w:bidi="en-US"/>
              </w:rPr>
            </w:pPr>
            <w:r w:rsidRPr="00184379">
              <w:rPr>
                <w:sz w:val="22"/>
                <w:szCs w:val="22"/>
                <w:lang w:bidi="en-US"/>
              </w:rPr>
              <w:t>Tensile Strain at Break</w:t>
            </w:r>
          </w:p>
        </w:tc>
        <w:tc>
          <w:tcPr>
            <w:tcW w:w="415" w:type="pct"/>
            <w:tcBorders>
              <w:bottom w:val="single" w:sz="4" w:space="0" w:color="auto"/>
            </w:tcBorders>
            <w:vAlign w:val="center"/>
          </w:tcPr>
          <w:p w14:paraId="6502C831" w14:textId="77777777" w:rsidR="00184379" w:rsidRPr="00184379" w:rsidRDefault="00184379" w:rsidP="00184379">
            <w:pPr>
              <w:pStyle w:val="TableDescription"/>
              <w:rPr>
                <w:b/>
                <w:bCs/>
                <w:sz w:val="22"/>
                <w:szCs w:val="22"/>
                <w:lang w:bidi="en-US"/>
              </w:rPr>
            </w:pPr>
            <w:r w:rsidRPr="00184379">
              <w:rPr>
                <w:b/>
                <w:bCs/>
                <w:sz w:val="22"/>
                <w:szCs w:val="22"/>
                <w:lang w:bidi="en-US"/>
              </w:rPr>
              <w:t>&lt;0.0001</w:t>
            </w:r>
          </w:p>
        </w:tc>
        <w:tc>
          <w:tcPr>
            <w:tcW w:w="503" w:type="pct"/>
            <w:tcBorders>
              <w:bottom w:val="single" w:sz="4" w:space="0" w:color="auto"/>
            </w:tcBorders>
            <w:vAlign w:val="center"/>
          </w:tcPr>
          <w:p w14:paraId="36C6FC1C" w14:textId="77777777" w:rsidR="00184379" w:rsidRPr="00184379" w:rsidRDefault="00184379" w:rsidP="00184379">
            <w:pPr>
              <w:pStyle w:val="TableDescription"/>
              <w:rPr>
                <w:sz w:val="22"/>
                <w:szCs w:val="22"/>
                <w:lang w:bidi="en-US"/>
              </w:rPr>
            </w:pPr>
            <w:r w:rsidRPr="00184379">
              <w:rPr>
                <w:sz w:val="22"/>
                <w:szCs w:val="22"/>
                <w:lang w:bidi="en-US"/>
              </w:rPr>
              <w:t>0.0901</w:t>
            </w:r>
          </w:p>
        </w:tc>
        <w:tc>
          <w:tcPr>
            <w:tcW w:w="755" w:type="pct"/>
            <w:tcBorders>
              <w:bottom w:val="single" w:sz="4" w:space="0" w:color="auto"/>
            </w:tcBorders>
            <w:vAlign w:val="center"/>
          </w:tcPr>
          <w:p w14:paraId="0AC27EC3" w14:textId="77777777" w:rsidR="00184379" w:rsidRPr="00184379" w:rsidRDefault="00184379" w:rsidP="00184379">
            <w:pPr>
              <w:pStyle w:val="TableDescription"/>
              <w:rPr>
                <w:sz w:val="22"/>
                <w:szCs w:val="22"/>
                <w:lang w:bidi="en-US"/>
              </w:rPr>
            </w:pPr>
            <w:r w:rsidRPr="00184379">
              <w:rPr>
                <w:sz w:val="22"/>
                <w:szCs w:val="22"/>
                <w:lang w:bidi="en-US"/>
              </w:rPr>
              <w:t>0.1152</w:t>
            </w:r>
          </w:p>
        </w:tc>
        <w:tc>
          <w:tcPr>
            <w:tcW w:w="380" w:type="pct"/>
            <w:tcBorders>
              <w:bottom w:val="single" w:sz="4" w:space="0" w:color="auto"/>
            </w:tcBorders>
            <w:vAlign w:val="center"/>
          </w:tcPr>
          <w:p w14:paraId="6285C858" w14:textId="77777777" w:rsidR="00184379" w:rsidRPr="00184379" w:rsidRDefault="00184379" w:rsidP="00184379">
            <w:pPr>
              <w:pStyle w:val="TableDescription"/>
              <w:rPr>
                <w:sz w:val="22"/>
                <w:szCs w:val="22"/>
                <w:lang w:bidi="en-US"/>
              </w:rPr>
            </w:pPr>
            <w:r w:rsidRPr="00184379">
              <w:rPr>
                <w:sz w:val="22"/>
                <w:szCs w:val="22"/>
                <w:lang w:bidi="en-US"/>
              </w:rPr>
              <w:t>↓</w:t>
            </w:r>
          </w:p>
        </w:tc>
        <w:tc>
          <w:tcPr>
            <w:tcW w:w="503" w:type="pct"/>
            <w:tcBorders>
              <w:bottom w:val="single" w:sz="4" w:space="0" w:color="auto"/>
            </w:tcBorders>
            <w:vAlign w:val="center"/>
          </w:tcPr>
          <w:p w14:paraId="4163B913" w14:textId="77777777" w:rsidR="00184379" w:rsidRPr="00184379" w:rsidRDefault="00184379" w:rsidP="00184379">
            <w:pPr>
              <w:pStyle w:val="TableDescription"/>
              <w:rPr>
                <w:sz w:val="22"/>
                <w:szCs w:val="22"/>
                <w:lang w:bidi="en-US"/>
              </w:rPr>
            </w:pPr>
            <w:r w:rsidRPr="00184379">
              <w:rPr>
                <w:sz w:val="22"/>
                <w:szCs w:val="22"/>
                <w:lang w:bidi="en-US"/>
              </w:rPr>
              <w:t>-</w:t>
            </w:r>
          </w:p>
        </w:tc>
        <w:tc>
          <w:tcPr>
            <w:tcW w:w="713" w:type="pct"/>
            <w:tcBorders>
              <w:bottom w:val="single" w:sz="4" w:space="0" w:color="auto"/>
            </w:tcBorders>
            <w:vAlign w:val="center"/>
          </w:tcPr>
          <w:p w14:paraId="29BFF754" w14:textId="77777777" w:rsidR="00184379" w:rsidRPr="00184379" w:rsidRDefault="00184379" w:rsidP="00184379">
            <w:pPr>
              <w:pStyle w:val="TableDescription"/>
              <w:rPr>
                <w:sz w:val="22"/>
                <w:szCs w:val="22"/>
                <w:lang w:bidi="en-US"/>
              </w:rPr>
            </w:pPr>
            <w:r w:rsidRPr="00184379">
              <w:rPr>
                <w:sz w:val="22"/>
                <w:szCs w:val="22"/>
                <w:lang w:bidi="en-US"/>
              </w:rPr>
              <w:t>-</w:t>
            </w:r>
          </w:p>
        </w:tc>
      </w:tr>
      <w:tr w:rsidR="00184379" w:rsidRPr="00184379" w14:paraId="567C8D04" w14:textId="77777777" w:rsidTr="00184379">
        <w:trPr>
          <w:trHeight w:val="288"/>
          <w:jc w:val="center"/>
        </w:trPr>
        <w:tc>
          <w:tcPr>
            <w:tcW w:w="529" w:type="pct"/>
            <w:vMerge w:val="restart"/>
            <w:tcBorders>
              <w:top w:val="single" w:sz="4" w:space="0" w:color="auto"/>
            </w:tcBorders>
            <w:vAlign w:val="center"/>
          </w:tcPr>
          <w:p w14:paraId="0190D051" w14:textId="77777777" w:rsidR="00184379" w:rsidRPr="00184379" w:rsidRDefault="00184379" w:rsidP="00184379">
            <w:pPr>
              <w:pStyle w:val="TableDescription"/>
              <w:rPr>
                <w:sz w:val="22"/>
                <w:szCs w:val="22"/>
                <w:lang w:bidi="en-US"/>
              </w:rPr>
            </w:pPr>
            <w:r w:rsidRPr="00184379">
              <w:rPr>
                <w:sz w:val="22"/>
                <w:szCs w:val="22"/>
                <w:lang w:bidi="en-US"/>
              </w:rPr>
              <w:t>Flexural</w:t>
            </w:r>
          </w:p>
        </w:tc>
        <w:tc>
          <w:tcPr>
            <w:tcW w:w="1201" w:type="pct"/>
            <w:tcBorders>
              <w:top w:val="single" w:sz="4" w:space="0" w:color="auto"/>
            </w:tcBorders>
            <w:vAlign w:val="center"/>
          </w:tcPr>
          <w:p w14:paraId="2B945C7D" w14:textId="77777777" w:rsidR="00184379" w:rsidRPr="00184379" w:rsidRDefault="00184379" w:rsidP="00184379">
            <w:pPr>
              <w:pStyle w:val="TableDescription"/>
              <w:rPr>
                <w:sz w:val="22"/>
                <w:szCs w:val="22"/>
                <w:lang w:bidi="en-US"/>
              </w:rPr>
            </w:pPr>
            <w:r w:rsidRPr="00184379">
              <w:rPr>
                <w:sz w:val="22"/>
                <w:szCs w:val="22"/>
                <w:lang w:bidi="en-US"/>
              </w:rPr>
              <w:t>Flexural Modulus</w:t>
            </w:r>
          </w:p>
        </w:tc>
        <w:tc>
          <w:tcPr>
            <w:tcW w:w="415" w:type="pct"/>
            <w:tcBorders>
              <w:top w:val="single" w:sz="4" w:space="0" w:color="auto"/>
            </w:tcBorders>
            <w:vAlign w:val="center"/>
          </w:tcPr>
          <w:p w14:paraId="75ACEF90" w14:textId="77777777" w:rsidR="00184379" w:rsidRPr="00184379" w:rsidRDefault="00184379" w:rsidP="00184379">
            <w:pPr>
              <w:pStyle w:val="TableDescription"/>
              <w:rPr>
                <w:sz w:val="22"/>
                <w:szCs w:val="22"/>
                <w:lang w:bidi="en-US"/>
              </w:rPr>
            </w:pPr>
            <w:r w:rsidRPr="00184379">
              <w:rPr>
                <w:sz w:val="22"/>
                <w:szCs w:val="22"/>
                <w:lang w:bidi="en-US"/>
              </w:rPr>
              <w:t>0.4386</w:t>
            </w:r>
          </w:p>
        </w:tc>
        <w:tc>
          <w:tcPr>
            <w:tcW w:w="503" w:type="pct"/>
            <w:tcBorders>
              <w:top w:val="single" w:sz="4" w:space="0" w:color="auto"/>
            </w:tcBorders>
            <w:vAlign w:val="center"/>
          </w:tcPr>
          <w:p w14:paraId="066F6FF3" w14:textId="77777777" w:rsidR="00184379" w:rsidRPr="00184379" w:rsidRDefault="00184379" w:rsidP="00184379">
            <w:pPr>
              <w:pStyle w:val="TableDescription"/>
              <w:rPr>
                <w:sz w:val="22"/>
                <w:szCs w:val="22"/>
                <w:lang w:bidi="en-US"/>
              </w:rPr>
            </w:pPr>
            <w:r w:rsidRPr="00184379">
              <w:rPr>
                <w:sz w:val="22"/>
                <w:szCs w:val="22"/>
                <w:lang w:bidi="en-US"/>
              </w:rPr>
              <w:t>0.1216</w:t>
            </w:r>
          </w:p>
        </w:tc>
        <w:tc>
          <w:tcPr>
            <w:tcW w:w="755" w:type="pct"/>
            <w:tcBorders>
              <w:top w:val="single" w:sz="4" w:space="0" w:color="auto"/>
            </w:tcBorders>
            <w:vAlign w:val="center"/>
          </w:tcPr>
          <w:p w14:paraId="7C26661C" w14:textId="77777777" w:rsidR="00184379" w:rsidRPr="00184379" w:rsidRDefault="00184379" w:rsidP="00184379">
            <w:pPr>
              <w:pStyle w:val="TableDescription"/>
              <w:rPr>
                <w:b/>
                <w:bCs/>
                <w:sz w:val="22"/>
                <w:szCs w:val="22"/>
                <w:lang w:bidi="en-US"/>
              </w:rPr>
            </w:pPr>
            <w:r w:rsidRPr="00184379">
              <w:rPr>
                <w:b/>
                <w:bCs/>
                <w:sz w:val="22"/>
                <w:szCs w:val="22"/>
                <w:lang w:bidi="en-US"/>
              </w:rPr>
              <w:t>0.0245</w:t>
            </w:r>
          </w:p>
        </w:tc>
        <w:tc>
          <w:tcPr>
            <w:tcW w:w="380" w:type="pct"/>
            <w:tcBorders>
              <w:top w:val="single" w:sz="4" w:space="0" w:color="auto"/>
            </w:tcBorders>
            <w:vAlign w:val="center"/>
          </w:tcPr>
          <w:p w14:paraId="68284026"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c>
          <w:tcPr>
            <w:tcW w:w="503" w:type="pct"/>
            <w:tcBorders>
              <w:top w:val="single" w:sz="4" w:space="0" w:color="auto"/>
            </w:tcBorders>
            <w:vAlign w:val="center"/>
          </w:tcPr>
          <w:p w14:paraId="6B31D4EF"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c>
          <w:tcPr>
            <w:tcW w:w="713" w:type="pct"/>
            <w:tcBorders>
              <w:top w:val="single" w:sz="4" w:space="0" w:color="auto"/>
            </w:tcBorders>
            <w:vAlign w:val="center"/>
          </w:tcPr>
          <w:p w14:paraId="71C2BA93"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r>
      <w:tr w:rsidR="00184379" w:rsidRPr="00184379" w14:paraId="09389BA4" w14:textId="77777777" w:rsidTr="00184379">
        <w:trPr>
          <w:trHeight w:val="288"/>
          <w:jc w:val="center"/>
        </w:trPr>
        <w:tc>
          <w:tcPr>
            <w:tcW w:w="529" w:type="pct"/>
            <w:vMerge/>
            <w:vAlign w:val="center"/>
          </w:tcPr>
          <w:p w14:paraId="033AB6C9" w14:textId="77777777" w:rsidR="00184379" w:rsidRPr="00184379" w:rsidRDefault="00184379" w:rsidP="00184379">
            <w:pPr>
              <w:pStyle w:val="TableDescription"/>
              <w:rPr>
                <w:sz w:val="22"/>
                <w:szCs w:val="22"/>
                <w:lang w:bidi="en-US"/>
              </w:rPr>
            </w:pPr>
          </w:p>
        </w:tc>
        <w:tc>
          <w:tcPr>
            <w:tcW w:w="1201" w:type="pct"/>
            <w:vAlign w:val="center"/>
          </w:tcPr>
          <w:p w14:paraId="7E82F8CF" w14:textId="77777777" w:rsidR="00184379" w:rsidRPr="00184379" w:rsidRDefault="00184379" w:rsidP="00184379">
            <w:pPr>
              <w:pStyle w:val="TableDescription"/>
              <w:rPr>
                <w:sz w:val="22"/>
                <w:szCs w:val="22"/>
                <w:lang w:bidi="en-US"/>
              </w:rPr>
            </w:pPr>
            <w:r w:rsidRPr="00184379">
              <w:rPr>
                <w:sz w:val="22"/>
                <w:szCs w:val="22"/>
                <w:lang w:bidi="en-US"/>
              </w:rPr>
              <w:t>Flexural Strength</w:t>
            </w:r>
          </w:p>
        </w:tc>
        <w:tc>
          <w:tcPr>
            <w:tcW w:w="415" w:type="pct"/>
            <w:vAlign w:val="center"/>
          </w:tcPr>
          <w:p w14:paraId="01901B76" w14:textId="77777777" w:rsidR="00184379" w:rsidRPr="00184379" w:rsidRDefault="00184379" w:rsidP="00184379">
            <w:pPr>
              <w:pStyle w:val="TableDescription"/>
              <w:rPr>
                <w:sz w:val="22"/>
                <w:szCs w:val="22"/>
                <w:lang w:bidi="en-US"/>
              </w:rPr>
            </w:pPr>
            <w:r w:rsidRPr="00184379">
              <w:rPr>
                <w:sz w:val="22"/>
                <w:szCs w:val="22"/>
                <w:lang w:bidi="en-US"/>
              </w:rPr>
              <w:t>0.7940</w:t>
            </w:r>
          </w:p>
        </w:tc>
        <w:tc>
          <w:tcPr>
            <w:tcW w:w="503" w:type="pct"/>
            <w:vAlign w:val="center"/>
          </w:tcPr>
          <w:p w14:paraId="107A2475" w14:textId="77777777" w:rsidR="00184379" w:rsidRPr="00184379" w:rsidRDefault="00184379" w:rsidP="00184379">
            <w:pPr>
              <w:pStyle w:val="TableDescription"/>
              <w:rPr>
                <w:sz w:val="22"/>
                <w:szCs w:val="22"/>
                <w:lang w:bidi="en-US"/>
              </w:rPr>
            </w:pPr>
            <w:r w:rsidRPr="00184379">
              <w:rPr>
                <w:sz w:val="22"/>
                <w:szCs w:val="22"/>
                <w:lang w:bidi="en-US"/>
              </w:rPr>
              <w:t>0.1203</w:t>
            </w:r>
          </w:p>
        </w:tc>
        <w:tc>
          <w:tcPr>
            <w:tcW w:w="755" w:type="pct"/>
            <w:vAlign w:val="center"/>
          </w:tcPr>
          <w:p w14:paraId="38D564E3" w14:textId="77777777" w:rsidR="00184379" w:rsidRPr="00184379" w:rsidRDefault="00184379" w:rsidP="00184379">
            <w:pPr>
              <w:pStyle w:val="TableDescription"/>
              <w:rPr>
                <w:b/>
                <w:bCs/>
                <w:sz w:val="22"/>
                <w:szCs w:val="22"/>
                <w:lang w:bidi="en-US"/>
              </w:rPr>
            </w:pPr>
            <w:r w:rsidRPr="00184379">
              <w:rPr>
                <w:b/>
                <w:bCs/>
                <w:sz w:val="22"/>
                <w:szCs w:val="22"/>
                <w:lang w:bidi="en-US"/>
              </w:rPr>
              <w:t>0.0042</w:t>
            </w:r>
          </w:p>
        </w:tc>
        <w:tc>
          <w:tcPr>
            <w:tcW w:w="380" w:type="pct"/>
            <w:vAlign w:val="center"/>
          </w:tcPr>
          <w:p w14:paraId="6D8C2946"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c>
          <w:tcPr>
            <w:tcW w:w="503" w:type="pct"/>
            <w:vAlign w:val="center"/>
          </w:tcPr>
          <w:p w14:paraId="35184BA1"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c>
          <w:tcPr>
            <w:tcW w:w="713" w:type="pct"/>
            <w:vAlign w:val="center"/>
          </w:tcPr>
          <w:p w14:paraId="001A3A3B"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r>
      <w:tr w:rsidR="00184379" w:rsidRPr="00184379" w14:paraId="1C4FA9EE" w14:textId="77777777" w:rsidTr="00184379">
        <w:trPr>
          <w:trHeight w:val="288"/>
          <w:jc w:val="center"/>
        </w:trPr>
        <w:tc>
          <w:tcPr>
            <w:tcW w:w="529" w:type="pct"/>
            <w:vMerge/>
            <w:tcBorders>
              <w:bottom w:val="single" w:sz="4" w:space="0" w:color="auto"/>
            </w:tcBorders>
            <w:vAlign w:val="center"/>
          </w:tcPr>
          <w:p w14:paraId="5BB78A84" w14:textId="77777777" w:rsidR="00184379" w:rsidRPr="00184379" w:rsidRDefault="00184379" w:rsidP="00184379">
            <w:pPr>
              <w:pStyle w:val="TableDescription"/>
              <w:rPr>
                <w:sz w:val="22"/>
                <w:szCs w:val="22"/>
                <w:lang w:bidi="en-US"/>
              </w:rPr>
            </w:pPr>
          </w:p>
        </w:tc>
        <w:tc>
          <w:tcPr>
            <w:tcW w:w="1201" w:type="pct"/>
            <w:tcBorders>
              <w:bottom w:val="single" w:sz="4" w:space="0" w:color="auto"/>
            </w:tcBorders>
            <w:vAlign w:val="center"/>
          </w:tcPr>
          <w:p w14:paraId="2B49CB0D" w14:textId="77777777" w:rsidR="00184379" w:rsidRPr="00184379" w:rsidRDefault="00184379" w:rsidP="00184379">
            <w:pPr>
              <w:pStyle w:val="TableDescription"/>
              <w:rPr>
                <w:sz w:val="22"/>
                <w:szCs w:val="22"/>
                <w:lang w:bidi="en-US"/>
              </w:rPr>
            </w:pPr>
            <w:r w:rsidRPr="00184379">
              <w:rPr>
                <w:sz w:val="22"/>
                <w:szCs w:val="22"/>
                <w:lang w:bidi="en-US"/>
              </w:rPr>
              <w:t>Flexural Strain at Max Stress</w:t>
            </w:r>
          </w:p>
        </w:tc>
        <w:tc>
          <w:tcPr>
            <w:tcW w:w="415" w:type="pct"/>
            <w:tcBorders>
              <w:bottom w:val="single" w:sz="4" w:space="0" w:color="auto"/>
            </w:tcBorders>
            <w:vAlign w:val="center"/>
          </w:tcPr>
          <w:p w14:paraId="48FF8BDC" w14:textId="77777777" w:rsidR="00184379" w:rsidRPr="00184379" w:rsidRDefault="00184379" w:rsidP="00184379">
            <w:pPr>
              <w:pStyle w:val="TableDescription"/>
              <w:rPr>
                <w:sz w:val="22"/>
                <w:szCs w:val="22"/>
                <w:lang w:bidi="en-US"/>
              </w:rPr>
            </w:pPr>
            <w:r w:rsidRPr="00184379">
              <w:rPr>
                <w:b/>
                <w:bCs/>
                <w:sz w:val="22"/>
                <w:szCs w:val="22"/>
                <w:lang w:bidi="en-US"/>
              </w:rPr>
              <w:t>&lt;0.0001</w:t>
            </w:r>
          </w:p>
        </w:tc>
        <w:tc>
          <w:tcPr>
            <w:tcW w:w="503" w:type="pct"/>
            <w:tcBorders>
              <w:bottom w:val="single" w:sz="4" w:space="0" w:color="auto"/>
            </w:tcBorders>
            <w:vAlign w:val="center"/>
          </w:tcPr>
          <w:p w14:paraId="0EA56478" w14:textId="77777777" w:rsidR="00184379" w:rsidRPr="00184379" w:rsidRDefault="00184379" w:rsidP="00184379">
            <w:pPr>
              <w:pStyle w:val="TableDescription"/>
              <w:rPr>
                <w:sz w:val="22"/>
                <w:szCs w:val="22"/>
                <w:lang w:bidi="en-US"/>
              </w:rPr>
            </w:pPr>
            <w:r w:rsidRPr="00184379">
              <w:rPr>
                <w:sz w:val="22"/>
                <w:szCs w:val="22"/>
                <w:lang w:bidi="en-US"/>
              </w:rPr>
              <w:t>0.0533</w:t>
            </w:r>
          </w:p>
        </w:tc>
        <w:tc>
          <w:tcPr>
            <w:tcW w:w="755" w:type="pct"/>
            <w:tcBorders>
              <w:bottom w:val="single" w:sz="4" w:space="0" w:color="auto"/>
            </w:tcBorders>
            <w:vAlign w:val="center"/>
          </w:tcPr>
          <w:p w14:paraId="7A0C187F" w14:textId="77777777" w:rsidR="00184379" w:rsidRPr="00184379" w:rsidRDefault="00184379" w:rsidP="00184379">
            <w:pPr>
              <w:pStyle w:val="TableDescription"/>
              <w:rPr>
                <w:b/>
                <w:bCs/>
                <w:sz w:val="22"/>
                <w:szCs w:val="22"/>
                <w:lang w:bidi="en-US"/>
              </w:rPr>
            </w:pPr>
            <w:r w:rsidRPr="00184379">
              <w:rPr>
                <w:b/>
                <w:bCs/>
                <w:sz w:val="22"/>
                <w:szCs w:val="22"/>
                <w:lang w:bidi="en-US"/>
              </w:rPr>
              <w:t>0.0156</w:t>
            </w:r>
          </w:p>
        </w:tc>
        <w:tc>
          <w:tcPr>
            <w:tcW w:w="380" w:type="pct"/>
            <w:tcBorders>
              <w:bottom w:val="single" w:sz="4" w:space="0" w:color="auto"/>
            </w:tcBorders>
            <w:vAlign w:val="center"/>
          </w:tcPr>
          <w:p w14:paraId="3D14B639" w14:textId="77777777" w:rsidR="00184379" w:rsidRPr="00184379" w:rsidRDefault="00184379" w:rsidP="00184379">
            <w:pPr>
              <w:pStyle w:val="TableDescription"/>
              <w:rPr>
                <w:b/>
                <w:bCs/>
                <w:sz w:val="22"/>
                <w:szCs w:val="22"/>
                <w:lang w:bidi="en-US"/>
              </w:rPr>
            </w:pPr>
            <w:r w:rsidRPr="00184379">
              <w:rPr>
                <w:sz w:val="22"/>
                <w:szCs w:val="22"/>
                <w:lang w:bidi="en-US"/>
              </w:rPr>
              <w:t>↓</w:t>
            </w:r>
          </w:p>
        </w:tc>
        <w:tc>
          <w:tcPr>
            <w:tcW w:w="503" w:type="pct"/>
            <w:tcBorders>
              <w:bottom w:val="single" w:sz="4" w:space="0" w:color="auto"/>
            </w:tcBorders>
            <w:vAlign w:val="center"/>
          </w:tcPr>
          <w:p w14:paraId="5E9F8CBC" w14:textId="77777777" w:rsidR="00184379" w:rsidRPr="00184379" w:rsidRDefault="00184379" w:rsidP="00184379">
            <w:pPr>
              <w:pStyle w:val="TableDescription"/>
              <w:rPr>
                <w:sz w:val="22"/>
                <w:szCs w:val="22"/>
                <w:lang w:bidi="en-US"/>
              </w:rPr>
            </w:pPr>
            <w:r w:rsidRPr="00184379">
              <w:rPr>
                <w:sz w:val="22"/>
                <w:szCs w:val="22"/>
                <w:lang w:bidi="en-US"/>
              </w:rPr>
              <w:t>-</w:t>
            </w:r>
          </w:p>
        </w:tc>
        <w:tc>
          <w:tcPr>
            <w:tcW w:w="713" w:type="pct"/>
            <w:tcBorders>
              <w:bottom w:val="single" w:sz="4" w:space="0" w:color="auto"/>
            </w:tcBorders>
            <w:vAlign w:val="center"/>
          </w:tcPr>
          <w:p w14:paraId="29E6F4F2" w14:textId="77777777" w:rsidR="00184379" w:rsidRPr="00184379" w:rsidRDefault="00184379" w:rsidP="00184379">
            <w:pPr>
              <w:pStyle w:val="TableDescription"/>
              <w:rPr>
                <w:b/>
                <w:bCs/>
                <w:sz w:val="22"/>
                <w:szCs w:val="22"/>
                <w:lang w:bidi="en-US"/>
              </w:rPr>
            </w:pPr>
            <w:r w:rsidRPr="00184379">
              <w:rPr>
                <w:b/>
                <w:bCs/>
                <w:sz w:val="22"/>
                <w:szCs w:val="22"/>
                <w:lang w:bidi="en-US"/>
              </w:rPr>
              <w:t>↑</w:t>
            </w:r>
          </w:p>
        </w:tc>
      </w:tr>
    </w:tbl>
    <w:p w14:paraId="6507B645" w14:textId="48BBE4BA" w:rsidR="00184379" w:rsidRDefault="00184379" w:rsidP="00184379">
      <w:pPr>
        <w:pStyle w:val="TableDescription"/>
        <w:rPr>
          <w:lang w:bidi="en-US"/>
        </w:rPr>
      </w:pPr>
      <w:r>
        <w:rPr>
          <w:lang w:bidi="en-US"/>
        </w:rPr>
        <w:br w:type="page"/>
      </w:r>
    </w:p>
    <w:p w14:paraId="3EF9F50E" w14:textId="1ABD2380" w:rsidR="007016BF" w:rsidRPr="007016BF" w:rsidRDefault="007016BF" w:rsidP="007016BF">
      <w:pPr>
        <w:rPr>
          <w:lang w:bidi="en-US"/>
        </w:rPr>
      </w:pPr>
      <w:r w:rsidRPr="007016BF">
        <w:rPr>
          <w:lang w:bidi="en-US"/>
        </w:rPr>
        <w:lastRenderedPageBreak/>
        <w:t xml:space="preserve">Both processing temperature and injection rate were statistically significant for the tensile strength and modulus the composites, while only temperature had a statistically significant effect on strain at break. Tensile modulus was positively correlated with temperature and negatively correlated with injection rate, while the tensile strength was negatively correlated with both parameters. It should be noted that the interaction term (temperature*injection rate) was not statistically significant, which indicates that these two variables do not interact with each other in a meaningful way. Tensile strain at break was also negatively correlated with temperature, similar to ultimate tensile strength.  </w:t>
      </w:r>
    </w:p>
    <w:p w14:paraId="4DC85CE7" w14:textId="77777777" w:rsidR="0080518D" w:rsidRPr="0080518D" w:rsidRDefault="0080518D" w:rsidP="0080518D">
      <w:pPr>
        <w:rPr>
          <w:lang w:bidi="en-US"/>
        </w:rPr>
      </w:pPr>
      <w:r w:rsidRPr="0080518D">
        <w:rPr>
          <w:lang w:bidi="en-US"/>
        </w:rPr>
        <w:t xml:space="preserve">The increase in tensile modulus with increasing temperature can likely be attributed to the increase in crystallinity, as PP crystallinity is well-known to correlate with Young’s modulus </w:t>
      </w:r>
      <w:r w:rsidRPr="0080518D">
        <w:rPr>
          <w:i/>
          <w:lang w:bidi="en-US"/>
        </w:rPr>
        <w:fldChar w:fldCharType="begin"/>
      </w:r>
      <w:r w:rsidRPr="0080518D">
        <w:rPr>
          <w:lang w:bidi="en-US"/>
        </w:rPr>
        <w:instrText xml:space="preserve"> ADDIN ZOTERO_ITEM CSL_CITATION {"citationID":"KJaXzpDg","properties":{"formattedCitation":"[109]","plainCitation":"[109]","noteIndex":0},"citationItems":[{"id":1804,"uris":["http://zotero.org/users/3415649/items/KM7F27V5"],"itemData":{"id":1804,"type":"article-journal","abstract":"ABSTRACT\n            \n              In this study, the mechanical properties of isotactic polypropylene (iPP) materials with different crystallinities at room and elevated temperatures were investigated. In order to obtain samples with a certain range of crystallinity, and to ensure a uniform microstructure of these samples, the iPP samples obtained by injection molding required melt compression molding and controlled annealing. In the macromechanical studies, the experimental results showed that the storage modulus and Young's modulus of polypropylene were sensitive to the service temperature. The crystallinity also had a great influence on this relationship. A function was proposed to evaluate the dependence of the Young's modulus of polypropylene on initial crystallinity and service temperature, and tested based on experimental data. The Young's modulus of iPP is reduced by about 90% when the service temperature rises from 25 to 125 °C. Moreover, the reduced value in Young's modulus between polypropylene having the highest and lowest crystallinity was reduced from 214.55 to 56.75 MPa. © 2019 Wiley Periodicals, Inc. J. Appl. Polym. Sci.\n              2020\n              ,\n              137\n              , 48581.","container-title":"Journal of Applied Polymer Science","DOI":"10.1002/app.48581","ISSN":"0021-8995, 1097-4628","issue":"16","journalAbbreviation":"J of Applied Polymer Sci","language":"en","page":"48581","source":"DOI.org (Crossref)","title":"Quantification of the Young's modulus for polypropylene: Influence of initial crystallinity and service temperature","title-short":"Quantification of the Young's modulus for polypropylene","volume":"137","author":[{"family":"Li","given":"Jiquan"},{"family":"Zhu","given":"Zhou"},{"family":"Li","given":"Taidong"},{"family":"Peng","given":"Xiang"},{"family":"Jiang","given":"Shaofei"},{"family":"Turng","given":"Lih‐Sheng"}],"issued":{"date-parts":[["2020",4,20]]}}}],"schema":"https://github.com/citation-style-language/schema/raw/master/csl-citation.json"} </w:instrText>
      </w:r>
      <w:r w:rsidRPr="0080518D">
        <w:rPr>
          <w:i/>
          <w:lang w:bidi="en-US"/>
        </w:rPr>
        <w:fldChar w:fldCharType="separate"/>
      </w:r>
      <w:r w:rsidRPr="0080518D">
        <w:t>[109]</w:t>
      </w:r>
      <w:r w:rsidRPr="0080518D">
        <w:fldChar w:fldCharType="end"/>
      </w:r>
      <w:r w:rsidRPr="0080518D">
        <w:rPr>
          <w:lang w:bidi="en-US"/>
        </w:rPr>
        <w:t xml:space="preserve">. This is further corroborated by the thermal analysis data, indicating that increasing processing temperature led to higher crystallinity. Higher crystallinity within the matrix can also explain the observed decreases in tensile strength and strain at break. </w:t>
      </w:r>
    </w:p>
    <w:p w14:paraId="1AA0D599" w14:textId="5D191316" w:rsidR="0080518D" w:rsidRPr="0080518D" w:rsidRDefault="0080518D" w:rsidP="0080518D">
      <w:pPr>
        <w:rPr>
          <w:lang w:bidi="en-US"/>
        </w:rPr>
      </w:pPr>
      <w:r w:rsidRPr="0080518D">
        <w:rPr>
          <w:lang w:bidi="en-US"/>
        </w:rPr>
        <w:t xml:space="preserve"> This is a direct consequence of increased modulus for strain at break – as the composite becomes stiffer, it will also become more brittle </w:t>
      </w:r>
      <w:r w:rsidRPr="0080518D">
        <w:rPr>
          <w:lang w:bidi="en-US"/>
        </w:rPr>
        <w:fldChar w:fldCharType="begin"/>
      </w:r>
      <w:r w:rsidRPr="0080518D">
        <w:rPr>
          <w:lang w:bidi="en-US"/>
        </w:rPr>
        <w:instrText xml:space="preserve"> ADDIN ZOTERO_ITEM CSL_CITATION {"citationID":"XlzUwOQk","properties":{"formattedCitation":"[110]","plainCitation":"[110]","noteIndex":0},"citationItems":[{"id":1881,"uris":["http://zotero.org/users/3415649/items/79NK3NKB"],"itemData":{"id":1881,"type":"article-journal","abstract":"We have synthesized and analyzed the mechanical/structural characteristics of a polyester containing 21 wt % of a triptycene monomer and compared it to a reference polyester homologue wherein benzene replaces the triptycene residue. Solvent-cast films and tension heat-treated (THT) films were investigated by tensile deformation and wide-angle X-ray scattering. The addition of triptycene units increases the Tg and, contrary to what is typically observed, also increases the ductility of film samples. In comparison to the solvent-cast nontriptycene polyester films, the triptycene polyester films displayed a nearly 3-fold increase in Young’s modulus, an approximately 3-fold increase in strength, and a more than 20-fold increase in strain to failure. THT films of the triptycene polyester exhibited a modulus more than 7 times that of the non-triptycene as-cast polyester and strength greater than 14 times higher for roughly the same strain to failure. This unusually beneficial mechanical behavior is primarily attributed to the ability of individual triptycene units to express what has been termed as “internal molecular free volume” (IMFV). We suggest that the triptycene polymers adopt favorable conformations that minimize the IMFV, and the resultant assembly introduces two mechanisms for the enhancement of tensile mechanical properties: molecular threading and molecular interlocking.","container-title":"Macromolecules","DOI":"10.1021/ma060047q","ISSN":"0024-9297, 1520-5835","issue":"9","journalAbbreviation":"Macromolecules","language":"en","page":"3350-3358","source":"DOI.org (Crossref)","title":"Minimization of Internal Molecular Free Volume: A Mechanism for the Simultaneous Enhancement of Polymer Stiffness, Strength, and Ductility","title-short":"Minimization of Internal Molecular Free Volume","volume":"39","author":[{"family":"Tsui","given":"Nicholas T."},{"family":"Paraskos","given":"Alex J."},{"family":"Torun","given":"Lokman"},{"family":"Swager","given":"Timothy M."},{"family":"Thomas","given":"Edwin L."}],"issued":{"date-parts":[["2006",5,1]]}}}],"schema":"https://github.com/citation-style-language/schema/raw/master/csl-citation.json"} </w:instrText>
      </w:r>
      <w:r w:rsidRPr="0080518D">
        <w:rPr>
          <w:lang w:bidi="en-US"/>
        </w:rPr>
        <w:fldChar w:fldCharType="separate"/>
      </w:r>
      <w:r w:rsidRPr="0080518D">
        <w:t>[110]</w:t>
      </w:r>
      <w:r w:rsidRPr="0080518D">
        <w:fldChar w:fldCharType="end"/>
      </w:r>
      <w:r w:rsidRPr="0080518D">
        <w:rPr>
          <w:lang w:bidi="en-US"/>
        </w:rPr>
        <w:t xml:space="preserve">. The decrease in tensile strength with increasing temperature can also be associated with this increased crystallinity, as smaller and weaker amorphous fractions must account for most of the composite strain </w:t>
      </w:r>
      <w:r w:rsidRPr="0080518D">
        <w:rPr>
          <w:lang w:bidi="en-US"/>
        </w:rPr>
        <w:fldChar w:fldCharType="begin"/>
      </w:r>
      <w:r w:rsidRPr="0080518D">
        <w:rPr>
          <w:lang w:bidi="en-US"/>
        </w:rPr>
        <w:instrText xml:space="preserve"> ADDIN ZOTERO_ITEM CSL_CITATION {"citationID":"lChVhFN6","properties":{"formattedCitation":"[111]","plainCitation":"[111]","noteIndex":0},"citationItems":[{"id":1883,"uris":["http://zotero.org/users/3415649/items/MCNV3IMV"],"itemData":{"id":1883,"type":"article-journal","abstract":"Abstract\n            Microstructural features of semicrystalline polymers are reviewed, as are the roles of chain properties and thermal history in their development. Experimental results relating failure properties to microstructural detail are described. General models to explain inter‐ and intra‐spherulitic failure behavior are proposed. Important are (a) the role of spherulite size in boundary incompatibility, (b) competition between spherulite boundary cracking and intraspherulitic yielding, (c) competition between localized (interspherulitic) fracture and dispersed (intraspherulitic) fracture.","container-title":"Polymer Engineering &amp; Science","DOI":"10.1002/pen.760241007","ISSN":"0032-3888, 1548-2634","issue":"10","journalAbbreviation":"Polymer Engineering &amp; Sci","language":"en","license":"http://onlinelibrary.wiley.com/termsAndConditions#vor","page":"770-785","source":"DOI.org (Crossref)","title":"Microstructural aspects of failure in semicrystalline polymers","volume":"24","author":[{"family":"Schultz","given":"J. M."}],"issued":{"date-parts":[["1984",7]]}}}],"schema":"https://github.com/citation-style-language/schema/raw/master/csl-citation.json"} </w:instrText>
      </w:r>
      <w:r w:rsidRPr="0080518D">
        <w:rPr>
          <w:lang w:bidi="en-US"/>
        </w:rPr>
        <w:fldChar w:fldCharType="separate"/>
      </w:r>
      <w:r w:rsidRPr="0080518D">
        <w:t>[111]</w:t>
      </w:r>
      <w:r w:rsidRPr="0080518D">
        <w:fldChar w:fldCharType="end"/>
      </w:r>
      <w:r w:rsidRPr="0080518D">
        <w:rPr>
          <w:lang w:bidi="en-US"/>
        </w:rPr>
        <w:t xml:space="preserve">. This ultimately leads to brittle failure at lower stress. The reduction in modulus and strength associated with increasing injection rate can also be attributed to fiber length reduced by increased shear forces during injection molding </w:t>
      </w:r>
      <w:r w:rsidRPr="0080518D">
        <w:rPr>
          <w:i/>
          <w:lang w:bidi="en-US"/>
        </w:rPr>
        <w:fldChar w:fldCharType="begin"/>
      </w:r>
      <w:r w:rsidRPr="0080518D">
        <w:rPr>
          <w:lang w:bidi="en-US"/>
        </w:rPr>
        <w:instrText xml:space="preserve"> ADDIN ZOTERO_ITEM CSL_CITATION {"citationID":"3FOxeDdg","properties":{"formattedCitation":"[92,112]","plainCitation":"[92,112]","noteIndex":0},"citationItems":[{"id":1477,"uris":["http://zotero.org/users/3415649/items/6M68X8FI"],"itemData":{"id":1477,"type":"article-journal","abstract":"The present study focuses on the reprocessing behaviour of recycled injection moulded polylactide (PLA) composites. The composites are reinforced with regenerated cellulose fibres (lyocell) of variable fineness and a fibre mass content of 30%. They were reprocessed up to three times. The influence of reprocessing on the fibre length distribution and the resulting composite mechanical properties (tensile and impact strength) was analysed. While the first reprocessing cycle does not affect the mechanical characteristics of the neat PLA matrix, the strength of the composites decreases significantly due to a decreasing fibre aspect ratio. It was shown that fibres having a larger cross-sectional area display a lower aspect ratio than finer fibres, after reprocessing. This phenomenon leads to a larger decrease in tensile strength of composites reinforced with coarser fibres when compared to composites reinforced with finer fibres. A comparison of virgin composites and threefold reprocessed composites with a similar fibre length distribution resulted in a significantly higher tensile strength compared to the virgin sample. This result leads to the conclusion that not only the fibre length is drastically reduced by reprocessing but also that the fibres and the matrix were damaged.","container-title":"Express Polymer Letters","DOI":"10.3144/expresspolymlett.2016.59","ISSN":"1788618X","issue":"8","journalAbbreviation":"Express Polym. Lett.","language":"en","page":"647-663","source":"DOI.org (Crossref)","title":"Influence of reprocessing on fibre length distribution, tensile strength and impact strength of injection moulded cellulose fibre-reinforced polylactide (PLA) composites","volume":"10","author":[{"family":"Graupner","given":"N."},{"family":"Albrecht","given":"K."},{"family":"Ziegmann","given":"G."},{"family":"Enzler","given":"H."},{"family":"Muessig","given":"J."}],"issued":{"date-parts":[["2016"]]}}},{"id":1806,"uris":["http://zotero.org/users/3415649/items/N2TACSKA"],"itemData":{"id":1806,"type":"article-journal","abstract":"Fiber factor strongly influences the flexural properties of fiber-reinforced composites. Theoretically, strong fiber-matrix bonds combined with long fibers can produce high composite strength, while short fibers influence the ductility of the composite. Both conditions are obtained by aligning the fiber with the loading direction. In this study, an experimental study was conducted on the effect of fiber factors on the flexural strength and modulus of carbon fiber reinforced polypropylene. The fiber factors included in this study were: cryogenic fiber surface treatment, fiber length, and fiber orientation; each factor was divided into three levels. The relationship between the fiber factors and the responses was analyzed using the Response Surface Method (RSM) and Analysis of Variance (ANOVA). The results indicate that there is a good correlation between the predicted response values of the model and the results of the confirmation test. The fiber orientation has the most significant effect on the flexural strength of the composite. All fiber factors significantly affected flexural modulus, with fiber orientation as the most significant factor.","container-title":"Journal of Composites Science","DOI":"10.3390/jcs6060160","ISSN":"2504-477X","issue":"6","journalAbbreviation":"J. Compos. Sci.","language":"en","license":"https://creativecommons.org/licenses/by/4.0/","page":"160","source":"DOI.org (Crossref)","title":"Optimization of Fiber Factors on Flexural Properties for Carbon Fiber Reinforced Polypropylene","volume":"6","author":[{"family":"Nugroho","given":"Gesang"},{"family":"Budiyantoro","given":"Cahyo"}],"issued":{"date-parts":[["2022",5,30]]}}}],"schema":"https://github.com/citation-style-language/schema/raw/master/csl-citation.json"} </w:instrText>
      </w:r>
      <w:r w:rsidRPr="0080518D">
        <w:rPr>
          <w:i/>
          <w:lang w:bidi="en-US"/>
        </w:rPr>
        <w:fldChar w:fldCharType="separate"/>
      </w:r>
      <w:r w:rsidRPr="0080518D">
        <w:t>[92,112]</w:t>
      </w:r>
      <w:r w:rsidRPr="0080518D">
        <w:fldChar w:fldCharType="end"/>
      </w:r>
      <w:r w:rsidRPr="0080518D">
        <w:rPr>
          <w:lang w:bidi="en-US"/>
        </w:rPr>
        <w:t xml:space="preserve">.   </w:t>
      </w:r>
    </w:p>
    <w:p w14:paraId="272F1398" w14:textId="25FE2735" w:rsidR="0080518D" w:rsidRPr="0080518D" w:rsidRDefault="0080518D" w:rsidP="0080518D">
      <w:pPr>
        <w:rPr>
          <w:lang w:bidi="en-US"/>
        </w:rPr>
      </w:pPr>
      <w:r w:rsidRPr="0080518D">
        <w:rPr>
          <w:lang w:bidi="en-US"/>
        </w:rPr>
        <w:t xml:space="preserve"> The trends observed in flexural properties were somewhat different than those seen in the tensile properties of the composite material. Only flexural strain at maximum stress was correlated with a primary factor – a negative correlation with processing temperature. Neither temperature nor injection rate was directly correlated to either flexural strength or modulus, however the interaction term was positively correlated with all three measured properties. In general, flexural strength appears to stay relatively constant with increasing temperature, however this trend abates once we reach a processing temperature of 240 °C, at which point the flexural strength drops significantly. This indicates that flexural strength is less sensitive to the degradation that is occurring until a threshold is reached, unlike tensile strength which drops off in a more linear fashion. These contrasting observations </w:t>
      </w:r>
      <w:r w:rsidRPr="0080518D">
        <w:rPr>
          <w:lang w:bidi="en-US"/>
        </w:rPr>
        <w:lastRenderedPageBreak/>
        <w:t xml:space="preserve">can be explained through the inherent differences between tensile and flexural testing. Tensile tests apply uniform stress throughout the cross-section of the materials, whereas flexural tests concentrate stress on the surfaces of the specimen. This also explains why flexural strengths are typically higher than tensile strengths for a given material </w:t>
      </w:r>
      <w:r w:rsidRPr="0080518D">
        <w:rPr>
          <w:i/>
          <w:lang w:bidi="en-US"/>
        </w:rPr>
        <w:fldChar w:fldCharType="begin"/>
      </w:r>
      <w:r w:rsidRPr="0080518D">
        <w:rPr>
          <w:lang w:bidi="en-US"/>
        </w:rPr>
        <w:instrText xml:space="preserve"> ADDIN ZOTERO_ITEM CSL_CITATION {"citationID":"5YM4cQB1","properties":{"formattedCitation":"[113]","plainCitation":"[113]","noteIndex":0},"citationItems":[{"id":1808,"uris":["http://zotero.org/users/3415649/items/RSUQBJVY"],"itemData":{"id":1808,"type":"article-journal","container-title":"Comptes Rendus Mécanique","DOI":"10.1016/j.crme.2015.02.003","ISSN":"16310721","issue":"4","journalAbbreviation":"Comptes Rendus Mécanique","language":"en","page":"275-281","source":"DOI.org (Crossref)","title":"Flexural vs. tensile strength in brittle materials","volume":"343","author":[{"family":"Leguillon","given":"Dominique"},{"family":"Martin","given":"Éric"},{"family":"Lafarie-Frenot","given":"Marie-Christine"}],"issued":{"date-parts":[["2015",4]]}}}],"schema":"https://github.com/citation-style-language/schema/raw/master/csl-citation.json"} </w:instrText>
      </w:r>
      <w:r w:rsidRPr="0080518D">
        <w:rPr>
          <w:i/>
          <w:lang w:bidi="en-US"/>
        </w:rPr>
        <w:fldChar w:fldCharType="separate"/>
      </w:r>
      <w:r w:rsidRPr="0080518D">
        <w:t>[113]</w:t>
      </w:r>
      <w:r w:rsidRPr="0080518D">
        <w:fldChar w:fldCharType="end"/>
      </w:r>
      <w:r w:rsidRPr="0080518D">
        <w:rPr>
          <w:lang w:bidi="en-US"/>
        </w:rPr>
        <w:t xml:space="preserve">. The positive correlation between the interaction term (temp.*injection rate) is likely due to decreased viscosity of the polymer under more intense processing conditions. The improved flow of the polymer will lead to better surface properties thereby improving flexural strength, although at very intensive processing conditions the degradation to the fibers is more significant than these positive effects. This is likewise true for the flexural modulus; however, we do not observe a drop off in the stiffness of the material as this is less sensitive to defects in the bulk material than the strength. Flexural strain at maximum stress experiences similar trends to tensile strain at break and can again be attributed to increasing matrix crystallinity. </w:t>
      </w:r>
    </w:p>
    <w:p w14:paraId="540F6CDC" w14:textId="2232EB88" w:rsidR="0080518D" w:rsidRDefault="0080518D" w:rsidP="0080518D">
      <w:r w:rsidRPr="0080518D">
        <w:rPr>
          <w:lang w:bidi="en-US"/>
        </w:rPr>
        <w:t xml:space="preserve"> </w:t>
      </w:r>
      <w:r w:rsidRPr="0080518D">
        <w:t xml:space="preserve">The analysis of variance between the different data sets revealed that although the processing conditions are having statistically significant effects on the trends within the material properties, the actual values of the mechanical properties do not change significantly throughout the processing window studied. This is particularly true for the stiffness of the material with all the flexural moduli falling within a statistically equal range and the tensile Young’s modulus only has a few data sets that are not statistically equivalent. From a manufacturing perspective, this suggests the recyclate is tolerant of a wide processing window, although there is an upper limit to the temperature that it can endure. </w:t>
      </w:r>
    </w:p>
    <w:p w14:paraId="5A82AEB1" w14:textId="6203A6EA" w:rsidR="00C34425" w:rsidRDefault="00C34425" w:rsidP="00C34425">
      <w:pPr>
        <w:pStyle w:val="Heading2"/>
      </w:pPr>
      <w:bookmarkStart w:id="48" w:name="_Toc190951802"/>
      <w:r>
        <w:t>3.2.5</w:t>
      </w:r>
      <w:r w:rsidRPr="00C34425">
        <w:rPr>
          <w:rFonts w:ascii="Arial" w:eastAsia="Times New Roman" w:hAnsi="Arial" w:cs="Arial"/>
          <w:b w:val="0"/>
          <w:bCs w:val="0"/>
          <w:i w:val="0"/>
          <w:iCs w:val="0"/>
        </w:rPr>
        <w:t xml:space="preserve"> </w:t>
      </w:r>
      <w:r w:rsidRPr="00C34425">
        <w:t>Impact of Injection Molding Parameters on Composite Water Uptake Behavior</w:t>
      </w:r>
      <w:bookmarkEnd w:id="48"/>
    </w:p>
    <w:p w14:paraId="072D0209" w14:textId="77777777" w:rsidR="00C34425" w:rsidRDefault="00C34425" w:rsidP="00C34425">
      <w:pPr>
        <w:rPr>
          <w:lang w:bidi="en-US"/>
        </w:rPr>
      </w:pPr>
      <w:r w:rsidRPr="00C34425">
        <w:rPr>
          <w:lang w:bidi="en-US"/>
        </w:rPr>
        <w:t xml:space="preserve">The water absorption behavior of the injection molded samples was measured to assess their resistance to humid environments, a common challenge for natural fiber composites. The samples exhibited a low water uptake, with an average mass increase of 0.4 ± 0.2 wt.% after 24 hours of submersion and 0.7 ± 0.4 wt.% after 504 hours of submersion. The processing conditions had no statistically significant effect on water uptake behavior, as all the p-values were far greater than 0.05, as shown in </w:t>
      </w:r>
      <w:r w:rsidRPr="00C34425">
        <w:rPr>
          <w:b/>
          <w:bCs/>
          <w:lang w:bidi="en-US"/>
        </w:rPr>
        <w:t>Table 3.5</w:t>
      </w:r>
      <w:r w:rsidRPr="00C34425">
        <w:rPr>
          <w:lang w:bidi="en-US"/>
        </w:rPr>
        <w:t xml:space="preserve">. A </w:t>
      </w:r>
    </w:p>
    <w:p w14:paraId="775C4D2E" w14:textId="7663CCAA" w:rsidR="00C34425" w:rsidRDefault="00C34425" w:rsidP="00C34425">
      <w:pPr>
        <w:pStyle w:val="TableHeading"/>
        <w:rPr>
          <w:lang w:bidi="en-US"/>
        </w:rPr>
      </w:pPr>
      <w:r w:rsidRPr="00184379">
        <w:rPr>
          <w:lang w:bidi="en-US"/>
        </w:rPr>
        <w:lastRenderedPageBreak/>
        <w:t>Table 3.</w:t>
      </w:r>
      <w:r>
        <w:rPr>
          <w:lang w:bidi="en-US"/>
        </w:rPr>
        <w:t>5</w:t>
      </w:r>
      <w:r w:rsidRPr="00184379">
        <w:rPr>
          <w:lang w:bidi="en-US"/>
        </w:rPr>
        <w:t xml:space="preserve"> </w:t>
      </w:r>
      <w:r w:rsidRPr="00C34425">
        <w:rPr>
          <w:b w:val="0"/>
          <w:bCs w:val="0"/>
          <w:lang w:bidi="en-US"/>
        </w:rPr>
        <w:t>P-values and correlation direction for the effects of temperature, injection rate, and their interaction on water uptake behavior.</w:t>
      </w:r>
    </w:p>
    <w:tbl>
      <w:tblPr>
        <w:tblStyle w:val="TableGrid"/>
        <w:tblW w:w="855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2430"/>
        <w:gridCol w:w="882"/>
        <w:gridCol w:w="1525"/>
        <w:gridCol w:w="2270"/>
      </w:tblGrid>
      <w:tr w:rsidR="00C34425" w:rsidRPr="00C34425" w14:paraId="4BCC08F2" w14:textId="77777777" w:rsidTr="000164F3">
        <w:trPr>
          <w:trHeight w:val="288"/>
          <w:jc w:val="right"/>
        </w:trPr>
        <w:tc>
          <w:tcPr>
            <w:tcW w:w="1445" w:type="dxa"/>
            <w:tcBorders>
              <w:top w:val="single" w:sz="4" w:space="0" w:color="auto"/>
              <w:bottom w:val="single" w:sz="4" w:space="0" w:color="auto"/>
            </w:tcBorders>
            <w:vAlign w:val="center"/>
          </w:tcPr>
          <w:p w14:paraId="3971A8D5" w14:textId="77777777" w:rsidR="00C34425" w:rsidRPr="00C34425" w:rsidRDefault="00C34425" w:rsidP="00C34425">
            <w:pPr>
              <w:pStyle w:val="TableDescription"/>
              <w:rPr>
                <w:b/>
                <w:bCs/>
                <w:lang w:bidi="en-US"/>
              </w:rPr>
            </w:pPr>
            <w:r w:rsidRPr="00C34425">
              <w:rPr>
                <w:b/>
                <w:bCs/>
                <w:lang w:bidi="en-US"/>
              </w:rPr>
              <w:t>Test Method</w:t>
            </w:r>
          </w:p>
        </w:tc>
        <w:tc>
          <w:tcPr>
            <w:tcW w:w="2430" w:type="dxa"/>
            <w:tcBorders>
              <w:top w:val="single" w:sz="4" w:space="0" w:color="auto"/>
              <w:bottom w:val="single" w:sz="4" w:space="0" w:color="auto"/>
            </w:tcBorders>
            <w:vAlign w:val="center"/>
          </w:tcPr>
          <w:p w14:paraId="5866D7B5" w14:textId="77777777" w:rsidR="00C34425" w:rsidRPr="00C34425" w:rsidRDefault="00C34425" w:rsidP="00C34425">
            <w:pPr>
              <w:pStyle w:val="TableDescription"/>
              <w:rPr>
                <w:b/>
                <w:bCs/>
                <w:lang w:bidi="en-US"/>
              </w:rPr>
            </w:pPr>
            <w:r w:rsidRPr="00C34425">
              <w:rPr>
                <w:b/>
                <w:bCs/>
                <w:lang w:bidi="en-US"/>
              </w:rPr>
              <w:t>Property</w:t>
            </w:r>
          </w:p>
        </w:tc>
        <w:tc>
          <w:tcPr>
            <w:tcW w:w="882" w:type="dxa"/>
            <w:tcBorders>
              <w:top w:val="single" w:sz="4" w:space="0" w:color="auto"/>
              <w:bottom w:val="single" w:sz="4" w:space="0" w:color="auto"/>
            </w:tcBorders>
            <w:vAlign w:val="center"/>
          </w:tcPr>
          <w:p w14:paraId="7C6E1CE8" w14:textId="77777777" w:rsidR="00C34425" w:rsidRPr="00C34425" w:rsidRDefault="00C34425" w:rsidP="00C34425">
            <w:pPr>
              <w:pStyle w:val="TableDescription"/>
              <w:rPr>
                <w:b/>
                <w:bCs/>
                <w:lang w:bidi="en-US"/>
              </w:rPr>
            </w:pPr>
            <w:r w:rsidRPr="00C34425">
              <w:rPr>
                <w:b/>
                <w:bCs/>
                <w:lang w:bidi="en-US"/>
              </w:rPr>
              <w:t>Temp.</w:t>
            </w:r>
          </w:p>
        </w:tc>
        <w:tc>
          <w:tcPr>
            <w:tcW w:w="1525" w:type="dxa"/>
            <w:tcBorders>
              <w:top w:val="single" w:sz="4" w:space="0" w:color="auto"/>
              <w:bottom w:val="single" w:sz="4" w:space="0" w:color="auto"/>
            </w:tcBorders>
            <w:vAlign w:val="center"/>
          </w:tcPr>
          <w:p w14:paraId="2757EE8A" w14:textId="77777777" w:rsidR="00C34425" w:rsidRPr="00C34425" w:rsidRDefault="00C34425" w:rsidP="00C34425">
            <w:pPr>
              <w:pStyle w:val="TableDescription"/>
              <w:rPr>
                <w:b/>
                <w:bCs/>
                <w:lang w:bidi="en-US"/>
              </w:rPr>
            </w:pPr>
            <w:r w:rsidRPr="00C34425">
              <w:rPr>
                <w:b/>
                <w:bCs/>
                <w:lang w:bidi="en-US"/>
              </w:rPr>
              <w:t>Injection Rate</w:t>
            </w:r>
          </w:p>
        </w:tc>
        <w:tc>
          <w:tcPr>
            <w:tcW w:w="2270" w:type="dxa"/>
            <w:tcBorders>
              <w:top w:val="single" w:sz="4" w:space="0" w:color="auto"/>
              <w:bottom w:val="single" w:sz="4" w:space="0" w:color="auto"/>
            </w:tcBorders>
            <w:vAlign w:val="center"/>
          </w:tcPr>
          <w:p w14:paraId="7366DA27" w14:textId="77777777" w:rsidR="00C34425" w:rsidRPr="00C34425" w:rsidRDefault="00C34425" w:rsidP="00C34425">
            <w:pPr>
              <w:pStyle w:val="TableDescription"/>
              <w:rPr>
                <w:b/>
                <w:bCs/>
                <w:lang w:bidi="en-US"/>
              </w:rPr>
            </w:pPr>
            <w:r w:rsidRPr="00C34425">
              <w:rPr>
                <w:b/>
                <w:bCs/>
                <w:lang w:bidi="en-US"/>
              </w:rPr>
              <w:t>Temp.*Injection Rate</w:t>
            </w:r>
          </w:p>
        </w:tc>
      </w:tr>
      <w:tr w:rsidR="00C34425" w:rsidRPr="00C34425" w14:paraId="569C58CF" w14:textId="77777777" w:rsidTr="000164F3">
        <w:trPr>
          <w:trHeight w:val="288"/>
          <w:jc w:val="right"/>
        </w:trPr>
        <w:tc>
          <w:tcPr>
            <w:tcW w:w="1445" w:type="dxa"/>
            <w:vMerge w:val="restart"/>
            <w:tcBorders>
              <w:top w:val="single" w:sz="4" w:space="0" w:color="auto"/>
            </w:tcBorders>
            <w:vAlign w:val="center"/>
          </w:tcPr>
          <w:p w14:paraId="6D8012A3" w14:textId="77777777" w:rsidR="00C34425" w:rsidRPr="00C34425" w:rsidRDefault="00C34425" w:rsidP="00C34425">
            <w:pPr>
              <w:pStyle w:val="TableDescription"/>
              <w:rPr>
                <w:lang w:bidi="en-US"/>
              </w:rPr>
            </w:pPr>
            <w:r w:rsidRPr="00C34425">
              <w:rPr>
                <w:lang w:bidi="en-US"/>
              </w:rPr>
              <w:t>Water Uptake</w:t>
            </w:r>
          </w:p>
        </w:tc>
        <w:tc>
          <w:tcPr>
            <w:tcW w:w="2430" w:type="dxa"/>
            <w:tcBorders>
              <w:top w:val="single" w:sz="4" w:space="0" w:color="auto"/>
            </w:tcBorders>
            <w:vAlign w:val="center"/>
          </w:tcPr>
          <w:p w14:paraId="6557F88A" w14:textId="77777777" w:rsidR="00C34425" w:rsidRPr="00C34425" w:rsidRDefault="00C34425" w:rsidP="00C34425">
            <w:pPr>
              <w:pStyle w:val="TableDescription"/>
              <w:rPr>
                <w:lang w:bidi="en-US"/>
              </w:rPr>
            </w:pPr>
            <w:r w:rsidRPr="00C34425">
              <w:rPr>
                <w:lang w:bidi="en-US"/>
              </w:rPr>
              <w:t>24 Hour Water Uptake</w:t>
            </w:r>
          </w:p>
        </w:tc>
        <w:tc>
          <w:tcPr>
            <w:tcW w:w="882" w:type="dxa"/>
            <w:tcBorders>
              <w:top w:val="single" w:sz="4" w:space="0" w:color="auto"/>
            </w:tcBorders>
            <w:vAlign w:val="center"/>
          </w:tcPr>
          <w:p w14:paraId="7AE6B3C0" w14:textId="77777777" w:rsidR="00C34425" w:rsidRPr="00C34425" w:rsidRDefault="00C34425" w:rsidP="00C34425">
            <w:pPr>
              <w:pStyle w:val="TableDescription"/>
              <w:rPr>
                <w:lang w:bidi="en-US"/>
              </w:rPr>
            </w:pPr>
            <w:r w:rsidRPr="00C34425">
              <w:rPr>
                <w:lang w:bidi="en-US"/>
              </w:rPr>
              <w:t>0.3451</w:t>
            </w:r>
          </w:p>
        </w:tc>
        <w:tc>
          <w:tcPr>
            <w:tcW w:w="1525" w:type="dxa"/>
            <w:tcBorders>
              <w:top w:val="single" w:sz="4" w:space="0" w:color="auto"/>
            </w:tcBorders>
            <w:vAlign w:val="center"/>
          </w:tcPr>
          <w:p w14:paraId="7F8AC2FC" w14:textId="77777777" w:rsidR="00C34425" w:rsidRPr="00C34425" w:rsidRDefault="00C34425" w:rsidP="00C34425">
            <w:pPr>
              <w:pStyle w:val="TableDescription"/>
              <w:rPr>
                <w:lang w:bidi="en-US"/>
              </w:rPr>
            </w:pPr>
            <w:r w:rsidRPr="00C34425">
              <w:rPr>
                <w:lang w:bidi="en-US"/>
              </w:rPr>
              <w:t>0.3428</w:t>
            </w:r>
          </w:p>
        </w:tc>
        <w:tc>
          <w:tcPr>
            <w:tcW w:w="2270" w:type="dxa"/>
            <w:tcBorders>
              <w:top w:val="single" w:sz="4" w:space="0" w:color="auto"/>
            </w:tcBorders>
            <w:vAlign w:val="center"/>
          </w:tcPr>
          <w:p w14:paraId="09672FAB" w14:textId="77777777" w:rsidR="00C34425" w:rsidRPr="00C34425" w:rsidRDefault="00C34425" w:rsidP="00C34425">
            <w:pPr>
              <w:pStyle w:val="TableDescription"/>
              <w:rPr>
                <w:lang w:bidi="en-US"/>
              </w:rPr>
            </w:pPr>
            <w:r w:rsidRPr="00C34425">
              <w:rPr>
                <w:lang w:bidi="en-US"/>
              </w:rPr>
              <w:t>0.3804</w:t>
            </w:r>
          </w:p>
        </w:tc>
      </w:tr>
      <w:tr w:rsidR="00C34425" w:rsidRPr="00C34425" w14:paraId="770840EA" w14:textId="77777777" w:rsidTr="000164F3">
        <w:trPr>
          <w:trHeight w:val="288"/>
          <w:jc w:val="right"/>
        </w:trPr>
        <w:tc>
          <w:tcPr>
            <w:tcW w:w="1445" w:type="dxa"/>
            <w:vMerge/>
            <w:tcBorders>
              <w:bottom w:val="single" w:sz="4" w:space="0" w:color="auto"/>
            </w:tcBorders>
            <w:vAlign w:val="center"/>
          </w:tcPr>
          <w:p w14:paraId="4707E50D" w14:textId="77777777" w:rsidR="00C34425" w:rsidRPr="00C34425" w:rsidRDefault="00C34425" w:rsidP="00C34425">
            <w:pPr>
              <w:pStyle w:val="TableDescription"/>
              <w:rPr>
                <w:lang w:bidi="en-US"/>
              </w:rPr>
            </w:pPr>
          </w:p>
        </w:tc>
        <w:tc>
          <w:tcPr>
            <w:tcW w:w="2430" w:type="dxa"/>
            <w:tcBorders>
              <w:bottom w:val="single" w:sz="4" w:space="0" w:color="auto"/>
            </w:tcBorders>
            <w:vAlign w:val="center"/>
          </w:tcPr>
          <w:p w14:paraId="14EAF420" w14:textId="77777777" w:rsidR="00C34425" w:rsidRPr="00C34425" w:rsidRDefault="00C34425" w:rsidP="00C34425">
            <w:pPr>
              <w:pStyle w:val="TableDescription"/>
              <w:rPr>
                <w:lang w:bidi="en-US"/>
              </w:rPr>
            </w:pPr>
            <w:r w:rsidRPr="00C34425">
              <w:rPr>
                <w:lang w:bidi="en-US"/>
              </w:rPr>
              <w:t>504 Hour Water Uptake</w:t>
            </w:r>
          </w:p>
        </w:tc>
        <w:tc>
          <w:tcPr>
            <w:tcW w:w="882" w:type="dxa"/>
            <w:tcBorders>
              <w:bottom w:val="single" w:sz="4" w:space="0" w:color="auto"/>
            </w:tcBorders>
            <w:vAlign w:val="center"/>
          </w:tcPr>
          <w:p w14:paraId="14A41F48" w14:textId="77777777" w:rsidR="00C34425" w:rsidRPr="00C34425" w:rsidRDefault="00C34425" w:rsidP="00C34425">
            <w:pPr>
              <w:pStyle w:val="TableDescription"/>
              <w:rPr>
                <w:lang w:bidi="en-US"/>
              </w:rPr>
            </w:pPr>
            <w:r w:rsidRPr="00C34425">
              <w:rPr>
                <w:lang w:bidi="en-US"/>
              </w:rPr>
              <w:t>0.2491</w:t>
            </w:r>
          </w:p>
        </w:tc>
        <w:tc>
          <w:tcPr>
            <w:tcW w:w="1525" w:type="dxa"/>
            <w:tcBorders>
              <w:bottom w:val="single" w:sz="4" w:space="0" w:color="auto"/>
            </w:tcBorders>
            <w:vAlign w:val="center"/>
          </w:tcPr>
          <w:p w14:paraId="7750D4B6" w14:textId="77777777" w:rsidR="00C34425" w:rsidRPr="00C34425" w:rsidRDefault="00C34425" w:rsidP="00C34425">
            <w:pPr>
              <w:pStyle w:val="TableDescription"/>
              <w:rPr>
                <w:lang w:bidi="en-US"/>
              </w:rPr>
            </w:pPr>
            <w:r w:rsidRPr="00C34425">
              <w:rPr>
                <w:lang w:bidi="en-US"/>
              </w:rPr>
              <w:t>0.6949</w:t>
            </w:r>
          </w:p>
        </w:tc>
        <w:tc>
          <w:tcPr>
            <w:tcW w:w="2270" w:type="dxa"/>
            <w:tcBorders>
              <w:bottom w:val="single" w:sz="4" w:space="0" w:color="auto"/>
            </w:tcBorders>
            <w:vAlign w:val="center"/>
          </w:tcPr>
          <w:p w14:paraId="72FD35DC" w14:textId="77777777" w:rsidR="00C34425" w:rsidRPr="00C34425" w:rsidRDefault="00C34425" w:rsidP="00C34425">
            <w:pPr>
              <w:pStyle w:val="TableDescription"/>
              <w:rPr>
                <w:lang w:bidi="en-US"/>
              </w:rPr>
            </w:pPr>
            <w:r w:rsidRPr="00C34425">
              <w:rPr>
                <w:lang w:bidi="en-US"/>
              </w:rPr>
              <w:t>0.1681</w:t>
            </w:r>
          </w:p>
        </w:tc>
      </w:tr>
    </w:tbl>
    <w:p w14:paraId="5DA338AA" w14:textId="77777777" w:rsidR="00C34425" w:rsidRDefault="00C34425" w:rsidP="00C34425">
      <w:pPr>
        <w:pStyle w:val="TableDescription"/>
        <w:rPr>
          <w:lang w:bidi="en-US"/>
        </w:rPr>
      </w:pPr>
      <w:r>
        <w:rPr>
          <w:lang w:bidi="en-US"/>
        </w:rPr>
        <w:br w:type="page"/>
      </w:r>
    </w:p>
    <w:p w14:paraId="43B3BF25" w14:textId="64B3B7E8" w:rsidR="00C34425" w:rsidRPr="00C34425" w:rsidRDefault="00C34425" w:rsidP="00C34425">
      <w:pPr>
        <w:ind w:firstLine="0"/>
        <w:rPr>
          <w:iCs/>
          <w:lang w:bidi="en-US"/>
        </w:rPr>
      </w:pPr>
      <w:r w:rsidRPr="00C34425">
        <w:rPr>
          <w:lang w:bidi="en-US"/>
        </w:rPr>
        <w:lastRenderedPageBreak/>
        <w:t xml:space="preserve">significant degree of variability was observed, likely due to limitations of the resolution of the scale used for these measurements. Overall, these tests indicate that paper fibers were almost entirely encapsulated by the polypropylene matrix, thereby preventing moisture ingress into the fibers.  </w:t>
      </w:r>
    </w:p>
    <w:p w14:paraId="26A72B23" w14:textId="277E6412" w:rsidR="0080518D" w:rsidRDefault="0080518D" w:rsidP="0080518D">
      <w:pPr>
        <w:pStyle w:val="Heading2"/>
        <w:rPr>
          <w:lang w:bidi="en-US"/>
        </w:rPr>
      </w:pPr>
      <w:bookmarkStart w:id="49" w:name="_Toc190951803"/>
      <w:r>
        <w:rPr>
          <w:lang w:bidi="en-US"/>
        </w:rPr>
        <w:t xml:space="preserve">3.2.6 </w:t>
      </w:r>
      <w:r w:rsidRPr="0080518D">
        <w:rPr>
          <w:lang w:bidi="en-US"/>
        </w:rPr>
        <w:t>Correlation between Crystallinity and Mechanical Properties</w:t>
      </w:r>
      <w:bookmarkEnd w:id="49"/>
    </w:p>
    <w:p w14:paraId="10D55E7E" w14:textId="77777777" w:rsidR="0080518D" w:rsidRPr="0080518D" w:rsidRDefault="0080518D" w:rsidP="0080518D">
      <w:pPr>
        <w:rPr>
          <w:iCs/>
          <w:lang w:bidi="en-US"/>
        </w:rPr>
      </w:pPr>
      <w:r w:rsidRPr="0080518D">
        <w:rPr>
          <w:iCs/>
          <w:lang w:bidi="en-US"/>
        </w:rPr>
        <w:t xml:space="preserve">Multivariate analysis was used to analyze the relationship between crystallinity and mechanical properties to understand underlying correlations. The Pearson’s correlation coefficient from this analysis are shown in </w:t>
      </w:r>
      <w:r w:rsidRPr="0080518D">
        <w:rPr>
          <w:b/>
          <w:bCs/>
          <w:iCs/>
          <w:lang w:bidi="en-US"/>
        </w:rPr>
        <w:t>Table 3.6</w:t>
      </w:r>
      <w:r w:rsidRPr="0080518D">
        <w:rPr>
          <w:iCs/>
          <w:lang w:bidi="en-US"/>
        </w:rPr>
        <w:t>, with associated p-values reported in the supplementary info. T</w:t>
      </w:r>
      <w:r w:rsidRPr="0080518D">
        <w:rPr>
          <w:iCs/>
          <w:vertAlign w:val="subscript"/>
          <w:lang w:bidi="en-US"/>
        </w:rPr>
        <w:t xml:space="preserve">m </w:t>
      </w:r>
      <w:r w:rsidRPr="0080518D">
        <w:rPr>
          <w:iCs/>
          <w:lang w:bidi="en-US"/>
        </w:rPr>
        <w:t>(2</w:t>
      </w:r>
      <w:r w:rsidRPr="0080518D">
        <w:rPr>
          <w:iCs/>
          <w:vertAlign w:val="superscript"/>
          <w:lang w:bidi="en-US"/>
        </w:rPr>
        <w:t>nd</w:t>
      </w:r>
      <w:r w:rsidRPr="0080518D">
        <w:rPr>
          <w:iCs/>
          <w:lang w:bidi="en-US"/>
        </w:rPr>
        <w:t xml:space="preserve"> heat)</w:t>
      </w:r>
      <w:r w:rsidRPr="0080518D">
        <w:rPr>
          <w:iCs/>
          <w:vertAlign w:val="subscript"/>
          <w:lang w:bidi="en-US"/>
        </w:rPr>
        <w:t xml:space="preserve"> </w:t>
      </w:r>
      <w:r w:rsidRPr="0080518D">
        <w:rPr>
          <w:iCs/>
          <w:lang w:bidi="en-US"/>
        </w:rPr>
        <w:t xml:space="preserve">and </w:t>
      </w:r>
      <w:proofErr w:type="spellStart"/>
      <w:r w:rsidRPr="0080518D">
        <w:rPr>
          <w:iCs/>
          <w:lang w:bidi="en-US"/>
        </w:rPr>
        <w:t>ΔH</w:t>
      </w:r>
      <w:r w:rsidRPr="0080518D">
        <w:rPr>
          <w:iCs/>
          <w:vertAlign w:val="subscript"/>
          <w:lang w:bidi="en-US"/>
        </w:rPr>
        <w:t>m</w:t>
      </w:r>
      <w:proofErr w:type="spellEnd"/>
      <w:r w:rsidRPr="0080518D">
        <w:rPr>
          <w:iCs/>
          <w:vertAlign w:val="subscript"/>
          <w:lang w:bidi="en-US"/>
        </w:rPr>
        <w:t xml:space="preserve"> </w:t>
      </w:r>
      <w:r w:rsidRPr="0080518D">
        <w:rPr>
          <w:iCs/>
          <w:lang w:bidi="en-US"/>
        </w:rPr>
        <w:t>(2</w:t>
      </w:r>
      <w:r w:rsidRPr="0080518D">
        <w:rPr>
          <w:iCs/>
          <w:vertAlign w:val="superscript"/>
          <w:lang w:bidi="en-US"/>
        </w:rPr>
        <w:t>nd</w:t>
      </w:r>
      <w:r w:rsidRPr="0080518D">
        <w:rPr>
          <w:iCs/>
          <w:lang w:bidi="en-US"/>
        </w:rPr>
        <w:t xml:space="preserve"> heat) were not included in this analysis, as they do not correspond to the thermal history associated with processing the tested specimens. These relationships were analyzed and no correlations were observed. In general, Pearson’s correlation coefficients with an </w:t>
      </w:r>
      <w:proofErr w:type="spellStart"/>
      <w:r w:rsidRPr="0080518D">
        <w:rPr>
          <w:iCs/>
          <w:lang w:bidi="en-US"/>
        </w:rPr>
        <w:t>absoluate</w:t>
      </w:r>
      <w:proofErr w:type="spellEnd"/>
      <w:r w:rsidRPr="0080518D">
        <w:rPr>
          <w:iCs/>
          <w:lang w:bidi="en-US"/>
        </w:rPr>
        <w:t xml:space="preserve"> value between 0.00 – 0.09 are considered to have a negligible correlation, those from 0.10 – 0.39 are weakly correlated, 0.40 – 0.69 moderately correlated, 0.70 – 0.89 strongly correlated, and 0.90 – 1.00 very strongly correlated </w:t>
      </w:r>
      <w:r w:rsidRPr="0080518D">
        <w:rPr>
          <w:iCs/>
          <w:lang w:bidi="en-US"/>
        </w:rPr>
        <w:fldChar w:fldCharType="begin"/>
      </w:r>
      <w:r w:rsidRPr="0080518D">
        <w:rPr>
          <w:iCs/>
          <w:lang w:bidi="en-US"/>
        </w:rPr>
        <w:instrText xml:space="preserve"> ADDIN ZOTERO_ITEM CSL_CITATION {"citationID":"NQv6l7SB","properties":{"formattedCitation":"[114]","plainCitation":"[114]","noteIndex":0},"citationItems":[{"id":1832,"uris":["http://zotero.org/users/3415649/items/HHP7MBUJ"],"itemData":{"id":1832,"type":"article-journal","abstract":"Correlation in the broadest sense is a measure of an association between variables. In correlated data, the change in the magnitude of 1 variable is associated with a change in the magnitude of another variable, either in the same (positive correlation) or in the opposite (negative correlation) direction. Most often, the term correlation is used in the context of a linear relationship between 2 continuous variables and expressed as Pearson product-moment correlation. The Pearson correlation coefficient is typically used for jointly normally distributed data (data that follow a bivariate normal distribution). For nonnormally distributed continuous data, for ordinal data, or for data with relevant outliers, a Spearman rank correlation can be used as a measure of a monotonic association. Both correlation coefficients are scaled such that they range from –1 to +1, where 0 indicates that there is no linear or monotonic association, and the relationship gets stronger and ultimately approaches a straight line (Pearson correlation) or a constantly increasing or decreasing curve (Spearman correlation) as the coefficient approaches an absolute value of 1. Hypothesis tests and confidence intervals can be used to address the statistical significance of the results and to estimate the strength of the relationship in the population from which the data were sampled. The aim of this tutorial is to guide researchers and clinicians in the appropriate use and interpretation of correlation coefficients.","container-title":"Anesthesia &amp; Analgesia","DOI":"10.1213/ANE.0000000000002864","ISSN":"0003-2999","issue":"5","language":"en","license":"http://creativecommons.org/licenses/by-nc-nd/4.0/","page":"1763-1768","source":"DOI.org (Crossref)","title":"Correlation Coefficients: Appropriate Use and Interpretation","title-short":"Correlation Coefficients","volume":"126","author":[{"family":"Schober","given":"Patrick"},{"family":"Boer","given":"Christa"},{"family":"Schwarte","given":"Lothar A."}],"issued":{"date-parts":[["2018",5]]}}}],"schema":"https://github.com/citation-style-language/schema/raw/master/csl-citation.json"} </w:instrText>
      </w:r>
      <w:r w:rsidRPr="0080518D">
        <w:rPr>
          <w:iCs/>
          <w:lang w:bidi="en-US"/>
        </w:rPr>
        <w:fldChar w:fldCharType="separate"/>
      </w:r>
      <w:r w:rsidRPr="0080518D">
        <w:rPr>
          <w:lang w:bidi="en-US"/>
        </w:rPr>
        <w:t>[114]</w:t>
      </w:r>
      <w:r w:rsidRPr="0080518D">
        <w:rPr>
          <w:lang w:bidi="en-US"/>
        </w:rPr>
        <w:fldChar w:fldCharType="end"/>
      </w:r>
      <w:r w:rsidRPr="0080518D">
        <w:rPr>
          <w:iCs/>
          <w:lang w:bidi="en-US"/>
        </w:rPr>
        <w:t xml:space="preserve">.  </w:t>
      </w:r>
    </w:p>
    <w:p w14:paraId="6496B9C0" w14:textId="244DBDB6" w:rsidR="0080518D" w:rsidRDefault="0080518D" w:rsidP="0080518D">
      <w:pPr>
        <w:rPr>
          <w:iCs/>
          <w:lang w:bidi="en-US"/>
        </w:rPr>
      </w:pPr>
      <w:r w:rsidRPr="0080518D">
        <w:rPr>
          <w:iCs/>
          <w:lang w:bidi="en-US"/>
        </w:rPr>
        <w:t xml:space="preserve"> The majority of the correlation coefficients generated by the multivariate analysis fall in the negligible to weakly correlated range, however there are a number of notable exceptions. Ultimate tensile strength is very strongly correlated with tensile strain at break, strongly correlated with flexural strain at maximum stress, and moderately negatively correlated with </w:t>
      </w:r>
      <w:proofErr w:type="spellStart"/>
      <w:r w:rsidRPr="0080518D">
        <w:rPr>
          <w:iCs/>
          <w:lang w:bidi="en-US"/>
        </w:rPr>
        <w:t>ΔH</w:t>
      </w:r>
      <w:r w:rsidRPr="0080518D">
        <w:rPr>
          <w:iCs/>
          <w:vertAlign w:val="subscript"/>
          <w:lang w:bidi="en-US"/>
        </w:rPr>
        <w:t>m</w:t>
      </w:r>
      <w:proofErr w:type="spellEnd"/>
      <w:r w:rsidRPr="0080518D">
        <w:rPr>
          <w:iCs/>
          <w:vertAlign w:val="subscript"/>
          <w:lang w:bidi="en-US"/>
        </w:rPr>
        <w:t xml:space="preserve"> </w:t>
      </w:r>
      <w:r w:rsidRPr="0080518D">
        <w:rPr>
          <w:iCs/>
          <w:lang w:bidi="en-US"/>
        </w:rPr>
        <w:t>(1st heat), T</w:t>
      </w:r>
      <w:r w:rsidRPr="0080518D">
        <w:rPr>
          <w:iCs/>
          <w:vertAlign w:val="subscript"/>
          <w:lang w:bidi="en-US"/>
        </w:rPr>
        <w:t>c</w:t>
      </w:r>
      <w:r w:rsidRPr="0080518D">
        <w:rPr>
          <w:iCs/>
          <w:lang w:bidi="en-US"/>
        </w:rPr>
        <w:t xml:space="preserve"> and </w:t>
      </w:r>
      <w:proofErr w:type="spellStart"/>
      <w:r w:rsidRPr="0080518D">
        <w:rPr>
          <w:iCs/>
          <w:lang w:bidi="en-US"/>
        </w:rPr>
        <w:t>ΔH</w:t>
      </w:r>
      <w:r w:rsidRPr="0080518D">
        <w:rPr>
          <w:iCs/>
          <w:vertAlign w:val="subscript"/>
          <w:lang w:bidi="en-US"/>
        </w:rPr>
        <w:t>c</w:t>
      </w:r>
      <w:proofErr w:type="spellEnd"/>
      <w:r w:rsidRPr="0080518D">
        <w:rPr>
          <w:iCs/>
          <w:lang w:bidi="en-US"/>
        </w:rPr>
        <w:t>. Tensile strain at break is also strongly correlated with flexural strain at maximum stress, and moderately negatively correlated with T</w:t>
      </w:r>
      <w:r w:rsidRPr="0080518D">
        <w:rPr>
          <w:iCs/>
          <w:vertAlign w:val="subscript"/>
          <w:lang w:bidi="en-US"/>
        </w:rPr>
        <w:t>c</w:t>
      </w:r>
      <w:r w:rsidRPr="0080518D">
        <w:rPr>
          <w:iCs/>
          <w:lang w:bidi="en-US"/>
        </w:rPr>
        <w:t xml:space="preserve"> and </w:t>
      </w:r>
      <w:proofErr w:type="spellStart"/>
      <w:r w:rsidRPr="0080518D">
        <w:rPr>
          <w:iCs/>
          <w:lang w:bidi="en-US"/>
        </w:rPr>
        <w:t>ΔH</w:t>
      </w:r>
      <w:r w:rsidRPr="0080518D">
        <w:rPr>
          <w:iCs/>
          <w:vertAlign w:val="subscript"/>
          <w:lang w:bidi="en-US"/>
        </w:rPr>
        <w:t>c</w:t>
      </w:r>
      <w:proofErr w:type="spellEnd"/>
      <w:r w:rsidRPr="0080518D">
        <w:rPr>
          <w:iCs/>
          <w:vertAlign w:val="subscript"/>
          <w:lang w:bidi="en-US"/>
        </w:rPr>
        <w:t xml:space="preserve">. </w:t>
      </w:r>
      <w:r w:rsidRPr="0080518D">
        <w:rPr>
          <w:iCs/>
          <w:lang w:bidi="en-US"/>
        </w:rPr>
        <w:t>Flexural modulus shows a moderate negative correlation with T</w:t>
      </w:r>
      <w:r w:rsidRPr="0080518D">
        <w:rPr>
          <w:iCs/>
          <w:vertAlign w:val="subscript"/>
          <w:lang w:bidi="en-US"/>
        </w:rPr>
        <w:t>m</w:t>
      </w:r>
      <w:r w:rsidRPr="0080518D">
        <w:rPr>
          <w:iCs/>
          <w:lang w:bidi="en-US"/>
        </w:rPr>
        <w:t xml:space="preserve"> (1st heat), while flexural strain at max stress shows a moderate positive correlation. </w:t>
      </w:r>
    </w:p>
    <w:p w14:paraId="3CDEE7CF" w14:textId="77777777" w:rsidR="00C34425" w:rsidRDefault="0080518D" w:rsidP="0080518D">
      <w:pPr>
        <w:rPr>
          <w:iCs/>
          <w:lang w:bidi="en-US"/>
        </w:rPr>
      </w:pPr>
      <w:r w:rsidRPr="0080518D">
        <w:rPr>
          <w:iCs/>
          <w:lang w:bidi="en-US"/>
        </w:rPr>
        <w:t xml:space="preserve">These correlations give further insight into the relationship between polymer morphology and mechanical behavior. In particular, these results support the conclusion that degree of crystallinity and type of crystal are having significant impacts on material strength and brittleness. Degree of crystallinity is directly measured by both </w:t>
      </w:r>
      <w:proofErr w:type="spellStart"/>
      <w:r w:rsidRPr="0080518D">
        <w:rPr>
          <w:iCs/>
          <w:lang w:bidi="en-US"/>
        </w:rPr>
        <w:t>ΔT</w:t>
      </w:r>
      <w:r w:rsidRPr="0080518D">
        <w:rPr>
          <w:iCs/>
          <w:vertAlign w:val="subscript"/>
          <w:lang w:bidi="en-US"/>
        </w:rPr>
        <w:t>c</w:t>
      </w:r>
      <w:proofErr w:type="spellEnd"/>
      <w:r w:rsidRPr="0080518D">
        <w:rPr>
          <w:iCs/>
          <w:vertAlign w:val="subscript"/>
          <w:lang w:bidi="en-US"/>
        </w:rPr>
        <w:t xml:space="preserve"> </w:t>
      </w:r>
      <w:r w:rsidRPr="0080518D">
        <w:rPr>
          <w:iCs/>
          <w:lang w:bidi="en-US"/>
        </w:rPr>
        <w:t xml:space="preserve">and </w:t>
      </w:r>
      <w:proofErr w:type="spellStart"/>
      <w:r w:rsidRPr="0080518D">
        <w:rPr>
          <w:iCs/>
          <w:lang w:bidi="en-US"/>
        </w:rPr>
        <w:t>ΔH</w:t>
      </w:r>
      <w:r w:rsidRPr="0080518D">
        <w:rPr>
          <w:iCs/>
          <w:vertAlign w:val="subscript"/>
          <w:lang w:bidi="en-US"/>
        </w:rPr>
        <w:t>c</w:t>
      </w:r>
      <w:proofErr w:type="spellEnd"/>
      <w:r w:rsidRPr="0080518D">
        <w:rPr>
          <w:iCs/>
          <w:vertAlign w:val="subscript"/>
          <w:lang w:bidi="en-US"/>
        </w:rPr>
        <w:t xml:space="preserve">. </w:t>
      </w:r>
      <w:r w:rsidRPr="0080518D">
        <w:rPr>
          <w:iCs/>
          <w:lang w:bidi="en-US"/>
        </w:rPr>
        <w:t xml:space="preserve">The inverse correlation between these two properties and ultimate tensile strength further confirms the previously hypothesized relationship. Likewise, the inverse correlation </w:t>
      </w:r>
    </w:p>
    <w:p w14:paraId="082119D2" w14:textId="77777777" w:rsidR="00C34425" w:rsidRDefault="00C34425" w:rsidP="00C34425">
      <w:pPr>
        <w:spacing w:after="160" w:line="259" w:lineRule="auto"/>
        <w:ind w:firstLine="0"/>
        <w:jc w:val="left"/>
        <w:rPr>
          <w:b/>
          <w:bCs/>
          <w:iCs/>
          <w:lang w:bidi="en-US"/>
        </w:rPr>
        <w:sectPr w:rsidR="00C34425" w:rsidSect="006B02BB">
          <w:pgSz w:w="12240" w:h="15840"/>
          <w:pgMar w:top="1440" w:right="1800" w:bottom="1872" w:left="1800" w:header="720" w:footer="720" w:gutter="0"/>
          <w:cols w:space="720"/>
          <w:docGrid w:linePitch="360"/>
        </w:sectPr>
      </w:pPr>
    </w:p>
    <w:p w14:paraId="74637296" w14:textId="48A37A32" w:rsidR="00C34425" w:rsidRDefault="00C34425" w:rsidP="00C34425">
      <w:pPr>
        <w:spacing w:after="160" w:line="259" w:lineRule="auto"/>
        <w:ind w:firstLine="0"/>
        <w:jc w:val="left"/>
        <w:rPr>
          <w:iCs/>
          <w:lang w:bidi="en-US"/>
        </w:rPr>
      </w:pPr>
      <w:r w:rsidRPr="00C34425">
        <w:rPr>
          <w:b/>
          <w:bCs/>
          <w:iCs/>
          <w:lang w:bidi="en-US"/>
        </w:rPr>
        <w:lastRenderedPageBreak/>
        <w:t>Table 3.</w:t>
      </w:r>
      <w:r>
        <w:rPr>
          <w:b/>
          <w:bCs/>
          <w:iCs/>
          <w:lang w:bidi="en-US"/>
        </w:rPr>
        <w:t>6</w:t>
      </w:r>
      <w:r w:rsidRPr="00C34425">
        <w:rPr>
          <w:b/>
          <w:bCs/>
          <w:iCs/>
          <w:lang w:bidi="en-US"/>
        </w:rPr>
        <w:t xml:space="preserve"> </w:t>
      </w:r>
      <w:r w:rsidRPr="00C34425">
        <w:rPr>
          <w:iCs/>
          <w:lang w:bidi="en-US"/>
        </w:rPr>
        <w:t>Pearson’s correlation coefficients from multivariate analysis, with moderate or better correlation bolded for clarity.</w:t>
      </w:r>
    </w:p>
    <w:tbl>
      <w:tblPr>
        <w:tblpPr w:leftFromText="180" w:rightFromText="180" w:vertAnchor="page" w:horzAnchor="margin" w:tblpXSpec="center" w:tblpY="2253"/>
        <w:tblW w:w="0" w:type="auto"/>
        <w:tblCellMar>
          <w:left w:w="0" w:type="dxa"/>
          <w:right w:w="0" w:type="dxa"/>
        </w:tblCellMar>
        <w:tblLook w:val="04A0" w:firstRow="1" w:lastRow="0" w:firstColumn="1" w:lastColumn="0" w:noHBand="0" w:noVBand="1"/>
      </w:tblPr>
      <w:tblGrid>
        <w:gridCol w:w="1580"/>
        <w:gridCol w:w="1032"/>
        <w:gridCol w:w="848"/>
        <w:gridCol w:w="1284"/>
        <w:gridCol w:w="1032"/>
        <w:gridCol w:w="1511"/>
        <w:gridCol w:w="1372"/>
        <w:gridCol w:w="1075"/>
        <w:gridCol w:w="1075"/>
        <w:gridCol w:w="924"/>
        <w:gridCol w:w="924"/>
      </w:tblGrid>
      <w:tr w:rsidR="00C34425" w:rsidRPr="00C34425" w14:paraId="638E243E" w14:textId="77777777" w:rsidTr="00C34425">
        <w:trPr>
          <w:trHeight w:val="432"/>
        </w:trPr>
        <w:tc>
          <w:tcPr>
            <w:tcW w:w="0" w:type="auto"/>
            <w:tcBorders>
              <w:top w:val="single" w:sz="4" w:space="0" w:color="auto"/>
              <w:left w:val="single" w:sz="6" w:space="0" w:color="000000"/>
              <w:bottom w:val="single" w:sz="6" w:space="0" w:color="000000"/>
              <w:right w:val="single" w:sz="6" w:space="0" w:color="000000"/>
            </w:tcBorders>
            <w:shd w:val="clear" w:color="auto" w:fill="auto"/>
            <w:tcMar>
              <w:top w:w="15" w:type="dxa"/>
              <w:left w:w="108" w:type="dxa"/>
              <w:bottom w:w="0" w:type="dxa"/>
              <w:right w:w="108" w:type="dxa"/>
            </w:tcMar>
            <w:vAlign w:val="center"/>
            <w:hideMark/>
          </w:tcPr>
          <w:p w14:paraId="649D2642" w14:textId="77777777" w:rsidR="00C34425" w:rsidRPr="00C34425" w:rsidRDefault="00C34425" w:rsidP="00C34425">
            <w:pPr>
              <w:spacing w:after="160" w:line="259" w:lineRule="auto"/>
              <w:ind w:firstLine="0"/>
              <w:jc w:val="center"/>
              <w:rPr>
                <w:iCs/>
                <w:sz w:val="22"/>
                <w:szCs w:val="22"/>
                <w:lang w:bidi="en-US"/>
              </w:rPr>
            </w:pPr>
            <w:bookmarkStart w:id="50" w:name="_Hlk177463480"/>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7BD18B96" w14:textId="5800C65E"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 xml:space="preserve">Young's </w:t>
            </w:r>
            <w:r>
              <w:rPr>
                <w:iCs/>
                <w:sz w:val="22"/>
                <w:szCs w:val="22"/>
                <w:lang w:bidi="en-US"/>
              </w:rPr>
              <w:br/>
            </w:r>
            <w:r w:rsidRPr="00C34425">
              <w:rPr>
                <w:iCs/>
                <w:sz w:val="22"/>
                <w:szCs w:val="22"/>
                <w:lang w:bidi="en-US"/>
              </w:rPr>
              <w:t>Modulus</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30E502FD"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UTS</w:t>
            </w:r>
          </w:p>
        </w:tc>
        <w:tc>
          <w:tcPr>
            <w:tcW w:w="0" w:type="auto"/>
            <w:tcBorders>
              <w:top w:val="single" w:sz="4" w:space="0" w:color="auto"/>
              <w:left w:val="single" w:sz="6" w:space="0" w:color="000000"/>
              <w:bottom w:val="single" w:sz="4" w:space="0" w:color="auto"/>
              <w:right w:val="single" w:sz="6" w:space="0" w:color="000000"/>
            </w:tcBorders>
            <w:vAlign w:val="center"/>
          </w:tcPr>
          <w:p w14:paraId="5CB0635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Tensile Strain</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75E12DF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 xml:space="preserve">Flex. </w:t>
            </w:r>
            <w:r w:rsidRPr="00C34425">
              <w:rPr>
                <w:iCs/>
                <w:sz w:val="22"/>
                <w:szCs w:val="22"/>
                <w:lang w:bidi="en-US"/>
              </w:rPr>
              <w:br/>
              <w:t>Modulus</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5AAC6F1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Flex. Strength</w:t>
            </w:r>
          </w:p>
        </w:tc>
        <w:tc>
          <w:tcPr>
            <w:tcW w:w="0" w:type="auto"/>
            <w:tcBorders>
              <w:top w:val="single" w:sz="4" w:space="0" w:color="auto"/>
              <w:left w:val="single" w:sz="6" w:space="0" w:color="000000"/>
              <w:bottom w:val="single" w:sz="4" w:space="0" w:color="auto"/>
              <w:right w:val="single" w:sz="6" w:space="0" w:color="000000"/>
            </w:tcBorders>
            <w:vAlign w:val="center"/>
          </w:tcPr>
          <w:p w14:paraId="242F690E"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Flexural Strain</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49DDF66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T</w:t>
            </w:r>
            <w:r w:rsidRPr="00C34425">
              <w:rPr>
                <w:iCs/>
                <w:sz w:val="22"/>
                <w:szCs w:val="22"/>
                <w:vertAlign w:val="subscript"/>
                <w:lang w:bidi="en-US"/>
              </w:rPr>
              <w:t>m</w:t>
            </w:r>
            <w:r w:rsidRPr="00C34425">
              <w:rPr>
                <w:iCs/>
                <w:sz w:val="22"/>
                <w:szCs w:val="22"/>
                <w:lang w:bidi="en-US"/>
              </w:rPr>
              <w:softHyphen/>
              <w:t xml:space="preserve"> </w:t>
            </w:r>
            <w:r w:rsidRPr="00C34425">
              <w:rPr>
                <w:iCs/>
                <w:sz w:val="22"/>
                <w:szCs w:val="22"/>
                <w:lang w:bidi="en-US"/>
              </w:rPr>
              <w:br/>
              <w:t>(1st heat)</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6343CA94" w14:textId="77777777" w:rsidR="00C34425" w:rsidRPr="00C34425" w:rsidRDefault="00C34425" w:rsidP="00C34425">
            <w:pPr>
              <w:spacing w:after="160" w:line="259" w:lineRule="auto"/>
              <w:ind w:firstLine="0"/>
              <w:jc w:val="center"/>
              <w:rPr>
                <w:iCs/>
                <w:sz w:val="22"/>
                <w:szCs w:val="22"/>
                <w:lang w:bidi="en-US"/>
              </w:rPr>
            </w:pPr>
            <w:bookmarkStart w:id="51" w:name="_Hlk172208181"/>
            <w:proofErr w:type="spellStart"/>
            <w:r w:rsidRPr="00C34425">
              <w:rPr>
                <w:iCs/>
                <w:sz w:val="22"/>
                <w:szCs w:val="22"/>
                <w:lang w:bidi="en-US"/>
              </w:rPr>
              <w:t>ΔH</w:t>
            </w:r>
            <w:r w:rsidRPr="00C34425">
              <w:rPr>
                <w:iCs/>
                <w:sz w:val="22"/>
                <w:szCs w:val="22"/>
                <w:vertAlign w:val="subscript"/>
                <w:lang w:bidi="en-US"/>
              </w:rPr>
              <w:t>m</w:t>
            </w:r>
            <w:bookmarkEnd w:id="51"/>
            <w:proofErr w:type="spellEnd"/>
            <w:r w:rsidRPr="00C34425">
              <w:rPr>
                <w:iCs/>
                <w:sz w:val="22"/>
                <w:szCs w:val="22"/>
                <w:vertAlign w:val="subscript"/>
                <w:lang w:bidi="en-US"/>
              </w:rPr>
              <w:t xml:space="preserve"> </w:t>
            </w:r>
            <w:r w:rsidRPr="00C34425">
              <w:rPr>
                <w:iCs/>
                <w:sz w:val="22"/>
                <w:szCs w:val="22"/>
                <w:vertAlign w:val="subscript"/>
                <w:lang w:bidi="en-US"/>
              </w:rPr>
              <w:br/>
            </w:r>
            <w:r w:rsidRPr="00C34425">
              <w:rPr>
                <w:iCs/>
                <w:sz w:val="22"/>
                <w:szCs w:val="22"/>
                <w:lang w:bidi="en-US"/>
              </w:rPr>
              <w:t>(1st heat)</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3ABF69D5"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T</w:t>
            </w:r>
            <w:r w:rsidRPr="00C34425">
              <w:rPr>
                <w:iCs/>
                <w:sz w:val="22"/>
                <w:szCs w:val="22"/>
                <w:vertAlign w:val="subscript"/>
                <w:lang w:bidi="en-US"/>
              </w:rPr>
              <w:t>c</w:t>
            </w:r>
          </w:p>
        </w:tc>
        <w:tc>
          <w:tcPr>
            <w:tcW w:w="0" w:type="auto"/>
            <w:tcBorders>
              <w:top w:val="single" w:sz="4" w:space="0" w:color="auto"/>
              <w:left w:val="single" w:sz="6" w:space="0" w:color="000000"/>
              <w:bottom w:val="single" w:sz="4" w:space="0" w:color="auto"/>
              <w:right w:val="single" w:sz="6" w:space="0" w:color="000000"/>
            </w:tcBorders>
            <w:shd w:val="clear" w:color="auto" w:fill="auto"/>
            <w:tcMar>
              <w:top w:w="15" w:type="dxa"/>
              <w:left w:w="108" w:type="dxa"/>
              <w:bottom w:w="0" w:type="dxa"/>
              <w:right w:w="108" w:type="dxa"/>
            </w:tcMar>
            <w:vAlign w:val="center"/>
            <w:hideMark/>
          </w:tcPr>
          <w:p w14:paraId="5C4BD097" w14:textId="77777777" w:rsidR="00C34425" w:rsidRPr="00C34425" w:rsidRDefault="00C34425" w:rsidP="00C34425">
            <w:pPr>
              <w:spacing w:after="160" w:line="259" w:lineRule="auto"/>
              <w:ind w:firstLine="0"/>
              <w:jc w:val="center"/>
              <w:rPr>
                <w:iCs/>
                <w:sz w:val="22"/>
                <w:szCs w:val="22"/>
                <w:lang w:bidi="en-US"/>
              </w:rPr>
            </w:pPr>
            <w:bookmarkStart w:id="52" w:name="_Hlk180590944"/>
            <w:proofErr w:type="spellStart"/>
            <w:r w:rsidRPr="00C34425">
              <w:rPr>
                <w:iCs/>
                <w:sz w:val="22"/>
                <w:szCs w:val="22"/>
                <w:lang w:bidi="en-US"/>
              </w:rPr>
              <w:t>ΔH</w:t>
            </w:r>
            <w:r w:rsidRPr="00C34425">
              <w:rPr>
                <w:iCs/>
                <w:sz w:val="22"/>
                <w:szCs w:val="22"/>
                <w:vertAlign w:val="subscript"/>
                <w:lang w:bidi="en-US"/>
              </w:rPr>
              <w:t>c</w:t>
            </w:r>
            <w:bookmarkEnd w:id="52"/>
            <w:proofErr w:type="spellEnd"/>
          </w:p>
        </w:tc>
      </w:tr>
      <w:bookmarkEnd w:id="50"/>
      <w:tr w:rsidR="00C34425" w:rsidRPr="00C34425" w14:paraId="214250D2"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5F11543C" w14:textId="30C6EDCC"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 xml:space="preserve">Young's </w:t>
            </w:r>
            <w:r>
              <w:rPr>
                <w:iCs/>
                <w:sz w:val="22"/>
                <w:szCs w:val="22"/>
                <w:lang w:bidi="en-US"/>
              </w:rPr>
              <w:br/>
            </w:r>
            <w:r w:rsidRPr="00C34425">
              <w:rPr>
                <w:iCs/>
                <w:sz w:val="22"/>
                <w:szCs w:val="22"/>
                <w:lang w:bidi="en-US"/>
              </w:rPr>
              <w:t>Modulus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6D96959"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DAB5638"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0.0714</w:t>
            </w:r>
          </w:p>
        </w:tc>
        <w:tc>
          <w:tcPr>
            <w:tcW w:w="0" w:type="auto"/>
            <w:tcBorders>
              <w:top w:val="single" w:sz="4" w:space="0" w:color="auto"/>
              <w:left w:val="single" w:sz="4" w:space="0" w:color="auto"/>
              <w:bottom w:val="single" w:sz="4" w:space="0" w:color="auto"/>
              <w:right w:val="single" w:sz="4" w:space="0" w:color="auto"/>
            </w:tcBorders>
            <w:vAlign w:val="center"/>
          </w:tcPr>
          <w:p w14:paraId="411788D9"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-0.1452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EE9B2E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0.2315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680A84D"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0.0538</w:t>
            </w:r>
          </w:p>
        </w:tc>
        <w:tc>
          <w:tcPr>
            <w:tcW w:w="0" w:type="auto"/>
            <w:tcBorders>
              <w:top w:val="single" w:sz="4" w:space="0" w:color="auto"/>
              <w:left w:val="single" w:sz="4" w:space="0" w:color="auto"/>
              <w:bottom w:val="single" w:sz="4" w:space="0" w:color="auto"/>
              <w:right w:val="single" w:sz="4" w:space="0" w:color="auto"/>
            </w:tcBorders>
            <w:vAlign w:val="center"/>
          </w:tcPr>
          <w:p w14:paraId="30C552C9"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-0.3114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D05C76E"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0.186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1C09BB5"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-0.2378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52232F0"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0.3715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C090645"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0.2928</w:t>
            </w:r>
          </w:p>
        </w:tc>
      </w:tr>
      <w:tr w:rsidR="00C34425" w:rsidRPr="00C34425" w14:paraId="5B92616D"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08235445"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UTS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E64959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3CB700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vAlign w:val="center"/>
          </w:tcPr>
          <w:p w14:paraId="2E94F8BC"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0.9133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4170F6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-0.099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3B5AFDE"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0.0158</w:t>
            </w:r>
          </w:p>
        </w:tc>
        <w:tc>
          <w:tcPr>
            <w:tcW w:w="0" w:type="auto"/>
            <w:tcBorders>
              <w:top w:val="single" w:sz="4" w:space="0" w:color="auto"/>
              <w:left w:val="single" w:sz="4" w:space="0" w:color="auto"/>
              <w:bottom w:val="single" w:sz="4" w:space="0" w:color="auto"/>
              <w:right w:val="single" w:sz="4" w:space="0" w:color="auto"/>
            </w:tcBorders>
            <w:vAlign w:val="center"/>
          </w:tcPr>
          <w:p w14:paraId="0C2890E6"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0.8053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B4B7258"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-0.0166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86E4294"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-0.4111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8FD12D6"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-0.5236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FC88B3C"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-0.4359</w:t>
            </w:r>
          </w:p>
        </w:tc>
      </w:tr>
      <w:tr w:rsidR="00C34425" w:rsidRPr="00C34425" w14:paraId="3E32B984"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tcPr>
          <w:p w14:paraId="19B06A4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Tensile Strain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FE97A1D"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AFE61FB"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6C01C3E8"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AC58070"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-0.1793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5DD048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-0.0814</w:t>
            </w:r>
          </w:p>
        </w:tc>
        <w:tc>
          <w:tcPr>
            <w:tcW w:w="0" w:type="auto"/>
            <w:tcBorders>
              <w:top w:val="single" w:sz="4" w:space="0" w:color="auto"/>
              <w:left w:val="single" w:sz="4" w:space="0" w:color="auto"/>
              <w:bottom w:val="single" w:sz="4" w:space="0" w:color="auto"/>
              <w:right w:val="single" w:sz="4" w:space="0" w:color="auto"/>
            </w:tcBorders>
            <w:vAlign w:val="center"/>
          </w:tcPr>
          <w:p w14:paraId="2B049A72"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0.8770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AA5DF9A"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-0.1767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8800F2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-0.3841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3D14C50"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-0.5601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F69857B"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-0.5159</w:t>
            </w:r>
          </w:p>
        </w:tc>
      </w:tr>
      <w:tr w:rsidR="00C34425" w:rsidRPr="00C34425" w14:paraId="197D6CCE"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3B03E448"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Flex. Modulus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F59642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363859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5C086A10"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9D9C5D9"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287EE19"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0.6753</w:t>
            </w:r>
          </w:p>
        </w:tc>
        <w:tc>
          <w:tcPr>
            <w:tcW w:w="0" w:type="auto"/>
            <w:tcBorders>
              <w:top w:val="single" w:sz="4" w:space="0" w:color="auto"/>
              <w:left w:val="single" w:sz="4" w:space="0" w:color="auto"/>
              <w:bottom w:val="single" w:sz="4" w:space="0" w:color="auto"/>
              <w:right w:val="single" w:sz="4" w:space="0" w:color="auto"/>
            </w:tcBorders>
            <w:vAlign w:val="center"/>
          </w:tcPr>
          <w:p w14:paraId="73C60DD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-0.2114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00F0738"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-0.4532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B94B5B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-0.3306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30B8360"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-0.1093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BBBAA3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0.1061</w:t>
            </w:r>
          </w:p>
        </w:tc>
      </w:tr>
      <w:tr w:rsidR="00C34425" w:rsidRPr="00C34425" w14:paraId="312F3A75"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7BC3D23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Flex. Strength</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2641E03"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5E01C2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31A4CD73"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A6A8122"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2E8AC5A"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vAlign w:val="center"/>
          </w:tcPr>
          <w:p w14:paraId="3328B89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0.1736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C3F103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-0.2695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A5CF84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-0.2194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BAD726B"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-0.1716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80B364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0.3155</w:t>
            </w:r>
          </w:p>
        </w:tc>
      </w:tr>
      <w:tr w:rsidR="00C34425" w:rsidRPr="00C34425" w14:paraId="2A9F88C7"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tcPr>
          <w:p w14:paraId="7BE2787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Flexural Strain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A343E87"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14F9E08"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vAlign w:val="center"/>
          </w:tcPr>
          <w:p w14:paraId="666E5C57"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2D961BB"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88705FE"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vAlign w:val="center"/>
          </w:tcPr>
          <w:p w14:paraId="4EFDD0EA"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A449392"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0.5959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3DE3DD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-0.1966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FF6B62B"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-0.6315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6B78CC0"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-0.2987</w:t>
            </w:r>
          </w:p>
        </w:tc>
      </w:tr>
      <w:tr w:rsidR="00C34425" w:rsidRPr="00C34425" w14:paraId="6FAE9A45"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454F0AC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T</w:t>
            </w:r>
            <w:r w:rsidRPr="00C34425">
              <w:rPr>
                <w:iCs/>
                <w:sz w:val="22"/>
                <w:szCs w:val="22"/>
                <w:vertAlign w:val="subscript"/>
                <w:lang w:bidi="en-US"/>
              </w:rPr>
              <w:t>m</w:t>
            </w:r>
            <w:r w:rsidRPr="00C34425">
              <w:rPr>
                <w:iCs/>
                <w:sz w:val="22"/>
                <w:szCs w:val="22"/>
                <w:lang w:bidi="en-US"/>
              </w:rPr>
              <w:softHyphen/>
              <w:t xml:space="preserve"> (1st heat)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45CDE3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9C4C13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0C3606EC"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FB44369"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18AC50D"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13B63627"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0483302"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CD9C072"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0.5959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8B8C4C2"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0.1079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73611D5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0.1637</w:t>
            </w:r>
          </w:p>
        </w:tc>
      </w:tr>
      <w:tr w:rsidR="00C34425" w:rsidRPr="00C34425" w14:paraId="38D5431F"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18612DFF" w14:textId="77777777" w:rsidR="00C34425" w:rsidRPr="00C34425" w:rsidRDefault="00C34425" w:rsidP="00C34425">
            <w:pPr>
              <w:spacing w:after="160" w:line="259" w:lineRule="auto"/>
              <w:ind w:firstLine="0"/>
              <w:jc w:val="center"/>
              <w:rPr>
                <w:iCs/>
                <w:sz w:val="22"/>
                <w:szCs w:val="22"/>
                <w:lang w:bidi="en-US"/>
              </w:rPr>
            </w:pPr>
            <w:proofErr w:type="spellStart"/>
            <w:r w:rsidRPr="00C34425">
              <w:rPr>
                <w:iCs/>
                <w:sz w:val="22"/>
                <w:szCs w:val="22"/>
                <w:lang w:bidi="en-US"/>
              </w:rPr>
              <w:t>ΔH</w:t>
            </w:r>
            <w:r w:rsidRPr="00C34425">
              <w:rPr>
                <w:iCs/>
                <w:sz w:val="22"/>
                <w:szCs w:val="22"/>
                <w:vertAlign w:val="subscript"/>
                <w:lang w:bidi="en-US"/>
              </w:rPr>
              <w:t>m</w:t>
            </w:r>
            <w:proofErr w:type="spellEnd"/>
            <w:r w:rsidRPr="00C34425">
              <w:rPr>
                <w:iCs/>
                <w:sz w:val="22"/>
                <w:szCs w:val="22"/>
                <w:vertAlign w:val="subscript"/>
                <w:lang w:bidi="en-US"/>
              </w:rPr>
              <w:t xml:space="preserve"> </w:t>
            </w:r>
            <w:r w:rsidRPr="00C34425">
              <w:rPr>
                <w:iCs/>
                <w:sz w:val="22"/>
                <w:szCs w:val="22"/>
                <w:lang w:bidi="en-US"/>
              </w:rPr>
              <w:t>(1st heat)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32E5CE3"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4AE54B9"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2EF4F208"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5F5F8E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85B2B4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6C994AAA"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FD25B3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401FF68"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BB01BF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0.2694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E2E7F4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0.178</w:t>
            </w:r>
          </w:p>
        </w:tc>
      </w:tr>
      <w:tr w:rsidR="00C34425" w:rsidRPr="00C34425" w14:paraId="4A40064A"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687CD9E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T</w:t>
            </w:r>
            <w:r w:rsidRPr="00C34425">
              <w:rPr>
                <w:iCs/>
                <w:sz w:val="22"/>
                <w:szCs w:val="22"/>
                <w:vertAlign w:val="subscript"/>
                <w:lang w:bidi="en-US"/>
              </w:rPr>
              <w:t>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8C10E8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4156F1B6"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3F83B473"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AAE77BE"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234974D"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469D58A9"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D5F369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8BF2277"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79A0B9F"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BBC84D0" w14:textId="77777777" w:rsidR="00C34425" w:rsidRPr="00C34425" w:rsidRDefault="00C34425" w:rsidP="00C34425">
            <w:pPr>
              <w:spacing w:after="160" w:line="259" w:lineRule="auto"/>
              <w:ind w:firstLine="0"/>
              <w:jc w:val="center"/>
              <w:rPr>
                <w:b/>
                <w:bCs/>
                <w:iCs/>
                <w:sz w:val="22"/>
                <w:szCs w:val="22"/>
                <w:lang w:bidi="en-US"/>
              </w:rPr>
            </w:pPr>
            <w:r w:rsidRPr="00C34425">
              <w:rPr>
                <w:b/>
                <w:bCs/>
                <w:iCs/>
                <w:sz w:val="22"/>
                <w:szCs w:val="22"/>
                <w:lang w:bidi="en-US"/>
              </w:rPr>
              <w:t>0.6084</w:t>
            </w:r>
          </w:p>
        </w:tc>
      </w:tr>
      <w:tr w:rsidR="00C34425" w:rsidRPr="00C34425" w14:paraId="45987328" w14:textId="77777777" w:rsidTr="00C34425">
        <w:trPr>
          <w:trHeight w:val="432"/>
        </w:trPr>
        <w:tc>
          <w:tcPr>
            <w:tcW w:w="0" w:type="auto"/>
            <w:tcBorders>
              <w:top w:val="single" w:sz="6" w:space="0" w:color="000000"/>
              <w:left w:val="single" w:sz="6" w:space="0" w:color="000000"/>
              <w:bottom w:val="single" w:sz="6" w:space="0" w:color="000000"/>
              <w:right w:val="single" w:sz="4" w:space="0" w:color="auto"/>
            </w:tcBorders>
            <w:shd w:val="clear" w:color="auto" w:fill="auto"/>
            <w:tcMar>
              <w:top w:w="15" w:type="dxa"/>
              <w:left w:w="108" w:type="dxa"/>
              <w:bottom w:w="0" w:type="dxa"/>
              <w:right w:w="108" w:type="dxa"/>
            </w:tcMar>
            <w:vAlign w:val="center"/>
            <w:hideMark/>
          </w:tcPr>
          <w:p w14:paraId="153E1FD9" w14:textId="77777777" w:rsidR="00C34425" w:rsidRPr="00C34425" w:rsidRDefault="00C34425" w:rsidP="00C34425">
            <w:pPr>
              <w:spacing w:after="160" w:line="259" w:lineRule="auto"/>
              <w:ind w:firstLine="0"/>
              <w:jc w:val="center"/>
              <w:rPr>
                <w:iCs/>
                <w:sz w:val="22"/>
                <w:szCs w:val="22"/>
                <w:lang w:bidi="en-US"/>
              </w:rPr>
            </w:pPr>
            <w:proofErr w:type="spellStart"/>
            <w:r w:rsidRPr="00C34425">
              <w:rPr>
                <w:iCs/>
                <w:sz w:val="22"/>
                <w:szCs w:val="22"/>
                <w:lang w:bidi="en-US"/>
              </w:rPr>
              <w:t>ΔH</w:t>
            </w:r>
            <w:r w:rsidRPr="00C34425">
              <w:rPr>
                <w:iCs/>
                <w:sz w:val="22"/>
                <w:szCs w:val="22"/>
                <w:vertAlign w:val="subscript"/>
                <w:lang w:bidi="en-US"/>
              </w:rPr>
              <w:t>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B588EF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5F70757C"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78581040"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5747144"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F2A2E05"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vAlign w:val="center"/>
          </w:tcPr>
          <w:p w14:paraId="50345A5F" w14:textId="77777777" w:rsidR="00C34425" w:rsidRPr="00C34425" w:rsidRDefault="00C34425" w:rsidP="00C34425">
            <w:pPr>
              <w:spacing w:after="160" w:line="259" w:lineRule="auto"/>
              <w:ind w:firstLine="0"/>
              <w:jc w:val="center"/>
              <w:rPr>
                <w:iCs/>
                <w:sz w:val="22"/>
                <w:szCs w:val="22"/>
                <w:lang w:bidi="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037BBF37"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3D634625"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2486D6E1"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63EE3C9E" w14:textId="77777777" w:rsidR="00C34425" w:rsidRPr="00C34425" w:rsidRDefault="00C34425" w:rsidP="00C34425">
            <w:pPr>
              <w:spacing w:after="160" w:line="259" w:lineRule="auto"/>
              <w:ind w:firstLine="0"/>
              <w:jc w:val="center"/>
              <w:rPr>
                <w:iCs/>
                <w:sz w:val="22"/>
                <w:szCs w:val="22"/>
                <w:lang w:bidi="en-US"/>
              </w:rPr>
            </w:pPr>
            <w:r w:rsidRPr="00C34425">
              <w:rPr>
                <w:iCs/>
                <w:sz w:val="22"/>
                <w:szCs w:val="22"/>
                <w:lang w:bidi="en-US"/>
              </w:rPr>
              <w:t>1</w:t>
            </w:r>
          </w:p>
        </w:tc>
      </w:tr>
      <w:tr w:rsidR="00C34425" w:rsidRPr="00C34425" w14:paraId="3C912631" w14:textId="77777777" w:rsidTr="00C34425">
        <w:trPr>
          <w:trHeight w:val="432"/>
        </w:trPr>
        <w:tc>
          <w:tcPr>
            <w:tcW w:w="0" w:type="auto"/>
            <w:gridSpan w:val="11"/>
            <w:tcBorders>
              <w:top w:val="single" w:sz="6" w:space="0" w:color="000000"/>
              <w:left w:val="nil"/>
              <w:bottom w:val="nil"/>
              <w:right w:val="nil"/>
            </w:tcBorders>
            <w:vAlign w:val="center"/>
          </w:tcPr>
          <w:p w14:paraId="0486A5BE" w14:textId="77777777" w:rsidR="00C34425" w:rsidRPr="00C34425" w:rsidRDefault="00C34425" w:rsidP="00C34425">
            <w:pPr>
              <w:spacing w:after="160" w:line="259" w:lineRule="auto"/>
              <w:ind w:firstLine="0"/>
              <w:jc w:val="left"/>
              <w:rPr>
                <w:iCs/>
                <w:sz w:val="22"/>
                <w:szCs w:val="22"/>
                <w:lang w:bidi="en-US"/>
              </w:rPr>
            </w:pPr>
            <w:r w:rsidRPr="00C34425">
              <w:rPr>
                <w:b/>
                <w:bCs/>
                <w:iCs/>
                <w:sz w:val="22"/>
                <w:szCs w:val="22"/>
                <w:lang w:bidi="en-US"/>
              </w:rPr>
              <w:t>*</w:t>
            </w:r>
            <w:r w:rsidRPr="00C34425">
              <w:rPr>
                <w:iCs/>
                <w:sz w:val="22"/>
                <w:szCs w:val="22"/>
                <w:lang w:bidi="en-US"/>
              </w:rPr>
              <w:t>UTS = Ultimate Tensile Strength. T</w:t>
            </w:r>
            <w:r w:rsidRPr="00C34425">
              <w:rPr>
                <w:iCs/>
                <w:sz w:val="22"/>
                <w:szCs w:val="22"/>
                <w:vertAlign w:val="subscript"/>
                <w:lang w:bidi="en-US"/>
              </w:rPr>
              <w:t>m</w:t>
            </w:r>
            <w:r w:rsidRPr="00C34425">
              <w:rPr>
                <w:iCs/>
                <w:sz w:val="22"/>
                <w:szCs w:val="22"/>
                <w:lang w:bidi="en-US"/>
              </w:rPr>
              <w:t xml:space="preserve"> = melt temperature, T</w:t>
            </w:r>
            <w:r w:rsidRPr="00C34425">
              <w:rPr>
                <w:iCs/>
                <w:sz w:val="22"/>
                <w:szCs w:val="22"/>
                <w:vertAlign w:val="subscript"/>
                <w:lang w:bidi="en-US"/>
              </w:rPr>
              <w:t xml:space="preserve">c </w:t>
            </w:r>
            <w:r w:rsidRPr="00C34425">
              <w:rPr>
                <w:iCs/>
                <w:sz w:val="22"/>
                <w:szCs w:val="22"/>
                <w:lang w:bidi="en-US"/>
              </w:rPr>
              <w:t xml:space="preserve">= crystallization temperature, </w:t>
            </w:r>
            <w:r w:rsidRPr="00C34425">
              <w:rPr>
                <w:iCs/>
                <w:sz w:val="22"/>
                <w:szCs w:val="22"/>
                <w:lang w:val="el-GR" w:bidi="en-US"/>
              </w:rPr>
              <w:t>Δ</w:t>
            </w:r>
            <w:r w:rsidRPr="00C34425">
              <w:rPr>
                <w:iCs/>
                <w:sz w:val="22"/>
                <w:szCs w:val="22"/>
                <w:lang w:bidi="en-US"/>
              </w:rPr>
              <w:t>H</w:t>
            </w:r>
            <w:r w:rsidRPr="00C34425">
              <w:rPr>
                <w:iCs/>
                <w:sz w:val="22"/>
                <w:szCs w:val="22"/>
                <w:vertAlign w:val="subscript"/>
                <w:lang w:bidi="en-US"/>
              </w:rPr>
              <w:t>m</w:t>
            </w:r>
            <w:r w:rsidRPr="00C34425">
              <w:rPr>
                <w:iCs/>
                <w:sz w:val="22"/>
                <w:szCs w:val="22"/>
                <w:lang w:bidi="en-US"/>
              </w:rPr>
              <w:t xml:space="preserve">= melt enthalpy, </w:t>
            </w:r>
            <w:r w:rsidRPr="00C34425">
              <w:rPr>
                <w:iCs/>
                <w:sz w:val="22"/>
                <w:szCs w:val="22"/>
                <w:lang w:val="el-GR" w:bidi="en-US"/>
              </w:rPr>
              <w:t>Δ</w:t>
            </w:r>
            <w:proofErr w:type="spellStart"/>
            <w:r w:rsidRPr="00C34425">
              <w:rPr>
                <w:iCs/>
                <w:sz w:val="22"/>
                <w:szCs w:val="22"/>
                <w:lang w:bidi="en-US"/>
              </w:rPr>
              <w:t>H</w:t>
            </w:r>
            <w:r w:rsidRPr="00C34425">
              <w:rPr>
                <w:iCs/>
                <w:sz w:val="22"/>
                <w:szCs w:val="22"/>
                <w:vertAlign w:val="subscript"/>
                <w:lang w:bidi="en-US"/>
              </w:rPr>
              <w:t>c</w:t>
            </w:r>
            <w:proofErr w:type="spellEnd"/>
            <w:r w:rsidRPr="00C34425">
              <w:rPr>
                <w:iCs/>
                <w:sz w:val="22"/>
                <w:szCs w:val="22"/>
                <w:lang w:bidi="en-US"/>
              </w:rPr>
              <w:t xml:space="preserve"> = crystallization enthalpy</w:t>
            </w:r>
          </w:p>
        </w:tc>
      </w:tr>
    </w:tbl>
    <w:p w14:paraId="78E8367F" w14:textId="77777777" w:rsidR="00C34425" w:rsidRDefault="00C34425" w:rsidP="00C34425">
      <w:pPr>
        <w:ind w:firstLine="0"/>
        <w:rPr>
          <w:iCs/>
          <w:lang w:bidi="en-US"/>
        </w:rPr>
        <w:sectPr w:rsidR="00C34425" w:rsidSect="00C34425">
          <w:pgSz w:w="15840" w:h="12240" w:orient="landscape"/>
          <w:pgMar w:top="1440" w:right="1440" w:bottom="1440" w:left="1440" w:header="720" w:footer="720" w:gutter="0"/>
          <w:cols w:space="720"/>
          <w:docGrid w:linePitch="360"/>
        </w:sectPr>
      </w:pPr>
    </w:p>
    <w:p w14:paraId="460B7D48" w14:textId="4E6FD640" w:rsidR="0080518D" w:rsidRDefault="0080518D" w:rsidP="00C34425">
      <w:pPr>
        <w:ind w:firstLine="0"/>
        <w:rPr>
          <w:iCs/>
          <w:lang w:bidi="en-US"/>
        </w:rPr>
      </w:pPr>
      <w:r w:rsidRPr="0080518D">
        <w:rPr>
          <w:iCs/>
          <w:lang w:bidi="en-US"/>
        </w:rPr>
        <w:lastRenderedPageBreak/>
        <w:t xml:space="preserve">between tensile strain at break and both </w:t>
      </w:r>
      <w:proofErr w:type="spellStart"/>
      <w:r w:rsidRPr="0080518D">
        <w:rPr>
          <w:iCs/>
          <w:lang w:bidi="en-US"/>
        </w:rPr>
        <w:t>ΔT</w:t>
      </w:r>
      <w:r w:rsidRPr="0080518D">
        <w:rPr>
          <w:iCs/>
          <w:vertAlign w:val="subscript"/>
          <w:lang w:bidi="en-US"/>
        </w:rPr>
        <w:t>c</w:t>
      </w:r>
      <w:proofErr w:type="spellEnd"/>
      <w:r w:rsidRPr="0080518D">
        <w:rPr>
          <w:iCs/>
          <w:vertAlign w:val="subscript"/>
          <w:lang w:bidi="en-US"/>
        </w:rPr>
        <w:t xml:space="preserve"> </w:t>
      </w:r>
      <w:r w:rsidRPr="0080518D">
        <w:rPr>
          <w:iCs/>
          <w:lang w:bidi="en-US"/>
        </w:rPr>
        <w:t xml:space="preserve">and </w:t>
      </w:r>
      <w:proofErr w:type="spellStart"/>
      <w:r w:rsidRPr="0080518D">
        <w:rPr>
          <w:iCs/>
          <w:lang w:bidi="en-US"/>
        </w:rPr>
        <w:t>ΔH</w:t>
      </w:r>
      <w:r w:rsidRPr="0080518D">
        <w:rPr>
          <w:iCs/>
          <w:vertAlign w:val="subscript"/>
          <w:lang w:bidi="en-US"/>
        </w:rPr>
        <w:t>c</w:t>
      </w:r>
      <w:proofErr w:type="spellEnd"/>
      <w:r w:rsidRPr="0080518D">
        <w:rPr>
          <w:iCs/>
          <w:vertAlign w:val="subscript"/>
          <w:lang w:bidi="en-US"/>
        </w:rPr>
        <w:t xml:space="preserve"> </w:t>
      </w:r>
      <w:r w:rsidRPr="0080518D">
        <w:rPr>
          <w:iCs/>
          <w:lang w:bidi="en-US"/>
        </w:rPr>
        <w:t xml:space="preserve">further suggests that increasing polymer crystallinity is causing the composites to become more brittle. The relationships between melting temperature and both flexural modulus and flexural strain at maximum stress suggest that the increase in β crystalline regions within the polypropylene matrix is impacting the stiffness and brittleness of the composite. The β crystal morphology appears to have a negative impact on stiffness, while increasing the ductility of the material.  </w:t>
      </w:r>
    </w:p>
    <w:p w14:paraId="1DB5FE9F" w14:textId="5A6939CE" w:rsidR="0080518D" w:rsidRDefault="0080518D" w:rsidP="0080518D">
      <w:pPr>
        <w:pStyle w:val="Heading2"/>
        <w:rPr>
          <w:lang w:bidi="en-US"/>
        </w:rPr>
      </w:pPr>
      <w:bookmarkStart w:id="53" w:name="_Toc190951804"/>
      <w:r>
        <w:rPr>
          <w:lang w:bidi="en-US"/>
        </w:rPr>
        <w:t>3.2.7</w:t>
      </w:r>
      <w:r w:rsidRPr="0080518D">
        <w:rPr>
          <w:rFonts w:ascii="Arial" w:eastAsia="Times New Roman" w:hAnsi="Arial" w:cs="Arial"/>
          <w:b w:val="0"/>
          <w:bCs w:val="0"/>
          <w:i w:val="0"/>
          <w:iCs w:val="0"/>
        </w:rPr>
        <w:t xml:space="preserve"> </w:t>
      </w:r>
      <w:r w:rsidRPr="0080518D">
        <w:rPr>
          <w:lang w:bidi="en-US"/>
        </w:rPr>
        <w:t>Identification of Optimal Injection Molding Processing Conditions</w:t>
      </w:r>
      <w:bookmarkEnd w:id="53"/>
      <w:r w:rsidRPr="0080518D">
        <w:rPr>
          <w:lang w:bidi="en-US"/>
        </w:rPr>
        <w:t xml:space="preserve">  </w:t>
      </w:r>
    </w:p>
    <w:p w14:paraId="438B78D8" w14:textId="77777777" w:rsidR="0080518D" w:rsidRPr="0080518D" w:rsidRDefault="0080518D" w:rsidP="0080518D">
      <w:pPr>
        <w:rPr>
          <w:iCs/>
          <w:lang w:bidi="en-US"/>
        </w:rPr>
      </w:pPr>
      <w:r w:rsidRPr="0080518D">
        <w:rPr>
          <w:iCs/>
          <w:lang w:bidi="en-US"/>
        </w:rPr>
        <w:t>A set of optimal processing conditions was selected by comparing the mechanical properties (ultimate tensile strength, Young’s modulus, flexural strength, flexural modulus) associated with different processing conditions, as well as their standard deviations. This comparison was done using objective function minimization, which aligns with our previous work. The objective function was defined as:</w:t>
      </w:r>
      <w:r w:rsidRPr="0080518D">
        <w:rPr>
          <w:lang w:bidi="en-US"/>
        </w:rPr>
        <w:t xml:space="preserve"> </w:t>
      </w:r>
    </w:p>
    <w:tbl>
      <w:tblPr>
        <w:tblStyle w:val="TableGrid"/>
        <w:tblW w:w="0" w:type="auto"/>
        <w:jc w:val="center"/>
        <w:tblLook w:val="04A0" w:firstRow="1" w:lastRow="0" w:firstColumn="1" w:lastColumn="0" w:noHBand="0" w:noVBand="1"/>
      </w:tblPr>
      <w:tblGrid>
        <w:gridCol w:w="7244"/>
        <w:gridCol w:w="1396"/>
      </w:tblGrid>
      <w:tr w:rsidR="0080518D" w:rsidRPr="0080518D" w14:paraId="1CDA57C4" w14:textId="77777777" w:rsidTr="000164F3">
        <w:trPr>
          <w:trHeight w:val="576"/>
          <w:jc w:val="center"/>
        </w:trPr>
        <w:tc>
          <w:tcPr>
            <w:tcW w:w="7244" w:type="dxa"/>
            <w:tcBorders>
              <w:top w:val="nil"/>
              <w:left w:val="nil"/>
              <w:bottom w:val="nil"/>
              <w:right w:val="nil"/>
            </w:tcBorders>
            <w:vAlign w:val="center"/>
          </w:tcPr>
          <w:p w14:paraId="58A7D8A0" w14:textId="6BDCF943" w:rsidR="0080518D" w:rsidRPr="0080518D" w:rsidRDefault="00000000" w:rsidP="0080518D">
            <w:pPr>
              <w:rPr>
                <w:lang w:bidi="en-US"/>
              </w:rPr>
            </w:pPr>
            <m:oMathPara>
              <m:oMath>
                <m:sSub>
                  <m:sSubPr>
                    <m:ctrlPr>
                      <w:rPr>
                        <w:rFonts w:ascii="Cambria Math" w:hAnsi="Cambria Math"/>
                        <w:lang w:bidi="en-US"/>
                      </w:rPr>
                    </m:ctrlPr>
                  </m:sSubPr>
                  <m:e>
                    <m:r>
                      <w:rPr>
                        <w:rFonts w:ascii="Cambria Math" w:hAnsi="Cambria Math"/>
                        <w:lang w:bidi="en-US"/>
                      </w:rPr>
                      <m:t>f</m:t>
                    </m:r>
                  </m:e>
                  <m:sub>
                    <m:r>
                      <w:rPr>
                        <w:rFonts w:ascii="Cambria Math" w:hAnsi="Cambria Math"/>
                        <w:lang w:bidi="en-US"/>
                      </w:rPr>
                      <m:t>obj</m:t>
                    </m:r>
                  </m:sub>
                </m:sSub>
                <m:d>
                  <m:dPr>
                    <m:ctrlPr>
                      <w:rPr>
                        <w:rFonts w:ascii="Cambria Math" w:hAnsi="Cambria Math"/>
                        <w:lang w:bidi="en-US"/>
                      </w:rPr>
                    </m:ctrlPr>
                  </m:dPr>
                  <m:e>
                    <m:sSub>
                      <m:sSubPr>
                        <m:ctrlPr>
                          <w:rPr>
                            <w:rFonts w:ascii="Cambria Math" w:hAnsi="Cambria Math"/>
                            <w:lang w:bidi="en-US"/>
                          </w:rPr>
                        </m:ctrlPr>
                      </m:sSubPr>
                      <m:e>
                        <m:r>
                          <w:rPr>
                            <w:rFonts w:ascii="Cambria Math" w:hAnsi="Cambria Math"/>
                            <w:lang w:bidi="en-US"/>
                          </w:rPr>
                          <m:t>s</m:t>
                        </m:r>
                      </m:e>
                      <m:sub>
                        <m:r>
                          <w:rPr>
                            <w:rFonts w:ascii="Cambria Math" w:hAnsi="Cambria Math"/>
                            <w:lang w:bidi="en-US"/>
                          </w:rPr>
                          <m:t>j</m:t>
                        </m:r>
                      </m:sub>
                    </m:sSub>
                  </m:e>
                </m:d>
                <m:r>
                  <m:rPr>
                    <m:sty m:val="p"/>
                  </m:rPr>
                  <w:rPr>
                    <w:rFonts w:ascii="Cambria Math" w:hAnsi="Cambria Math"/>
                    <w:lang w:bidi="en-US"/>
                  </w:rPr>
                  <m:t>=</m:t>
                </m:r>
                <m:nary>
                  <m:naryPr>
                    <m:chr m:val="∑"/>
                    <m:limLoc m:val="undOvr"/>
                    <m:ctrlPr>
                      <w:rPr>
                        <w:rFonts w:ascii="Cambria Math" w:hAnsi="Cambria Math"/>
                        <w:lang w:bidi="en-US"/>
                      </w:rPr>
                    </m:ctrlPr>
                  </m:naryPr>
                  <m:sub>
                    <m:r>
                      <w:rPr>
                        <w:rFonts w:ascii="Cambria Math" w:hAnsi="Cambria Math"/>
                        <w:lang w:bidi="en-US"/>
                      </w:rPr>
                      <m:t>i</m:t>
                    </m:r>
                    <m:r>
                      <m:rPr>
                        <m:sty m:val="p"/>
                      </m:rPr>
                      <w:rPr>
                        <w:rFonts w:ascii="Cambria Math" w:hAnsi="Cambria Math"/>
                        <w:lang w:bidi="en-US"/>
                      </w:rPr>
                      <m:t>=1</m:t>
                    </m:r>
                  </m:sub>
                  <m:sup>
                    <m:sSub>
                      <m:sSubPr>
                        <m:ctrlPr>
                          <w:rPr>
                            <w:rFonts w:ascii="Cambria Math" w:hAnsi="Cambria Math"/>
                            <w:lang w:bidi="en-US"/>
                          </w:rPr>
                        </m:ctrlPr>
                      </m:sSubPr>
                      <m:e>
                        <m:r>
                          <w:rPr>
                            <w:rFonts w:ascii="Cambria Math" w:hAnsi="Cambria Math"/>
                            <w:lang w:bidi="en-US"/>
                          </w:rPr>
                          <m:t>n</m:t>
                        </m:r>
                      </m:e>
                      <m:sub>
                        <m:r>
                          <w:rPr>
                            <w:rFonts w:ascii="Cambria Math" w:hAnsi="Cambria Math"/>
                            <w:lang w:bidi="en-US"/>
                          </w:rPr>
                          <m:t>prop</m:t>
                        </m:r>
                      </m:sub>
                    </m:sSub>
                  </m:sup>
                  <m:e>
                    <m:sSub>
                      <m:sSubPr>
                        <m:ctrlPr>
                          <w:rPr>
                            <w:rFonts w:ascii="Cambria Math" w:hAnsi="Cambria Math"/>
                            <w:lang w:bidi="en-US"/>
                          </w:rPr>
                        </m:ctrlPr>
                      </m:sSubPr>
                      <m:e>
                        <m:r>
                          <w:rPr>
                            <w:rFonts w:ascii="Cambria Math" w:hAnsi="Cambria Math"/>
                            <w:lang w:bidi="en-US"/>
                          </w:rPr>
                          <m:t>w</m:t>
                        </m:r>
                      </m:e>
                      <m:sub>
                        <m:r>
                          <w:rPr>
                            <w:rFonts w:ascii="Cambria Math" w:hAnsi="Cambria Math"/>
                            <w:lang w:bidi="en-US"/>
                          </w:rPr>
                          <m:t>i</m:t>
                        </m:r>
                      </m:sub>
                    </m:sSub>
                    <m:sSup>
                      <m:sSupPr>
                        <m:ctrlPr>
                          <w:rPr>
                            <w:rFonts w:ascii="Cambria Math" w:hAnsi="Cambria Math"/>
                            <w:lang w:bidi="en-US"/>
                          </w:rPr>
                        </m:ctrlPr>
                      </m:sSupPr>
                      <m:e>
                        <m:d>
                          <m:dPr>
                            <m:ctrlPr>
                              <w:rPr>
                                <w:rFonts w:ascii="Cambria Math" w:hAnsi="Cambria Math"/>
                                <w:lang w:bidi="en-US"/>
                              </w:rPr>
                            </m:ctrlPr>
                          </m:dPr>
                          <m:e>
                            <m:f>
                              <m:fPr>
                                <m:ctrlPr>
                                  <w:rPr>
                                    <w:rFonts w:ascii="Cambria Math" w:hAnsi="Cambria Math"/>
                                    <w:lang w:bidi="en-US"/>
                                  </w:rPr>
                                </m:ctrlPr>
                              </m:fPr>
                              <m:num>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i</m:t>
                                    </m:r>
                                    <m:r>
                                      <m:rPr>
                                        <m:sty m:val="p"/>
                                      </m:rPr>
                                      <w:rPr>
                                        <w:rFonts w:ascii="Cambria Math" w:hAnsi="Cambria Math"/>
                                        <w:lang w:bidi="en-US"/>
                                      </w:rPr>
                                      <m:t>,</m:t>
                                    </m:r>
                                    <m:r>
                                      <w:rPr>
                                        <w:rFonts w:ascii="Cambria Math" w:hAnsi="Cambria Math"/>
                                        <w:lang w:bidi="en-US"/>
                                      </w:rPr>
                                      <m:t>j</m:t>
                                    </m:r>
                                  </m:sub>
                                </m:sSub>
                              </m:num>
                              <m:den>
                                <m:d>
                                  <m:dPr>
                                    <m:begChr m:val="〈"/>
                                    <m:endChr m:val="〉"/>
                                    <m:ctrlPr>
                                      <w:rPr>
                                        <w:rFonts w:ascii="Cambria Math" w:hAnsi="Cambria Math"/>
                                        <w:lang w:bidi="en-US"/>
                                      </w:rPr>
                                    </m:ctrlPr>
                                  </m:dPr>
                                  <m:e>
                                    <m:sSub>
                                      <m:sSubPr>
                                        <m:ctrlPr>
                                          <w:rPr>
                                            <w:rFonts w:ascii="Cambria Math" w:hAnsi="Cambria Math"/>
                                            <w:lang w:bidi="en-US"/>
                                          </w:rPr>
                                        </m:ctrlPr>
                                      </m:sSubPr>
                                      <m:e>
                                        <m:r>
                                          <w:rPr>
                                            <w:rFonts w:ascii="Cambria Math" w:hAnsi="Cambria Math"/>
                                            <w:lang w:bidi="en-US"/>
                                          </w:rPr>
                                          <m:t>p</m:t>
                                        </m:r>
                                      </m:e>
                                      <m:sub>
                                        <m:r>
                                          <w:rPr>
                                            <w:rFonts w:ascii="Cambria Math" w:hAnsi="Cambria Math"/>
                                            <w:lang w:bidi="en-US"/>
                                          </w:rPr>
                                          <m:t>i</m:t>
                                        </m:r>
                                      </m:sub>
                                    </m:sSub>
                                  </m:e>
                                </m:d>
                              </m:den>
                            </m:f>
                          </m:e>
                        </m:d>
                      </m:e>
                      <m:sup>
                        <m:sSub>
                          <m:sSubPr>
                            <m:ctrlPr>
                              <w:rPr>
                                <w:rFonts w:ascii="Cambria Math" w:hAnsi="Cambria Math"/>
                                <w:lang w:bidi="en-US"/>
                              </w:rPr>
                            </m:ctrlPr>
                          </m:sSubPr>
                          <m:e>
                            <m:r>
                              <w:rPr>
                                <w:rFonts w:ascii="Cambria Math" w:hAnsi="Cambria Math"/>
                                <w:lang w:bidi="en-US"/>
                              </w:rPr>
                              <m:t>n</m:t>
                            </m:r>
                          </m:e>
                          <m:sub>
                            <m:r>
                              <w:rPr>
                                <w:rFonts w:ascii="Cambria Math" w:hAnsi="Cambria Math"/>
                                <w:lang w:bidi="en-US"/>
                              </w:rPr>
                              <m:t>i</m:t>
                            </m:r>
                          </m:sub>
                        </m:sSub>
                      </m:sup>
                    </m:sSup>
                  </m:e>
                </m:nary>
              </m:oMath>
            </m:oMathPara>
          </w:p>
        </w:tc>
        <w:tc>
          <w:tcPr>
            <w:tcW w:w="1396" w:type="dxa"/>
            <w:tcBorders>
              <w:top w:val="nil"/>
              <w:left w:val="nil"/>
              <w:bottom w:val="nil"/>
              <w:right w:val="nil"/>
            </w:tcBorders>
            <w:vAlign w:val="center"/>
          </w:tcPr>
          <w:p w14:paraId="3A2E4A04" w14:textId="77777777" w:rsidR="0080518D" w:rsidRPr="0080518D" w:rsidRDefault="0080518D" w:rsidP="0080518D">
            <w:pPr>
              <w:rPr>
                <w:lang w:bidi="en-US"/>
              </w:rPr>
            </w:pPr>
            <w:r w:rsidRPr="0080518D">
              <w:rPr>
                <w:lang w:bidi="en-US"/>
              </w:rPr>
              <w:t>(3.2)</w:t>
            </w:r>
          </w:p>
        </w:tc>
      </w:tr>
    </w:tbl>
    <w:p w14:paraId="1B75DAE8" w14:textId="77777777" w:rsidR="00C34425" w:rsidRDefault="0080518D" w:rsidP="00C34425">
      <w:pPr>
        <w:rPr>
          <w:iCs/>
          <w:lang w:bidi="en-US"/>
        </w:rPr>
      </w:pPr>
      <w:r w:rsidRPr="0080518D">
        <w:rPr>
          <w:iCs/>
          <w:lang w:bidi="en-US"/>
        </w:rPr>
        <w:t xml:space="preserve">where </w:t>
      </w:r>
      <m:oMath>
        <m:sSub>
          <m:sSubPr>
            <m:ctrlPr>
              <w:rPr>
                <w:rFonts w:ascii="Cambria Math" w:hAnsi="Cambria Math"/>
                <w:iCs/>
                <w:lang w:bidi="en-US"/>
              </w:rPr>
            </m:ctrlPr>
          </m:sSubPr>
          <m:e>
            <m:r>
              <w:rPr>
                <w:rFonts w:ascii="Cambria Math" w:hAnsi="Cambria Math"/>
                <w:lang w:bidi="en-US"/>
              </w:rPr>
              <m:t>n</m:t>
            </m:r>
          </m:e>
          <m:sub>
            <m:r>
              <w:rPr>
                <w:rFonts w:ascii="Cambria Math" w:hAnsi="Cambria Math"/>
                <w:lang w:bidi="en-US"/>
              </w:rPr>
              <m:t>prop</m:t>
            </m:r>
          </m:sub>
        </m:sSub>
      </m:oMath>
      <w:r w:rsidRPr="0080518D">
        <w:rPr>
          <w:iCs/>
          <w:lang w:bidi="en-US"/>
        </w:rPr>
        <w:t xml:space="preserve"> is the number of properties (</w:t>
      </w:r>
      <m:oMath>
        <m:sSub>
          <m:sSubPr>
            <m:ctrlPr>
              <w:rPr>
                <w:rFonts w:ascii="Cambria Math" w:hAnsi="Cambria Math"/>
                <w:iCs/>
                <w:lang w:bidi="en-US"/>
              </w:rPr>
            </m:ctrlPr>
          </m:sSubPr>
          <m:e>
            <m:r>
              <w:rPr>
                <w:rFonts w:ascii="Cambria Math" w:hAnsi="Cambria Math"/>
                <w:lang w:bidi="en-US"/>
              </w:rPr>
              <m:t>n</m:t>
            </m:r>
          </m:e>
          <m:sub>
            <m:r>
              <w:rPr>
                <w:rFonts w:ascii="Cambria Math" w:hAnsi="Cambria Math"/>
                <w:lang w:bidi="en-US"/>
              </w:rPr>
              <m:t>prop</m:t>
            </m:r>
          </m:sub>
        </m:sSub>
        <m:r>
          <w:rPr>
            <w:rFonts w:ascii="Cambria Math" w:hAnsi="Cambria Math"/>
            <w:lang w:bidi="en-US"/>
          </w:rPr>
          <m:t>=8</m:t>
        </m:r>
      </m:oMath>
      <w:r w:rsidRPr="0080518D">
        <w:rPr>
          <w:iCs/>
          <w:lang w:bidi="en-US"/>
        </w:rPr>
        <w:t xml:space="preserve">), </w:t>
      </w:r>
      <m:oMath>
        <m:sSub>
          <m:sSubPr>
            <m:ctrlPr>
              <w:rPr>
                <w:rFonts w:ascii="Cambria Math" w:hAnsi="Cambria Math"/>
                <w:iCs/>
                <w:lang w:bidi="en-US"/>
              </w:rPr>
            </m:ctrlPr>
          </m:sSubPr>
          <m:e>
            <m:r>
              <w:rPr>
                <w:rFonts w:ascii="Cambria Math" w:hAnsi="Cambria Math"/>
                <w:lang w:bidi="en-US"/>
              </w:rPr>
              <m:t>p</m:t>
            </m:r>
          </m:e>
          <m:sub>
            <m:r>
              <w:rPr>
                <w:rFonts w:ascii="Cambria Math" w:hAnsi="Cambria Math"/>
                <w:lang w:bidi="en-US"/>
              </w:rPr>
              <m:t>i,j</m:t>
            </m:r>
          </m:sub>
        </m:sSub>
      </m:oMath>
      <w:r w:rsidRPr="0080518D">
        <w:rPr>
          <w:iCs/>
          <w:lang w:bidi="en-US"/>
        </w:rPr>
        <w:t xml:space="preserve"> is the value of property </w:t>
      </w:r>
      <m:oMath>
        <m:r>
          <w:rPr>
            <w:rFonts w:ascii="Cambria Math" w:hAnsi="Cambria Math"/>
            <w:lang w:bidi="en-US"/>
          </w:rPr>
          <m:t>i</m:t>
        </m:r>
      </m:oMath>
      <w:r w:rsidRPr="0080518D">
        <w:rPr>
          <w:iCs/>
          <w:lang w:bidi="en-US"/>
        </w:rPr>
        <w:t xml:space="preserve"> for sample </w:t>
      </w:r>
      <m:oMath>
        <m:r>
          <w:rPr>
            <w:rFonts w:ascii="Cambria Math" w:hAnsi="Cambria Math"/>
            <w:lang w:bidi="en-US"/>
          </w:rPr>
          <m:t>j</m:t>
        </m:r>
      </m:oMath>
      <w:r w:rsidRPr="0080518D">
        <w:rPr>
          <w:iCs/>
          <w:lang w:bidi="en-US"/>
        </w:rPr>
        <w:t xml:space="preserve">, </w:t>
      </w:r>
      <m:oMath>
        <m:d>
          <m:dPr>
            <m:begChr m:val="〈"/>
            <m:endChr m:val="〉"/>
            <m:ctrlPr>
              <w:rPr>
                <w:rFonts w:ascii="Cambria Math" w:hAnsi="Cambria Math"/>
                <w:iCs/>
                <w:lang w:bidi="en-US"/>
              </w:rPr>
            </m:ctrlPr>
          </m:dPr>
          <m:e>
            <m:sSub>
              <m:sSubPr>
                <m:ctrlPr>
                  <w:rPr>
                    <w:rFonts w:ascii="Cambria Math" w:hAnsi="Cambria Math"/>
                    <w:iCs/>
                    <w:lang w:bidi="en-US"/>
                  </w:rPr>
                </m:ctrlPr>
              </m:sSubPr>
              <m:e>
                <m:r>
                  <w:rPr>
                    <w:rFonts w:ascii="Cambria Math" w:hAnsi="Cambria Math"/>
                    <w:lang w:bidi="en-US"/>
                  </w:rPr>
                  <m:t>p</m:t>
                </m:r>
              </m:e>
              <m:sub>
                <m:r>
                  <w:rPr>
                    <w:rFonts w:ascii="Cambria Math" w:hAnsi="Cambria Math"/>
                    <w:lang w:bidi="en-US"/>
                  </w:rPr>
                  <m:t>i</m:t>
                </m:r>
              </m:sub>
            </m:sSub>
          </m:e>
        </m:d>
      </m:oMath>
      <w:r w:rsidRPr="0080518D">
        <w:rPr>
          <w:iCs/>
          <w:lang w:bidi="en-US"/>
        </w:rPr>
        <w:t xml:space="preserve"> is the average value of property </w:t>
      </w:r>
      <m:oMath>
        <m:r>
          <w:rPr>
            <w:rFonts w:ascii="Cambria Math" w:hAnsi="Cambria Math"/>
            <w:lang w:bidi="en-US"/>
          </w:rPr>
          <m:t>i</m:t>
        </m:r>
      </m:oMath>
      <w:r w:rsidRPr="0080518D">
        <w:rPr>
          <w:iCs/>
          <w:lang w:bidi="en-US"/>
        </w:rPr>
        <w:t xml:space="preserve"> over all samples, </w:t>
      </w:r>
      <m:oMath>
        <m:sSub>
          <m:sSubPr>
            <m:ctrlPr>
              <w:rPr>
                <w:rFonts w:ascii="Cambria Math" w:hAnsi="Cambria Math"/>
                <w:iCs/>
                <w:lang w:bidi="en-US"/>
              </w:rPr>
            </m:ctrlPr>
          </m:sSubPr>
          <m:e>
            <m:r>
              <w:rPr>
                <w:rFonts w:ascii="Cambria Math" w:hAnsi="Cambria Math"/>
                <w:lang w:bidi="en-US"/>
              </w:rPr>
              <m:t>w</m:t>
            </m:r>
          </m:e>
          <m:sub>
            <m:r>
              <w:rPr>
                <w:rFonts w:ascii="Cambria Math" w:hAnsi="Cambria Math"/>
                <w:lang w:bidi="en-US"/>
              </w:rPr>
              <m:t>i</m:t>
            </m:r>
          </m:sub>
        </m:sSub>
      </m:oMath>
      <w:r w:rsidRPr="0080518D">
        <w:rPr>
          <w:iCs/>
          <w:lang w:bidi="en-US"/>
        </w:rPr>
        <w:t xml:space="preserve"> is the relative weight of property </w:t>
      </w:r>
      <m:oMath>
        <m:r>
          <w:rPr>
            <w:rFonts w:ascii="Cambria Math" w:hAnsi="Cambria Math"/>
            <w:lang w:bidi="en-US"/>
          </w:rPr>
          <m:t>i</m:t>
        </m:r>
      </m:oMath>
      <w:r w:rsidRPr="0080518D">
        <w:rPr>
          <w:iCs/>
          <w:lang w:bidi="en-US"/>
        </w:rPr>
        <w:t xml:space="preserve">, and </w:t>
      </w:r>
      <m:oMath>
        <m:sSub>
          <m:sSubPr>
            <m:ctrlPr>
              <w:rPr>
                <w:rFonts w:ascii="Cambria Math" w:hAnsi="Cambria Math"/>
                <w:iCs/>
                <w:lang w:bidi="en-US"/>
              </w:rPr>
            </m:ctrlPr>
          </m:sSubPr>
          <m:e>
            <m:r>
              <w:rPr>
                <w:rFonts w:ascii="Cambria Math" w:hAnsi="Cambria Math"/>
                <w:lang w:bidi="en-US"/>
              </w:rPr>
              <m:t>n</m:t>
            </m:r>
          </m:e>
          <m:sub>
            <m:r>
              <w:rPr>
                <w:rFonts w:ascii="Cambria Math" w:hAnsi="Cambria Math"/>
                <w:lang w:bidi="en-US"/>
              </w:rPr>
              <m:t>i</m:t>
            </m:r>
          </m:sub>
        </m:sSub>
      </m:oMath>
      <w:r w:rsidRPr="0080518D">
        <w:rPr>
          <w:iCs/>
          <w:lang w:bidi="en-US"/>
        </w:rPr>
        <w:t xml:space="preserve"> is the exponent for property </w:t>
      </w:r>
      <m:oMath>
        <m:r>
          <w:rPr>
            <w:rFonts w:ascii="Cambria Math" w:hAnsi="Cambria Math"/>
            <w:lang w:bidi="en-US"/>
          </w:rPr>
          <m:t>i</m:t>
        </m:r>
      </m:oMath>
      <w:r w:rsidRPr="0080518D">
        <w:rPr>
          <w:iCs/>
          <w:lang w:bidi="en-US"/>
        </w:rPr>
        <w:t xml:space="preserve">, which is set to a value of </w:t>
      </w:r>
      <m:oMath>
        <m:r>
          <w:rPr>
            <w:rFonts w:ascii="Cambria Math" w:hAnsi="Cambria Math"/>
            <w:lang w:bidi="en-US"/>
          </w:rPr>
          <m:t>±1</m:t>
        </m:r>
      </m:oMath>
      <w:r w:rsidRPr="0080518D">
        <w:rPr>
          <w:iCs/>
          <w:lang w:bidi="en-US"/>
        </w:rPr>
        <w:t xml:space="preserve">. A positive value of </w:t>
      </w:r>
      <m:oMath>
        <m:sSub>
          <m:sSubPr>
            <m:ctrlPr>
              <w:rPr>
                <w:rFonts w:ascii="Cambria Math" w:hAnsi="Cambria Math"/>
                <w:iCs/>
                <w:lang w:bidi="en-US"/>
              </w:rPr>
            </m:ctrlPr>
          </m:sSubPr>
          <m:e>
            <m:r>
              <w:rPr>
                <w:rFonts w:ascii="Cambria Math" w:hAnsi="Cambria Math"/>
                <w:lang w:bidi="en-US"/>
              </w:rPr>
              <m:t>n</m:t>
            </m:r>
          </m:e>
          <m:sub>
            <m:r>
              <w:rPr>
                <w:rFonts w:ascii="Cambria Math" w:hAnsi="Cambria Math"/>
                <w:lang w:bidi="en-US"/>
              </w:rPr>
              <m:t>i</m:t>
            </m:r>
          </m:sub>
        </m:sSub>
      </m:oMath>
      <w:r w:rsidRPr="0080518D">
        <w:rPr>
          <w:iCs/>
          <w:lang w:bidi="en-US"/>
        </w:rPr>
        <w:t xml:space="preserve"> was used for standard deviations, as it is desired to minimize the variability, while a negative value of </w:t>
      </w:r>
      <m:oMath>
        <m:sSub>
          <m:sSubPr>
            <m:ctrlPr>
              <w:rPr>
                <w:rFonts w:ascii="Cambria Math" w:hAnsi="Cambria Math"/>
                <w:iCs/>
                <w:lang w:bidi="en-US"/>
              </w:rPr>
            </m:ctrlPr>
          </m:sSubPr>
          <m:e>
            <m:r>
              <w:rPr>
                <w:rFonts w:ascii="Cambria Math" w:hAnsi="Cambria Math"/>
                <w:lang w:bidi="en-US"/>
              </w:rPr>
              <m:t>n</m:t>
            </m:r>
          </m:e>
          <m:sub>
            <m:r>
              <w:rPr>
                <w:rFonts w:ascii="Cambria Math" w:hAnsi="Cambria Math"/>
                <w:lang w:bidi="en-US"/>
              </w:rPr>
              <m:t>i</m:t>
            </m:r>
          </m:sub>
        </m:sSub>
      </m:oMath>
      <w:r w:rsidRPr="0080518D">
        <w:rPr>
          <w:iCs/>
          <w:lang w:bidi="en-US"/>
        </w:rPr>
        <w:t xml:space="preserve"> was used for the studied mechanical properties as we would like to maximize mechanical performance. All weights, </w:t>
      </w:r>
      <m:oMath>
        <m:sSub>
          <m:sSubPr>
            <m:ctrlPr>
              <w:rPr>
                <w:rFonts w:ascii="Cambria Math" w:hAnsi="Cambria Math"/>
                <w:iCs/>
                <w:lang w:bidi="en-US"/>
              </w:rPr>
            </m:ctrlPr>
          </m:sSubPr>
          <m:e>
            <m:r>
              <w:rPr>
                <w:rFonts w:ascii="Cambria Math" w:hAnsi="Cambria Math"/>
                <w:lang w:bidi="en-US"/>
              </w:rPr>
              <m:t>w</m:t>
            </m:r>
          </m:e>
          <m:sub>
            <m:r>
              <w:rPr>
                <w:rFonts w:ascii="Cambria Math" w:hAnsi="Cambria Math"/>
                <w:lang w:bidi="en-US"/>
              </w:rPr>
              <m:t>i</m:t>
            </m:r>
          </m:sub>
        </m:sSub>
      </m:oMath>
      <w:r w:rsidRPr="0080518D">
        <w:rPr>
          <w:iCs/>
          <w:lang w:bidi="en-US"/>
        </w:rPr>
        <w:t xml:space="preserve">, were set to 1 for this work, indicating that all properties were considered equally important. The samples produced at 240 °C were excluded from this analysis due to the processing challenges experienced at this temperature. The results of this optimization analysis are shown in </w:t>
      </w:r>
      <w:r w:rsidRPr="0080518D">
        <w:rPr>
          <w:b/>
          <w:bCs/>
          <w:iCs/>
          <w:lang w:bidi="en-US"/>
        </w:rPr>
        <w:t>Table 3.7</w:t>
      </w:r>
      <w:r w:rsidRPr="0080518D">
        <w:rPr>
          <w:iCs/>
          <w:lang w:bidi="en-US"/>
        </w:rPr>
        <w:t xml:space="preserve">, with results color-coded by processing temperature to match previous figures. We also compared the mechanical properties to literature values for talc-filled polypropylene. This is a material that is commonly used for injection molded automotive parts such as bumpers, instrument panels, door panels, and mirror housings </w:t>
      </w:r>
      <w:r w:rsidRPr="0080518D">
        <w:rPr>
          <w:iCs/>
          <w:lang w:bidi="en-US"/>
        </w:rPr>
        <w:fldChar w:fldCharType="begin"/>
      </w:r>
      <w:r w:rsidRPr="0080518D">
        <w:rPr>
          <w:iCs/>
          <w:lang w:bidi="en-US"/>
        </w:rPr>
        <w:instrText xml:space="preserve"> ADDIN ZOTERO_ITEM CSL_CITATION {"citationID":"qUY3VQAe","properties":{"formattedCitation":"[115]","plainCitation":"[115]","noteIndex":0},"citationItems":[{"id":1836,"uris":["http://zotero.org/users/3415649/items/R9WW7WTD"],"itemData":{"id":1836,"type":"article-journal","abstract":"Talc is a important filler for polypropylene (PP) and Non halogen flame retardants (ammonium polyphosphate) is used with PP. It does not generate toxic gases and corrosive smokes during combustion. The addition of flame retardants will lower the flammability of PP. Talc improves the mechanical properties (stiffness, flexural strength, modulus etc) and heat deflection temperature. Two types of mechanical testing have been done to determine the mechanical properties, which are flexural test and tensile test .In this study, the improvement of mechanical properties have shown with increasing suitable percentage (by weight) of talc for a new applications .","container-title":"International Journal of Research in Engineering and Technology","DOI":"10.15623/ijret.2013.0204001","ISSN":"23217308, 23191163","issue":"04","journalAbbreviation":"IJRET","language":"en","page":"411-415","source":"DOI.org (Crossref)","title":"Study of Talc Filled Polypropylene - A Concept for Improving Mechanical Properties of Polypropylene","volume":"02","author":[{"family":"Kant","given":"Shri"},{"family":"Urmila","given":""},{"family":"Kumar","given":"Jitendra"},{"family":"Pundir","given":"Gaurav"}],"issued":{"date-parts":[["2013",4,25]]}}}],"schema":"https://github.com/citation-style-language/schema/raw/master/csl-citation.json"} </w:instrText>
      </w:r>
      <w:r w:rsidRPr="0080518D">
        <w:rPr>
          <w:iCs/>
          <w:lang w:bidi="en-US"/>
        </w:rPr>
        <w:fldChar w:fldCharType="separate"/>
      </w:r>
      <w:r w:rsidRPr="0080518D">
        <w:rPr>
          <w:lang w:bidi="en-US"/>
        </w:rPr>
        <w:t>[115]</w:t>
      </w:r>
      <w:r w:rsidRPr="0080518D">
        <w:rPr>
          <w:lang w:bidi="en-US"/>
        </w:rPr>
        <w:fldChar w:fldCharType="end"/>
      </w:r>
      <w:r w:rsidRPr="0080518D">
        <w:rPr>
          <w:iCs/>
          <w:lang w:bidi="en-US"/>
        </w:rPr>
        <w:t xml:space="preserve">. We chose this as a point of comparison to determine if our recycled material has appropriate properties for automotive applications.  </w:t>
      </w:r>
    </w:p>
    <w:p w14:paraId="1EC3C9E7" w14:textId="3DAEA50B" w:rsidR="00D35DE1" w:rsidRPr="00D35DE1" w:rsidRDefault="00D35DE1" w:rsidP="00D35DE1">
      <w:pPr>
        <w:pStyle w:val="TableHeading"/>
        <w:rPr>
          <w:lang w:bidi="en-US"/>
        </w:rPr>
      </w:pPr>
      <w:r w:rsidRPr="00D35DE1">
        <w:rPr>
          <w:lang w:bidi="en-US"/>
        </w:rPr>
        <w:lastRenderedPageBreak/>
        <w:t xml:space="preserve">Table 7. </w:t>
      </w:r>
      <w:r w:rsidRPr="00D35DE1">
        <w:rPr>
          <w:b w:val="0"/>
          <w:bCs w:val="0"/>
          <w:lang w:bidi="en-US"/>
        </w:rPr>
        <w:t xml:space="preserve">Results of objective function analysis for injection molded specimens with color-coding to match previous figures (i.e. Figure </w:t>
      </w:r>
      <w:r>
        <w:rPr>
          <w:b w:val="0"/>
          <w:bCs w:val="0"/>
          <w:lang w:bidi="en-US"/>
        </w:rPr>
        <w:t>3.2</w:t>
      </w:r>
      <w:r w:rsidRPr="00D35DE1">
        <w:rPr>
          <w:b w:val="0"/>
          <w:bCs w:val="0"/>
          <w:lang w:bidi="en-US"/>
        </w:rPr>
        <w:t xml:space="preserve">). Comparison data for talc-filled polypropylene was obtained from work by Kant et al. </w:t>
      </w:r>
      <w:r w:rsidRPr="00D35DE1">
        <w:rPr>
          <w:b w:val="0"/>
          <w:bCs w:val="0"/>
          <w:lang w:bidi="en-US"/>
        </w:rPr>
        <w:fldChar w:fldCharType="begin"/>
      </w:r>
      <w:r w:rsidRPr="00D35DE1">
        <w:rPr>
          <w:b w:val="0"/>
          <w:bCs w:val="0"/>
          <w:lang w:bidi="en-US"/>
        </w:rPr>
        <w:instrText xml:space="preserve"> ADDIN ZOTERO_ITEM CSL_CITATION {"citationID":"fqoG5EHS","properties":{"formattedCitation":"[115]","plainCitation":"[115]","noteIndex":0},"citationItems":[{"id":1836,"uris":["http://zotero.org/users/3415649/items/R9WW7WTD"],"itemData":{"id":1836,"type":"article-journal","abstract":"Talc is a important filler for polypropylene (PP) and Non halogen flame retardants (ammonium polyphosphate) is used with PP. It does not generate toxic gases and corrosive smokes during combustion. The addition of flame retardants will lower the flammability of PP. Talc improves the mechanical properties (stiffness, flexural strength, modulus etc) and heat deflection temperature. Two types of mechanical testing have been done to determine the mechanical properties, which are flexural test and tensile test .In this study, the improvement of mechanical properties have shown with increasing suitable percentage (by weight) of talc for a new applications .","container-title":"International Journal of Research in Engineering and Technology","DOI":"10.15623/ijret.2013.0204001","ISSN":"23217308, 23191163","issue":"04","journalAbbreviation":"IJRET","language":"en","page":"411-415","source":"DOI.org (Crossref)","title":"Study of Talc Filled Polypropylene - A Concept for Improving Mechanical Properties of Polypropylene","volume":"02","author":[{"family":"Kant","given":"Shri"},{"family":"Urmila","given":""},{"family":"Kumar","given":"Jitendra"},{"family":"Pundir","given":"Gaurav"}],"issued":{"date-parts":[["2013",4,25]]}}}],"schema":"https://github.com/citation-style-language/schema/raw/master/csl-citation.json"} </w:instrText>
      </w:r>
      <w:r w:rsidRPr="00D35DE1">
        <w:rPr>
          <w:b w:val="0"/>
          <w:bCs w:val="0"/>
          <w:lang w:bidi="en-US"/>
        </w:rPr>
        <w:fldChar w:fldCharType="separate"/>
      </w:r>
      <w:r w:rsidRPr="00D35DE1">
        <w:rPr>
          <w:b w:val="0"/>
          <w:bCs w:val="0"/>
          <w:lang w:bidi="en-US"/>
        </w:rPr>
        <w:t>[115]</w:t>
      </w:r>
      <w:r w:rsidRPr="00D35DE1">
        <w:rPr>
          <w:b w:val="0"/>
          <w:bCs w:val="0"/>
          <w:lang w:bidi="en-US"/>
        </w:rPr>
        <w:fldChar w:fldCharType="end"/>
      </w:r>
    </w:p>
    <w:tbl>
      <w:tblPr>
        <w:tblW w:w="5000" w:type="pct"/>
        <w:jc w:val="center"/>
        <w:tblLook w:val="04A0" w:firstRow="1" w:lastRow="0" w:firstColumn="1" w:lastColumn="0" w:noHBand="0" w:noVBand="1"/>
      </w:tblPr>
      <w:tblGrid>
        <w:gridCol w:w="1990"/>
        <w:gridCol w:w="1291"/>
        <w:gridCol w:w="1892"/>
        <w:gridCol w:w="1291"/>
        <w:gridCol w:w="1185"/>
        <w:gridCol w:w="981"/>
      </w:tblGrid>
      <w:tr w:rsidR="00D35DE1" w:rsidRPr="00D35DE1" w14:paraId="5A112986" w14:textId="77777777" w:rsidTr="00D35DE1">
        <w:trPr>
          <w:trHeight w:val="20"/>
          <w:jc w:val="center"/>
        </w:trPr>
        <w:tc>
          <w:tcPr>
            <w:tcW w:w="1156" w:type="pct"/>
            <w:tcBorders>
              <w:top w:val="single" w:sz="4" w:space="0" w:color="auto"/>
              <w:left w:val="single" w:sz="4" w:space="0" w:color="auto"/>
              <w:bottom w:val="single" w:sz="4" w:space="0" w:color="auto"/>
              <w:right w:val="nil"/>
            </w:tcBorders>
            <w:shd w:val="clear" w:color="auto" w:fill="auto"/>
            <w:noWrap/>
            <w:vAlign w:val="center"/>
            <w:hideMark/>
          </w:tcPr>
          <w:p w14:paraId="28C9A1B5" w14:textId="77777777" w:rsidR="00D35DE1" w:rsidRPr="00D35DE1" w:rsidRDefault="00D35DE1" w:rsidP="00D35DE1">
            <w:pPr>
              <w:pStyle w:val="TableHeading"/>
              <w:rPr>
                <w:sz w:val="22"/>
                <w:szCs w:val="22"/>
                <w:lang w:bidi="en-US"/>
              </w:rPr>
            </w:pPr>
            <w:r w:rsidRPr="00D35DE1">
              <w:rPr>
                <w:sz w:val="22"/>
                <w:szCs w:val="22"/>
                <w:lang w:bidi="en-US"/>
              </w:rPr>
              <w:t>Set Name</w:t>
            </w:r>
          </w:p>
        </w:tc>
        <w:tc>
          <w:tcPr>
            <w:tcW w:w="751" w:type="pct"/>
            <w:tcBorders>
              <w:top w:val="single" w:sz="4" w:space="0" w:color="auto"/>
              <w:left w:val="nil"/>
              <w:bottom w:val="single" w:sz="4" w:space="0" w:color="auto"/>
              <w:right w:val="nil"/>
            </w:tcBorders>
            <w:shd w:val="clear" w:color="auto" w:fill="auto"/>
            <w:noWrap/>
            <w:vAlign w:val="center"/>
            <w:hideMark/>
          </w:tcPr>
          <w:p w14:paraId="5A4D5C71" w14:textId="77777777" w:rsidR="00D35DE1" w:rsidRPr="00D35DE1" w:rsidRDefault="00D35DE1" w:rsidP="00D35DE1">
            <w:pPr>
              <w:pStyle w:val="TableHeading"/>
              <w:rPr>
                <w:sz w:val="22"/>
                <w:szCs w:val="22"/>
                <w:lang w:bidi="en-US"/>
              </w:rPr>
            </w:pPr>
            <w:r w:rsidRPr="00D35DE1">
              <w:rPr>
                <w:sz w:val="22"/>
                <w:szCs w:val="22"/>
                <w:lang w:bidi="en-US"/>
              </w:rPr>
              <w:t xml:space="preserve">Young's </w:t>
            </w:r>
            <w:r w:rsidRPr="00D35DE1">
              <w:rPr>
                <w:sz w:val="22"/>
                <w:szCs w:val="22"/>
                <w:lang w:bidi="en-US"/>
              </w:rPr>
              <w:br/>
              <w:t>Modulus</w:t>
            </w:r>
          </w:p>
        </w:tc>
        <w:tc>
          <w:tcPr>
            <w:tcW w:w="1099" w:type="pct"/>
            <w:tcBorders>
              <w:top w:val="single" w:sz="4" w:space="0" w:color="auto"/>
              <w:left w:val="nil"/>
              <w:bottom w:val="single" w:sz="4" w:space="0" w:color="auto"/>
              <w:right w:val="nil"/>
            </w:tcBorders>
            <w:shd w:val="clear" w:color="auto" w:fill="auto"/>
            <w:noWrap/>
            <w:vAlign w:val="center"/>
            <w:hideMark/>
          </w:tcPr>
          <w:p w14:paraId="64E04406" w14:textId="0135F358" w:rsidR="00D35DE1" w:rsidRPr="00D35DE1" w:rsidRDefault="00D35DE1" w:rsidP="00D35DE1">
            <w:pPr>
              <w:pStyle w:val="TableHeading"/>
              <w:rPr>
                <w:sz w:val="22"/>
                <w:szCs w:val="22"/>
                <w:lang w:bidi="en-US"/>
              </w:rPr>
            </w:pPr>
            <w:r w:rsidRPr="00D35DE1">
              <w:rPr>
                <w:sz w:val="22"/>
                <w:szCs w:val="22"/>
                <w:lang w:bidi="en-US"/>
              </w:rPr>
              <w:t>Ultimate Tensile</w:t>
            </w:r>
            <w:r>
              <w:rPr>
                <w:sz w:val="22"/>
                <w:szCs w:val="22"/>
                <w:lang w:bidi="en-US"/>
              </w:rPr>
              <w:br/>
              <w:t>S</w:t>
            </w:r>
            <w:r w:rsidRPr="00D35DE1">
              <w:rPr>
                <w:sz w:val="22"/>
                <w:szCs w:val="22"/>
                <w:lang w:bidi="en-US"/>
              </w:rPr>
              <w:t>trength</w:t>
            </w:r>
          </w:p>
        </w:tc>
        <w:tc>
          <w:tcPr>
            <w:tcW w:w="751" w:type="pct"/>
            <w:tcBorders>
              <w:top w:val="single" w:sz="4" w:space="0" w:color="auto"/>
              <w:left w:val="nil"/>
              <w:bottom w:val="single" w:sz="4" w:space="0" w:color="auto"/>
              <w:right w:val="nil"/>
            </w:tcBorders>
            <w:shd w:val="clear" w:color="auto" w:fill="auto"/>
            <w:noWrap/>
            <w:vAlign w:val="center"/>
            <w:hideMark/>
          </w:tcPr>
          <w:p w14:paraId="0A9E8661" w14:textId="0DC518D7" w:rsidR="00D35DE1" w:rsidRPr="00D35DE1" w:rsidRDefault="00D35DE1" w:rsidP="00D35DE1">
            <w:pPr>
              <w:pStyle w:val="TableHeading"/>
              <w:rPr>
                <w:sz w:val="22"/>
                <w:szCs w:val="22"/>
                <w:lang w:bidi="en-US"/>
              </w:rPr>
            </w:pPr>
            <w:r w:rsidRPr="00D35DE1">
              <w:rPr>
                <w:sz w:val="22"/>
                <w:szCs w:val="22"/>
                <w:lang w:bidi="en-US"/>
              </w:rPr>
              <w:t xml:space="preserve">Flexural </w:t>
            </w:r>
            <w:r>
              <w:rPr>
                <w:sz w:val="22"/>
                <w:szCs w:val="22"/>
                <w:lang w:bidi="en-US"/>
              </w:rPr>
              <w:br/>
            </w:r>
            <w:r w:rsidRPr="00D35DE1">
              <w:rPr>
                <w:sz w:val="22"/>
                <w:szCs w:val="22"/>
                <w:lang w:bidi="en-US"/>
              </w:rPr>
              <w:t>Modulus</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14:paraId="7E95F5CD" w14:textId="6063E193" w:rsidR="00D35DE1" w:rsidRPr="00D35DE1" w:rsidRDefault="00D35DE1" w:rsidP="00D35DE1">
            <w:pPr>
              <w:pStyle w:val="TableHeading"/>
              <w:rPr>
                <w:sz w:val="22"/>
                <w:szCs w:val="22"/>
                <w:lang w:bidi="en-US"/>
              </w:rPr>
            </w:pPr>
            <w:r w:rsidRPr="00D35DE1">
              <w:rPr>
                <w:sz w:val="22"/>
                <w:szCs w:val="22"/>
                <w:lang w:bidi="en-US"/>
              </w:rPr>
              <w:t>Flexural</w:t>
            </w:r>
            <w:r>
              <w:rPr>
                <w:sz w:val="22"/>
                <w:szCs w:val="22"/>
                <w:lang w:bidi="en-US"/>
              </w:rPr>
              <w:br/>
            </w:r>
            <w:r w:rsidRPr="00D35DE1">
              <w:rPr>
                <w:sz w:val="22"/>
                <w:szCs w:val="22"/>
                <w:lang w:bidi="en-US"/>
              </w:rPr>
              <w:t>Strength</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5A03AD03" w14:textId="2E22FDA8" w:rsidR="00D35DE1" w:rsidRPr="00D35DE1" w:rsidRDefault="00000000" w:rsidP="00D35DE1">
            <w:pPr>
              <w:pStyle w:val="TableHeading"/>
              <w:rPr>
                <w:sz w:val="22"/>
                <w:szCs w:val="22"/>
                <w:lang w:bidi="en-US"/>
              </w:rPr>
            </w:pPr>
            <m:oMathPara>
              <m:oMathParaPr>
                <m:jc m:val="center"/>
              </m:oMathParaPr>
              <m:oMath>
                <m:sSub>
                  <m:sSubPr>
                    <m:ctrlPr>
                      <w:rPr>
                        <w:rFonts w:ascii="Cambria Math" w:hAnsi="Cambria Math"/>
                        <w:sz w:val="22"/>
                        <w:szCs w:val="22"/>
                        <w:lang w:bidi="en-US"/>
                      </w:rPr>
                    </m:ctrlPr>
                  </m:sSubPr>
                  <m:e>
                    <m:r>
                      <m:rPr>
                        <m:sty m:val="bi"/>
                      </m:rPr>
                      <w:rPr>
                        <w:rFonts w:ascii="Cambria Math" w:hAnsi="Cambria Math"/>
                        <w:sz w:val="22"/>
                        <w:szCs w:val="22"/>
                        <w:lang w:bidi="en-US"/>
                      </w:rPr>
                      <m:t>f</m:t>
                    </m:r>
                  </m:e>
                  <m:sub>
                    <m:r>
                      <m:rPr>
                        <m:sty m:val="bi"/>
                      </m:rPr>
                      <w:rPr>
                        <w:rFonts w:ascii="Cambria Math" w:hAnsi="Cambria Math"/>
                        <w:sz w:val="22"/>
                        <w:szCs w:val="22"/>
                        <w:lang w:bidi="en-US"/>
                      </w:rPr>
                      <m:t>obj</m:t>
                    </m:r>
                  </m:sub>
                </m:sSub>
                <m:d>
                  <m:dPr>
                    <m:ctrlPr>
                      <w:rPr>
                        <w:rFonts w:ascii="Cambria Math" w:hAnsi="Cambria Math"/>
                        <w:sz w:val="22"/>
                        <w:szCs w:val="22"/>
                        <w:lang w:bidi="en-US"/>
                      </w:rPr>
                    </m:ctrlPr>
                  </m:dPr>
                  <m:e>
                    <m:sSub>
                      <m:sSubPr>
                        <m:ctrlPr>
                          <w:rPr>
                            <w:rFonts w:ascii="Cambria Math" w:hAnsi="Cambria Math"/>
                            <w:sz w:val="22"/>
                            <w:szCs w:val="22"/>
                            <w:lang w:bidi="en-US"/>
                          </w:rPr>
                        </m:ctrlPr>
                      </m:sSubPr>
                      <m:e>
                        <m:r>
                          <m:rPr>
                            <m:sty m:val="bi"/>
                          </m:rPr>
                          <w:rPr>
                            <w:rFonts w:ascii="Cambria Math" w:hAnsi="Cambria Math"/>
                            <w:sz w:val="22"/>
                            <w:szCs w:val="22"/>
                            <w:lang w:bidi="en-US"/>
                          </w:rPr>
                          <m:t>s</m:t>
                        </m:r>
                      </m:e>
                      <m:sub>
                        <m:r>
                          <m:rPr>
                            <m:sty m:val="bi"/>
                          </m:rPr>
                          <w:rPr>
                            <w:rFonts w:ascii="Cambria Math" w:hAnsi="Cambria Math"/>
                            <w:sz w:val="22"/>
                            <w:szCs w:val="22"/>
                            <w:lang w:bidi="en-US"/>
                          </w:rPr>
                          <m:t>j</m:t>
                        </m:r>
                      </m:sub>
                    </m:sSub>
                  </m:e>
                </m:d>
              </m:oMath>
            </m:oMathPara>
          </w:p>
        </w:tc>
      </w:tr>
      <w:tr w:rsidR="00D35DE1" w:rsidRPr="00D35DE1" w14:paraId="2FFD283D" w14:textId="77777777" w:rsidTr="00D35DE1">
        <w:trPr>
          <w:trHeight w:val="20"/>
          <w:jc w:val="center"/>
        </w:trPr>
        <w:tc>
          <w:tcPr>
            <w:tcW w:w="1156" w:type="pct"/>
            <w:tcBorders>
              <w:top w:val="nil"/>
              <w:left w:val="single" w:sz="4" w:space="0" w:color="auto"/>
              <w:bottom w:val="nil"/>
              <w:right w:val="nil"/>
            </w:tcBorders>
            <w:shd w:val="clear" w:color="auto" w:fill="38C5A4"/>
            <w:noWrap/>
            <w:vAlign w:val="center"/>
            <w:hideMark/>
          </w:tcPr>
          <w:p w14:paraId="5F72E6E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T210-I3</w:t>
            </w:r>
          </w:p>
        </w:tc>
        <w:tc>
          <w:tcPr>
            <w:tcW w:w="751" w:type="pct"/>
            <w:tcBorders>
              <w:top w:val="nil"/>
              <w:left w:val="nil"/>
              <w:bottom w:val="nil"/>
              <w:right w:val="nil"/>
            </w:tcBorders>
            <w:shd w:val="clear" w:color="auto" w:fill="38C5A4"/>
            <w:noWrap/>
            <w:vAlign w:val="center"/>
            <w:hideMark/>
          </w:tcPr>
          <w:p w14:paraId="5611E57E"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1680 ± 30</w:t>
            </w:r>
          </w:p>
        </w:tc>
        <w:tc>
          <w:tcPr>
            <w:tcW w:w="1099" w:type="pct"/>
            <w:tcBorders>
              <w:top w:val="nil"/>
              <w:left w:val="nil"/>
              <w:bottom w:val="nil"/>
              <w:right w:val="nil"/>
            </w:tcBorders>
            <w:shd w:val="clear" w:color="auto" w:fill="38C5A4"/>
            <w:noWrap/>
            <w:vAlign w:val="center"/>
            <w:hideMark/>
          </w:tcPr>
          <w:p w14:paraId="079DF2F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46.2 ± 0.3</w:t>
            </w:r>
          </w:p>
        </w:tc>
        <w:tc>
          <w:tcPr>
            <w:tcW w:w="751" w:type="pct"/>
            <w:tcBorders>
              <w:top w:val="nil"/>
              <w:left w:val="nil"/>
              <w:bottom w:val="nil"/>
              <w:right w:val="nil"/>
            </w:tcBorders>
            <w:shd w:val="clear" w:color="auto" w:fill="38C5A4"/>
            <w:noWrap/>
            <w:vAlign w:val="center"/>
            <w:hideMark/>
          </w:tcPr>
          <w:p w14:paraId="517F69B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2770 ± 50</w:t>
            </w:r>
          </w:p>
        </w:tc>
        <w:tc>
          <w:tcPr>
            <w:tcW w:w="689" w:type="pct"/>
            <w:tcBorders>
              <w:top w:val="nil"/>
              <w:left w:val="nil"/>
              <w:bottom w:val="nil"/>
              <w:right w:val="single" w:sz="4" w:space="0" w:color="auto"/>
            </w:tcBorders>
            <w:shd w:val="clear" w:color="auto" w:fill="38C5A4"/>
            <w:noWrap/>
            <w:vAlign w:val="center"/>
            <w:hideMark/>
          </w:tcPr>
          <w:p w14:paraId="200765D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67.4 ± 0.4</w:t>
            </w:r>
          </w:p>
        </w:tc>
        <w:tc>
          <w:tcPr>
            <w:tcW w:w="555" w:type="pct"/>
            <w:tcBorders>
              <w:top w:val="single" w:sz="4" w:space="0" w:color="auto"/>
              <w:left w:val="single" w:sz="4" w:space="0" w:color="auto"/>
              <w:bottom w:val="nil"/>
              <w:right w:val="single" w:sz="4" w:space="0" w:color="auto"/>
            </w:tcBorders>
            <w:shd w:val="clear" w:color="auto" w:fill="38C5A4"/>
            <w:vAlign w:val="center"/>
          </w:tcPr>
          <w:p w14:paraId="56DB23E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5.408</w:t>
            </w:r>
          </w:p>
        </w:tc>
      </w:tr>
      <w:tr w:rsidR="00D35DE1" w:rsidRPr="00D35DE1" w14:paraId="5BCF1D02" w14:textId="77777777" w:rsidTr="00D35DE1">
        <w:trPr>
          <w:trHeight w:val="20"/>
          <w:jc w:val="center"/>
        </w:trPr>
        <w:tc>
          <w:tcPr>
            <w:tcW w:w="1156" w:type="pct"/>
            <w:tcBorders>
              <w:top w:val="nil"/>
              <w:left w:val="single" w:sz="4" w:space="0" w:color="auto"/>
              <w:bottom w:val="nil"/>
              <w:right w:val="nil"/>
            </w:tcBorders>
            <w:shd w:val="clear" w:color="auto" w:fill="38C5A4"/>
            <w:noWrap/>
            <w:vAlign w:val="center"/>
            <w:hideMark/>
          </w:tcPr>
          <w:p w14:paraId="1DFD856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T210-I4</w:t>
            </w:r>
          </w:p>
        </w:tc>
        <w:tc>
          <w:tcPr>
            <w:tcW w:w="751" w:type="pct"/>
            <w:tcBorders>
              <w:top w:val="nil"/>
              <w:left w:val="nil"/>
              <w:bottom w:val="nil"/>
              <w:right w:val="nil"/>
            </w:tcBorders>
            <w:shd w:val="clear" w:color="auto" w:fill="38C5A4"/>
            <w:noWrap/>
            <w:vAlign w:val="center"/>
            <w:hideMark/>
          </w:tcPr>
          <w:p w14:paraId="21F380B5"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1640 ± 70</w:t>
            </w:r>
          </w:p>
        </w:tc>
        <w:tc>
          <w:tcPr>
            <w:tcW w:w="1099" w:type="pct"/>
            <w:tcBorders>
              <w:top w:val="nil"/>
              <w:left w:val="nil"/>
              <w:bottom w:val="nil"/>
              <w:right w:val="nil"/>
            </w:tcBorders>
            <w:shd w:val="clear" w:color="auto" w:fill="38C5A4"/>
            <w:noWrap/>
            <w:vAlign w:val="center"/>
            <w:hideMark/>
          </w:tcPr>
          <w:p w14:paraId="159D73C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45.3 ± 0.9</w:t>
            </w:r>
          </w:p>
        </w:tc>
        <w:tc>
          <w:tcPr>
            <w:tcW w:w="751" w:type="pct"/>
            <w:tcBorders>
              <w:top w:val="nil"/>
              <w:left w:val="nil"/>
              <w:bottom w:val="nil"/>
              <w:right w:val="nil"/>
            </w:tcBorders>
            <w:shd w:val="clear" w:color="auto" w:fill="38C5A4"/>
            <w:noWrap/>
            <w:vAlign w:val="center"/>
            <w:hideMark/>
          </w:tcPr>
          <w:p w14:paraId="546E57F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2740 ± 40</w:t>
            </w:r>
          </w:p>
        </w:tc>
        <w:tc>
          <w:tcPr>
            <w:tcW w:w="689" w:type="pct"/>
            <w:tcBorders>
              <w:top w:val="nil"/>
              <w:left w:val="nil"/>
              <w:bottom w:val="nil"/>
              <w:right w:val="single" w:sz="4" w:space="0" w:color="auto"/>
            </w:tcBorders>
            <w:shd w:val="clear" w:color="auto" w:fill="38C5A4"/>
            <w:noWrap/>
            <w:vAlign w:val="center"/>
            <w:hideMark/>
          </w:tcPr>
          <w:p w14:paraId="2831F9BF"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68.2 ± 1.1</w:t>
            </w:r>
          </w:p>
        </w:tc>
        <w:tc>
          <w:tcPr>
            <w:tcW w:w="555" w:type="pct"/>
            <w:tcBorders>
              <w:top w:val="nil"/>
              <w:left w:val="single" w:sz="4" w:space="0" w:color="auto"/>
              <w:bottom w:val="nil"/>
              <w:right w:val="single" w:sz="4" w:space="0" w:color="auto"/>
            </w:tcBorders>
            <w:shd w:val="clear" w:color="auto" w:fill="38C5A4"/>
            <w:vAlign w:val="center"/>
          </w:tcPr>
          <w:p w14:paraId="2046EBC1"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6.049</w:t>
            </w:r>
          </w:p>
        </w:tc>
      </w:tr>
      <w:tr w:rsidR="00D35DE1" w:rsidRPr="00D35DE1" w14:paraId="361E5177" w14:textId="77777777" w:rsidTr="00D35DE1">
        <w:trPr>
          <w:trHeight w:val="20"/>
          <w:jc w:val="center"/>
        </w:trPr>
        <w:tc>
          <w:tcPr>
            <w:tcW w:w="1156" w:type="pct"/>
            <w:tcBorders>
              <w:top w:val="nil"/>
              <w:left w:val="single" w:sz="4" w:space="0" w:color="auto"/>
              <w:bottom w:val="nil"/>
              <w:right w:val="nil"/>
            </w:tcBorders>
            <w:shd w:val="clear" w:color="auto" w:fill="38C5A4"/>
            <w:noWrap/>
            <w:vAlign w:val="center"/>
            <w:hideMark/>
          </w:tcPr>
          <w:p w14:paraId="3398C40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T210-I2</w:t>
            </w:r>
          </w:p>
        </w:tc>
        <w:tc>
          <w:tcPr>
            <w:tcW w:w="751" w:type="pct"/>
            <w:tcBorders>
              <w:top w:val="nil"/>
              <w:left w:val="nil"/>
              <w:bottom w:val="nil"/>
              <w:right w:val="nil"/>
            </w:tcBorders>
            <w:shd w:val="clear" w:color="auto" w:fill="38C5A4"/>
            <w:noWrap/>
            <w:vAlign w:val="center"/>
            <w:hideMark/>
          </w:tcPr>
          <w:p w14:paraId="06A4DC0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1680 ± 40</w:t>
            </w:r>
          </w:p>
        </w:tc>
        <w:tc>
          <w:tcPr>
            <w:tcW w:w="1099" w:type="pct"/>
            <w:tcBorders>
              <w:top w:val="nil"/>
              <w:left w:val="nil"/>
              <w:bottom w:val="nil"/>
              <w:right w:val="nil"/>
            </w:tcBorders>
            <w:shd w:val="clear" w:color="auto" w:fill="38C5A4"/>
            <w:noWrap/>
            <w:vAlign w:val="center"/>
            <w:hideMark/>
          </w:tcPr>
          <w:p w14:paraId="7D9A5EDE"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45.8 ± 0.4</w:t>
            </w:r>
          </w:p>
        </w:tc>
        <w:tc>
          <w:tcPr>
            <w:tcW w:w="751" w:type="pct"/>
            <w:tcBorders>
              <w:top w:val="nil"/>
              <w:left w:val="nil"/>
              <w:bottom w:val="nil"/>
              <w:right w:val="nil"/>
            </w:tcBorders>
            <w:shd w:val="clear" w:color="auto" w:fill="38C5A4"/>
            <w:noWrap/>
            <w:vAlign w:val="center"/>
            <w:hideMark/>
          </w:tcPr>
          <w:p w14:paraId="263678C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3000 ± 220</w:t>
            </w:r>
          </w:p>
        </w:tc>
        <w:tc>
          <w:tcPr>
            <w:tcW w:w="689" w:type="pct"/>
            <w:tcBorders>
              <w:top w:val="nil"/>
              <w:left w:val="nil"/>
              <w:bottom w:val="nil"/>
              <w:right w:val="single" w:sz="4" w:space="0" w:color="auto"/>
            </w:tcBorders>
            <w:shd w:val="clear" w:color="auto" w:fill="38C5A4"/>
            <w:noWrap/>
            <w:vAlign w:val="center"/>
            <w:hideMark/>
          </w:tcPr>
          <w:p w14:paraId="12C4A6E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66.8 ± 0.4</w:t>
            </w:r>
          </w:p>
        </w:tc>
        <w:tc>
          <w:tcPr>
            <w:tcW w:w="555" w:type="pct"/>
            <w:tcBorders>
              <w:top w:val="nil"/>
              <w:left w:val="single" w:sz="4" w:space="0" w:color="auto"/>
              <w:bottom w:val="nil"/>
              <w:right w:val="single" w:sz="4" w:space="0" w:color="auto"/>
            </w:tcBorders>
            <w:shd w:val="clear" w:color="auto" w:fill="38C5A4"/>
            <w:vAlign w:val="center"/>
          </w:tcPr>
          <w:p w14:paraId="1D43339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6.284</w:t>
            </w:r>
          </w:p>
        </w:tc>
      </w:tr>
      <w:tr w:rsidR="00D35DE1" w:rsidRPr="00D35DE1" w14:paraId="16FC83F2" w14:textId="77777777" w:rsidTr="00D35DE1">
        <w:trPr>
          <w:trHeight w:val="20"/>
          <w:jc w:val="center"/>
        </w:trPr>
        <w:tc>
          <w:tcPr>
            <w:tcW w:w="1156" w:type="pct"/>
            <w:tcBorders>
              <w:top w:val="nil"/>
              <w:left w:val="single" w:sz="4" w:space="0" w:color="auto"/>
              <w:bottom w:val="nil"/>
              <w:right w:val="nil"/>
            </w:tcBorders>
            <w:shd w:val="clear" w:color="auto" w:fill="FEAC49"/>
            <w:noWrap/>
            <w:vAlign w:val="center"/>
            <w:hideMark/>
          </w:tcPr>
          <w:p w14:paraId="44280B8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T230-I4</w:t>
            </w:r>
          </w:p>
        </w:tc>
        <w:tc>
          <w:tcPr>
            <w:tcW w:w="751" w:type="pct"/>
            <w:tcBorders>
              <w:top w:val="nil"/>
              <w:left w:val="nil"/>
              <w:bottom w:val="nil"/>
              <w:right w:val="nil"/>
            </w:tcBorders>
            <w:shd w:val="clear" w:color="auto" w:fill="FEAC49"/>
            <w:noWrap/>
            <w:vAlign w:val="center"/>
            <w:hideMark/>
          </w:tcPr>
          <w:p w14:paraId="4F4E6CC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1510 ± 180</w:t>
            </w:r>
          </w:p>
        </w:tc>
        <w:tc>
          <w:tcPr>
            <w:tcW w:w="1099" w:type="pct"/>
            <w:tcBorders>
              <w:top w:val="nil"/>
              <w:left w:val="nil"/>
              <w:bottom w:val="nil"/>
              <w:right w:val="nil"/>
            </w:tcBorders>
            <w:shd w:val="clear" w:color="auto" w:fill="FEAC49"/>
            <w:noWrap/>
            <w:vAlign w:val="center"/>
            <w:hideMark/>
          </w:tcPr>
          <w:p w14:paraId="0EB0772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42.3 ± 2.3</w:t>
            </w:r>
          </w:p>
        </w:tc>
        <w:tc>
          <w:tcPr>
            <w:tcW w:w="751" w:type="pct"/>
            <w:tcBorders>
              <w:top w:val="nil"/>
              <w:left w:val="nil"/>
              <w:bottom w:val="nil"/>
              <w:right w:val="nil"/>
            </w:tcBorders>
            <w:shd w:val="clear" w:color="auto" w:fill="FEAC49"/>
            <w:noWrap/>
            <w:vAlign w:val="center"/>
            <w:hideMark/>
          </w:tcPr>
          <w:p w14:paraId="22D89B2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2900 ± 200</w:t>
            </w:r>
          </w:p>
        </w:tc>
        <w:tc>
          <w:tcPr>
            <w:tcW w:w="689" w:type="pct"/>
            <w:tcBorders>
              <w:top w:val="nil"/>
              <w:left w:val="nil"/>
              <w:bottom w:val="nil"/>
              <w:right w:val="single" w:sz="4" w:space="0" w:color="auto"/>
            </w:tcBorders>
            <w:shd w:val="clear" w:color="auto" w:fill="FEAC49"/>
            <w:noWrap/>
            <w:vAlign w:val="center"/>
            <w:hideMark/>
          </w:tcPr>
          <w:p w14:paraId="6AC48AD8"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70.6 ± 2.1</w:t>
            </w:r>
          </w:p>
        </w:tc>
        <w:tc>
          <w:tcPr>
            <w:tcW w:w="555" w:type="pct"/>
            <w:tcBorders>
              <w:top w:val="nil"/>
              <w:left w:val="single" w:sz="4" w:space="0" w:color="auto"/>
              <w:bottom w:val="nil"/>
              <w:right w:val="single" w:sz="4" w:space="0" w:color="auto"/>
            </w:tcBorders>
            <w:shd w:val="clear" w:color="auto" w:fill="FEAC49"/>
            <w:vAlign w:val="center"/>
          </w:tcPr>
          <w:p w14:paraId="110F675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6.381</w:t>
            </w:r>
          </w:p>
        </w:tc>
      </w:tr>
      <w:tr w:rsidR="00D35DE1" w:rsidRPr="00D35DE1" w14:paraId="777D3D6C" w14:textId="77777777" w:rsidTr="00D35DE1">
        <w:trPr>
          <w:trHeight w:val="20"/>
          <w:jc w:val="center"/>
        </w:trPr>
        <w:tc>
          <w:tcPr>
            <w:tcW w:w="1156" w:type="pct"/>
            <w:tcBorders>
              <w:top w:val="nil"/>
              <w:left w:val="single" w:sz="4" w:space="0" w:color="auto"/>
              <w:bottom w:val="nil"/>
              <w:right w:val="nil"/>
            </w:tcBorders>
            <w:shd w:val="clear" w:color="auto" w:fill="FEE67A"/>
            <w:noWrap/>
            <w:vAlign w:val="center"/>
            <w:hideMark/>
          </w:tcPr>
          <w:p w14:paraId="705EA0BF"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T220-I1</w:t>
            </w:r>
          </w:p>
        </w:tc>
        <w:tc>
          <w:tcPr>
            <w:tcW w:w="751" w:type="pct"/>
            <w:tcBorders>
              <w:top w:val="nil"/>
              <w:left w:val="nil"/>
              <w:bottom w:val="nil"/>
              <w:right w:val="nil"/>
            </w:tcBorders>
            <w:shd w:val="clear" w:color="auto" w:fill="FEE67A"/>
            <w:noWrap/>
            <w:vAlign w:val="center"/>
            <w:hideMark/>
          </w:tcPr>
          <w:p w14:paraId="7949A45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1550 ± 100</w:t>
            </w:r>
          </w:p>
        </w:tc>
        <w:tc>
          <w:tcPr>
            <w:tcW w:w="1099" w:type="pct"/>
            <w:tcBorders>
              <w:top w:val="nil"/>
              <w:left w:val="nil"/>
              <w:bottom w:val="nil"/>
              <w:right w:val="nil"/>
            </w:tcBorders>
            <w:shd w:val="clear" w:color="auto" w:fill="FEE67A"/>
            <w:noWrap/>
            <w:vAlign w:val="center"/>
            <w:hideMark/>
          </w:tcPr>
          <w:p w14:paraId="193184AE"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44.6 ± 0.6</w:t>
            </w:r>
          </w:p>
        </w:tc>
        <w:tc>
          <w:tcPr>
            <w:tcW w:w="751" w:type="pct"/>
            <w:tcBorders>
              <w:top w:val="nil"/>
              <w:left w:val="nil"/>
              <w:bottom w:val="nil"/>
              <w:right w:val="nil"/>
            </w:tcBorders>
            <w:shd w:val="clear" w:color="auto" w:fill="FEE67A"/>
            <w:noWrap/>
            <w:vAlign w:val="center"/>
            <w:hideMark/>
          </w:tcPr>
          <w:p w14:paraId="1BBBC52E"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2800 ± 300</w:t>
            </w:r>
          </w:p>
        </w:tc>
        <w:tc>
          <w:tcPr>
            <w:tcW w:w="689" w:type="pct"/>
            <w:tcBorders>
              <w:top w:val="nil"/>
              <w:left w:val="nil"/>
              <w:bottom w:val="nil"/>
              <w:right w:val="single" w:sz="4" w:space="0" w:color="auto"/>
            </w:tcBorders>
            <w:shd w:val="clear" w:color="auto" w:fill="FEE67A"/>
            <w:noWrap/>
            <w:vAlign w:val="center"/>
            <w:hideMark/>
          </w:tcPr>
          <w:p w14:paraId="0D88318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66.6 ± 0.8</w:t>
            </w:r>
          </w:p>
        </w:tc>
        <w:tc>
          <w:tcPr>
            <w:tcW w:w="555" w:type="pct"/>
            <w:tcBorders>
              <w:top w:val="nil"/>
              <w:left w:val="single" w:sz="4" w:space="0" w:color="auto"/>
              <w:bottom w:val="nil"/>
              <w:right w:val="single" w:sz="4" w:space="0" w:color="auto"/>
            </w:tcBorders>
            <w:shd w:val="clear" w:color="auto" w:fill="FEE67A"/>
            <w:vAlign w:val="center"/>
          </w:tcPr>
          <w:p w14:paraId="3CDFF9C1"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6.543</w:t>
            </w:r>
          </w:p>
        </w:tc>
      </w:tr>
      <w:tr w:rsidR="00D35DE1" w:rsidRPr="00D35DE1" w14:paraId="3E1946AE" w14:textId="77777777" w:rsidTr="00D35DE1">
        <w:trPr>
          <w:trHeight w:val="20"/>
          <w:jc w:val="center"/>
        </w:trPr>
        <w:tc>
          <w:tcPr>
            <w:tcW w:w="1156" w:type="pct"/>
            <w:tcBorders>
              <w:top w:val="nil"/>
              <w:left w:val="single" w:sz="4" w:space="0" w:color="auto"/>
              <w:bottom w:val="nil"/>
              <w:right w:val="nil"/>
            </w:tcBorders>
            <w:shd w:val="clear" w:color="auto" w:fill="00AAEE"/>
            <w:noWrap/>
            <w:vAlign w:val="center"/>
            <w:hideMark/>
          </w:tcPr>
          <w:p w14:paraId="1AAA500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T200-I3</w:t>
            </w:r>
          </w:p>
        </w:tc>
        <w:tc>
          <w:tcPr>
            <w:tcW w:w="751" w:type="pct"/>
            <w:tcBorders>
              <w:top w:val="nil"/>
              <w:left w:val="nil"/>
              <w:bottom w:val="nil"/>
              <w:right w:val="nil"/>
            </w:tcBorders>
            <w:shd w:val="clear" w:color="auto" w:fill="00AAEE"/>
            <w:noWrap/>
            <w:vAlign w:val="center"/>
            <w:hideMark/>
          </w:tcPr>
          <w:p w14:paraId="12CDA0E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1440 ± 30</w:t>
            </w:r>
          </w:p>
        </w:tc>
        <w:tc>
          <w:tcPr>
            <w:tcW w:w="1099" w:type="pct"/>
            <w:tcBorders>
              <w:top w:val="nil"/>
              <w:left w:val="nil"/>
              <w:bottom w:val="nil"/>
              <w:right w:val="nil"/>
            </w:tcBorders>
            <w:shd w:val="clear" w:color="auto" w:fill="00AAEE"/>
            <w:noWrap/>
            <w:vAlign w:val="center"/>
            <w:hideMark/>
          </w:tcPr>
          <w:p w14:paraId="75A338E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45.3 ± 0.5</w:t>
            </w:r>
          </w:p>
        </w:tc>
        <w:tc>
          <w:tcPr>
            <w:tcW w:w="751" w:type="pct"/>
            <w:tcBorders>
              <w:top w:val="nil"/>
              <w:left w:val="nil"/>
              <w:bottom w:val="nil"/>
              <w:right w:val="nil"/>
            </w:tcBorders>
            <w:shd w:val="clear" w:color="auto" w:fill="00AAEE"/>
            <w:noWrap/>
            <w:vAlign w:val="center"/>
            <w:hideMark/>
          </w:tcPr>
          <w:p w14:paraId="11CBC8F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2770 ± 120</w:t>
            </w:r>
          </w:p>
        </w:tc>
        <w:tc>
          <w:tcPr>
            <w:tcW w:w="689" w:type="pct"/>
            <w:tcBorders>
              <w:top w:val="nil"/>
              <w:left w:val="nil"/>
              <w:bottom w:val="nil"/>
              <w:right w:val="single" w:sz="4" w:space="0" w:color="auto"/>
            </w:tcBorders>
            <w:shd w:val="clear" w:color="auto" w:fill="00AAEE"/>
            <w:noWrap/>
            <w:vAlign w:val="center"/>
            <w:hideMark/>
          </w:tcPr>
          <w:p w14:paraId="51E9A91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66.0 ± 0.5</w:t>
            </w:r>
          </w:p>
        </w:tc>
        <w:tc>
          <w:tcPr>
            <w:tcW w:w="555" w:type="pct"/>
            <w:tcBorders>
              <w:top w:val="nil"/>
              <w:left w:val="single" w:sz="4" w:space="0" w:color="auto"/>
              <w:bottom w:val="nil"/>
              <w:right w:val="single" w:sz="4" w:space="0" w:color="auto"/>
            </w:tcBorders>
            <w:shd w:val="clear" w:color="auto" w:fill="00AAEE"/>
            <w:vAlign w:val="center"/>
          </w:tcPr>
          <w:p w14:paraId="0C08866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6.688</w:t>
            </w:r>
          </w:p>
        </w:tc>
      </w:tr>
      <w:tr w:rsidR="00D35DE1" w:rsidRPr="00D35DE1" w14:paraId="2631D650" w14:textId="77777777" w:rsidTr="00D35DE1">
        <w:trPr>
          <w:trHeight w:val="20"/>
          <w:jc w:val="center"/>
        </w:trPr>
        <w:tc>
          <w:tcPr>
            <w:tcW w:w="1156" w:type="pct"/>
            <w:tcBorders>
              <w:top w:val="nil"/>
              <w:left w:val="single" w:sz="4" w:space="0" w:color="auto"/>
              <w:bottom w:val="nil"/>
              <w:right w:val="nil"/>
            </w:tcBorders>
            <w:shd w:val="clear" w:color="auto" w:fill="FEAC49"/>
            <w:noWrap/>
            <w:vAlign w:val="center"/>
            <w:hideMark/>
          </w:tcPr>
          <w:p w14:paraId="6AB9679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T230-I1</w:t>
            </w:r>
          </w:p>
        </w:tc>
        <w:tc>
          <w:tcPr>
            <w:tcW w:w="751" w:type="pct"/>
            <w:tcBorders>
              <w:top w:val="nil"/>
              <w:left w:val="nil"/>
              <w:bottom w:val="nil"/>
              <w:right w:val="nil"/>
            </w:tcBorders>
            <w:shd w:val="clear" w:color="auto" w:fill="FEAC49"/>
            <w:noWrap/>
            <w:vAlign w:val="center"/>
            <w:hideMark/>
          </w:tcPr>
          <w:p w14:paraId="65C6DDC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1670 ± 110</w:t>
            </w:r>
          </w:p>
        </w:tc>
        <w:tc>
          <w:tcPr>
            <w:tcW w:w="1099" w:type="pct"/>
            <w:tcBorders>
              <w:top w:val="nil"/>
              <w:left w:val="nil"/>
              <w:bottom w:val="nil"/>
              <w:right w:val="nil"/>
            </w:tcBorders>
            <w:shd w:val="clear" w:color="auto" w:fill="FEAC49"/>
            <w:noWrap/>
            <w:vAlign w:val="center"/>
            <w:hideMark/>
          </w:tcPr>
          <w:p w14:paraId="1937B6D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43.6 ± 1.1</w:t>
            </w:r>
          </w:p>
        </w:tc>
        <w:tc>
          <w:tcPr>
            <w:tcW w:w="751" w:type="pct"/>
            <w:tcBorders>
              <w:top w:val="nil"/>
              <w:left w:val="nil"/>
              <w:bottom w:val="nil"/>
              <w:right w:val="nil"/>
            </w:tcBorders>
            <w:shd w:val="clear" w:color="auto" w:fill="FEAC49"/>
            <w:noWrap/>
            <w:vAlign w:val="center"/>
            <w:hideMark/>
          </w:tcPr>
          <w:p w14:paraId="096D7CB8"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2800 ± 160</w:t>
            </w:r>
          </w:p>
        </w:tc>
        <w:tc>
          <w:tcPr>
            <w:tcW w:w="689" w:type="pct"/>
            <w:tcBorders>
              <w:top w:val="nil"/>
              <w:left w:val="nil"/>
              <w:bottom w:val="nil"/>
              <w:right w:val="single" w:sz="4" w:space="0" w:color="auto"/>
            </w:tcBorders>
            <w:shd w:val="clear" w:color="auto" w:fill="FEAC49"/>
            <w:noWrap/>
            <w:vAlign w:val="center"/>
            <w:hideMark/>
          </w:tcPr>
          <w:p w14:paraId="48565DEF"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68.3 ± 1.3</w:t>
            </w:r>
          </w:p>
        </w:tc>
        <w:tc>
          <w:tcPr>
            <w:tcW w:w="555" w:type="pct"/>
            <w:tcBorders>
              <w:top w:val="nil"/>
              <w:left w:val="single" w:sz="4" w:space="0" w:color="auto"/>
              <w:bottom w:val="nil"/>
              <w:right w:val="single" w:sz="4" w:space="0" w:color="auto"/>
            </w:tcBorders>
            <w:shd w:val="clear" w:color="auto" w:fill="FEAC49"/>
            <w:vAlign w:val="center"/>
          </w:tcPr>
          <w:p w14:paraId="345E716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7.201</w:t>
            </w:r>
          </w:p>
        </w:tc>
      </w:tr>
      <w:tr w:rsidR="00D35DE1" w:rsidRPr="00D35DE1" w14:paraId="00400FE9" w14:textId="77777777" w:rsidTr="00D35DE1">
        <w:trPr>
          <w:trHeight w:val="20"/>
          <w:jc w:val="center"/>
        </w:trPr>
        <w:tc>
          <w:tcPr>
            <w:tcW w:w="1156" w:type="pct"/>
            <w:tcBorders>
              <w:top w:val="nil"/>
              <w:left w:val="single" w:sz="4" w:space="0" w:color="auto"/>
              <w:bottom w:val="nil"/>
              <w:right w:val="nil"/>
            </w:tcBorders>
            <w:shd w:val="clear" w:color="auto" w:fill="FEAC49"/>
            <w:noWrap/>
            <w:vAlign w:val="center"/>
            <w:hideMark/>
          </w:tcPr>
          <w:p w14:paraId="60F776A1"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T230-I3</w:t>
            </w:r>
          </w:p>
        </w:tc>
        <w:tc>
          <w:tcPr>
            <w:tcW w:w="751" w:type="pct"/>
            <w:tcBorders>
              <w:top w:val="nil"/>
              <w:left w:val="nil"/>
              <w:bottom w:val="nil"/>
              <w:right w:val="nil"/>
            </w:tcBorders>
            <w:shd w:val="clear" w:color="auto" w:fill="FEAC49"/>
            <w:noWrap/>
            <w:vAlign w:val="center"/>
            <w:hideMark/>
          </w:tcPr>
          <w:p w14:paraId="108EE7D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1590 ± 150</w:t>
            </w:r>
          </w:p>
        </w:tc>
        <w:tc>
          <w:tcPr>
            <w:tcW w:w="1099" w:type="pct"/>
            <w:tcBorders>
              <w:top w:val="nil"/>
              <w:left w:val="nil"/>
              <w:bottom w:val="nil"/>
              <w:right w:val="nil"/>
            </w:tcBorders>
            <w:shd w:val="clear" w:color="auto" w:fill="FEAC49"/>
            <w:noWrap/>
            <w:vAlign w:val="center"/>
            <w:hideMark/>
          </w:tcPr>
          <w:p w14:paraId="5560E56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42.5 ± 1.4</w:t>
            </w:r>
          </w:p>
        </w:tc>
        <w:tc>
          <w:tcPr>
            <w:tcW w:w="751" w:type="pct"/>
            <w:tcBorders>
              <w:top w:val="nil"/>
              <w:left w:val="nil"/>
              <w:bottom w:val="nil"/>
              <w:right w:val="nil"/>
            </w:tcBorders>
            <w:shd w:val="clear" w:color="auto" w:fill="FEAC49"/>
            <w:noWrap/>
            <w:vAlign w:val="center"/>
            <w:hideMark/>
          </w:tcPr>
          <w:p w14:paraId="014E0A3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3040 ± 130</w:t>
            </w:r>
          </w:p>
        </w:tc>
        <w:tc>
          <w:tcPr>
            <w:tcW w:w="689" w:type="pct"/>
            <w:tcBorders>
              <w:top w:val="nil"/>
              <w:left w:val="nil"/>
              <w:bottom w:val="nil"/>
              <w:right w:val="single" w:sz="4" w:space="0" w:color="auto"/>
            </w:tcBorders>
            <w:shd w:val="clear" w:color="auto" w:fill="FEAC49"/>
            <w:noWrap/>
            <w:vAlign w:val="center"/>
            <w:hideMark/>
          </w:tcPr>
          <w:p w14:paraId="29E9EF3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71.0 ± 2.2</w:t>
            </w:r>
          </w:p>
        </w:tc>
        <w:tc>
          <w:tcPr>
            <w:tcW w:w="555" w:type="pct"/>
            <w:tcBorders>
              <w:top w:val="nil"/>
              <w:left w:val="single" w:sz="4" w:space="0" w:color="auto"/>
              <w:bottom w:val="nil"/>
              <w:right w:val="single" w:sz="4" w:space="0" w:color="auto"/>
            </w:tcBorders>
            <w:shd w:val="clear" w:color="auto" w:fill="FEAC49"/>
            <w:vAlign w:val="center"/>
          </w:tcPr>
          <w:p w14:paraId="0E8ADCA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7.297</w:t>
            </w:r>
          </w:p>
        </w:tc>
      </w:tr>
      <w:tr w:rsidR="00D35DE1" w:rsidRPr="00D35DE1" w14:paraId="56D78925" w14:textId="77777777" w:rsidTr="00D35DE1">
        <w:trPr>
          <w:trHeight w:val="20"/>
          <w:jc w:val="center"/>
        </w:trPr>
        <w:tc>
          <w:tcPr>
            <w:tcW w:w="1156" w:type="pct"/>
            <w:tcBorders>
              <w:top w:val="nil"/>
              <w:left w:val="single" w:sz="4" w:space="0" w:color="auto"/>
              <w:bottom w:val="nil"/>
              <w:right w:val="nil"/>
            </w:tcBorders>
            <w:shd w:val="clear" w:color="auto" w:fill="FEE67A"/>
            <w:noWrap/>
            <w:vAlign w:val="center"/>
            <w:hideMark/>
          </w:tcPr>
          <w:p w14:paraId="34AF049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T220-I3</w:t>
            </w:r>
          </w:p>
        </w:tc>
        <w:tc>
          <w:tcPr>
            <w:tcW w:w="751" w:type="pct"/>
            <w:tcBorders>
              <w:top w:val="nil"/>
              <w:left w:val="nil"/>
              <w:bottom w:val="nil"/>
              <w:right w:val="nil"/>
            </w:tcBorders>
            <w:shd w:val="clear" w:color="auto" w:fill="FEE67A"/>
            <w:noWrap/>
            <w:vAlign w:val="center"/>
            <w:hideMark/>
          </w:tcPr>
          <w:p w14:paraId="394F299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1650 ± 30</w:t>
            </w:r>
          </w:p>
        </w:tc>
        <w:tc>
          <w:tcPr>
            <w:tcW w:w="1099" w:type="pct"/>
            <w:tcBorders>
              <w:top w:val="nil"/>
              <w:left w:val="nil"/>
              <w:bottom w:val="nil"/>
              <w:right w:val="nil"/>
            </w:tcBorders>
            <w:shd w:val="clear" w:color="auto" w:fill="FEE67A"/>
            <w:noWrap/>
            <w:vAlign w:val="center"/>
            <w:hideMark/>
          </w:tcPr>
          <w:p w14:paraId="2CFBA6E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44.6 ± 0.4</w:t>
            </w:r>
          </w:p>
        </w:tc>
        <w:tc>
          <w:tcPr>
            <w:tcW w:w="751" w:type="pct"/>
            <w:tcBorders>
              <w:top w:val="nil"/>
              <w:left w:val="nil"/>
              <w:bottom w:val="nil"/>
              <w:right w:val="nil"/>
            </w:tcBorders>
            <w:shd w:val="clear" w:color="auto" w:fill="FEE67A"/>
            <w:noWrap/>
            <w:vAlign w:val="center"/>
            <w:hideMark/>
          </w:tcPr>
          <w:p w14:paraId="4D3F366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3000 ± 50</w:t>
            </w:r>
          </w:p>
        </w:tc>
        <w:tc>
          <w:tcPr>
            <w:tcW w:w="689" w:type="pct"/>
            <w:tcBorders>
              <w:top w:val="nil"/>
              <w:left w:val="nil"/>
              <w:bottom w:val="nil"/>
              <w:right w:val="single" w:sz="4" w:space="0" w:color="auto"/>
            </w:tcBorders>
            <w:shd w:val="clear" w:color="auto" w:fill="FEE67A"/>
            <w:noWrap/>
            <w:vAlign w:val="center"/>
            <w:hideMark/>
          </w:tcPr>
          <w:p w14:paraId="0D15D2C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69.8 ± 1.1</w:t>
            </w:r>
          </w:p>
        </w:tc>
        <w:tc>
          <w:tcPr>
            <w:tcW w:w="555" w:type="pct"/>
            <w:tcBorders>
              <w:top w:val="nil"/>
              <w:left w:val="single" w:sz="4" w:space="0" w:color="auto"/>
              <w:bottom w:val="nil"/>
              <w:right w:val="single" w:sz="4" w:space="0" w:color="auto"/>
            </w:tcBorders>
            <w:shd w:val="clear" w:color="auto" w:fill="FEE67A"/>
            <w:vAlign w:val="center"/>
          </w:tcPr>
          <w:p w14:paraId="1943BDD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7.345</w:t>
            </w:r>
          </w:p>
        </w:tc>
      </w:tr>
      <w:tr w:rsidR="00D35DE1" w:rsidRPr="00D35DE1" w14:paraId="60C11DA3" w14:textId="77777777" w:rsidTr="00D35DE1">
        <w:trPr>
          <w:trHeight w:val="20"/>
          <w:jc w:val="center"/>
        </w:trPr>
        <w:tc>
          <w:tcPr>
            <w:tcW w:w="1156" w:type="pct"/>
            <w:tcBorders>
              <w:top w:val="nil"/>
              <w:left w:val="single" w:sz="4" w:space="0" w:color="auto"/>
              <w:bottom w:val="nil"/>
              <w:right w:val="nil"/>
            </w:tcBorders>
            <w:shd w:val="clear" w:color="auto" w:fill="00AAEE"/>
            <w:noWrap/>
            <w:vAlign w:val="center"/>
            <w:hideMark/>
          </w:tcPr>
          <w:p w14:paraId="25B543AF"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T200-I1</w:t>
            </w:r>
          </w:p>
        </w:tc>
        <w:tc>
          <w:tcPr>
            <w:tcW w:w="751" w:type="pct"/>
            <w:tcBorders>
              <w:top w:val="nil"/>
              <w:left w:val="nil"/>
              <w:bottom w:val="nil"/>
              <w:right w:val="nil"/>
            </w:tcBorders>
            <w:shd w:val="clear" w:color="auto" w:fill="00AAEE"/>
            <w:noWrap/>
            <w:vAlign w:val="center"/>
            <w:hideMark/>
          </w:tcPr>
          <w:p w14:paraId="35F251F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1630 ± 120</w:t>
            </w:r>
          </w:p>
        </w:tc>
        <w:tc>
          <w:tcPr>
            <w:tcW w:w="1099" w:type="pct"/>
            <w:tcBorders>
              <w:top w:val="nil"/>
              <w:left w:val="nil"/>
              <w:bottom w:val="nil"/>
              <w:right w:val="nil"/>
            </w:tcBorders>
            <w:shd w:val="clear" w:color="auto" w:fill="00AAEE"/>
            <w:noWrap/>
            <w:vAlign w:val="center"/>
            <w:hideMark/>
          </w:tcPr>
          <w:p w14:paraId="2C40205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46.0 ± 0.8</w:t>
            </w:r>
          </w:p>
        </w:tc>
        <w:tc>
          <w:tcPr>
            <w:tcW w:w="751" w:type="pct"/>
            <w:tcBorders>
              <w:top w:val="nil"/>
              <w:left w:val="nil"/>
              <w:bottom w:val="nil"/>
              <w:right w:val="nil"/>
            </w:tcBorders>
            <w:shd w:val="clear" w:color="auto" w:fill="00AAEE"/>
            <w:noWrap/>
            <w:vAlign w:val="center"/>
            <w:hideMark/>
          </w:tcPr>
          <w:p w14:paraId="332583BF"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2900 ± 120</w:t>
            </w:r>
          </w:p>
        </w:tc>
        <w:tc>
          <w:tcPr>
            <w:tcW w:w="689" w:type="pct"/>
            <w:tcBorders>
              <w:top w:val="nil"/>
              <w:left w:val="nil"/>
              <w:bottom w:val="nil"/>
              <w:right w:val="single" w:sz="4" w:space="0" w:color="auto"/>
            </w:tcBorders>
            <w:shd w:val="clear" w:color="auto" w:fill="00AAEE"/>
            <w:noWrap/>
            <w:vAlign w:val="center"/>
            <w:hideMark/>
          </w:tcPr>
          <w:p w14:paraId="413BFD9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69.9 ± 2.7</w:t>
            </w:r>
          </w:p>
        </w:tc>
        <w:tc>
          <w:tcPr>
            <w:tcW w:w="555" w:type="pct"/>
            <w:tcBorders>
              <w:top w:val="nil"/>
              <w:left w:val="single" w:sz="4" w:space="0" w:color="auto"/>
              <w:bottom w:val="nil"/>
              <w:right w:val="single" w:sz="4" w:space="0" w:color="auto"/>
            </w:tcBorders>
            <w:shd w:val="clear" w:color="auto" w:fill="00AAEE"/>
            <w:vAlign w:val="center"/>
          </w:tcPr>
          <w:p w14:paraId="357B92F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8.196</w:t>
            </w:r>
          </w:p>
        </w:tc>
      </w:tr>
      <w:tr w:rsidR="00D35DE1" w:rsidRPr="00D35DE1" w14:paraId="268A7D5C" w14:textId="77777777" w:rsidTr="00D35DE1">
        <w:trPr>
          <w:trHeight w:val="20"/>
          <w:jc w:val="center"/>
        </w:trPr>
        <w:tc>
          <w:tcPr>
            <w:tcW w:w="1156" w:type="pct"/>
            <w:tcBorders>
              <w:top w:val="nil"/>
              <w:left w:val="single" w:sz="4" w:space="0" w:color="auto"/>
              <w:bottom w:val="nil"/>
              <w:right w:val="nil"/>
            </w:tcBorders>
            <w:shd w:val="clear" w:color="auto" w:fill="38C5A4"/>
            <w:noWrap/>
            <w:vAlign w:val="center"/>
            <w:hideMark/>
          </w:tcPr>
          <w:p w14:paraId="6B9ADA3E"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T210-I1</w:t>
            </w:r>
          </w:p>
        </w:tc>
        <w:tc>
          <w:tcPr>
            <w:tcW w:w="751" w:type="pct"/>
            <w:tcBorders>
              <w:top w:val="nil"/>
              <w:left w:val="nil"/>
              <w:bottom w:val="nil"/>
              <w:right w:val="nil"/>
            </w:tcBorders>
            <w:shd w:val="clear" w:color="auto" w:fill="38C5A4"/>
            <w:noWrap/>
            <w:vAlign w:val="center"/>
            <w:hideMark/>
          </w:tcPr>
          <w:p w14:paraId="2EB3692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1670 ± 40</w:t>
            </w:r>
          </w:p>
        </w:tc>
        <w:tc>
          <w:tcPr>
            <w:tcW w:w="1099" w:type="pct"/>
            <w:tcBorders>
              <w:top w:val="nil"/>
              <w:left w:val="nil"/>
              <w:bottom w:val="nil"/>
              <w:right w:val="nil"/>
            </w:tcBorders>
            <w:shd w:val="clear" w:color="auto" w:fill="38C5A4"/>
            <w:noWrap/>
            <w:vAlign w:val="center"/>
            <w:hideMark/>
          </w:tcPr>
          <w:p w14:paraId="33D67F2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46.0 ± 0.4</w:t>
            </w:r>
          </w:p>
        </w:tc>
        <w:tc>
          <w:tcPr>
            <w:tcW w:w="751" w:type="pct"/>
            <w:tcBorders>
              <w:top w:val="nil"/>
              <w:left w:val="nil"/>
              <w:bottom w:val="nil"/>
              <w:right w:val="nil"/>
            </w:tcBorders>
            <w:shd w:val="clear" w:color="auto" w:fill="38C5A4"/>
            <w:noWrap/>
            <w:vAlign w:val="center"/>
            <w:hideMark/>
          </w:tcPr>
          <w:p w14:paraId="46D89731"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2810 ± 200</w:t>
            </w:r>
          </w:p>
        </w:tc>
        <w:tc>
          <w:tcPr>
            <w:tcW w:w="689" w:type="pct"/>
            <w:tcBorders>
              <w:top w:val="nil"/>
              <w:left w:val="nil"/>
              <w:bottom w:val="nil"/>
              <w:right w:val="single" w:sz="4" w:space="0" w:color="auto"/>
            </w:tcBorders>
            <w:shd w:val="clear" w:color="auto" w:fill="38C5A4"/>
            <w:noWrap/>
            <w:vAlign w:val="center"/>
            <w:hideMark/>
          </w:tcPr>
          <w:p w14:paraId="7E2D0A17"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69.1 ± 2.3</w:t>
            </w:r>
          </w:p>
        </w:tc>
        <w:tc>
          <w:tcPr>
            <w:tcW w:w="555" w:type="pct"/>
            <w:tcBorders>
              <w:top w:val="nil"/>
              <w:left w:val="single" w:sz="4" w:space="0" w:color="auto"/>
              <w:bottom w:val="nil"/>
              <w:right w:val="single" w:sz="4" w:space="0" w:color="auto"/>
            </w:tcBorders>
            <w:shd w:val="clear" w:color="auto" w:fill="38C5A4"/>
            <w:vAlign w:val="center"/>
          </w:tcPr>
          <w:p w14:paraId="20E905A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8.777</w:t>
            </w:r>
          </w:p>
        </w:tc>
      </w:tr>
      <w:tr w:rsidR="00D35DE1" w:rsidRPr="00D35DE1" w14:paraId="5079C40E" w14:textId="77777777" w:rsidTr="00D35DE1">
        <w:trPr>
          <w:trHeight w:val="20"/>
          <w:jc w:val="center"/>
        </w:trPr>
        <w:tc>
          <w:tcPr>
            <w:tcW w:w="1156" w:type="pct"/>
            <w:tcBorders>
              <w:top w:val="nil"/>
              <w:left w:val="single" w:sz="4" w:space="0" w:color="auto"/>
              <w:bottom w:val="nil"/>
              <w:right w:val="nil"/>
            </w:tcBorders>
            <w:shd w:val="clear" w:color="auto" w:fill="FEAC49"/>
            <w:noWrap/>
            <w:vAlign w:val="center"/>
            <w:hideMark/>
          </w:tcPr>
          <w:p w14:paraId="29F7F3E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T230-I2</w:t>
            </w:r>
          </w:p>
        </w:tc>
        <w:tc>
          <w:tcPr>
            <w:tcW w:w="751" w:type="pct"/>
            <w:tcBorders>
              <w:top w:val="nil"/>
              <w:left w:val="nil"/>
              <w:bottom w:val="nil"/>
              <w:right w:val="nil"/>
            </w:tcBorders>
            <w:shd w:val="clear" w:color="auto" w:fill="FEAC49"/>
            <w:noWrap/>
            <w:vAlign w:val="center"/>
            <w:hideMark/>
          </w:tcPr>
          <w:p w14:paraId="2855020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1680 ± 80</w:t>
            </w:r>
          </w:p>
        </w:tc>
        <w:tc>
          <w:tcPr>
            <w:tcW w:w="1099" w:type="pct"/>
            <w:tcBorders>
              <w:top w:val="nil"/>
              <w:left w:val="nil"/>
              <w:bottom w:val="nil"/>
              <w:right w:val="nil"/>
            </w:tcBorders>
            <w:shd w:val="clear" w:color="auto" w:fill="FEAC49"/>
            <w:noWrap/>
            <w:vAlign w:val="center"/>
            <w:hideMark/>
          </w:tcPr>
          <w:p w14:paraId="603C360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44.1 ± 0.6</w:t>
            </w:r>
          </w:p>
        </w:tc>
        <w:tc>
          <w:tcPr>
            <w:tcW w:w="751" w:type="pct"/>
            <w:tcBorders>
              <w:top w:val="nil"/>
              <w:left w:val="nil"/>
              <w:bottom w:val="nil"/>
              <w:right w:val="nil"/>
            </w:tcBorders>
            <w:shd w:val="clear" w:color="auto" w:fill="FEAC49"/>
            <w:noWrap/>
            <w:vAlign w:val="center"/>
            <w:hideMark/>
          </w:tcPr>
          <w:p w14:paraId="00F0FF0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2760 ± 40</w:t>
            </w:r>
          </w:p>
        </w:tc>
        <w:tc>
          <w:tcPr>
            <w:tcW w:w="689" w:type="pct"/>
            <w:tcBorders>
              <w:top w:val="nil"/>
              <w:left w:val="nil"/>
              <w:bottom w:val="nil"/>
              <w:right w:val="single" w:sz="4" w:space="0" w:color="auto"/>
            </w:tcBorders>
            <w:shd w:val="clear" w:color="auto" w:fill="FEAC49"/>
            <w:noWrap/>
            <w:vAlign w:val="center"/>
            <w:hideMark/>
          </w:tcPr>
          <w:p w14:paraId="3873DB7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68.4 ± 0.5</w:t>
            </w:r>
          </w:p>
        </w:tc>
        <w:tc>
          <w:tcPr>
            <w:tcW w:w="555" w:type="pct"/>
            <w:tcBorders>
              <w:top w:val="nil"/>
              <w:left w:val="single" w:sz="4" w:space="0" w:color="auto"/>
              <w:bottom w:val="nil"/>
              <w:right w:val="single" w:sz="4" w:space="0" w:color="auto"/>
            </w:tcBorders>
            <w:shd w:val="clear" w:color="auto" w:fill="FEAC49"/>
            <w:vAlign w:val="center"/>
          </w:tcPr>
          <w:p w14:paraId="4FB7927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9.155</w:t>
            </w:r>
          </w:p>
        </w:tc>
      </w:tr>
      <w:tr w:rsidR="00D35DE1" w:rsidRPr="00D35DE1" w14:paraId="7A7BB7BD" w14:textId="77777777" w:rsidTr="00D35DE1">
        <w:trPr>
          <w:trHeight w:val="20"/>
          <w:jc w:val="center"/>
        </w:trPr>
        <w:tc>
          <w:tcPr>
            <w:tcW w:w="1156" w:type="pct"/>
            <w:tcBorders>
              <w:top w:val="nil"/>
              <w:left w:val="single" w:sz="4" w:space="0" w:color="auto"/>
              <w:bottom w:val="nil"/>
              <w:right w:val="nil"/>
            </w:tcBorders>
            <w:shd w:val="clear" w:color="auto" w:fill="00AAEE"/>
            <w:noWrap/>
            <w:vAlign w:val="center"/>
            <w:hideMark/>
          </w:tcPr>
          <w:p w14:paraId="6A63201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T200-I2</w:t>
            </w:r>
          </w:p>
        </w:tc>
        <w:tc>
          <w:tcPr>
            <w:tcW w:w="751" w:type="pct"/>
            <w:tcBorders>
              <w:top w:val="nil"/>
              <w:left w:val="nil"/>
              <w:bottom w:val="nil"/>
              <w:right w:val="nil"/>
            </w:tcBorders>
            <w:shd w:val="clear" w:color="auto" w:fill="00AAEE"/>
            <w:noWrap/>
            <w:vAlign w:val="center"/>
            <w:hideMark/>
          </w:tcPr>
          <w:p w14:paraId="77D38F8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1580 ± 100</w:t>
            </w:r>
          </w:p>
        </w:tc>
        <w:tc>
          <w:tcPr>
            <w:tcW w:w="1099" w:type="pct"/>
            <w:tcBorders>
              <w:top w:val="nil"/>
              <w:left w:val="nil"/>
              <w:bottom w:val="nil"/>
              <w:right w:val="nil"/>
            </w:tcBorders>
            <w:shd w:val="clear" w:color="auto" w:fill="00AAEE"/>
            <w:noWrap/>
            <w:vAlign w:val="center"/>
            <w:hideMark/>
          </w:tcPr>
          <w:p w14:paraId="0A3671E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45.4 ± 1.0</w:t>
            </w:r>
          </w:p>
        </w:tc>
        <w:tc>
          <w:tcPr>
            <w:tcW w:w="751" w:type="pct"/>
            <w:tcBorders>
              <w:top w:val="nil"/>
              <w:left w:val="nil"/>
              <w:bottom w:val="nil"/>
              <w:right w:val="nil"/>
            </w:tcBorders>
            <w:shd w:val="clear" w:color="auto" w:fill="00AAEE"/>
            <w:noWrap/>
            <w:vAlign w:val="center"/>
            <w:hideMark/>
          </w:tcPr>
          <w:p w14:paraId="65BCA3E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2670 ± 70</w:t>
            </w:r>
          </w:p>
        </w:tc>
        <w:tc>
          <w:tcPr>
            <w:tcW w:w="689" w:type="pct"/>
            <w:tcBorders>
              <w:top w:val="nil"/>
              <w:left w:val="nil"/>
              <w:bottom w:val="nil"/>
              <w:right w:val="single" w:sz="4" w:space="0" w:color="auto"/>
            </w:tcBorders>
            <w:shd w:val="clear" w:color="auto" w:fill="00AAEE"/>
            <w:noWrap/>
            <w:vAlign w:val="center"/>
            <w:hideMark/>
          </w:tcPr>
          <w:p w14:paraId="10E9A25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66.6 ± 0.4</w:t>
            </w:r>
          </w:p>
        </w:tc>
        <w:tc>
          <w:tcPr>
            <w:tcW w:w="555" w:type="pct"/>
            <w:tcBorders>
              <w:top w:val="nil"/>
              <w:left w:val="single" w:sz="4" w:space="0" w:color="auto"/>
              <w:bottom w:val="nil"/>
              <w:right w:val="single" w:sz="4" w:space="0" w:color="auto"/>
            </w:tcBorders>
            <w:shd w:val="clear" w:color="auto" w:fill="00AAEE"/>
            <w:vAlign w:val="center"/>
          </w:tcPr>
          <w:p w14:paraId="6E0615B5"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9.291</w:t>
            </w:r>
          </w:p>
        </w:tc>
      </w:tr>
      <w:tr w:rsidR="00D35DE1" w:rsidRPr="00D35DE1" w14:paraId="0CA1A13E" w14:textId="77777777" w:rsidTr="00D35DE1">
        <w:trPr>
          <w:trHeight w:val="20"/>
          <w:jc w:val="center"/>
        </w:trPr>
        <w:tc>
          <w:tcPr>
            <w:tcW w:w="1156" w:type="pct"/>
            <w:tcBorders>
              <w:top w:val="nil"/>
              <w:left w:val="single" w:sz="4" w:space="0" w:color="auto"/>
              <w:bottom w:val="nil"/>
              <w:right w:val="nil"/>
            </w:tcBorders>
            <w:shd w:val="clear" w:color="auto" w:fill="FEE67A"/>
            <w:noWrap/>
            <w:vAlign w:val="center"/>
            <w:hideMark/>
          </w:tcPr>
          <w:p w14:paraId="7744B89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T220-I4</w:t>
            </w:r>
          </w:p>
        </w:tc>
        <w:tc>
          <w:tcPr>
            <w:tcW w:w="751" w:type="pct"/>
            <w:tcBorders>
              <w:top w:val="nil"/>
              <w:left w:val="nil"/>
              <w:bottom w:val="nil"/>
              <w:right w:val="nil"/>
            </w:tcBorders>
            <w:shd w:val="clear" w:color="auto" w:fill="FEE67A"/>
            <w:noWrap/>
            <w:vAlign w:val="center"/>
            <w:hideMark/>
          </w:tcPr>
          <w:p w14:paraId="226A0DC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1640 ± 60</w:t>
            </w:r>
          </w:p>
        </w:tc>
        <w:tc>
          <w:tcPr>
            <w:tcW w:w="1099" w:type="pct"/>
            <w:tcBorders>
              <w:top w:val="nil"/>
              <w:left w:val="nil"/>
              <w:bottom w:val="nil"/>
              <w:right w:val="nil"/>
            </w:tcBorders>
            <w:shd w:val="clear" w:color="auto" w:fill="FEE67A"/>
            <w:noWrap/>
            <w:vAlign w:val="center"/>
            <w:hideMark/>
          </w:tcPr>
          <w:p w14:paraId="599EBF6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44.6 ± 0.4</w:t>
            </w:r>
          </w:p>
        </w:tc>
        <w:tc>
          <w:tcPr>
            <w:tcW w:w="751" w:type="pct"/>
            <w:tcBorders>
              <w:top w:val="nil"/>
              <w:left w:val="nil"/>
              <w:bottom w:val="nil"/>
              <w:right w:val="nil"/>
            </w:tcBorders>
            <w:shd w:val="clear" w:color="auto" w:fill="FEE67A"/>
            <w:noWrap/>
            <w:vAlign w:val="center"/>
            <w:hideMark/>
          </w:tcPr>
          <w:p w14:paraId="3A213918"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3090 ± 40</w:t>
            </w:r>
          </w:p>
        </w:tc>
        <w:tc>
          <w:tcPr>
            <w:tcW w:w="689" w:type="pct"/>
            <w:tcBorders>
              <w:top w:val="nil"/>
              <w:left w:val="nil"/>
              <w:bottom w:val="nil"/>
              <w:right w:val="single" w:sz="4" w:space="0" w:color="auto"/>
            </w:tcBorders>
            <w:shd w:val="clear" w:color="auto" w:fill="FEE67A"/>
            <w:noWrap/>
            <w:vAlign w:val="center"/>
            <w:hideMark/>
          </w:tcPr>
          <w:p w14:paraId="2798186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70.4 ± 1.1</w:t>
            </w:r>
          </w:p>
        </w:tc>
        <w:tc>
          <w:tcPr>
            <w:tcW w:w="555" w:type="pct"/>
            <w:tcBorders>
              <w:top w:val="nil"/>
              <w:left w:val="single" w:sz="4" w:space="0" w:color="auto"/>
              <w:bottom w:val="nil"/>
              <w:right w:val="single" w:sz="4" w:space="0" w:color="auto"/>
            </w:tcBorders>
            <w:shd w:val="clear" w:color="auto" w:fill="FEE67A"/>
            <w:vAlign w:val="center"/>
          </w:tcPr>
          <w:p w14:paraId="10EDC4C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9.823</w:t>
            </w:r>
          </w:p>
        </w:tc>
      </w:tr>
      <w:tr w:rsidR="00D35DE1" w:rsidRPr="00D35DE1" w14:paraId="44DC3578" w14:textId="77777777" w:rsidTr="00D35DE1">
        <w:trPr>
          <w:trHeight w:val="20"/>
          <w:jc w:val="center"/>
        </w:trPr>
        <w:tc>
          <w:tcPr>
            <w:tcW w:w="1156" w:type="pct"/>
            <w:tcBorders>
              <w:top w:val="nil"/>
              <w:left w:val="single" w:sz="4" w:space="0" w:color="auto"/>
              <w:right w:val="nil"/>
            </w:tcBorders>
            <w:shd w:val="clear" w:color="auto" w:fill="FEE67A"/>
            <w:noWrap/>
            <w:vAlign w:val="center"/>
            <w:hideMark/>
          </w:tcPr>
          <w:p w14:paraId="2FB3707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T220-I2</w:t>
            </w:r>
          </w:p>
        </w:tc>
        <w:tc>
          <w:tcPr>
            <w:tcW w:w="751" w:type="pct"/>
            <w:tcBorders>
              <w:top w:val="nil"/>
              <w:left w:val="nil"/>
              <w:right w:val="nil"/>
            </w:tcBorders>
            <w:shd w:val="clear" w:color="auto" w:fill="FEE67A"/>
            <w:noWrap/>
            <w:vAlign w:val="center"/>
            <w:hideMark/>
          </w:tcPr>
          <w:p w14:paraId="11ED32E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1540 ± 30</w:t>
            </w:r>
          </w:p>
        </w:tc>
        <w:tc>
          <w:tcPr>
            <w:tcW w:w="1099" w:type="pct"/>
            <w:tcBorders>
              <w:top w:val="nil"/>
              <w:left w:val="nil"/>
              <w:right w:val="nil"/>
            </w:tcBorders>
            <w:shd w:val="clear" w:color="auto" w:fill="FEE67A"/>
            <w:noWrap/>
            <w:vAlign w:val="center"/>
            <w:hideMark/>
          </w:tcPr>
          <w:p w14:paraId="53C6CD4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44.1 ± 0.4</w:t>
            </w:r>
          </w:p>
        </w:tc>
        <w:tc>
          <w:tcPr>
            <w:tcW w:w="751" w:type="pct"/>
            <w:tcBorders>
              <w:top w:val="nil"/>
              <w:left w:val="nil"/>
              <w:right w:val="nil"/>
            </w:tcBorders>
            <w:shd w:val="clear" w:color="auto" w:fill="FEE67A"/>
            <w:noWrap/>
            <w:vAlign w:val="center"/>
            <w:hideMark/>
          </w:tcPr>
          <w:p w14:paraId="0CBE760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2610 ± 60</w:t>
            </w:r>
          </w:p>
        </w:tc>
        <w:tc>
          <w:tcPr>
            <w:tcW w:w="689" w:type="pct"/>
            <w:tcBorders>
              <w:top w:val="nil"/>
              <w:left w:val="nil"/>
              <w:right w:val="single" w:sz="4" w:space="0" w:color="auto"/>
            </w:tcBorders>
            <w:shd w:val="clear" w:color="auto" w:fill="FEE67A"/>
            <w:noWrap/>
            <w:vAlign w:val="center"/>
            <w:hideMark/>
          </w:tcPr>
          <w:p w14:paraId="01C21AA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66.7 ± 0.7</w:t>
            </w:r>
          </w:p>
        </w:tc>
        <w:tc>
          <w:tcPr>
            <w:tcW w:w="555" w:type="pct"/>
            <w:tcBorders>
              <w:top w:val="nil"/>
              <w:left w:val="single" w:sz="4" w:space="0" w:color="auto"/>
              <w:right w:val="single" w:sz="4" w:space="0" w:color="auto"/>
            </w:tcBorders>
            <w:shd w:val="clear" w:color="auto" w:fill="FEE67A"/>
            <w:vAlign w:val="center"/>
          </w:tcPr>
          <w:p w14:paraId="0E85FA3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10.794</w:t>
            </w:r>
          </w:p>
        </w:tc>
      </w:tr>
      <w:tr w:rsidR="00D35DE1" w:rsidRPr="00D35DE1" w14:paraId="10B6B725" w14:textId="77777777" w:rsidTr="00D35DE1">
        <w:trPr>
          <w:trHeight w:val="20"/>
          <w:jc w:val="center"/>
        </w:trPr>
        <w:tc>
          <w:tcPr>
            <w:tcW w:w="1156" w:type="pct"/>
            <w:tcBorders>
              <w:top w:val="nil"/>
              <w:left w:val="single" w:sz="4" w:space="0" w:color="auto"/>
              <w:bottom w:val="single" w:sz="4" w:space="0" w:color="auto"/>
              <w:right w:val="nil"/>
            </w:tcBorders>
            <w:shd w:val="clear" w:color="auto" w:fill="00AAEE"/>
            <w:noWrap/>
            <w:vAlign w:val="center"/>
            <w:hideMark/>
          </w:tcPr>
          <w:p w14:paraId="4EFC1D4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T200-I4</w:t>
            </w:r>
          </w:p>
        </w:tc>
        <w:tc>
          <w:tcPr>
            <w:tcW w:w="751" w:type="pct"/>
            <w:tcBorders>
              <w:top w:val="nil"/>
              <w:left w:val="nil"/>
              <w:bottom w:val="single" w:sz="4" w:space="0" w:color="auto"/>
              <w:right w:val="nil"/>
            </w:tcBorders>
            <w:shd w:val="clear" w:color="auto" w:fill="00AAEE"/>
            <w:noWrap/>
            <w:vAlign w:val="center"/>
            <w:hideMark/>
          </w:tcPr>
          <w:p w14:paraId="38FB063A"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1440 ± 150</w:t>
            </w:r>
          </w:p>
        </w:tc>
        <w:tc>
          <w:tcPr>
            <w:tcW w:w="1099" w:type="pct"/>
            <w:tcBorders>
              <w:top w:val="nil"/>
              <w:left w:val="nil"/>
              <w:bottom w:val="single" w:sz="4" w:space="0" w:color="auto"/>
              <w:right w:val="nil"/>
            </w:tcBorders>
            <w:shd w:val="clear" w:color="auto" w:fill="00AAEE"/>
            <w:noWrap/>
            <w:vAlign w:val="center"/>
            <w:hideMark/>
          </w:tcPr>
          <w:p w14:paraId="112AC11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45.2 ± 1.3</w:t>
            </w:r>
          </w:p>
        </w:tc>
        <w:tc>
          <w:tcPr>
            <w:tcW w:w="751" w:type="pct"/>
            <w:tcBorders>
              <w:top w:val="nil"/>
              <w:left w:val="nil"/>
              <w:bottom w:val="single" w:sz="4" w:space="0" w:color="auto"/>
              <w:right w:val="nil"/>
            </w:tcBorders>
            <w:shd w:val="clear" w:color="auto" w:fill="00AAEE"/>
            <w:noWrap/>
            <w:vAlign w:val="center"/>
            <w:hideMark/>
          </w:tcPr>
          <w:p w14:paraId="303DE639"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2690 ± 70</w:t>
            </w:r>
          </w:p>
        </w:tc>
        <w:tc>
          <w:tcPr>
            <w:tcW w:w="689" w:type="pct"/>
            <w:tcBorders>
              <w:top w:val="nil"/>
              <w:left w:val="nil"/>
              <w:bottom w:val="single" w:sz="4" w:space="0" w:color="auto"/>
              <w:right w:val="single" w:sz="4" w:space="0" w:color="auto"/>
            </w:tcBorders>
            <w:shd w:val="clear" w:color="auto" w:fill="00AAEE"/>
            <w:noWrap/>
            <w:vAlign w:val="center"/>
            <w:hideMark/>
          </w:tcPr>
          <w:p w14:paraId="51B5D6E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66.4 ± 0.4</w:t>
            </w:r>
          </w:p>
        </w:tc>
        <w:tc>
          <w:tcPr>
            <w:tcW w:w="555" w:type="pct"/>
            <w:tcBorders>
              <w:top w:val="nil"/>
              <w:left w:val="single" w:sz="4" w:space="0" w:color="auto"/>
              <w:bottom w:val="single" w:sz="4" w:space="0" w:color="auto"/>
              <w:right w:val="single" w:sz="4" w:space="0" w:color="auto"/>
            </w:tcBorders>
            <w:shd w:val="clear" w:color="auto" w:fill="00AAEE"/>
            <w:vAlign w:val="center"/>
          </w:tcPr>
          <w:p w14:paraId="48020641"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12.869</w:t>
            </w:r>
          </w:p>
        </w:tc>
      </w:tr>
      <w:tr w:rsidR="00D35DE1" w:rsidRPr="00D35DE1" w14:paraId="6D2B279B" w14:textId="77777777" w:rsidTr="00D35DE1">
        <w:trPr>
          <w:trHeight w:val="20"/>
          <w:jc w:val="center"/>
        </w:trPr>
        <w:tc>
          <w:tcPr>
            <w:tcW w:w="1156" w:type="pct"/>
            <w:tcBorders>
              <w:top w:val="single" w:sz="4" w:space="0" w:color="auto"/>
              <w:left w:val="single" w:sz="4" w:space="0" w:color="auto"/>
            </w:tcBorders>
            <w:shd w:val="clear" w:color="auto" w:fill="auto"/>
            <w:noWrap/>
            <w:vAlign w:val="center"/>
          </w:tcPr>
          <w:p w14:paraId="4C9CBD83"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Unfilled PP</w:t>
            </w:r>
          </w:p>
        </w:tc>
        <w:tc>
          <w:tcPr>
            <w:tcW w:w="751" w:type="pct"/>
            <w:tcBorders>
              <w:top w:val="single" w:sz="4" w:space="0" w:color="auto"/>
            </w:tcBorders>
            <w:shd w:val="clear" w:color="auto" w:fill="auto"/>
            <w:noWrap/>
            <w:vAlign w:val="center"/>
          </w:tcPr>
          <w:p w14:paraId="341F37D6" w14:textId="77777777" w:rsidR="00D35DE1" w:rsidRPr="00D35DE1" w:rsidDel="00BF6B05" w:rsidRDefault="00D35DE1" w:rsidP="00D35DE1">
            <w:pPr>
              <w:pStyle w:val="TableHeading"/>
              <w:rPr>
                <w:b w:val="0"/>
                <w:bCs w:val="0"/>
                <w:sz w:val="22"/>
                <w:szCs w:val="22"/>
                <w:lang w:bidi="en-US"/>
              </w:rPr>
            </w:pPr>
            <w:r w:rsidRPr="00D35DE1">
              <w:rPr>
                <w:b w:val="0"/>
                <w:bCs w:val="0"/>
                <w:sz w:val="22"/>
                <w:szCs w:val="22"/>
                <w:lang w:bidi="en-US"/>
              </w:rPr>
              <w:t>447</w:t>
            </w:r>
          </w:p>
        </w:tc>
        <w:tc>
          <w:tcPr>
            <w:tcW w:w="1099" w:type="pct"/>
            <w:tcBorders>
              <w:top w:val="single" w:sz="4" w:space="0" w:color="auto"/>
            </w:tcBorders>
            <w:shd w:val="clear" w:color="auto" w:fill="auto"/>
            <w:noWrap/>
            <w:vAlign w:val="center"/>
          </w:tcPr>
          <w:p w14:paraId="2CADE02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26.6</w:t>
            </w:r>
          </w:p>
        </w:tc>
        <w:tc>
          <w:tcPr>
            <w:tcW w:w="751" w:type="pct"/>
            <w:tcBorders>
              <w:top w:val="single" w:sz="4" w:space="0" w:color="auto"/>
            </w:tcBorders>
            <w:shd w:val="clear" w:color="auto" w:fill="auto"/>
            <w:noWrap/>
            <w:vAlign w:val="center"/>
          </w:tcPr>
          <w:p w14:paraId="257C7EE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2046</w:t>
            </w:r>
          </w:p>
        </w:tc>
        <w:tc>
          <w:tcPr>
            <w:tcW w:w="689" w:type="pct"/>
            <w:tcBorders>
              <w:top w:val="single" w:sz="4" w:space="0" w:color="auto"/>
              <w:right w:val="single" w:sz="4" w:space="0" w:color="auto"/>
            </w:tcBorders>
            <w:shd w:val="clear" w:color="auto" w:fill="auto"/>
            <w:noWrap/>
            <w:vAlign w:val="center"/>
          </w:tcPr>
          <w:p w14:paraId="341E064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22.9</w:t>
            </w:r>
          </w:p>
        </w:tc>
        <w:tc>
          <w:tcPr>
            <w:tcW w:w="555" w:type="pct"/>
            <w:tcBorders>
              <w:top w:val="single" w:sz="4" w:space="0" w:color="auto"/>
              <w:left w:val="single" w:sz="4" w:space="0" w:color="auto"/>
              <w:right w:val="single" w:sz="4" w:space="0" w:color="auto"/>
            </w:tcBorders>
            <w:shd w:val="clear" w:color="auto" w:fill="auto"/>
            <w:vAlign w:val="center"/>
          </w:tcPr>
          <w:p w14:paraId="7EE3331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N/A</w:t>
            </w:r>
          </w:p>
        </w:tc>
      </w:tr>
      <w:tr w:rsidR="00D35DE1" w:rsidRPr="00D35DE1" w14:paraId="719E32E8" w14:textId="77777777" w:rsidTr="00D35DE1">
        <w:trPr>
          <w:trHeight w:val="20"/>
          <w:jc w:val="center"/>
        </w:trPr>
        <w:tc>
          <w:tcPr>
            <w:tcW w:w="1156" w:type="pct"/>
            <w:tcBorders>
              <w:top w:val="nil"/>
              <w:left w:val="single" w:sz="4" w:space="0" w:color="auto"/>
            </w:tcBorders>
            <w:shd w:val="clear" w:color="auto" w:fill="auto"/>
            <w:noWrap/>
            <w:vAlign w:val="center"/>
          </w:tcPr>
          <w:p w14:paraId="2B9B5F1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10% Talc Filled PP</w:t>
            </w:r>
          </w:p>
        </w:tc>
        <w:tc>
          <w:tcPr>
            <w:tcW w:w="751" w:type="pct"/>
            <w:tcBorders>
              <w:top w:val="nil"/>
            </w:tcBorders>
            <w:shd w:val="clear" w:color="auto" w:fill="auto"/>
            <w:noWrap/>
            <w:vAlign w:val="center"/>
          </w:tcPr>
          <w:p w14:paraId="029AEF76" w14:textId="77777777" w:rsidR="00D35DE1" w:rsidRPr="00D35DE1" w:rsidDel="00BF6B05" w:rsidRDefault="00D35DE1" w:rsidP="00D35DE1">
            <w:pPr>
              <w:pStyle w:val="TableHeading"/>
              <w:rPr>
                <w:b w:val="0"/>
                <w:bCs w:val="0"/>
                <w:sz w:val="22"/>
                <w:szCs w:val="22"/>
                <w:lang w:bidi="en-US"/>
              </w:rPr>
            </w:pPr>
            <w:r w:rsidRPr="00D35DE1">
              <w:rPr>
                <w:b w:val="0"/>
                <w:bCs w:val="0"/>
                <w:sz w:val="22"/>
                <w:szCs w:val="22"/>
                <w:lang w:bidi="en-US"/>
              </w:rPr>
              <w:t>489</w:t>
            </w:r>
          </w:p>
        </w:tc>
        <w:tc>
          <w:tcPr>
            <w:tcW w:w="1099" w:type="pct"/>
            <w:tcBorders>
              <w:top w:val="nil"/>
            </w:tcBorders>
            <w:shd w:val="clear" w:color="auto" w:fill="auto"/>
            <w:noWrap/>
            <w:vAlign w:val="center"/>
          </w:tcPr>
          <w:p w14:paraId="0CE14502"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25.3</w:t>
            </w:r>
          </w:p>
        </w:tc>
        <w:tc>
          <w:tcPr>
            <w:tcW w:w="751" w:type="pct"/>
            <w:tcBorders>
              <w:top w:val="nil"/>
            </w:tcBorders>
            <w:shd w:val="clear" w:color="auto" w:fill="auto"/>
            <w:noWrap/>
            <w:vAlign w:val="center"/>
          </w:tcPr>
          <w:p w14:paraId="3921079D"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1754</w:t>
            </w:r>
          </w:p>
        </w:tc>
        <w:tc>
          <w:tcPr>
            <w:tcW w:w="689" w:type="pct"/>
            <w:tcBorders>
              <w:top w:val="nil"/>
              <w:right w:val="single" w:sz="4" w:space="0" w:color="auto"/>
            </w:tcBorders>
            <w:shd w:val="clear" w:color="auto" w:fill="auto"/>
            <w:noWrap/>
            <w:vAlign w:val="center"/>
          </w:tcPr>
          <w:p w14:paraId="432DF11C"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23.8</w:t>
            </w:r>
          </w:p>
        </w:tc>
        <w:tc>
          <w:tcPr>
            <w:tcW w:w="555" w:type="pct"/>
            <w:tcBorders>
              <w:top w:val="nil"/>
              <w:left w:val="single" w:sz="4" w:space="0" w:color="auto"/>
              <w:right w:val="single" w:sz="4" w:space="0" w:color="auto"/>
            </w:tcBorders>
            <w:shd w:val="clear" w:color="auto" w:fill="auto"/>
            <w:vAlign w:val="center"/>
          </w:tcPr>
          <w:p w14:paraId="54879CF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N/A</w:t>
            </w:r>
          </w:p>
        </w:tc>
      </w:tr>
      <w:tr w:rsidR="00D35DE1" w:rsidRPr="00D35DE1" w14:paraId="19C60A4D" w14:textId="77777777" w:rsidTr="00D35DE1">
        <w:trPr>
          <w:trHeight w:val="20"/>
          <w:jc w:val="center"/>
        </w:trPr>
        <w:tc>
          <w:tcPr>
            <w:tcW w:w="1156" w:type="pct"/>
            <w:tcBorders>
              <w:top w:val="nil"/>
              <w:left w:val="single" w:sz="4" w:space="0" w:color="auto"/>
              <w:bottom w:val="nil"/>
            </w:tcBorders>
            <w:shd w:val="clear" w:color="auto" w:fill="auto"/>
            <w:noWrap/>
            <w:vAlign w:val="center"/>
          </w:tcPr>
          <w:p w14:paraId="5D13D36F"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20% Talc Filled PP</w:t>
            </w:r>
          </w:p>
        </w:tc>
        <w:tc>
          <w:tcPr>
            <w:tcW w:w="751" w:type="pct"/>
            <w:tcBorders>
              <w:top w:val="nil"/>
              <w:bottom w:val="nil"/>
            </w:tcBorders>
            <w:shd w:val="clear" w:color="auto" w:fill="auto"/>
            <w:noWrap/>
            <w:vAlign w:val="center"/>
          </w:tcPr>
          <w:p w14:paraId="5CA32B8E"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599</w:t>
            </w:r>
          </w:p>
        </w:tc>
        <w:tc>
          <w:tcPr>
            <w:tcW w:w="1099" w:type="pct"/>
            <w:tcBorders>
              <w:top w:val="nil"/>
              <w:bottom w:val="nil"/>
            </w:tcBorders>
            <w:shd w:val="clear" w:color="auto" w:fill="auto"/>
            <w:noWrap/>
            <w:vAlign w:val="center"/>
          </w:tcPr>
          <w:p w14:paraId="7ACAC571"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25.3</w:t>
            </w:r>
          </w:p>
        </w:tc>
        <w:tc>
          <w:tcPr>
            <w:tcW w:w="751" w:type="pct"/>
            <w:tcBorders>
              <w:top w:val="nil"/>
              <w:bottom w:val="nil"/>
            </w:tcBorders>
            <w:shd w:val="clear" w:color="auto" w:fill="auto"/>
            <w:noWrap/>
            <w:vAlign w:val="center"/>
          </w:tcPr>
          <w:p w14:paraId="50057E9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2484</w:t>
            </w:r>
          </w:p>
        </w:tc>
        <w:tc>
          <w:tcPr>
            <w:tcW w:w="689" w:type="pct"/>
            <w:tcBorders>
              <w:top w:val="nil"/>
              <w:bottom w:val="nil"/>
              <w:right w:val="single" w:sz="4" w:space="0" w:color="auto"/>
            </w:tcBorders>
            <w:shd w:val="clear" w:color="auto" w:fill="auto"/>
            <w:noWrap/>
            <w:vAlign w:val="center"/>
          </w:tcPr>
          <w:p w14:paraId="7DD6D234"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26.5</w:t>
            </w:r>
          </w:p>
        </w:tc>
        <w:tc>
          <w:tcPr>
            <w:tcW w:w="555" w:type="pct"/>
            <w:tcBorders>
              <w:top w:val="nil"/>
              <w:left w:val="single" w:sz="4" w:space="0" w:color="auto"/>
              <w:bottom w:val="nil"/>
              <w:right w:val="single" w:sz="4" w:space="0" w:color="auto"/>
            </w:tcBorders>
            <w:shd w:val="clear" w:color="auto" w:fill="auto"/>
            <w:vAlign w:val="center"/>
          </w:tcPr>
          <w:p w14:paraId="354B0330"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N/A</w:t>
            </w:r>
          </w:p>
        </w:tc>
      </w:tr>
      <w:tr w:rsidR="00D35DE1" w:rsidRPr="00D35DE1" w:rsidDel="00D64735" w14:paraId="4AACBED6" w14:textId="77777777" w:rsidTr="00D35DE1">
        <w:trPr>
          <w:trHeight w:val="20"/>
          <w:jc w:val="center"/>
        </w:trPr>
        <w:tc>
          <w:tcPr>
            <w:tcW w:w="1156" w:type="pct"/>
            <w:tcBorders>
              <w:top w:val="nil"/>
              <w:left w:val="single" w:sz="4" w:space="0" w:color="auto"/>
              <w:bottom w:val="single" w:sz="4" w:space="0" w:color="auto"/>
            </w:tcBorders>
            <w:shd w:val="clear" w:color="auto" w:fill="auto"/>
            <w:noWrap/>
            <w:vAlign w:val="center"/>
          </w:tcPr>
          <w:p w14:paraId="5D85F8D9" w14:textId="77777777" w:rsidR="00D35DE1" w:rsidRPr="00D35DE1" w:rsidDel="006E76EE" w:rsidRDefault="00D35DE1" w:rsidP="00D35DE1">
            <w:pPr>
              <w:pStyle w:val="TableHeading"/>
              <w:rPr>
                <w:b w:val="0"/>
                <w:bCs w:val="0"/>
                <w:sz w:val="22"/>
                <w:szCs w:val="22"/>
                <w:lang w:bidi="en-US"/>
              </w:rPr>
            </w:pPr>
            <w:r w:rsidRPr="00D35DE1">
              <w:rPr>
                <w:b w:val="0"/>
                <w:bCs w:val="0"/>
                <w:sz w:val="22"/>
                <w:szCs w:val="22"/>
                <w:lang w:bidi="en-US"/>
              </w:rPr>
              <w:t>50% Talc Filled PP</w:t>
            </w:r>
          </w:p>
        </w:tc>
        <w:tc>
          <w:tcPr>
            <w:tcW w:w="751" w:type="pct"/>
            <w:tcBorders>
              <w:top w:val="nil"/>
              <w:bottom w:val="single" w:sz="4" w:space="0" w:color="auto"/>
            </w:tcBorders>
            <w:shd w:val="clear" w:color="auto" w:fill="auto"/>
            <w:noWrap/>
            <w:vAlign w:val="center"/>
          </w:tcPr>
          <w:p w14:paraId="77A8849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946</w:t>
            </w:r>
          </w:p>
        </w:tc>
        <w:tc>
          <w:tcPr>
            <w:tcW w:w="1099" w:type="pct"/>
            <w:tcBorders>
              <w:top w:val="nil"/>
              <w:bottom w:val="single" w:sz="4" w:space="0" w:color="auto"/>
            </w:tcBorders>
            <w:shd w:val="clear" w:color="auto" w:fill="auto"/>
            <w:noWrap/>
            <w:vAlign w:val="center"/>
          </w:tcPr>
          <w:p w14:paraId="16F41E1B"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23.5</w:t>
            </w:r>
          </w:p>
        </w:tc>
        <w:tc>
          <w:tcPr>
            <w:tcW w:w="751" w:type="pct"/>
            <w:tcBorders>
              <w:top w:val="nil"/>
              <w:bottom w:val="single" w:sz="4" w:space="0" w:color="auto"/>
            </w:tcBorders>
            <w:shd w:val="clear" w:color="auto" w:fill="auto"/>
            <w:noWrap/>
            <w:vAlign w:val="center"/>
          </w:tcPr>
          <w:p w14:paraId="2E33A596" w14:textId="77777777" w:rsidR="00D35DE1" w:rsidRPr="00D35DE1" w:rsidRDefault="00D35DE1" w:rsidP="00D35DE1">
            <w:pPr>
              <w:pStyle w:val="TableHeading"/>
              <w:rPr>
                <w:b w:val="0"/>
                <w:bCs w:val="0"/>
                <w:sz w:val="22"/>
                <w:szCs w:val="22"/>
                <w:lang w:bidi="en-US"/>
              </w:rPr>
            </w:pPr>
            <w:r w:rsidRPr="00D35DE1">
              <w:rPr>
                <w:b w:val="0"/>
                <w:bCs w:val="0"/>
                <w:sz w:val="22"/>
                <w:szCs w:val="22"/>
                <w:lang w:bidi="en-US"/>
              </w:rPr>
              <w:t>7891</w:t>
            </w:r>
          </w:p>
        </w:tc>
        <w:tc>
          <w:tcPr>
            <w:tcW w:w="689" w:type="pct"/>
            <w:tcBorders>
              <w:top w:val="nil"/>
              <w:bottom w:val="single" w:sz="4" w:space="0" w:color="auto"/>
              <w:right w:val="single" w:sz="4" w:space="0" w:color="auto"/>
            </w:tcBorders>
            <w:shd w:val="clear" w:color="auto" w:fill="auto"/>
            <w:noWrap/>
            <w:vAlign w:val="center"/>
          </w:tcPr>
          <w:p w14:paraId="0E6432AD" w14:textId="77777777" w:rsidR="00D35DE1" w:rsidRPr="00D35DE1" w:rsidDel="00D64735" w:rsidRDefault="00D35DE1" w:rsidP="00D35DE1">
            <w:pPr>
              <w:pStyle w:val="TableHeading"/>
              <w:rPr>
                <w:b w:val="0"/>
                <w:bCs w:val="0"/>
                <w:sz w:val="22"/>
                <w:szCs w:val="22"/>
                <w:lang w:bidi="en-US"/>
              </w:rPr>
            </w:pPr>
            <w:r w:rsidRPr="00D35DE1">
              <w:rPr>
                <w:b w:val="0"/>
                <w:bCs w:val="0"/>
                <w:sz w:val="22"/>
                <w:szCs w:val="22"/>
                <w:lang w:bidi="en-US"/>
              </w:rPr>
              <w:t>33.0</w:t>
            </w:r>
          </w:p>
        </w:tc>
        <w:tc>
          <w:tcPr>
            <w:tcW w:w="555" w:type="pct"/>
            <w:tcBorders>
              <w:top w:val="nil"/>
              <w:left w:val="single" w:sz="4" w:space="0" w:color="auto"/>
              <w:bottom w:val="single" w:sz="4" w:space="0" w:color="auto"/>
              <w:right w:val="single" w:sz="4" w:space="0" w:color="auto"/>
            </w:tcBorders>
            <w:shd w:val="clear" w:color="auto" w:fill="auto"/>
            <w:vAlign w:val="center"/>
          </w:tcPr>
          <w:p w14:paraId="34F8DFC1" w14:textId="77777777" w:rsidR="00D35DE1" w:rsidRPr="00D35DE1" w:rsidDel="00D64735" w:rsidRDefault="00D35DE1" w:rsidP="00D35DE1">
            <w:pPr>
              <w:pStyle w:val="TableHeading"/>
              <w:rPr>
                <w:b w:val="0"/>
                <w:bCs w:val="0"/>
                <w:sz w:val="22"/>
                <w:szCs w:val="22"/>
                <w:lang w:bidi="en-US"/>
              </w:rPr>
            </w:pPr>
            <w:r w:rsidRPr="00D35DE1">
              <w:rPr>
                <w:b w:val="0"/>
                <w:bCs w:val="0"/>
                <w:sz w:val="22"/>
                <w:szCs w:val="22"/>
                <w:lang w:bidi="en-US"/>
              </w:rPr>
              <w:t>N/A</w:t>
            </w:r>
          </w:p>
        </w:tc>
      </w:tr>
    </w:tbl>
    <w:p w14:paraId="0C5836BD" w14:textId="77777777" w:rsidR="00D35DE1" w:rsidRDefault="00D35DE1" w:rsidP="00D35DE1">
      <w:pPr>
        <w:pStyle w:val="TableHeading"/>
        <w:rPr>
          <w:lang w:bidi="en-US"/>
        </w:rPr>
      </w:pPr>
      <w:r>
        <w:rPr>
          <w:lang w:bidi="en-US"/>
        </w:rPr>
        <w:br w:type="page"/>
      </w:r>
    </w:p>
    <w:p w14:paraId="7F428A26" w14:textId="5AE48892" w:rsidR="0080518D" w:rsidRDefault="0080518D" w:rsidP="00C34425">
      <w:pPr>
        <w:rPr>
          <w:iCs/>
          <w:lang w:bidi="en-US"/>
        </w:rPr>
      </w:pPr>
      <w:r w:rsidRPr="0080518D">
        <w:rPr>
          <w:iCs/>
          <w:lang w:bidi="en-US"/>
        </w:rPr>
        <w:lastRenderedPageBreak/>
        <w:t xml:space="preserve">Overall, our analysis shows that 210 °C is the best temperature for injection molding of paper composite material, producing samples with the highest mechanical properties and lowest standard deviations. Higher screw speeds also appear to produce better samples overall, although this is not consistent across the study. The comparison to talc-filled polypropylene also shows that even the “worst” of the injection molded paper composite samples are on par or better than a widely used automotive material. This suggests that even at sub-optimal processing conditions, the paper-polypropylene composite could be used in a wide variety of automotive applications.     </w:t>
      </w:r>
    </w:p>
    <w:p w14:paraId="646B8C61" w14:textId="77777777" w:rsidR="0080518D" w:rsidRDefault="0080518D" w:rsidP="0080518D">
      <w:pPr>
        <w:pStyle w:val="MajorHeadings"/>
        <w:rPr>
          <w:lang w:bidi="en-US"/>
        </w:rPr>
      </w:pPr>
    </w:p>
    <w:p w14:paraId="3BD3D9DA" w14:textId="34921CE7" w:rsidR="0080518D" w:rsidRDefault="0080518D" w:rsidP="0080518D">
      <w:pPr>
        <w:pStyle w:val="MajorHeadings"/>
        <w:rPr>
          <w:lang w:bidi="en-US"/>
        </w:rPr>
      </w:pPr>
      <w:bookmarkStart w:id="54" w:name="_Toc190951805"/>
      <w:r>
        <w:rPr>
          <w:lang w:bidi="en-US"/>
        </w:rPr>
        <w:t>3.3 Materials and Methods</w:t>
      </w:r>
      <w:bookmarkEnd w:id="54"/>
    </w:p>
    <w:p w14:paraId="7A4AA78C" w14:textId="0EF7B205" w:rsidR="0080518D" w:rsidRDefault="0080518D" w:rsidP="0080518D">
      <w:pPr>
        <w:pStyle w:val="Heading2"/>
        <w:rPr>
          <w:lang w:bidi="en-US"/>
        </w:rPr>
      </w:pPr>
      <w:bookmarkStart w:id="55" w:name="_Toc190951806"/>
      <w:r>
        <w:rPr>
          <w:lang w:bidi="en-US"/>
        </w:rPr>
        <w:t>3.3.1 Materials</w:t>
      </w:r>
      <w:bookmarkEnd w:id="55"/>
    </w:p>
    <w:p w14:paraId="5E24D30F" w14:textId="371FAFDB" w:rsidR="0080518D" w:rsidRDefault="0080518D" w:rsidP="0080518D">
      <w:pPr>
        <w:rPr>
          <w:lang w:bidi="en-US"/>
        </w:rPr>
      </w:pPr>
      <w:r w:rsidRPr="0080518D">
        <w:rPr>
          <w:lang w:bidi="en-US"/>
        </w:rPr>
        <w:t xml:space="preserve">The following materials were used as received: Domtar bleached hardwood kraft market pulp (MP) and </w:t>
      </w:r>
      <w:proofErr w:type="spellStart"/>
      <w:r w:rsidRPr="0080518D">
        <w:rPr>
          <w:lang w:bidi="en-US"/>
        </w:rPr>
        <w:t>MiniFibers</w:t>
      </w:r>
      <w:proofErr w:type="spellEnd"/>
      <w:r w:rsidRPr="0080518D">
        <w:rPr>
          <w:lang w:bidi="en-US"/>
        </w:rPr>
        <w:t xml:space="preserve"> precision cut 3 mm length, 15.3 </w:t>
      </w:r>
      <w:proofErr w:type="spellStart"/>
      <w:r w:rsidRPr="0080518D">
        <w:rPr>
          <w:lang w:bidi="en-US"/>
        </w:rPr>
        <w:t>μm</w:t>
      </w:r>
      <w:proofErr w:type="spellEnd"/>
      <w:r w:rsidRPr="0080518D">
        <w:rPr>
          <w:lang w:bidi="en-US"/>
        </w:rPr>
        <w:t xml:space="preserve"> diameter polypropylene (PP) fibers, isotactic PP pellets with a melt flow index (MFI) of 35, Honeywell AC950 propylene maleic anhydride copolymer (MAPP). Market pulp fiber dimensions were measured using a L&amp;W Fiber Tester Plus, revealing a mean fiber length was 1.004 mm and a mean fiber width was 19.9 </w:t>
      </w:r>
      <w:proofErr w:type="spellStart"/>
      <w:r w:rsidRPr="0080518D">
        <w:rPr>
          <w:lang w:bidi="en-US"/>
        </w:rPr>
        <w:t>μm</w:t>
      </w:r>
      <w:proofErr w:type="spellEnd"/>
      <w:r w:rsidRPr="0080518D">
        <w:rPr>
          <w:lang w:bidi="en-US"/>
        </w:rPr>
        <w:t>. Market pulp density was estimated to be 1.53 ± 0.05 g/cm</w:t>
      </w:r>
      <w:r w:rsidRPr="0080518D">
        <w:rPr>
          <w:vertAlign w:val="superscript"/>
          <w:lang w:bidi="en-US"/>
        </w:rPr>
        <w:t>3</w:t>
      </w:r>
      <w:r w:rsidRPr="0080518D">
        <w:rPr>
          <w:lang w:bidi="en-US"/>
        </w:rPr>
        <w:t xml:space="preserve"> using a Micromeritics </w:t>
      </w:r>
      <w:proofErr w:type="spellStart"/>
      <w:r w:rsidRPr="0080518D">
        <w:rPr>
          <w:lang w:bidi="en-US"/>
        </w:rPr>
        <w:t>AccuPyc</w:t>
      </w:r>
      <w:proofErr w:type="spellEnd"/>
      <w:r w:rsidRPr="0080518D">
        <w:rPr>
          <w:lang w:bidi="en-US"/>
        </w:rPr>
        <w:t xml:space="preserve"> II 1340 gas pycnometer.  </w:t>
      </w:r>
    </w:p>
    <w:p w14:paraId="382B4C4F" w14:textId="399EB0C4" w:rsidR="0080518D" w:rsidRDefault="0080518D" w:rsidP="0080518D">
      <w:pPr>
        <w:pStyle w:val="Heading2"/>
        <w:rPr>
          <w:lang w:bidi="en-US"/>
        </w:rPr>
      </w:pPr>
      <w:bookmarkStart w:id="56" w:name="_Toc190951807"/>
      <w:r>
        <w:rPr>
          <w:lang w:bidi="en-US"/>
        </w:rPr>
        <w:t>3.3.2 Recyclate Manufacturing</w:t>
      </w:r>
      <w:bookmarkEnd w:id="56"/>
      <w:r>
        <w:rPr>
          <w:lang w:bidi="en-US"/>
        </w:rPr>
        <w:t xml:space="preserve"> </w:t>
      </w:r>
    </w:p>
    <w:p w14:paraId="5A29C006" w14:textId="2F3C7D6F" w:rsidR="0080518D" w:rsidRPr="0080518D" w:rsidRDefault="0080518D" w:rsidP="0080518D">
      <w:pPr>
        <w:rPr>
          <w:lang w:bidi="en-US"/>
        </w:rPr>
      </w:pPr>
      <w:r w:rsidRPr="0080518D">
        <w:rPr>
          <w:lang w:bidi="en-US"/>
        </w:rPr>
        <w:t xml:space="preserve">Recyclate was prepared for injection molding in such a way as to mimic an industrial process, aiming to achieve representative material properties. Composite laminates were produced from 60 wt.% market and 40 wt.% polypropylene fiber using the method described in our previous work </w:t>
      </w:r>
      <w:r w:rsidRPr="0080518D">
        <w:rPr>
          <w:lang w:bidi="en-US"/>
        </w:rPr>
        <w:fldChar w:fldCharType="begin"/>
      </w:r>
      <w:r w:rsidR="009D7D66">
        <w:rPr>
          <w:lang w:bidi="en-US"/>
        </w:rPr>
        <w:instrText xml:space="preserve"> ADDIN ZOTERO_ITEM CSL_CITATION {"citationID":"VqcgaDts","properties":{"formattedCitation":"[116]","plainCitation":"[116]","noteIndex":0},"citationItems":[{"id":"GrEn1h2x/DxoUY9Te","uris":["http://zotero.org/users/local/atKPBTT7/items/H9YKJM25"],"itemData":{"id":83,"type":"article-journal","container-title":"Composites Part A: Applied Science and Manufacturing","DOI":"10.1016/j.compositesa.2024.108339","ISSN":"1359835X","journalAbbreviation":"Composites Part A: Applied Science and Manufacturing","language":"en","page":"108339","source":"DOI.org (Crossref)","title":"Paper fiber-reinforced polypropylene composites from nonwoven preforms: A study on compression molding optimization from a manufacturing perspective","title-short":"Paper fiber-reinforced polypropylene composites from nonwoven preforms","volume":"185","author":[{"family":"Grubb","given":"Cecile A."},{"family":"Keffer","given":"David J."},{"family":"Webb","given":"Christopher D."},{"family":"Kardos","given":"Marton"},{"family":"Mainka","given":"Hendrik"},{"family":"Harper","given":"David P."}],"issued":{"date-parts":[["2024",10]]}}}],"schema":"https://github.com/citation-style-language/schema/raw/master/csl-citation.json"} </w:instrText>
      </w:r>
      <w:r w:rsidRPr="0080518D">
        <w:rPr>
          <w:lang w:bidi="en-US"/>
        </w:rPr>
        <w:fldChar w:fldCharType="separate"/>
      </w:r>
      <w:r w:rsidRPr="0080518D">
        <w:rPr>
          <w:lang w:bidi="en-US"/>
        </w:rPr>
        <w:t>[116]</w:t>
      </w:r>
      <w:r w:rsidRPr="0080518D">
        <w:rPr>
          <w:lang w:bidi="en-US"/>
        </w:rPr>
        <w:fldChar w:fldCharType="end"/>
      </w:r>
      <w:r w:rsidRPr="0080518D">
        <w:rPr>
          <w:lang w:bidi="en-US"/>
        </w:rPr>
        <w:t>. These laminates are meant to represent the virgin composite that would be used in automotive interior applications such as door panels, dashboards, or interior trim parts. Following compression molding, the laminates were shredded into flakes using Conair-</w:t>
      </w:r>
      <w:proofErr w:type="spellStart"/>
      <w:r w:rsidRPr="0080518D">
        <w:rPr>
          <w:lang w:bidi="en-US"/>
        </w:rPr>
        <w:t>Wortex</w:t>
      </w:r>
      <w:proofErr w:type="spellEnd"/>
      <w:r w:rsidRPr="0080518D">
        <w:rPr>
          <w:lang w:bidi="en-US"/>
        </w:rPr>
        <w:t xml:space="preserve"> granulator (model number: 933001). The flake was further size reduced using Thomas Model 4 Wiley Mill to obtain a low bulk density granulate.  </w:t>
      </w:r>
    </w:p>
    <w:p w14:paraId="0EB881BF" w14:textId="77777777" w:rsidR="0080518D" w:rsidRPr="0080518D" w:rsidRDefault="0080518D" w:rsidP="0080518D">
      <w:pPr>
        <w:rPr>
          <w:lang w:bidi="en-US"/>
        </w:rPr>
      </w:pPr>
      <w:r w:rsidRPr="0080518D">
        <w:rPr>
          <w:lang w:bidi="en-US"/>
        </w:rPr>
        <w:lastRenderedPageBreak/>
        <w:t xml:space="preserve"> </w:t>
      </w:r>
      <w:r w:rsidRPr="0080518D">
        <w:rPr>
          <w:lang w:bidi="en-US"/>
        </w:rPr>
        <w:tab/>
        <w:t xml:space="preserve">MAPP was included in the formulation to improve compatibility between the paper fibers and polypropylene matrix. Therefore, the paper composite granulate was manually blended with PP pellets and MAPP pastilles to achieve a final mixture with a composition of 4.7 wt.% MAPP, 28.6 wt.% market pulp fiber, and 66.7 wt.% polypropylene (nominally 30% paper fiber/70% PP). This mixture was compounded in a 27 mm </w:t>
      </w:r>
      <w:proofErr w:type="spellStart"/>
      <w:r w:rsidRPr="0080518D">
        <w:rPr>
          <w:lang w:bidi="en-US"/>
        </w:rPr>
        <w:t>Leistriz</w:t>
      </w:r>
      <w:proofErr w:type="spellEnd"/>
      <w:r w:rsidRPr="0080518D">
        <w:rPr>
          <w:lang w:bidi="en-US"/>
        </w:rPr>
        <w:t xml:space="preserve"> twin screw extruder and pelletized using a BT 25 Lab Series Pelletizer for use in the injection molding stage of this study. An overview of the recycling process is shown in </w:t>
      </w:r>
      <w:r w:rsidRPr="0080518D">
        <w:rPr>
          <w:b/>
          <w:bCs/>
          <w:lang w:bidi="en-US"/>
        </w:rPr>
        <w:t>Figure 3.1</w:t>
      </w:r>
      <w:r w:rsidRPr="0080518D">
        <w:rPr>
          <w:lang w:bidi="en-US"/>
        </w:rPr>
        <w:t xml:space="preserve"> and the extrusion processing parameters are shown in </w:t>
      </w:r>
      <w:r w:rsidRPr="0080518D">
        <w:rPr>
          <w:b/>
          <w:bCs/>
          <w:lang w:bidi="en-US"/>
        </w:rPr>
        <w:t>Table 3.8</w:t>
      </w:r>
      <w:r w:rsidRPr="0080518D">
        <w:rPr>
          <w:lang w:bidi="en-US"/>
        </w:rPr>
        <w:t xml:space="preserve">.  </w:t>
      </w:r>
    </w:p>
    <w:p w14:paraId="57562E83" w14:textId="468D0EEB" w:rsidR="0080518D" w:rsidRPr="0080518D" w:rsidRDefault="0080518D" w:rsidP="0080518D">
      <w:pPr>
        <w:rPr>
          <w:b/>
          <w:lang w:bidi="en-US"/>
        </w:rPr>
      </w:pPr>
      <w:r w:rsidRPr="0080518D">
        <w:rPr>
          <w:lang w:bidi="en-US"/>
        </w:rPr>
        <w:t xml:space="preserve"> </w:t>
      </w:r>
      <w:r w:rsidRPr="0080518D">
        <w:rPr>
          <w:lang w:bidi="en-US"/>
        </w:rPr>
        <w:tab/>
        <w:t xml:space="preserve">Specimens were injection molded using a custom three-cavity mold designed to produce flexural, tensile, and rheology test specimens. A 28-ton Arburg Allrounder machine, equipped with a hot-air desiccant dryer and a mold heating/cooling device, was employed for the injection molding process. Injection rate and temperature were varied as shown in </w:t>
      </w:r>
      <w:r w:rsidRPr="0080518D">
        <w:rPr>
          <w:b/>
          <w:bCs/>
          <w:lang w:bidi="en-US"/>
        </w:rPr>
        <w:t>Table 3.9</w:t>
      </w:r>
      <w:r w:rsidRPr="0080518D">
        <w:rPr>
          <w:lang w:bidi="en-US"/>
        </w:rPr>
        <w:t xml:space="preserve">, while all other processing parameters were kept constant. Specifically, the injection pressure was set at 86.2 MPa (12,500 psi), the shot size at 19.7 cm³ (1.2 in³), the packing pressure at 75.8 MPa (11,000 psi), the packing time at 0.5 seconds, the holding pressure at 55.2 MPa (8,000 psi), the holding time at 10 seconds, the cooling time at 15 seconds, and the mold temperature at 35 °C (95 °F). In this study, the term "injection temperature" refers to the barrel temperature at the nozzle. Detailed barrel temperature profiles can be found in the appendix in </w:t>
      </w:r>
      <w:r w:rsidRPr="0080518D">
        <w:rPr>
          <w:b/>
          <w:bCs/>
          <w:highlight w:val="yellow"/>
          <w:lang w:bidi="en-US"/>
        </w:rPr>
        <w:t>Table XXX</w:t>
      </w:r>
      <w:r w:rsidRPr="0080518D">
        <w:rPr>
          <w:b/>
          <w:bCs/>
          <w:lang w:bidi="en-US"/>
        </w:rPr>
        <w:t>.</w:t>
      </w:r>
      <w:r w:rsidRPr="0080518D">
        <w:rPr>
          <w:lang w:bidi="en-US"/>
        </w:rPr>
        <w:t xml:space="preserve"> Injection rate and temperature were selected as the main focus of this study due to the well-documented shear and temperature sensitivity of natural fibers and their associated composites </w:t>
      </w:r>
      <w:r w:rsidRPr="0080518D">
        <w:rPr>
          <w:lang w:bidi="en-US"/>
        </w:rPr>
        <w:fldChar w:fldCharType="begin"/>
      </w:r>
      <w:r w:rsidRPr="0080518D">
        <w:rPr>
          <w:lang w:bidi="en-US"/>
        </w:rPr>
        <w:instrText xml:space="preserve"> ADDIN ZOTERO_ITEM CSL_CITATION {"citationID":"qAjh20bN","properties":{"formattedCitation":"[117\\uc0\\u8211{}120]","plainCitation":"[117–120]","noteIndex":0},"citationItems":[{"id":1896,"uris":["http://zotero.org/users/3415649/items/JZGFDBEX"],"itemData":{"id":1896,"type":"article-journal","container-title":"Composites Part A: Applied Science and Manufacturing","DOI":"10.1016/j.compositesa.2011.04.012","ISSN":"1359835X","issue":"9","journalAbbreviation":"Composites Part A: Applied Science and Manufacturing","language":"en","license":"https://www.elsevier.com/tdm/userlicense/1.0/","page":"1075-1083","source":"DOI.org (Crossref)","title":"Rheological behavior of original and recycled cellulose–polyolefin composite materials","volume":"42","author":[{"family":"González-Sánchez","given":"C."},{"family":"Fonseca-Valero","given":"C."},{"family":"Ochoa-Mendoza","given":"A."},{"family":"Garriga-Meco","given":"A."},{"family":"Rodríguez-Hurtado","given":"E."}],"issued":{"date-parts":[["2011",9]]}}},{"id":1897,"uris":["http://zotero.org/users/3415649/items/HENGTS5G"],"itemData":{"id":1897,"type":"article-journal","abstract":"Abstract\n            \n              The present paper summarizes an experimental study on the molten viscoelastic behavior of HDPE/sisal composites under steady and dynamic mode. Variations of the melt viscosity and die swell of the composites with an increase in shear rate, fiber loading, and coupling agent concentration have been investigated using capillary rheometer. The shear rate\n              γ\n              at the wall was calculated using Rabinowitsch correction applied to the apparent shear rate values. It was observed that the melt viscosity of the composites increased with the addition of fibers and maleic anhydride‐grafted PE (MAPE). Die swell of HDPE also decreased with the addition of sisal fibers and MAPE. Further, the dynamic viscoelastic behavior of the composites was measured employing parallel plate rheometer. Time–temperature superposition was applied to generate various viscoelastic master curves. Temperature sweeps were also carried out to study the flow activation energy determined from Arrhenius equation. The fiber–matrix morphology of the extrudates was also examined using scanning electron microscopy. POLYM. ENG. SCI., 47:1634–1642, 2007. © 2007 Society of Plastics Engineers","container-title":"Polymer Engineering &amp; Science","DOI":"10.1002/pen.20847","ISSN":"0032-3888, 1548-2634","issue":"10","journalAbbreviation":"Polymer Engineering &amp; Sci","language":"en","license":"http://onlinelibrary.wiley.com/termsAndConditions#vor","page":"1634-1642","source":"DOI.org (Crossref)","title":"Rheological characterization of HDPE/sisal fiber composites","volume":"47","author":[{"family":"Mohanty","given":"Smita"},{"family":"Nayak","given":"Sanjay K."}],"issued":{"date-parts":[["2007",10]]}}},{"id":1899,"uris":["http://zotero.org/users/3415649/items/8NRCJVR6"],"itemData":{"id":1899,"type":"article-journal","abstract":"An extended dynamic and capillary rheological study of molten flax and sisal polypropylene (PP) composites was performed. Fiber concentration varied from 20 to 50 wt% and shear rate from 0.1 rad s\n              −1\n              to 10,000 s\n              #142;−1\n              . Maleic anhydride‐grafted‐PP was used as compatibilizer; it strongly reduces PP and composite viscosity. Composites are yield‐stress shear‐thinning fluids with solid‐like behavior being more pronounced at high fiber content. Composites do not obey Cox–Merz rule, which was explained by different macrostructures of the molten composites in parallel plates and capillary die geometries: random fiber orientation versus strong alignment in the flow direction, respectively. Theories describing the viscosity of suspensions of solid particles were applied to the composites studied and rheological parameters and maximal packing fiber volume fraction were calculated. POLYM. ENG. SCI., 53:2582–2593, 2013. ©2013 Society of Plastics Engineers.","container-title":"Polymer Engineering &amp; Science","DOI":"10.1002/pen.23521","ISSN":"0032-3888, 1548-2634","issue":"12","journalAbbreviation":"Polymer Engineering &amp; Sci","language":"en","license":"http://onlinelibrary.wiley.com/termsAndConditions#vor","page":"2582-2593","source":"DOI.org (Crossref)","title":"Dynamic and capillary shear rheology of natural fiber‐reinforced composites","volume":"53","author":[{"family":"Le Moigne","given":"Nicolas"},{"family":"Van Den Oever","given":"Martien"},{"family":"Budtova","given":"Tatiana"}],"issued":{"date-parts":[["2013",12]]}}},{"id":1901,"uris":["http://zotero.org/users/3415649/items/Z8ZXSZTE"],"itemData":{"id":1901,"type":"article-journal","abstract":"The relationship between structure and properties of high-density polyethylene (HDPE) filled with wood particles and processing techniques—injection molding, compression molding, and extrusion—was investigated. Wood particles were hammer-milled, sieved, and compounded into pellets at 35% by weight with HDPE using a twin-screw extruder. Coupling agent (ethylene-maleic anhydride copolymer) was added at 2% by wood filler weight. The pellets were used to produce test samples using the three processing techniques. The sensitivity of jack pine and several other wood particles (eastern white cedar, black spruce, and jack pine bark) to composite processing was analyzed. Bark particles showed higher propensity to generate fines than wood particles, possibly because of a higher thermal sensitivity. The major reduction in mean particle length was found to occur in the compounding process. Extrusion and injection molding contributed to particle length reduction to a lesser extent. Conversely, compression molding did not cause significant damage to wood particles. Stiffness and strength increased linearly with weight-averaged length.","container-title":"WOOD AND FIBER SCIENCE","language":"en","source":"Zotero","title":"Effects of Composite Processing Methods on Wood Particle Development and Length Distribution: Consequences on Mechanical Properties of Wood–Thermoplastic Com-posites","volume":"42","author":[{"family":"Bouafif","given":"Hassine"},{"family":"Koubaa","given":"Ahmed"},{"family":"Perre","given":"Patrick"},{"family":"Cloutier","given":"Alain"}],"issued":{"date-parts":[["2010"]]}}}],"schema":"https://github.com/citation-style-language/schema/raw/master/csl-citation.json"} </w:instrText>
      </w:r>
      <w:r w:rsidRPr="0080518D">
        <w:rPr>
          <w:lang w:bidi="en-US"/>
        </w:rPr>
        <w:fldChar w:fldCharType="separate"/>
      </w:r>
      <w:r w:rsidRPr="0080518D">
        <w:rPr>
          <w:lang w:bidi="en-US"/>
        </w:rPr>
        <w:t>[117–120]</w:t>
      </w:r>
      <w:r w:rsidRPr="0080518D">
        <w:rPr>
          <w:lang w:bidi="en-US"/>
        </w:rPr>
        <w:fldChar w:fldCharType="end"/>
      </w:r>
      <w:r w:rsidRPr="0080518D">
        <w:rPr>
          <w:lang w:bidi="en-US"/>
        </w:rPr>
        <w:t xml:space="preserve">. </w:t>
      </w:r>
    </w:p>
    <w:p w14:paraId="074E1935" w14:textId="030F4918" w:rsidR="0080518D" w:rsidRDefault="0080518D" w:rsidP="0080518D">
      <w:pPr>
        <w:pStyle w:val="Heading2"/>
        <w:rPr>
          <w:lang w:bidi="en-US"/>
        </w:rPr>
      </w:pPr>
      <w:bookmarkStart w:id="57" w:name="_Toc190951808"/>
      <w:r>
        <w:rPr>
          <w:lang w:bidi="en-US"/>
        </w:rPr>
        <w:t>3.3.4 Differential Scanning Calorimetry</w:t>
      </w:r>
      <w:bookmarkEnd w:id="57"/>
      <w:r>
        <w:rPr>
          <w:lang w:bidi="en-US"/>
        </w:rPr>
        <w:t xml:space="preserve"> </w:t>
      </w:r>
    </w:p>
    <w:p w14:paraId="7F7D0A85" w14:textId="77777777" w:rsidR="008B73EF" w:rsidRDefault="0080518D" w:rsidP="0080518D">
      <w:pPr>
        <w:rPr>
          <w:lang w:bidi="en-US"/>
        </w:rPr>
      </w:pPr>
      <w:r w:rsidRPr="0080518D">
        <w:rPr>
          <w:lang w:bidi="en-US"/>
        </w:rPr>
        <w:t>Differential scanning calorimetry was performed using a TA Q2000 to study the thermal behavior of the injection molded samples. Samples (5-10 mg) were cut from the injection molding runner system of the injection molded parts and subjected to a heating cycle from room temperature to 205 °C, followed by cooling to -25 °C, and a final heating cycle to 250 °C. All temperature scans were conducted at a rate of 5 °C/min under a nitrogen (N</w:t>
      </w:r>
      <w:r w:rsidRPr="0080518D">
        <w:rPr>
          <w:vertAlign w:val="subscript"/>
          <w:lang w:bidi="en-US"/>
        </w:rPr>
        <w:t>2</w:t>
      </w:r>
      <w:r w:rsidRPr="0080518D">
        <w:rPr>
          <w:lang w:bidi="en-US"/>
        </w:rPr>
        <w:t>) atmosphere. The DSC data was analyzed to obtain melt temperatures (</w:t>
      </w:r>
      <w:proofErr w:type="spellStart"/>
      <w:r w:rsidRPr="0080518D">
        <w:rPr>
          <w:lang w:bidi="en-US"/>
        </w:rPr>
        <w:t>ΔT</w:t>
      </w:r>
      <w:r w:rsidRPr="0080518D">
        <w:rPr>
          <w:vertAlign w:val="subscript"/>
          <w:lang w:bidi="en-US"/>
        </w:rPr>
        <w:t>m</w:t>
      </w:r>
      <w:proofErr w:type="spellEnd"/>
      <w:r w:rsidRPr="0080518D">
        <w:rPr>
          <w:lang w:bidi="en-US"/>
        </w:rPr>
        <w:t>) and enthalpies (</w:t>
      </w:r>
      <w:proofErr w:type="spellStart"/>
      <w:r w:rsidRPr="0080518D">
        <w:rPr>
          <w:lang w:bidi="en-US"/>
        </w:rPr>
        <w:t>ΔH</w:t>
      </w:r>
      <w:r w:rsidRPr="0080518D">
        <w:rPr>
          <w:vertAlign w:val="subscript"/>
          <w:lang w:bidi="en-US"/>
        </w:rPr>
        <w:t>m</w:t>
      </w:r>
      <w:proofErr w:type="spellEnd"/>
      <w:r w:rsidRPr="0080518D">
        <w:rPr>
          <w:lang w:bidi="en-US"/>
        </w:rPr>
        <w:t xml:space="preserve">) reported for both heating cycles, and crystallization temperatures </w:t>
      </w:r>
    </w:p>
    <w:p w14:paraId="29B8AC0B" w14:textId="77777777" w:rsidR="008B73EF" w:rsidRDefault="008B73EF" w:rsidP="008B73EF">
      <w:pPr>
        <w:pStyle w:val="TableHeading"/>
        <w:rPr>
          <w:b w:val="0"/>
          <w:bCs w:val="0"/>
          <w:lang w:bidi="en-US"/>
        </w:rPr>
      </w:pPr>
      <w:r>
        <w:rPr>
          <w:lang w:bidi="en-US"/>
        </w:rPr>
        <w:lastRenderedPageBreak/>
        <w:t>Table 3.8</w:t>
      </w:r>
      <w:r w:rsidRPr="008B73EF">
        <w:rPr>
          <w:rFonts w:ascii="Palatino Linotype" w:eastAsia="SimSun" w:hAnsi="Palatino Linotype"/>
          <w:b w:val="0"/>
          <w:bCs w:val="0"/>
          <w:color w:val="000000"/>
          <w:sz w:val="20"/>
          <w:szCs w:val="20"/>
          <w:lang w:eastAsia="zh-CN"/>
        </w:rPr>
        <w:t xml:space="preserve"> </w:t>
      </w:r>
      <w:r w:rsidRPr="008B73EF">
        <w:rPr>
          <w:b w:val="0"/>
          <w:bCs w:val="0"/>
          <w:lang w:bidi="en-US"/>
        </w:rPr>
        <w:t>Extruder processing parameters used for compounding of paper composite granulate with MAPP and PP.</w:t>
      </w:r>
    </w:p>
    <w:tbl>
      <w:tblPr>
        <w:tblStyle w:val="TableGrid"/>
        <w:tblW w:w="5000" w:type="pct"/>
        <w:jc w:val="center"/>
        <w:tblLook w:val="04A0" w:firstRow="1" w:lastRow="0" w:firstColumn="1" w:lastColumn="0" w:noHBand="0" w:noVBand="1"/>
      </w:tblPr>
      <w:tblGrid>
        <w:gridCol w:w="669"/>
        <w:gridCol w:w="669"/>
        <w:gridCol w:w="669"/>
        <w:gridCol w:w="669"/>
        <w:gridCol w:w="669"/>
        <w:gridCol w:w="669"/>
        <w:gridCol w:w="669"/>
        <w:gridCol w:w="669"/>
        <w:gridCol w:w="669"/>
        <w:gridCol w:w="669"/>
        <w:gridCol w:w="876"/>
        <w:gridCol w:w="1064"/>
      </w:tblGrid>
      <w:tr w:rsidR="008B73EF" w:rsidRPr="008B73EF" w14:paraId="0972C4D0" w14:textId="77777777" w:rsidTr="008B73EF">
        <w:trPr>
          <w:jc w:val="center"/>
        </w:trPr>
        <w:tc>
          <w:tcPr>
            <w:tcW w:w="3719" w:type="pct"/>
            <w:gridSpan w:val="10"/>
            <w:tcBorders>
              <w:top w:val="single" w:sz="4" w:space="0" w:color="auto"/>
            </w:tcBorders>
          </w:tcPr>
          <w:p w14:paraId="2CACE549"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Extruder Temperature Profile (°C)</w:t>
            </w:r>
          </w:p>
        </w:tc>
        <w:tc>
          <w:tcPr>
            <w:tcW w:w="1281" w:type="pct"/>
            <w:gridSpan w:val="2"/>
            <w:tcBorders>
              <w:top w:val="single" w:sz="4" w:space="0" w:color="auto"/>
            </w:tcBorders>
          </w:tcPr>
          <w:p w14:paraId="7FE4D956"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Other Information</w:t>
            </w:r>
          </w:p>
        </w:tc>
      </w:tr>
      <w:tr w:rsidR="008B73EF" w:rsidRPr="008B73EF" w14:paraId="67EBA190" w14:textId="77777777" w:rsidTr="008B73EF">
        <w:trPr>
          <w:jc w:val="center"/>
        </w:trPr>
        <w:tc>
          <w:tcPr>
            <w:tcW w:w="370" w:type="pct"/>
          </w:tcPr>
          <w:p w14:paraId="12F509C0"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1</w:t>
            </w:r>
          </w:p>
        </w:tc>
        <w:tc>
          <w:tcPr>
            <w:tcW w:w="370" w:type="pct"/>
          </w:tcPr>
          <w:p w14:paraId="5D83C857"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2</w:t>
            </w:r>
          </w:p>
        </w:tc>
        <w:tc>
          <w:tcPr>
            <w:tcW w:w="370" w:type="pct"/>
          </w:tcPr>
          <w:p w14:paraId="23A99749"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3</w:t>
            </w:r>
          </w:p>
        </w:tc>
        <w:tc>
          <w:tcPr>
            <w:tcW w:w="370" w:type="pct"/>
          </w:tcPr>
          <w:p w14:paraId="3C1D91A7"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4</w:t>
            </w:r>
          </w:p>
        </w:tc>
        <w:tc>
          <w:tcPr>
            <w:tcW w:w="370" w:type="pct"/>
          </w:tcPr>
          <w:p w14:paraId="55698E1B"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5</w:t>
            </w:r>
          </w:p>
        </w:tc>
        <w:tc>
          <w:tcPr>
            <w:tcW w:w="370" w:type="pct"/>
          </w:tcPr>
          <w:p w14:paraId="4D7D84DD"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6</w:t>
            </w:r>
          </w:p>
        </w:tc>
        <w:tc>
          <w:tcPr>
            <w:tcW w:w="370" w:type="pct"/>
          </w:tcPr>
          <w:p w14:paraId="635EF111"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7</w:t>
            </w:r>
          </w:p>
        </w:tc>
        <w:tc>
          <w:tcPr>
            <w:tcW w:w="370" w:type="pct"/>
          </w:tcPr>
          <w:p w14:paraId="4C5310C3"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8</w:t>
            </w:r>
          </w:p>
        </w:tc>
        <w:tc>
          <w:tcPr>
            <w:tcW w:w="370" w:type="pct"/>
          </w:tcPr>
          <w:p w14:paraId="29B6DEC9"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9</w:t>
            </w:r>
          </w:p>
        </w:tc>
        <w:tc>
          <w:tcPr>
            <w:tcW w:w="390" w:type="pct"/>
          </w:tcPr>
          <w:p w14:paraId="678D859B"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Zone 10</w:t>
            </w:r>
          </w:p>
        </w:tc>
        <w:tc>
          <w:tcPr>
            <w:tcW w:w="582" w:type="pct"/>
          </w:tcPr>
          <w:p w14:paraId="3B4B7B2D"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Feed Rate (g/min)</w:t>
            </w:r>
          </w:p>
        </w:tc>
        <w:tc>
          <w:tcPr>
            <w:tcW w:w="699" w:type="pct"/>
          </w:tcPr>
          <w:p w14:paraId="59C14E74"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Screw Speed</w:t>
            </w:r>
            <w:r w:rsidRPr="008B73EF">
              <w:rPr>
                <w:b w:val="0"/>
                <w:bCs w:val="0"/>
                <w:sz w:val="22"/>
                <w:szCs w:val="22"/>
                <w:lang w:bidi="en-US"/>
              </w:rPr>
              <w:br/>
              <w:t>(RPM)</w:t>
            </w:r>
          </w:p>
        </w:tc>
      </w:tr>
      <w:tr w:rsidR="008B73EF" w:rsidRPr="008B73EF" w14:paraId="1A1C9B3C" w14:textId="77777777" w:rsidTr="008B73EF">
        <w:trPr>
          <w:jc w:val="center"/>
        </w:trPr>
        <w:tc>
          <w:tcPr>
            <w:tcW w:w="370" w:type="pct"/>
          </w:tcPr>
          <w:p w14:paraId="55A200F4"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50</w:t>
            </w:r>
          </w:p>
        </w:tc>
        <w:tc>
          <w:tcPr>
            <w:tcW w:w="370" w:type="pct"/>
          </w:tcPr>
          <w:p w14:paraId="430B8335"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80</w:t>
            </w:r>
          </w:p>
        </w:tc>
        <w:tc>
          <w:tcPr>
            <w:tcW w:w="370" w:type="pct"/>
          </w:tcPr>
          <w:p w14:paraId="2BB557AE"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90</w:t>
            </w:r>
          </w:p>
        </w:tc>
        <w:tc>
          <w:tcPr>
            <w:tcW w:w="370" w:type="pct"/>
          </w:tcPr>
          <w:p w14:paraId="66F1765D"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100</w:t>
            </w:r>
          </w:p>
        </w:tc>
        <w:tc>
          <w:tcPr>
            <w:tcW w:w="370" w:type="pct"/>
          </w:tcPr>
          <w:p w14:paraId="5856CAEA"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100</w:t>
            </w:r>
          </w:p>
        </w:tc>
        <w:tc>
          <w:tcPr>
            <w:tcW w:w="370" w:type="pct"/>
          </w:tcPr>
          <w:p w14:paraId="14B359E3"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200</w:t>
            </w:r>
          </w:p>
        </w:tc>
        <w:tc>
          <w:tcPr>
            <w:tcW w:w="370" w:type="pct"/>
          </w:tcPr>
          <w:p w14:paraId="3F8C1C00"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210</w:t>
            </w:r>
          </w:p>
        </w:tc>
        <w:tc>
          <w:tcPr>
            <w:tcW w:w="370" w:type="pct"/>
          </w:tcPr>
          <w:p w14:paraId="7D1B113A"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210</w:t>
            </w:r>
          </w:p>
        </w:tc>
        <w:tc>
          <w:tcPr>
            <w:tcW w:w="370" w:type="pct"/>
          </w:tcPr>
          <w:p w14:paraId="1270C71F"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210</w:t>
            </w:r>
          </w:p>
        </w:tc>
        <w:tc>
          <w:tcPr>
            <w:tcW w:w="390" w:type="pct"/>
          </w:tcPr>
          <w:p w14:paraId="0B93BD37"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200</w:t>
            </w:r>
          </w:p>
        </w:tc>
        <w:tc>
          <w:tcPr>
            <w:tcW w:w="582" w:type="pct"/>
          </w:tcPr>
          <w:p w14:paraId="3DCEAF5D"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20</w:t>
            </w:r>
          </w:p>
        </w:tc>
        <w:tc>
          <w:tcPr>
            <w:tcW w:w="699" w:type="pct"/>
          </w:tcPr>
          <w:p w14:paraId="3D2A4818" w14:textId="77777777" w:rsidR="008B73EF" w:rsidRPr="008B73EF" w:rsidRDefault="008B73EF" w:rsidP="008F4101">
            <w:pPr>
              <w:pStyle w:val="TableHeading"/>
              <w:jc w:val="center"/>
              <w:rPr>
                <w:b w:val="0"/>
                <w:bCs w:val="0"/>
                <w:sz w:val="22"/>
                <w:szCs w:val="22"/>
                <w:lang w:bidi="en-US"/>
              </w:rPr>
            </w:pPr>
            <w:r w:rsidRPr="008B73EF">
              <w:rPr>
                <w:b w:val="0"/>
                <w:bCs w:val="0"/>
                <w:sz w:val="22"/>
                <w:szCs w:val="22"/>
                <w:lang w:bidi="en-US"/>
              </w:rPr>
              <w:t>150</w:t>
            </w:r>
          </w:p>
        </w:tc>
      </w:tr>
    </w:tbl>
    <w:p w14:paraId="6C57BC68" w14:textId="77777777" w:rsidR="008B73EF" w:rsidRDefault="008B73EF" w:rsidP="008B73EF">
      <w:pPr>
        <w:pStyle w:val="TableHeading"/>
        <w:rPr>
          <w:lang w:bidi="en-US"/>
        </w:rPr>
      </w:pPr>
    </w:p>
    <w:p w14:paraId="5466A36E" w14:textId="77777777" w:rsidR="008B73EF" w:rsidRDefault="008B73EF" w:rsidP="008B73EF">
      <w:pPr>
        <w:pStyle w:val="TableHeading"/>
        <w:rPr>
          <w:b w:val="0"/>
          <w:bCs w:val="0"/>
          <w:lang w:bidi="en-US"/>
        </w:rPr>
      </w:pPr>
      <w:r>
        <w:rPr>
          <w:lang w:bidi="en-US"/>
        </w:rPr>
        <w:t>Table 3.9</w:t>
      </w:r>
      <w:r w:rsidRPr="008B73EF">
        <w:rPr>
          <w:rFonts w:ascii="Palatino Linotype" w:eastAsia="SimSun" w:hAnsi="Palatino Linotype"/>
          <w:b w:val="0"/>
          <w:bCs w:val="0"/>
          <w:color w:val="000000"/>
          <w:sz w:val="20"/>
          <w:szCs w:val="20"/>
          <w:lang w:eastAsia="zh-CN"/>
        </w:rPr>
        <w:t xml:space="preserve"> </w:t>
      </w:r>
      <w:r w:rsidRPr="008B73EF">
        <w:rPr>
          <w:b w:val="0"/>
          <w:bCs w:val="0"/>
          <w:lang w:bidi="en-US"/>
        </w:rPr>
        <w:t>Experimental conditions for different injection temperature and speed. Each set name represents a combination of injection temperature (°C) and injection rate (in³/s).</w:t>
      </w:r>
    </w:p>
    <w:tbl>
      <w:tblPr>
        <w:tblpPr w:leftFromText="180" w:rightFromText="180" w:vertAnchor="text" w:horzAnchor="margin" w:tblpY="23"/>
        <w:tblOverlap w:val="never"/>
        <w:tblW w:w="5000" w:type="pct"/>
        <w:tblLook w:val="04A0" w:firstRow="1" w:lastRow="0" w:firstColumn="1" w:lastColumn="0" w:noHBand="0" w:noVBand="1"/>
      </w:tblPr>
      <w:tblGrid>
        <w:gridCol w:w="1489"/>
        <w:gridCol w:w="3681"/>
        <w:gridCol w:w="3470"/>
      </w:tblGrid>
      <w:tr w:rsidR="008B73EF" w:rsidRPr="008B73EF" w14:paraId="17FF61E9" w14:textId="77777777" w:rsidTr="00585B95">
        <w:trPr>
          <w:trHeight w:val="20"/>
        </w:trPr>
        <w:tc>
          <w:tcPr>
            <w:tcW w:w="862" w:type="pct"/>
            <w:tcBorders>
              <w:top w:val="single" w:sz="4" w:space="0" w:color="auto"/>
              <w:left w:val="nil"/>
              <w:bottom w:val="single" w:sz="4" w:space="0" w:color="auto"/>
              <w:right w:val="nil"/>
            </w:tcBorders>
            <w:vAlign w:val="center"/>
          </w:tcPr>
          <w:p w14:paraId="00989DD0" w14:textId="77777777" w:rsidR="008B73EF" w:rsidRPr="008B73EF" w:rsidRDefault="008B73EF" w:rsidP="00585B95">
            <w:pPr>
              <w:pStyle w:val="TableHeading"/>
              <w:rPr>
                <w:sz w:val="22"/>
                <w:szCs w:val="22"/>
                <w:lang w:bidi="en-US"/>
              </w:rPr>
            </w:pPr>
            <w:r w:rsidRPr="008B73EF">
              <w:rPr>
                <w:sz w:val="22"/>
                <w:szCs w:val="22"/>
                <w:lang w:bidi="en-US"/>
              </w:rPr>
              <w:t>Set Name</w:t>
            </w:r>
          </w:p>
        </w:tc>
        <w:tc>
          <w:tcPr>
            <w:tcW w:w="2130" w:type="pct"/>
            <w:tcBorders>
              <w:top w:val="single" w:sz="4" w:space="0" w:color="auto"/>
              <w:left w:val="nil"/>
              <w:bottom w:val="single" w:sz="4" w:space="0" w:color="auto"/>
              <w:right w:val="nil"/>
            </w:tcBorders>
            <w:vAlign w:val="center"/>
          </w:tcPr>
          <w:p w14:paraId="79EAE8C9" w14:textId="77777777" w:rsidR="008B73EF" w:rsidRPr="008B73EF" w:rsidRDefault="008B73EF" w:rsidP="00585B95">
            <w:pPr>
              <w:pStyle w:val="TableHeading"/>
              <w:rPr>
                <w:sz w:val="22"/>
                <w:szCs w:val="22"/>
                <w:lang w:bidi="en-US"/>
              </w:rPr>
            </w:pPr>
            <w:r w:rsidRPr="008B73EF">
              <w:rPr>
                <w:sz w:val="22"/>
                <w:szCs w:val="22"/>
                <w:lang w:bidi="en-US"/>
              </w:rPr>
              <w:t>Injection Temperature (°C)</w:t>
            </w:r>
          </w:p>
        </w:tc>
        <w:tc>
          <w:tcPr>
            <w:tcW w:w="2008" w:type="pct"/>
            <w:tcBorders>
              <w:top w:val="single" w:sz="4" w:space="0" w:color="auto"/>
              <w:left w:val="nil"/>
              <w:bottom w:val="single" w:sz="4" w:space="0" w:color="auto"/>
              <w:right w:val="nil"/>
            </w:tcBorders>
            <w:vAlign w:val="center"/>
          </w:tcPr>
          <w:p w14:paraId="1CCA4D2C" w14:textId="581E170E" w:rsidR="008B73EF" w:rsidRPr="008B73EF" w:rsidRDefault="008B73EF" w:rsidP="00585B95">
            <w:pPr>
              <w:pStyle w:val="TableHeading"/>
              <w:rPr>
                <w:b w:val="0"/>
                <w:bCs w:val="0"/>
                <w:sz w:val="22"/>
                <w:szCs w:val="22"/>
                <w:lang w:bidi="en-US"/>
              </w:rPr>
            </w:pPr>
            <w:r w:rsidRPr="008B73EF">
              <w:rPr>
                <w:sz w:val="22"/>
                <w:szCs w:val="22"/>
                <w:lang w:bidi="en-US"/>
              </w:rPr>
              <w:t>Injection Rate (cm</w:t>
            </w:r>
            <w:r w:rsidRPr="008B73EF">
              <w:rPr>
                <w:sz w:val="22"/>
                <w:szCs w:val="22"/>
                <w:vertAlign w:val="superscript"/>
                <w:lang w:bidi="en-US"/>
              </w:rPr>
              <w:t>3</w:t>
            </w:r>
            <w:r w:rsidRPr="008B73EF">
              <w:rPr>
                <w:sz w:val="22"/>
                <w:szCs w:val="22"/>
                <w:lang w:bidi="en-US"/>
              </w:rPr>
              <w:t>/s)</w:t>
            </w:r>
            <w:r w:rsidR="008F4101">
              <w:rPr>
                <w:b w:val="0"/>
                <w:bCs w:val="0"/>
                <w:sz w:val="22"/>
                <w:szCs w:val="22"/>
                <w:lang w:bidi="en-US"/>
              </w:rPr>
              <w:br/>
            </w:r>
            <w:r w:rsidR="008F4101" w:rsidRPr="008B73EF">
              <w:rPr>
                <w:b w:val="0"/>
                <w:bCs w:val="0"/>
                <w:sz w:val="20"/>
                <w:szCs w:val="20"/>
                <w:lang w:bidi="en-US"/>
              </w:rPr>
              <w:t>(in</w:t>
            </w:r>
            <w:r w:rsidR="008F4101" w:rsidRPr="008B73EF">
              <w:rPr>
                <w:b w:val="0"/>
                <w:bCs w:val="0"/>
                <w:sz w:val="20"/>
                <w:szCs w:val="20"/>
                <w:vertAlign w:val="superscript"/>
                <w:lang w:bidi="en-US"/>
              </w:rPr>
              <w:t>3</w:t>
            </w:r>
            <w:r w:rsidR="008F4101" w:rsidRPr="008B73EF">
              <w:rPr>
                <w:b w:val="0"/>
                <w:bCs w:val="0"/>
                <w:sz w:val="20"/>
                <w:szCs w:val="20"/>
                <w:lang w:bidi="en-US"/>
              </w:rPr>
              <w:t>/s given in parentheses)</w:t>
            </w:r>
          </w:p>
        </w:tc>
      </w:tr>
      <w:tr w:rsidR="008B73EF" w:rsidRPr="008B73EF" w14:paraId="72F14D0C" w14:textId="77777777" w:rsidTr="008F4101">
        <w:trPr>
          <w:cantSplit/>
          <w:trHeight w:val="20"/>
        </w:trPr>
        <w:tc>
          <w:tcPr>
            <w:tcW w:w="862" w:type="pct"/>
            <w:tcBorders>
              <w:top w:val="single" w:sz="4" w:space="0" w:color="auto"/>
              <w:left w:val="nil"/>
              <w:bottom w:val="nil"/>
              <w:right w:val="nil"/>
            </w:tcBorders>
            <w:vAlign w:val="center"/>
          </w:tcPr>
          <w:p w14:paraId="3B5BE1B7"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T200-I1</w:t>
            </w:r>
          </w:p>
        </w:tc>
        <w:tc>
          <w:tcPr>
            <w:tcW w:w="2130" w:type="pct"/>
            <w:tcBorders>
              <w:top w:val="single" w:sz="4" w:space="0" w:color="auto"/>
              <w:left w:val="nil"/>
              <w:bottom w:val="nil"/>
              <w:right w:val="nil"/>
            </w:tcBorders>
            <w:vAlign w:val="center"/>
          </w:tcPr>
          <w:p w14:paraId="4EEEFA8D"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200</w:t>
            </w:r>
          </w:p>
        </w:tc>
        <w:tc>
          <w:tcPr>
            <w:tcW w:w="2008" w:type="pct"/>
            <w:tcBorders>
              <w:top w:val="single" w:sz="4" w:space="0" w:color="auto"/>
              <w:left w:val="nil"/>
              <w:bottom w:val="nil"/>
              <w:right w:val="nil"/>
            </w:tcBorders>
            <w:vAlign w:val="center"/>
          </w:tcPr>
          <w:p w14:paraId="410EE198"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16.4 (1)</w:t>
            </w:r>
          </w:p>
        </w:tc>
      </w:tr>
      <w:tr w:rsidR="008B73EF" w:rsidRPr="008B73EF" w14:paraId="53419339" w14:textId="77777777" w:rsidTr="008F4101">
        <w:trPr>
          <w:cantSplit/>
          <w:trHeight w:val="20"/>
        </w:trPr>
        <w:tc>
          <w:tcPr>
            <w:tcW w:w="862" w:type="pct"/>
            <w:tcBorders>
              <w:top w:val="nil"/>
              <w:left w:val="nil"/>
              <w:bottom w:val="nil"/>
              <w:right w:val="nil"/>
            </w:tcBorders>
            <w:vAlign w:val="center"/>
          </w:tcPr>
          <w:p w14:paraId="2E25B47B"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T200-I2</w:t>
            </w:r>
          </w:p>
        </w:tc>
        <w:tc>
          <w:tcPr>
            <w:tcW w:w="2130" w:type="pct"/>
            <w:tcBorders>
              <w:top w:val="nil"/>
              <w:left w:val="nil"/>
              <w:bottom w:val="nil"/>
              <w:right w:val="nil"/>
            </w:tcBorders>
            <w:vAlign w:val="center"/>
          </w:tcPr>
          <w:p w14:paraId="7789948B"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200</w:t>
            </w:r>
          </w:p>
        </w:tc>
        <w:tc>
          <w:tcPr>
            <w:tcW w:w="2008" w:type="pct"/>
            <w:tcBorders>
              <w:top w:val="nil"/>
              <w:left w:val="nil"/>
              <w:bottom w:val="nil"/>
              <w:right w:val="nil"/>
            </w:tcBorders>
            <w:vAlign w:val="center"/>
          </w:tcPr>
          <w:p w14:paraId="74148BB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32.8 (2)</w:t>
            </w:r>
          </w:p>
        </w:tc>
      </w:tr>
      <w:tr w:rsidR="008B73EF" w:rsidRPr="008B73EF" w14:paraId="54AD8ED8" w14:textId="77777777" w:rsidTr="008F4101">
        <w:trPr>
          <w:cantSplit/>
          <w:trHeight w:val="20"/>
        </w:trPr>
        <w:tc>
          <w:tcPr>
            <w:tcW w:w="862" w:type="pct"/>
            <w:tcBorders>
              <w:top w:val="nil"/>
              <w:left w:val="nil"/>
              <w:bottom w:val="nil"/>
              <w:right w:val="nil"/>
            </w:tcBorders>
            <w:vAlign w:val="center"/>
          </w:tcPr>
          <w:p w14:paraId="15B9C927"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T200-I3</w:t>
            </w:r>
          </w:p>
        </w:tc>
        <w:tc>
          <w:tcPr>
            <w:tcW w:w="2130" w:type="pct"/>
            <w:tcBorders>
              <w:top w:val="nil"/>
              <w:left w:val="nil"/>
              <w:bottom w:val="nil"/>
              <w:right w:val="nil"/>
            </w:tcBorders>
            <w:vAlign w:val="center"/>
          </w:tcPr>
          <w:p w14:paraId="13668FA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200</w:t>
            </w:r>
          </w:p>
        </w:tc>
        <w:tc>
          <w:tcPr>
            <w:tcW w:w="2008" w:type="pct"/>
            <w:tcBorders>
              <w:top w:val="nil"/>
              <w:left w:val="nil"/>
              <w:bottom w:val="nil"/>
              <w:right w:val="nil"/>
            </w:tcBorders>
            <w:vAlign w:val="center"/>
          </w:tcPr>
          <w:p w14:paraId="60A27D4B"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49.2 (3)</w:t>
            </w:r>
          </w:p>
        </w:tc>
      </w:tr>
      <w:tr w:rsidR="008B73EF" w:rsidRPr="008B73EF" w14:paraId="4808765A" w14:textId="77777777" w:rsidTr="008F4101">
        <w:trPr>
          <w:cantSplit/>
          <w:trHeight w:val="20"/>
        </w:trPr>
        <w:tc>
          <w:tcPr>
            <w:tcW w:w="862" w:type="pct"/>
            <w:tcBorders>
              <w:top w:val="nil"/>
              <w:left w:val="nil"/>
              <w:bottom w:val="dotted" w:sz="4" w:space="0" w:color="auto"/>
              <w:right w:val="nil"/>
            </w:tcBorders>
            <w:vAlign w:val="center"/>
          </w:tcPr>
          <w:p w14:paraId="214DE430"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T200-I4</w:t>
            </w:r>
          </w:p>
        </w:tc>
        <w:tc>
          <w:tcPr>
            <w:tcW w:w="2130" w:type="pct"/>
            <w:tcBorders>
              <w:top w:val="nil"/>
              <w:left w:val="nil"/>
              <w:bottom w:val="dotted" w:sz="4" w:space="0" w:color="auto"/>
              <w:right w:val="nil"/>
            </w:tcBorders>
            <w:vAlign w:val="center"/>
          </w:tcPr>
          <w:p w14:paraId="4437D89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200</w:t>
            </w:r>
          </w:p>
        </w:tc>
        <w:tc>
          <w:tcPr>
            <w:tcW w:w="2008" w:type="pct"/>
            <w:tcBorders>
              <w:top w:val="nil"/>
              <w:left w:val="nil"/>
              <w:bottom w:val="dotted" w:sz="4" w:space="0" w:color="auto"/>
              <w:right w:val="nil"/>
            </w:tcBorders>
            <w:vAlign w:val="center"/>
          </w:tcPr>
          <w:p w14:paraId="2D7DA3FA"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65.5 (4)</w:t>
            </w:r>
          </w:p>
        </w:tc>
      </w:tr>
      <w:tr w:rsidR="008B73EF" w:rsidRPr="008B73EF" w14:paraId="045DB870" w14:textId="77777777" w:rsidTr="008F4101">
        <w:trPr>
          <w:cantSplit/>
          <w:trHeight w:val="20"/>
        </w:trPr>
        <w:tc>
          <w:tcPr>
            <w:tcW w:w="862" w:type="pct"/>
            <w:tcBorders>
              <w:top w:val="dotted" w:sz="4" w:space="0" w:color="auto"/>
              <w:left w:val="nil"/>
              <w:bottom w:val="nil"/>
              <w:right w:val="nil"/>
            </w:tcBorders>
            <w:vAlign w:val="center"/>
          </w:tcPr>
          <w:p w14:paraId="07B12DF2"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T210-I1</w:t>
            </w:r>
          </w:p>
        </w:tc>
        <w:tc>
          <w:tcPr>
            <w:tcW w:w="2130" w:type="pct"/>
            <w:tcBorders>
              <w:top w:val="dotted" w:sz="4" w:space="0" w:color="auto"/>
              <w:left w:val="nil"/>
              <w:bottom w:val="nil"/>
              <w:right w:val="nil"/>
            </w:tcBorders>
            <w:vAlign w:val="center"/>
          </w:tcPr>
          <w:p w14:paraId="333C48D3"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210</w:t>
            </w:r>
          </w:p>
        </w:tc>
        <w:tc>
          <w:tcPr>
            <w:tcW w:w="2008" w:type="pct"/>
            <w:tcBorders>
              <w:top w:val="dotted" w:sz="4" w:space="0" w:color="auto"/>
              <w:left w:val="nil"/>
              <w:bottom w:val="nil"/>
              <w:right w:val="nil"/>
            </w:tcBorders>
            <w:vAlign w:val="center"/>
          </w:tcPr>
          <w:p w14:paraId="2AC28B10"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16.4 (1)</w:t>
            </w:r>
          </w:p>
        </w:tc>
      </w:tr>
      <w:tr w:rsidR="008B73EF" w:rsidRPr="008B73EF" w14:paraId="12CC526A" w14:textId="77777777" w:rsidTr="008F4101">
        <w:trPr>
          <w:cantSplit/>
          <w:trHeight w:val="20"/>
        </w:trPr>
        <w:tc>
          <w:tcPr>
            <w:tcW w:w="862" w:type="pct"/>
            <w:tcBorders>
              <w:top w:val="nil"/>
              <w:left w:val="nil"/>
              <w:bottom w:val="nil"/>
              <w:right w:val="nil"/>
            </w:tcBorders>
            <w:vAlign w:val="center"/>
          </w:tcPr>
          <w:p w14:paraId="1A794914"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T210-I2</w:t>
            </w:r>
          </w:p>
        </w:tc>
        <w:tc>
          <w:tcPr>
            <w:tcW w:w="2130" w:type="pct"/>
            <w:tcBorders>
              <w:top w:val="nil"/>
              <w:left w:val="nil"/>
              <w:bottom w:val="nil"/>
              <w:right w:val="nil"/>
            </w:tcBorders>
            <w:vAlign w:val="center"/>
          </w:tcPr>
          <w:p w14:paraId="39F53412"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210</w:t>
            </w:r>
          </w:p>
        </w:tc>
        <w:tc>
          <w:tcPr>
            <w:tcW w:w="2008" w:type="pct"/>
            <w:tcBorders>
              <w:top w:val="nil"/>
              <w:left w:val="nil"/>
              <w:bottom w:val="nil"/>
              <w:right w:val="nil"/>
            </w:tcBorders>
            <w:vAlign w:val="center"/>
          </w:tcPr>
          <w:p w14:paraId="0EDB6C09"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32.8 (2)</w:t>
            </w:r>
          </w:p>
        </w:tc>
      </w:tr>
      <w:tr w:rsidR="008B73EF" w:rsidRPr="008B73EF" w14:paraId="60CD124E" w14:textId="77777777" w:rsidTr="008F4101">
        <w:trPr>
          <w:cantSplit/>
          <w:trHeight w:val="20"/>
        </w:trPr>
        <w:tc>
          <w:tcPr>
            <w:tcW w:w="862" w:type="pct"/>
            <w:tcBorders>
              <w:top w:val="nil"/>
              <w:left w:val="nil"/>
              <w:bottom w:val="nil"/>
              <w:right w:val="nil"/>
            </w:tcBorders>
            <w:vAlign w:val="center"/>
          </w:tcPr>
          <w:p w14:paraId="43826860"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T210-I3</w:t>
            </w:r>
          </w:p>
        </w:tc>
        <w:tc>
          <w:tcPr>
            <w:tcW w:w="2130" w:type="pct"/>
            <w:tcBorders>
              <w:top w:val="nil"/>
              <w:left w:val="nil"/>
              <w:bottom w:val="nil"/>
              <w:right w:val="nil"/>
            </w:tcBorders>
            <w:vAlign w:val="center"/>
          </w:tcPr>
          <w:p w14:paraId="7CEB09BB"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210</w:t>
            </w:r>
          </w:p>
        </w:tc>
        <w:tc>
          <w:tcPr>
            <w:tcW w:w="2008" w:type="pct"/>
            <w:tcBorders>
              <w:top w:val="nil"/>
              <w:left w:val="nil"/>
              <w:bottom w:val="nil"/>
              <w:right w:val="nil"/>
            </w:tcBorders>
            <w:vAlign w:val="center"/>
          </w:tcPr>
          <w:p w14:paraId="5FE1497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49.2 (3)</w:t>
            </w:r>
          </w:p>
        </w:tc>
      </w:tr>
      <w:tr w:rsidR="008B73EF" w:rsidRPr="008B73EF" w14:paraId="56BD4FFC" w14:textId="77777777" w:rsidTr="008F4101">
        <w:trPr>
          <w:cantSplit/>
          <w:trHeight w:val="20"/>
        </w:trPr>
        <w:tc>
          <w:tcPr>
            <w:tcW w:w="862" w:type="pct"/>
            <w:tcBorders>
              <w:top w:val="nil"/>
              <w:left w:val="nil"/>
              <w:bottom w:val="dotted" w:sz="4" w:space="0" w:color="auto"/>
              <w:right w:val="nil"/>
            </w:tcBorders>
            <w:vAlign w:val="center"/>
          </w:tcPr>
          <w:p w14:paraId="364428A2"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T210-I4</w:t>
            </w:r>
          </w:p>
        </w:tc>
        <w:tc>
          <w:tcPr>
            <w:tcW w:w="2130" w:type="pct"/>
            <w:tcBorders>
              <w:top w:val="nil"/>
              <w:left w:val="nil"/>
              <w:bottom w:val="dotted" w:sz="4" w:space="0" w:color="auto"/>
              <w:right w:val="nil"/>
            </w:tcBorders>
            <w:vAlign w:val="center"/>
          </w:tcPr>
          <w:p w14:paraId="6FD790B6"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210</w:t>
            </w:r>
          </w:p>
        </w:tc>
        <w:tc>
          <w:tcPr>
            <w:tcW w:w="2008" w:type="pct"/>
            <w:tcBorders>
              <w:top w:val="nil"/>
              <w:left w:val="nil"/>
              <w:bottom w:val="dotted" w:sz="4" w:space="0" w:color="auto"/>
              <w:right w:val="nil"/>
            </w:tcBorders>
            <w:vAlign w:val="center"/>
          </w:tcPr>
          <w:p w14:paraId="3BD7895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65.5 (4)</w:t>
            </w:r>
          </w:p>
        </w:tc>
      </w:tr>
      <w:tr w:rsidR="008B73EF" w:rsidRPr="008B73EF" w14:paraId="3438CED8" w14:textId="77777777" w:rsidTr="008F4101">
        <w:trPr>
          <w:cantSplit/>
          <w:trHeight w:val="20"/>
        </w:trPr>
        <w:tc>
          <w:tcPr>
            <w:tcW w:w="862" w:type="pct"/>
            <w:tcBorders>
              <w:top w:val="dotted" w:sz="4" w:space="0" w:color="auto"/>
              <w:left w:val="nil"/>
              <w:bottom w:val="nil"/>
              <w:right w:val="nil"/>
            </w:tcBorders>
            <w:vAlign w:val="center"/>
          </w:tcPr>
          <w:p w14:paraId="37B24DEA"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T220-I1</w:t>
            </w:r>
          </w:p>
        </w:tc>
        <w:tc>
          <w:tcPr>
            <w:tcW w:w="2130" w:type="pct"/>
            <w:tcBorders>
              <w:top w:val="dotted" w:sz="4" w:space="0" w:color="auto"/>
              <w:left w:val="nil"/>
              <w:bottom w:val="nil"/>
              <w:right w:val="nil"/>
            </w:tcBorders>
            <w:vAlign w:val="center"/>
          </w:tcPr>
          <w:p w14:paraId="4E63DBE7"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220</w:t>
            </w:r>
          </w:p>
        </w:tc>
        <w:tc>
          <w:tcPr>
            <w:tcW w:w="2008" w:type="pct"/>
            <w:tcBorders>
              <w:top w:val="dotted" w:sz="4" w:space="0" w:color="auto"/>
              <w:left w:val="nil"/>
              <w:bottom w:val="nil"/>
              <w:right w:val="nil"/>
            </w:tcBorders>
            <w:vAlign w:val="center"/>
          </w:tcPr>
          <w:p w14:paraId="67F81B36"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16.4 (1)</w:t>
            </w:r>
          </w:p>
        </w:tc>
      </w:tr>
      <w:tr w:rsidR="008B73EF" w:rsidRPr="008B73EF" w14:paraId="51DA1F11" w14:textId="77777777" w:rsidTr="008F4101">
        <w:trPr>
          <w:cantSplit/>
          <w:trHeight w:val="20"/>
        </w:trPr>
        <w:tc>
          <w:tcPr>
            <w:tcW w:w="862" w:type="pct"/>
            <w:tcBorders>
              <w:top w:val="nil"/>
              <w:left w:val="nil"/>
              <w:bottom w:val="nil"/>
              <w:right w:val="nil"/>
            </w:tcBorders>
            <w:vAlign w:val="center"/>
          </w:tcPr>
          <w:p w14:paraId="02640159"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T220-I2</w:t>
            </w:r>
          </w:p>
        </w:tc>
        <w:tc>
          <w:tcPr>
            <w:tcW w:w="2130" w:type="pct"/>
            <w:tcBorders>
              <w:top w:val="nil"/>
              <w:left w:val="nil"/>
              <w:bottom w:val="nil"/>
              <w:right w:val="nil"/>
            </w:tcBorders>
            <w:vAlign w:val="center"/>
          </w:tcPr>
          <w:p w14:paraId="519474BE"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220</w:t>
            </w:r>
          </w:p>
        </w:tc>
        <w:tc>
          <w:tcPr>
            <w:tcW w:w="2008" w:type="pct"/>
            <w:tcBorders>
              <w:top w:val="nil"/>
              <w:left w:val="nil"/>
              <w:bottom w:val="nil"/>
              <w:right w:val="nil"/>
            </w:tcBorders>
            <w:vAlign w:val="center"/>
          </w:tcPr>
          <w:p w14:paraId="474F8CD2"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32.8 (2)</w:t>
            </w:r>
          </w:p>
        </w:tc>
      </w:tr>
      <w:tr w:rsidR="008B73EF" w:rsidRPr="008B73EF" w14:paraId="745A2578" w14:textId="77777777" w:rsidTr="008F4101">
        <w:trPr>
          <w:cantSplit/>
          <w:trHeight w:val="20"/>
        </w:trPr>
        <w:tc>
          <w:tcPr>
            <w:tcW w:w="862" w:type="pct"/>
            <w:tcBorders>
              <w:top w:val="nil"/>
              <w:left w:val="nil"/>
              <w:bottom w:val="nil"/>
              <w:right w:val="nil"/>
            </w:tcBorders>
            <w:vAlign w:val="center"/>
          </w:tcPr>
          <w:p w14:paraId="37E6B3A8"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T220-I3</w:t>
            </w:r>
          </w:p>
        </w:tc>
        <w:tc>
          <w:tcPr>
            <w:tcW w:w="2130" w:type="pct"/>
            <w:tcBorders>
              <w:top w:val="nil"/>
              <w:left w:val="nil"/>
              <w:bottom w:val="nil"/>
              <w:right w:val="nil"/>
            </w:tcBorders>
            <w:vAlign w:val="center"/>
          </w:tcPr>
          <w:p w14:paraId="2886FDC3"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220</w:t>
            </w:r>
          </w:p>
        </w:tc>
        <w:tc>
          <w:tcPr>
            <w:tcW w:w="2008" w:type="pct"/>
            <w:tcBorders>
              <w:top w:val="nil"/>
              <w:left w:val="nil"/>
              <w:bottom w:val="nil"/>
              <w:right w:val="nil"/>
            </w:tcBorders>
            <w:vAlign w:val="center"/>
          </w:tcPr>
          <w:p w14:paraId="5DC1F17D"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49.2 (3)</w:t>
            </w:r>
          </w:p>
        </w:tc>
      </w:tr>
      <w:tr w:rsidR="008B73EF" w:rsidRPr="008B73EF" w14:paraId="54FC9BB4" w14:textId="77777777" w:rsidTr="008F4101">
        <w:trPr>
          <w:cantSplit/>
          <w:trHeight w:val="20"/>
        </w:trPr>
        <w:tc>
          <w:tcPr>
            <w:tcW w:w="862" w:type="pct"/>
            <w:tcBorders>
              <w:top w:val="nil"/>
              <w:left w:val="nil"/>
              <w:bottom w:val="dotted" w:sz="4" w:space="0" w:color="auto"/>
              <w:right w:val="nil"/>
            </w:tcBorders>
            <w:vAlign w:val="center"/>
          </w:tcPr>
          <w:p w14:paraId="415C5D5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T220-I4</w:t>
            </w:r>
          </w:p>
        </w:tc>
        <w:tc>
          <w:tcPr>
            <w:tcW w:w="2130" w:type="pct"/>
            <w:tcBorders>
              <w:top w:val="nil"/>
              <w:left w:val="nil"/>
              <w:bottom w:val="dotted" w:sz="4" w:space="0" w:color="auto"/>
              <w:right w:val="nil"/>
            </w:tcBorders>
            <w:vAlign w:val="center"/>
          </w:tcPr>
          <w:p w14:paraId="0F767A80"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220</w:t>
            </w:r>
          </w:p>
        </w:tc>
        <w:tc>
          <w:tcPr>
            <w:tcW w:w="2008" w:type="pct"/>
            <w:tcBorders>
              <w:top w:val="nil"/>
              <w:left w:val="nil"/>
              <w:bottom w:val="dotted" w:sz="4" w:space="0" w:color="auto"/>
              <w:right w:val="nil"/>
            </w:tcBorders>
            <w:vAlign w:val="center"/>
          </w:tcPr>
          <w:p w14:paraId="4F463F70"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65.5 (4)</w:t>
            </w:r>
          </w:p>
        </w:tc>
      </w:tr>
      <w:tr w:rsidR="008B73EF" w:rsidRPr="008B73EF" w14:paraId="62928801" w14:textId="77777777" w:rsidTr="008F4101">
        <w:trPr>
          <w:cantSplit/>
          <w:trHeight w:val="20"/>
        </w:trPr>
        <w:tc>
          <w:tcPr>
            <w:tcW w:w="862" w:type="pct"/>
            <w:tcBorders>
              <w:top w:val="dotted" w:sz="4" w:space="0" w:color="auto"/>
              <w:left w:val="nil"/>
              <w:bottom w:val="nil"/>
              <w:right w:val="nil"/>
            </w:tcBorders>
            <w:vAlign w:val="center"/>
          </w:tcPr>
          <w:p w14:paraId="79EE376E"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T230-I1</w:t>
            </w:r>
          </w:p>
        </w:tc>
        <w:tc>
          <w:tcPr>
            <w:tcW w:w="2130" w:type="pct"/>
            <w:tcBorders>
              <w:top w:val="dotted" w:sz="4" w:space="0" w:color="auto"/>
              <w:left w:val="nil"/>
              <w:bottom w:val="nil"/>
              <w:right w:val="nil"/>
            </w:tcBorders>
            <w:vAlign w:val="center"/>
          </w:tcPr>
          <w:p w14:paraId="42D17E82"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230</w:t>
            </w:r>
          </w:p>
        </w:tc>
        <w:tc>
          <w:tcPr>
            <w:tcW w:w="2008" w:type="pct"/>
            <w:tcBorders>
              <w:top w:val="dotted" w:sz="4" w:space="0" w:color="auto"/>
              <w:left w:val="nil"/>
              <w:bottom w:val="nil"/>
              <w:right w:val="nil"/>
            </w:tcBorders>
            <w:vAlign w:val="center"/>
          </w:tcPr>
          <w:p w14:paraId="79EF0B54"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16.4 (1)</w:t>
            </w:r>
          </w:p>
        </w:tc>
      </w:tr>
      <w:tr w:rsidR="008B73EF" w:rsidRPr="008B73EF" w14:paraId="2A439D78" w14:textId="77777777" w:rsidTr="008F4101">
        <w:trPr>
          <w:cantSplit/>
          <w:trHeight w:val="20"/>
        </w:trPr>
        <w:tc>
          <w:tcPr>
            <w:tcW w:w="862" w:type="pct"/>
            <w:tcBorders>
              <w:top w:val="nil"/>
              <w:left w:val="nil"/>
              <w:bottom w:val="nil"/>
              <w:right w:val="nil"/>
            </w:tcBorders>
            <w:vAlign w:val="center"/>
          </w:tcPr>
          <w:p w14:paraId="2A787D2F"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T230-I2</w:t>
            </w:r>
          </w:p>
        </w:tc>
        <w:tc>
          <w:tcPr>
            <w:tcW w:w="2130" w:type="pct"/>
            <w:tcBorders>
              <w:top w:val="nil"/>
              <w:left w:val="nil"/>
              <w:bottom w:val="nil"/>
              <w:right w:val="nil"/>
            </w:tcBorders>
            <w:vAlign w:val="center"/>
          </w:tcPr>
          <w:p w14:paraId="6B674059"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230</w:t>
            </w:r>
          </w:p>
        </w:tc>
        <w:tc>
          <w:tcPr>
            <w:tcW w:w="2008" w:type="pct"/>
            <w:tcBorders>
              <w:top w:val="nil"/>
              <w:left w:val="nil"/>
              <w:bottom w:val="nil"/>
              <w:right w:val="nil"/>
            </w:tcBorders>
            <w:vAlign w:val="center"/>
          </w:tcPr>
          <w:p w14:paraId="731C9316"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32.8 (2)</w:t>
            </w:r>
          </w:p>
        </w:tc>
      </w:tr>
      <w:tr w:rsidR="008B73EF" w:rsidRPr="008B73EF" w14:paraId="0F0B0FB7" w14:textId="77777777" w:rsidTr="008F4101">
        <w:trPr>
          <w:cantSplit/>
          <w:trHeight w:val="20"/>
        </w:trPr>
        <w:tc>
          <w:tcPr>
            <w:tcW w:w="862" w:type="pct"/>
            <w:tcBorders>
              <w:top w:val="nil"/>
              <w:left w:val="nil"/>
              <w:bottom w:val="nil"/>
              <w:right w:val="nil"/>
            </w:tcBorders>
            <w:vAlign w:val="center"/>
          </w:tcPr>
          <w:p w14:paraId="7EFCBC69"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T230-I3</w:t>
            </w:r>
          </w:p>
        </w:tc>
        <w:tc>
          <w:tcPr>
            <w:tcW w:w="2130" w:type="pct"/>
            <w:tcBorders>
              <w:top w:val="nil"/>
              <w:left w:val="nil"/>
              <w:bottom w:val="nil"/>
              <w:right w:val="nil"/>
            </w:tcBorders>
            <w:vAlign w:val="center"/>
          </w:tcPr>
          <w:p w14:paraId="40D514B6"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230</w:t>
            </w:r>
          </w:p>
        </w:tc>
        <w:tc>
          <w:tcPr>
            <w:tcW w:w="2008" w:type="pct"/>
            <w:tcBorders>
              <w:top w:val="nil"/>
              <w:left w:val="nil"/>
              <w:bottom w:val="nil"/>
              <w:right w:val="nil"/>
            </w:tcBorders>
            <w:vAlign w:val="center"/>
          </w:tcPr>
          <w:p w14:paraId="49885AAA"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49.2 (3)</w:t>
            </w:r>
          </w:p>
        </w:tc>
      </w:tr>
      <w:tr w:rsidR="008B73EF" w:rsidRPr="008B73EF" w14:paraId="2E06026C" w14:textId="77777777" w:rsidTr="008F4101">
        <w:trPr>
          <w:cantSplit/>
          <w:trHeight w:val="20"/>
        </w:trPr>
        <w:tc>
          <w:tcPr>
            <w:tcW w:w="862" w:type="pct"/>
            <w:tcBorders>
              <w:top w:val="nil"/>
              <w:left w:val="nil"/>
              <w:bottom w:val="dotted" w:sz="4" w:space="0" w:color="auto"/>
              <w:right w:val="nil"/>
            </w:tcBorders>
            <w:vAlign w:val="center"/>
          </w:tcPr>
          <w:p w14:paraId="36669EC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T230-I4</w:t>
            </w:r>
          </w:p>
        </w:tc>
        <w:tc>
          <w:tcPr>
            <w:tcW w:w="2130" w:type="pct"/>
            <w:tcBorders>
              <w:top w:val="nil"/>
              <w:left w:val="nil"/>
              <w:bottom w:val="dotted" w:sz="4" w:space="0" w:color="auto"/>
              <w:right w:val="nil"/>
            </w:tcBorders>
            <w:vAlign w:val="center"/>
          </w:tcPr>
          <w:p w14:paraId="19E6BE3F"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230</w:t>
            </w:r>
          </w:p>
        </w:tc>
        <w:tc>
          <w:tcPr>
            <w:tcW w:w="2008" w:type="pct"/>
            <w:tcBorders>
              <w:top w:val="nil"/>
              <w:left w:val="nil"/>
              <w:bottom w:val="dotted" w:sz="4" w:space="0" w:color="auto"/>
              <w:right w:val="nil"/>
            </w:tcBorders>
            <w:vAlign w:val="center"/>
          </w:tcPr>
          <w:p w14:paraId="441D2AF6"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65.5 (4)</w:t>
            </w:r>
          </w:p>
        </w:tc>
      </w:tr>
      <w:tr w:rsidR="008B73EF" w:rsidRPr="008B73EF" w14:paraId="02E0905C" w14:textId="77777777" w:rsidTr="008F4101">
        <w:trPr>
          <w:cantSplit/>
          <w:trHeight w:val="20"/>
        </w:trPr>
        <w:tc>
          <w:tcPr>
            <w:tcW w:w="862" w:type="pct"/>
            <w:tcBorders>
              <w:top w:val="dotted" w:sz="4" w:space="0" w:color="auto"/>
              <w:left w:val="nil"/>
              <w:bottom w:val="nil"/>
              <w:right w:val="nil"/>
            </w:tcBorders>
            <w:vAlign w:val="center"/>
          </w:tcPr>
          <w:p w14:paraId="3797C805"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T240-I2</w:t>
            </w:r>
          </w:p>
        </w:tc>
        <w:tc>
          <w:tcPr>
            <w:tcW w:w="2130" w:type="pct"/>
            <w:tcBorders>
              <w:top w:val="dotted" w:sz="4" w:space="0" w:color="auto"/>
              <w:left w:val="nil"/>
              <w:bottom w:val="nil"/>
              <w:right w:val="nil"/>
            </w:tcBorders>
            <w:vAlign w:val="center"/>
          </w:tcPr>
          <w:p w14:paraId="54E1390A"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240</w:t>
            </w:r>
          </w:p>
        </w:tc>
        <w:tc>
          <w:tcPr>
            <w:tcW w:w="2008" w:type="pct"/>
            <w:tcBorders>
              <w:top w:val="dotted" w:sz="4" w:space="0" w:color="auto"/>
              <w:left w:val="nil"/>
              <w:bottom w:val="nil"/>
              <w:right w:val="nil"/>
            </w:tcBorders>
            <w:vAlign w:val="center"/>
          </w:tcPr>
          <w:p w14:paraId="5F560A93"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32.8 (2)</w:t>
            </w:r>
          </w:p>
        </w:tc>
      </w:tr>
      <w:tr w:rsidR="008B73EF" w:rsidRPr="008B73EF" w14:paraId="3095F80F" w14:textId="77777777" w:rsidTr="008F4101">
        <w:trPr>
          <w:cantSplit/>
          <w:trHeight w:val="20"/>
        </w:trPr>
        <w:tc>
          <w:tcPr>
            <w:tcW w:w="862" w:type="pct"/>
            <w:tcBorders>
              <w:top w:val="nil"/>
              <w:left w:val="nil"/>
              <w:bottom w:val="single" w:sz="4" w:space="0" w:color="auto"/>
              <w:right w:val="nil"/>
            </w:tcBorders>
            <w:vAlign w:val="center"/>
          </w:tcPr>
          <w:p w14:paraId="7C0EBC8F"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T240-I3</w:t>
            </w:r>
          </w:p>
        </w:tc>
        <w:tc>
          <w:tcPr>
            <w:tcW w:w="2130" w:type="pct"/>
            <w:tcBorders>
              <w:top w:val="nil"/>
              <w:left w:val="nil"/>
              <w:bottom w:val="single" w:sz="4" w:space="0" w:color="auto"/>
              <w:right w:val="nil"/>
            </w:tcBorders>
            <w:vAlign w:val="center"/>
          </w:tcPr>
          <w:p w14:paraId="5C64C16C"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240</w:t>
            </w:r>
          </w:p>
        </w:tc>
        <w:tc>
          <w:tcPr>
            <w:tcW w:w="2008" w:type="pct"/>
            <w:tcBorders>
              <w:top w:val="nil"/>
              <w:left w:val="nil"/>
              <w:bottom w:val="single" w:sz="4" w:space="0" w:color="auto"/>
              <w:right w:val="nil"/>
            </w:tcBorders>
            <w:vAlign w:val="center"/>
          </w:tcPr>
          <w:p w14:paraId="205D2660" w14:textId="77777777" w:rsidR="008B73EF" w:rsidRPr="008B73EF" w:rsidRDefault="008B73EF" w:rsidP="008B73EF">
            <w:pPr>
              <w:pStyle w:val="TableHeading"/>
              <w:rPr>
                <w:b w:val="0"/>
                <w:bCs w:val="0"/>
                <w:sz w:val="22"/>
                <w:szCs w:val="22"/>
                <w:lang w:bidi="en-US"/>
              </w:rPr>
            </w:pPr>
            <w:r w:rsidRPr="008B73EF">
              <w:rPr>
                <w:b w:val="0"/>
                <w:bCs w:val="0"/>
                <w:sz w:val="22"/>
                <w:szCs w:val="22"/>
                <w:lang w:bidi="en-US"/>
              </w:rPr>
              <w:t>49.2 (3)</w:t>
            </w:r>
          </w:p>
        </w:tc>
      </w:tr>
    </w:tbl>
    <w:p w14:paraId="04216657" w14:textId="7B099EC0" w:rsidR="0080518D" w:rsidRDefault="0080518D" w:rsidP="008B73EF">
      <w:pPr>
        <w:ind w:firstLine="0"/>
        <w:rPr>
          <w:b/>
          <w:lang w:bidi="en-US"/>
        </w:rPr>
      </w:pPr>
      <w:r w:rsidRPr="0080518D">
        <w:rPr>
          <w:lang w:bidi="en-US"/>
        </w:rPr>
        <w:lastRenderedPageBreak/>
        <w:t>(</w:t>
      </w:r>
      <w:proofErr w:type="spellStart"/>
      <w:r w:rsidRPr="0080518D">
        <w:rPr>
          <w:lang w:bidi="en-US"/>
        </w:rPr>
        <w:t>ΔT</w:t>
      </w:r>
      <w:r w:rsidRPr="0080518D">
        <w:rPr>
          <w:vertAlign w:val="subscript"/>
          <w:lang w:bidi="en-US"/>
        </w:rPr>
        <w:t>c</w:t>
      </w:r>
      <w:proofErr w:type="spellEnd"/>
      <w:r w:rsidRPr="0080518D">
        <w:rPr>
          <w:lang w:bidi="en-US"/>
        </w:rPr>
        <w:t>) and enthalpies (</w:t>
      </w:r>
      <w:proofErr w:type="spellStart"/>
      <w:r w:rsidRPr="0080518D">
        <w:rPr>
          <w:lang w:bidi="en-US"/>
        </w:rPr>
        <w:t>ΔH</w:t>
      </w:r>
      <w:r w:rsidRPr="0080518D">
        <w:rPr>
          <w:vertAlign w:val="subscript"/>
          <w:lang w:bidi="en-US"/>
        </w:rPr>
        <w:t>c</w:t>
      </w:r>
      <w:proofErr w:type="spellEnd"/>
      <w:r w:rsidRPr="0080518D">
        <w:rPr>
          <w:lang w:bidi="en-US"/>
        </w:rPr>
        <w:t xml:space="preserve">) reported for the sole cooling cycle. A representative DSC curve is shown in </w:t>
      </w:r>
      <w:r w:rsidRPr="0080518D">
        <w:rPr>
          <w:b/>
          <w:bCs/>
          <w:lang w:bidi="en-US"/>
        </w:rPr>
        <w:t>Figure 3.6</w:t>
      </w:r>
      <w:r w:rsidRPr="0080518D">
        <w:rPr>
          <w:lang w:bidi="en-US"/>
        </w:rPr>
        <w:t xml:space="preserve"> to demonstrate method by which temperatures and enthalpies were obtained.</w:t>
      </w:r>
      <w:r w:rsidRPr="0080518D">
        <w:rPr>
          <w:b/>
          <w:lang w:bidi="en-US"/>
        </w:rPr>
        <w:t xml:space="preserve">  </w:t>
      </w:r>
    </w:p>
    <w:p w14:paraId="15C4AF65" w14:textId="77777777" w:rsidR="0080518D" w:rsidRPr="0080518D" w:rsidRDefault="0080518D" w:rsidP="0080518D">
      <w:pPr>
        <w:pStyle w:val="Heading2"/>
        <w:rPr>
          <w:lang w:bidi="en-US"/>
        </w:rPr>
      </w:pPr>
      <w:bookmarkStart w:id="58" w:name="_Toc190951809"/>
      <w:r w:rsidRPr="0080518D">
        <w:rPr>
          <w:lang w:bidi="en-US"/>
        </w:rPr>
        <w:t>3.3.5 Thermogravimetric Analysis</w:t>
      </w:r>
      <w:bookmarkEnd w:id="58"/>
      <w:r w:rsidRPr="0080518D">
        <w:rPr>
          <w:lang w:bidi="en-US"/>
        </w:rPr>
        <w:t xml:space="preserve"> </w:t>
      </w:r>
    </w:p>
    <w:p w14:paraId="358969D8" w14:textId="2049CCFB" w:rsidR="0080518D" w:rsidRPr="0080518D" w:rsidRDefault="0080518D" w:rsidP="0080518D">
      <w:pPr>
        <w:rPr>
          <w:i/>
          <w:lang w:bidi="en-US"/>
        </w:rPr>
      </w:pPr>
      <w:r w:rsidRPr="0080518D">
        <w:rPr>
          <w:lang w:bidi="en-US"/>
        </w:rPr>
        <w:t xml:space="preserve"> Thermogravimetric analysis was performed using a TA Q50 instrument to evaluate the thermal stability of the injection molded materials. Samples were ramped from room temperature to 600 °C at 10 °C/min under a N</w:t>
      </w:r>
      <w:r w:rsidRPr="0080518D">
        <w:rPr>
          <w:vertAlign w:val="subscript"/>
          <w:lang w:bidi="en-US"/>
        </w:rPr>
        <w:t>2</w:t>
      </w:r>
      <w:r w:rsidRPr="0080518D">
        <w:rPr>
          <w:lang w:bidi="en-US"/>
        </w:rPr>
        <w:t xml:space="preserve"> atmosphere. The sample size was approximately 10 mg for all tests. As with the DSC testing, samples were obtained from the injection molding runner system. The TGA data was analyzed to obtain temperature at which 50% mass loss occurred (T50) and residual mass.</w:t>
      </w:r>
      <w:r w:rsidRPr="0080518D">
        <w:rPr>
          <w:i/>
          <w:lang w:bidi="en-US"/>
        </w:rPr>
        <w:t xml:space="preserve"> </w:t>
      </w:r>
    </w:p>
    <w:p w14:paraId="73AE4720" w14:textId="77777777" w:rsidR="0080518D" w:rsidRPr="0080518D" w:rsidRDefault="0080518D" w:rsidP="0080518D">
      <w:pPr>
        <w:pStyle w:val="Heading2"/>
        <w:rPr>
          <w:lang w:bidi="en-US"/>
        </w:rPr>
      </w:pPr>
      <w:bookmarkStart w:id="59" w:name="_Toc190951810"/>
      <w:r w:rsidRPr="0080518D">
        <w:rPr>
          <w:lang w:bidi="en-US"/>
        </w:rPr>
        <w:t>3.3.6 Fourier Transform Infrared Spectroscopy</w:t>
      </w:r>
      <w:bookmarkEnd w:id="59"/>
      <w:r w:rsidRPr="0080518D">
        <w:rPr>
          <w:lang w:bidi="en-US"/>
        </w:rPr>
        <w:t xml:space="preserve"> </w:t>
      </w:r>
    </w:p>
    <w:p w14:paraId="7FEB97A6" w14:textId="77777777" w:rsidR="0080518D" w:rsidRPr="0080518D" w:rsidRDefault="0080518D" w:rsidP="0080518D">
      <w:pPr>
        <w:rPr>
          <w:lang w:bidi="en-US"/>
        </w:rPr>
      </w:pPr>
      <w:r w:rsidRPr="0080518D">
        <w:rPr>
          <w:lang w:bidi="en-US"/>
        </w:rPr>
        <w:t>Attenuated Total Reflectance-Fourier Transform Infrared (ATR-FTIR) spectroscopy was performed using a PerkinElmer Spectrum Two FT-IR spectrometer to investigate the chemical composition and degradation of the injection molded parts. Testing was performed between 500 – 4000 cm</w:t>
      </w:r>
      <w:r w:rsidRPr="0080518D">
        <w:rPr>
          <w:vertAlign w:val="superscript"/>
          <w:lang w:bidi="en-US"/>
        </w:rPr>
        <w:t>-1</w:t>
      </w:r>
      <w:r w:rsidRPr="0080518D">
        <w:rPr>
          <w:lang w:bidi="en-US"/>
        </w:rPr>
        <w:t xml:space="preserve"> at a resolution of 4 cm</w:t>
      </w:r>
      <w:r w:rsidRPr="0080518D">
        <w:rPr>
          <w:vertAlign w:val="superscript"/>
          <w:lang w:bidi="en-US"/>
        </w:rPr>
        <w:t>-1</w:t>
      </w:r>
      <w:r w:rsidRPr="0080518D">
        <w:rPr>
          <w:lang w:bidi="en-US"/>
        </w:rPr>
        <w:t xml:space="preserve"> and 32 scans per spectrum. FTIR samples were prepared by slicing off thin pieces from the runner system using a precision utility knife. </w:t>
      </w:r>
    </w:p>
    <w:p w14:paraId="0C25B36B" w14:textId="77777777" w:rsidR="0080518D" w:rsidRPr="0080518D" w:rsidRDefault="0080518D" w:rsidP="0080518D">
      <w:pPr>
        <w:pStyle w:val="Heading2"/>
        <w:rPr>
          <w:lang w:bidi="en-US"/>
        </w:rPr>
      </w:pPr>
      <w:bookmarkStart w:id="60" w:name="_Toc190951811"/>
      <w:r w:rsidRPr="0080518D">
        <w:rPr>
          <w:lang w:bidi="en-US"/>
        </w:rPr>
        <w:t>3.3.7 Tensile Testing</w:t>
      </w:r>
      <w:bookmarkEnd w:id="60"/>
    </w:p>
    <w:p w14:paraId="1D60C9F1" w14:textId="77777777" w:rsidR="0080518D" w:rsidRPr="0080518D" w:rsidRDefault="0080518D" w:rsidP="0080518D">
      <w:pPr>
        <w:rPr>
          <w:lang w:bidi="en-US"/>
        </w:rPr>
      </w:pPr>
      <w:r w:rsidRPr="0080518D">
        <w:rPr>
          <w:lang w:bidi="en-US"/>
        </w:rPr>
        <w:t xml:space="preserve">Tensile testing was performed in accordance with ASTM D638 using Type IV specimens. The samples measured 115 mm in overall length, 6.4 mm in width in the gauge region, and 2.2 mm in thickness. They were conditioned at 25 °C and 65% relative humidity for 88 hours prior to testing. Tensile testing was performed using an Instron 5567 universal testing machine equipped with self-centering wedge grips and 30 </w:t>
      </w:r>
      <w:proofErr w:type="spellStart"/>
      <w:r w:rsidRPr="0080518D">
        <w:rPr>
          <w:lang w:bidi="en-US"/>
        </w:rPr>
        <w:t>kN</w:t>
      </w:r>
      <w:proofErr w:type="spellEnd"/>
      <w:r w:rsidRPr="0080518D">
        <w:rPr>
          <w:lang w:bidi="en-US"/>
        </w:rPr>
        <w:t xml:space="preserve"> load cell. The crosshead speed during testing was set to 5 mm/min and strain was measured using clip on extensometer. </w:t>
      </w:r>
    </w:p>
    <w:p w14:paraId="252FF3A0" w14:textId="77777777" w:rsidR="0080518D" w:rsidRPr="0080518D" w:rsidRDefault="0080518D" w:rsidP="0080518D">
      <w:pPr>
        <w:pStyle w:val="Heading2"/>
        <w:rPr>
          <w:lang w:bidi="en-US"/>
        </w:rPr>
      </w:pPr>
      <w:bookmarkStart w:id="61" w:name="_Toc190951812"/>
      <w:r w:rsidRPr="0080518D">
        <w:rPr>
          <w:lang w:bidi="en-US"/>
        </w:rPr>
        <w:t>3.3.8 Flexural Testing</w:t>
      </w:r>
      <w:bookmarkEnd w:id="61"/>
    </w:p>
    <w:p w14:paraId="3FCAB6AF" w14:textId="77777777" w:rsidR="008F4101" w:rsidRDefault="0080518D" w:rsidP="0080518D">
      <w:pPr>
        <w:rPr>
          <w:lang w:bidi="en-US"/>
        </w:rPr>
      </w:pPr>
      <w:bookmarkStart w:id="62" w:name="_Hlk171931968"/>
      <w:r w:rsidRPr="0080518D">
        <w:rPr>
          <w:lang w:bidi="en-US"/>
        </w:rPr>
        <w:t xml:space="preserve">Flexural testing was performed in accordance with ASTM D790. Samples were conditioned using the same procedure described in the tensile testing section. Flexural </w:t>
      </w:r>
    </w:p>
    <w:p w14:paraId="2BAECDA2" w14:textId="58BF764D" w:rsidR="008F4101" w:rsidRDefault="008F4101" w:rsidP="008F4101">
      <w:pPr>
        <w:pStyle w:val="FigureCaption"/>
        <w:rPr>
          <w:lang w:bidi="en-US"/>
        </w:rPr>
      </w:pPr>
      <w:r w:rsidRPr="008F4101">
        <w:rPr>
          <w:rFonts w:ascii="Palatino Linotype" w:eastAsia="SimSun" w:hAnsi="Palatino Linotype"/>
          <w:bCs w:val="0"/>
          <w:color w:val="000000"/>
          <w:sz w:val="20"/>
          <w:szCs w:val="20"/>
          <w:lang w:eastAsia="zh-CN"/>
        </w:rPr>
        <w:lastRenderedPageBreak/>
        <w:drawing>
          <wp:anchor distT="0" distB="0" distL="114300" distR="114300" simplePos="0" relativeHeight="251677696" behindDoc="1" locked="0" layoutInCell="1" allowOverlap="1" wp14:anchorId="3EDA0594" wp14:editId="7D2B12C8">
            <wp:simplePos x="0" y="0"/>
            <wp:positionH relativeFrom="margin">
              <wp:align>center</wp:align>
            </wp:positionH>
            <wp:positionV relativeFrom="paragraph">
              <wp:posOffset>0</wp:posOffset>
            </wp:positionV>
            <wp:extent cx="4656198" cy="3458524"/>
            <wp:effectExtent l="0" t="0" r="0" b="8890"/>
            <wp:wrapNone/>
            <wp:docPr id="86523170" name="Picture 1" descr="A diagram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3170" name="Picture 1" descr="A diagram of a temperature&#10;&#10;AI-generated content may be incorrect."/>
                    <pic:cNvPicPr>
                      <a:picLocks noChangeAspect="1" noChangeArrowheads="1"/>
                    </pic:cNvPicPr>
                  </pic:nvPicPr>
                  <pic:blipFill rotWithShape="1">
                    <a:blip r:embed="rId25"/>
                    <a:srcRect l="13514" r="10754"/>
                    <a:stretch/>
                  </pic:blipFill>
                  <pic:spPr bwMode="auto">
                    <a:xfrm>
                      <a:off x="0" y="0"/>
                      <a:ext cx="4656198" cy="34585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8DD57" w14:textId="22FE3F49" w:rsidR="008F4101" w:rsidRDefault="008F4101" w:rsidP="008F4101">
      <w:pPr>
        <w:pStyle w:val="FigureCaption"/>
        <w:rPr>
          <w:lang w:bidi="en-US"/>
        </w:rPr>
      </w:pPr>
    </w:p>
    <w:p w14:paraId="6A075838" w14:textId="00D07905" w:rsidR="008F4101" w:rsidRDefault="008F4101" w:rsidP="008F4101">
      <w:pPr>
        <w:pStyle w:val="FigureCaption"/>
        <w:rPr>
          <w:lang w:bidi="en-US"/>
        </w:rPr>
      </w:pPr>
    </w:p>
    <w:p w14:paraId="72477ADB" w14:textId="77777777" w:rsidR="008F4101" w:rsidRDefault="008F4101" w:rsidP="008F4101">
      <w:pPr>
        <w:pStyle w:val="FigureCaption"/>
        <w:rPr>
          <w:lang w:bidi="en-US"/>
        </w:rPr>
      </w:pPr>
    </w:p>
    <w:p w14:paraId="4C92C6C2" w14:textId="77777777" w:rsidR="008F4101" w:rsidRDefault="008F4101" w:rsidP="008F4101">
      <w:pPr>
        <w:pStyle w:val="FigureCaption"/>
        <w:rPr>
          <w:lang w:bidi="en-US"/>
        </w:rPr>
      </w:pPr>
    </w:p>
    <w:p w14:paraId="6A762830" w14:textId="77777777" w:rsidR="008F4101" w:rsidRDefault="008F4101" w:rsidP="008F4101">
      <w:pPr>
        <w:pStyle w:val="FigureCaption"/>
        <w:rPr>
          <w:lang w:bidi="en-US"/>
        </w:rPr>
      </w:pPr>
    </w:p>
    <w:p w14:paraId="171DA7A5" w14:textId="77777777" w:rsidR="008F4101" w:rsidRDefault="008F4101" w:rsidP="008F4101">
      <w:pPr>
        <w:pStyle w:val="FigureCaption"/>
        <w:rPr>
          <w:lang w:bidi="en-US"/>
        </w:rPr>
      </w:pPr>
    </w:p>
    <w:p w14:paraId="2D7304A2" w14:textId="77777777" w:rsidR="008F4101" w:rsidRDefault="008F4101" w:rsidP="008F4101">
      <w:pPr>
        <w:pStyle w:val="FigureCaption"/>
        <w:rPr>
          <w:lang w:bidi="en-US"/>
        </w:rPr>
      </w:pPr>
    </w:p>
    <w:p w14:paraId="0ECE85AD" w14:textId="77777777" w:rsidR="008F4101" w:rsidRDefault="008F4101" w:rsidP="008F4101">
      <w:pPr>
        <w:pStyle w:val="FigureCaption"/>
        <w:rPr>
          <w:lang w:bidi="en-US"/>
        </w:rPr>
      </w:pPr>
    </w:p>
    <w:p w14:paraId="077AEBDA" w14:textId="77777777" w:rsidR="008F4101" w:rsidRDefault="008F4101" w:rsidP="008F4101">
      <w:pPr>
        <w:pStyle w:val="FigureCaption"/>
        <w:rPr>
          <w:lang w:bidi="en-US"/>
        </w:rPr>
      </w:pPr>
    </w:p>
    <w:p w14:paraId="2D90FEE3" w14:textId="77777777" w:rsidR="008F4101" w:rsidRDefault="008F4101" w:rsidP="008F4101">
      <w:pPr>
        <w:pStyle w:val="FigureCaption"/>
        <w:rPr>
          <w:lang w:bidi="en-US"/>
        </w:rPr>
      </w:pPr>
    </w:p>
    <w:p w14:paraId="41B055B1" w14:textId="77777777" w:rsidR="008F4101" w:rsidRDefault="008F4101" w:rsidP="008F4101">
      <w:pPr>
        <w:pStyle w:val="FigureCaption"/>
        <w:rPr>
          <w:lang w:bidi="en-US"/>
        </w:rPr>
      </w:pPr>
    </w:p>
    <w:p w14:paraId="7F971F71" w14:textId="77777777" w:rsidR="008F4101" w:rsidRDefault="008F4101" w:rsidP="008F4101">
      <w:pPr>
        <w:pStyle w:val="FigureCaption"/>
        <w:rPr>
          <w:lang w:bidi="en-US"/>
        </w:rPr>
      </w:pPr>
    </w:p>
    <w:p w14:paraId="78F0E992" w14:textId="3EFCCDC3" w:rsidR="008F4101" w:rsidRPr="008F4101" w:rsidRDefault="008F4101" w:rsidP="008F4101">
      <w:pPr>
        <w:pStyle w:val="FigureCaption"/>
        <w:rPr>
          <w:lang w:bidi="en-US"/>
        </w:rPr>
      </w:pPr>
      <w:r>
        <w:rPr>
          <w:lang w:bidi="en-US"/>
        </w:rPr>
        <w:t>F</w:t>
      </w:r>
      <w:r w:rsidRPr="008F4101">
        <w:rPr>
          <w:lang w:bidi="en-US"/>
        </w:rPr>
        <w:t xml:space="preserve">igure </w:t>
      </w:r>
      <w:r>
        <w:rPr>
          <w:lang w:bidi="en-US"/>
        </w:rPr>
        <w:t>3.</w:t>
      </w:r>
      <w:r w:rsidRPr="008F4101">
        <w:rPr>
          <w:lang w:bidi="en-US"/>
        </w:rPr>
        <w:t xml:space="preserve">6 </w:t>
      </w:r>
      <w:r w:rsidRPr="008F4101">
        <w:rPr>
          <w:b w:val="0"/>
          <w:bCs w:val="0"/>
          <w:lang w:bidi="en-US"/>
        </w:rPr>
        <w:t>Example of DSC curve of paper-reinforced polypropylene composites to illustrate how enthalpies and temperatures were measured for each sample. The 2</w:t>
      </w:r>
      <w:r w:rsidRPr="008F4101">
        <w:rPr>
          <w:b w:val="0"/>
          <w:bCs w:val="0"/>
          <w:vertAlign w:val="superscript"/>
          <w:lang w:bidi="en-US"/>
        </w:rPr>
        <w:t>nd</w:t>
      </w:r>
      <w:r w:rsidRPr="008F4101">
        <w:rPr>
          <w:b w:val="0"/>
          <w:bCs w:val="0"/>
          <w:lang w:bidi="en-US"/>
        </w:rPr>
        <w:t xml:space="preserve"> heating cycle is does not show the integration enthalpy for clarity.</w:t>
      </w:r>
      <w:r w:rsidRPr="008F4101">
        <w:rPr>
          <w:lang w:bidi="en-US"/>
        </w:rPr>
        <w:t xml:space="preserve">  </w:t>
      </w:r>
    </w:p>
    <w:p w14:paraId="4C0F538B" w14:textId="77777777" w:rsidR="008F4101" w:rsidRDefault="008F4101" w:rsidP="008F4101">
      <w:pPr>
        <w:pStyle w:val="FigureCaption"/>
        <w:rPr>
          <w:lang w:bidi="en-US"/>
        </w:rPr>
      </w:pPr>
      <w:r>
        <w:rPr>
          <w:lang w:bidi="en-US"/>
        </w:rPr>
        <w:br w:type="page"/>
      </w:r>
    </w:p>
    <w:p w14:paraId="3BA20922" w14:textId="5ECF26C6" w:rsidR="0080518D" w:rsidRPr="0080518D" w:rsidRDefault="0080518D" w:rsidP="008F4101">
      <w:pPr>
        <w:ind w:firstLine="0"/>
        <w:rPr>
          <w:lang w:bidi="en-US"/>
        </w:rPr>
      </w:pPr>
      <w:r w:rsidRPr="0080518D">
        <w:rPr>
          <w:lang w:bidi="en-US"/>
        </w:rPr>
        <w:lastRenderedPageBreak/>
        <w:t>testing measurements were taken using an Instron 5567 universal testing machine equipped with a 3-point bend test fixture and 500 N load cell. A test span of 45 mm and a test rate of 1.125 mm/min were used. Samples were tested until a 25% strain was reached. The Instron deflectometer used to measure strain was equipped with an extensometer with a 25 mm range. Flexural sample dimensions were approximately 60 × 12 × 3 mm</w:t>
      </w:r>
      <w:bookmarkEnd w:id="62"/>
      <w:r w:rsidRPr="0080518D">
        <w:rPr>
          <w:lang w:bidi="en-US"/>
        </w:rPr>
        <w:t>.</w:t>
      </w:r>
    </w:p>
    <w:p w14:paraId="5245262E" w14:textId="77777777" w:rsidR="0080518D" w:rsidRPr="0080518D" w:rsidRDefault="0080518D" w:rsidP="0080518D">
      <w:pPr>
        <w:pStyle w:val="Heading2"/>
        <w:rPr>
          <w:lang w:bidi="en-US"/>
        </w:rPr>
      </w:pPr>
      <w:bookmarkStart w:id="63" w:name="_Toc190951813"/>
      <w:r w:rsidRPr="0080518D">
        <w:rPr>
          <w:lang w:bidi="en-US"/>
        </w:rPr>
        <w:t>3.3.9 Water Uptake Testing</w:t>
      </w:r>
      <w:bookmarkEnd w:id="63"/>
    </w:p>
    <w:p w14:paraId="41D6A1D4" w14:textId="77777777" w:rsidR="0080518D" w:rsidRPr="0080518D" w:rsidRDefault="0080518D" w:rsidP="0080518D">
      <w:pPr>
        <w:rPr>
          <w:lang w:bidi="en-US"/>
        </w:rPr>
      </w:pPr>
      <w:r w:rsidRPr="0080518D">
        <w:rPr>
          <w:lang w:bidi="en-US"/>
        </w:rPr>
        <w:t>Water uptake measurements were conducted using a modified ASTM D570 method, in which test specimens were 14 mm in length, 14 mm in width, and 2.4 mm in thickness, rather than standardized dimensions. Prior to testing, samples were dried overnight under vacuum at 80 °C to remove any excess moisture. Following the conditioning step, the samples were cooled in a desiccator unit and weighed using a precision analytical balance to establish an initial mass. For testing, samples were placed into a 23 °C water bath and mass was re-measured after 24 hours and 504 hours of submersion.</w:t>
      </w:r>
    </w:p>
    <w:p w14:paraId="620B2A2A" w14:textId="77777777" w:rsidR="0080518D" w:rsidRPr="0080518D" w:rsidRDefault="0080518D" w:rsidP="0080518D">
      <w:pPr>
        <w:pStyle w:val="Heading2"/>
        <w:rPr>
          <w:lang w:bidi="en-US"/>
        </w:rPr>
      </w:pPr>
      <w:bookmarkStart w:id="64" w:name="_Toc190951814"/>
      <w:r w:rsidRPr="0080518D">
        <w:rPr>
          <w:lang w:bidi="en-US"/>
        </w:rPr>
        <w:t>3.3.10 Statistical Analysis</w:t>
      </w:r>
      <w:bookmarkEnd w:id="64"/>
    </w:p>
    <w:p w14:paraId="428C2719" w14:textId="615D7987" w:rsidR="0080518D" w:rsidRDefault="0080518D" w:rsidP="0080518D">
      <w:pPr>
        <w:rPr>
          <w:lang w:bidi="en-US"/>
        </w:rPr>
      </w:pPr>
      <w:r w:rsidRPr="0080518D">
        <w:rPr>
          <w:lang w:bidi="en-US"/>
        </w:rPr>
        <w:t xml:space="preserve">All statistical analysis was performed in JMP Pro 16.0.0. Regression analysis was performed using Standard Least Squares fit with Effect Leverage emphasis. P-values were calculated from the t-statistic using a two-tailed test. A confidence level of 95% was used for all tests, corresponding to α = 0.05. One-way ANOVA was performed on mechanical properties data to identify statistically different data sets. The Tukey-Kramer test was used as the post-hoc analysis method. Multivariate analysis was performed to determine correlation coefficients between variable pairs.  </w:t>
      </w:r>
    </w:p>
    <w:p w14:paraId="32C32AF8" w14:textId="77777777" w:rsidR="0080518D" w:rsidRDefault="0080518D" w:rsidP="0080518D">
      <w:pPr>
        <w:rPr>
          <w:lang w:bidi="en-US"/>
        </w:rPr>
      </w:pPr>
    </w:p>
    <w:p w14:paraId="15178DF9" w14:textId="31649F73" w:rsidR="0080518D" w:rsidRDefault="0080518D" w:rsidP="0080518D">
      <w:pPr>
        <w:pStyle w:val="MajorHeadings"/>
        <w:rPr>
          <w:lang w:bidi="en-US"/>
        </w:rPr>
      </w:pPr>
      <w:bookmarkStart w:id="65" w:name="_Toc190951815"/>
      <w:r>
        <w:rPr>
          <w:lang w:bidi="en-US"/>
        </w:rPr>
        <w:t>3.4 Conclusions</w:t>
      </w:r>
      <w:bookmarkEnd w:id="65"/>
      <w:r>
        <w:rPr>
          <w:lang w:bidi="en-US"/>
        </w:rPr>
        <w:t xml:space="preserve"> </w:t>
      </w:r>
    </w:p>
    <w:p w14:paraId="7E43D133" w14:textId="07CF37BB" w:rsidR="007D148E" w:rsidRDefault="0080518D" w:rsidP="0080518D">
      <w:pPr>
        <w:rPr>
          <w:lang w:bidi="en-US"/>
        </w:rPr>
      </w:pPr>
      <w:r w:rsidRPr="0080518D">
        <w:rPr>
          <w:lang w:bidi="en-US"/>
        </w:rPr>
        <w:t xml:space="preserve">This research investigated the feasibility of mechanically recycling paper fiber-reinforced polypropylene composites using industrially relevant methods. Paper composite laminates were size-reduced and compounded with virgin polypropylene to produce an injection molding compound. This material was then injection molded under various processing conditions to explore the optimal processing parameter windows. The impact </w:t>
      </w:r>
      <w:r w:rsidRPr="0080518D">
        <w:rPr>
          <w:lang w:bidi="en-US"/>
        </w:rPr>
        <w:lastRenderedPageBreak/>
        <w:t>of these processing parameters on the thermal, mechanical, and water uptake properties of the resulting composites was studied. Our findings indicate that processing temperature has the most significant impact on the material properties. Higher processing temperatures increased crystallinity, potentially due to a decrease in polypropylene molecular weight through chain scission. Additionally, higher processing temperatures resulted in increased degradation of the paper fibers, negatively impacting the mechanical performance of the composite. The injection rate had a less significant impact on the material properties than processing temperature; however, increasing the injection rate did appear to damage the paper fibers via shear effects. Neither the composites' water uptake nor thermal stability changed as a function of processing conditions. The mechanical strength of the composite decreased with increasing processing temperature. However, the mechanism was different for tensile and flexural behavior. Tensile strength decreased linearly, while flexural strength remained constant until a temperature threshold was exceeded. Neither tensile nor flexural stiffness changed significantly as a function of processing conditions. Ultimately, the results of this research demonstrate a high potential for mechanical recycling of the paper fiber-reinforced polypropylene composites into an automotive grade injection molding compound and that the material system has a wide injection molding processing window. Under the optimal conditions identified in this work, the tensile strength, flexural strength, and tensile modulus of our recyclable paper fiber-reinforced polypropylene composites were 70% to 220% higher than for the unfilled PP or talc-filled PP.</w:t>
      </w:r>
    </w:p>
    <w:p w14:paraId="3399BF5A" w14:textId="77777777" w:rsidR="007D148E" w:rsidRDefault="007D148E">
      <w:pPr>
        <w:spacing w:after="160" w:line="259" w:lineRule="auto"/>
        <w:ind w:firstLine="0"/>
        <w:jc w:val="left"/>
        <w:rPr>
          <w:lang w:bidi="en-US"/>
        </w:rPr>
      </w:pPr>
      <w:r>
        <w:rPr>
          <w:lang w:bidi="en-US"/>
        </w:rPr>
        <w:br w:type="page"/>
      </w:r>
    </w:p>
    <w:p w14:paraId="5503E11B" w14:textId="252C9E2A" w:rsidR="007D148E" w:rsidRPr="007D148E" w:rsidRDefault="007D148E" w:rsidP="00F037FF">
      <w:pPr>
        <w:pStyle w:val="Heading1"/>
        <w:ind w:firstLine="0"/>
        <w:rPr>
          <w:lang w:bidi="en-US"/>
        </w:rPr>
      </w:pPr>
      <w:bookmarkStart w:id="66" w:name="_Toc190951816"/>
      <w:r>
        <w:rPr>
          <w:lang w:bidi="en-US"/>
        </w:rPr>
        <w:lastRenderedPageBreak/>
        <w:t xml:space="preserve">Chapter </w:t>
      </w:r>
      <w:r w:rsidR="00C516CB">
        <w:rPr>
          <w:lang w:bidi="en-US"/>
        </w:rPr>
        <w:t>4</w:t>
      </w:r>
      <w:r w:rsidR="00F037FF">
        <w:rPr>
          <w:lang w:bidi="en-US"/>
        </w:rPr>
        <w:br/>
      </w:r>
      <w:r w:rsidRPr="007D148E">
        <w:rPr>
          <w:lang w:bidi="en-US"/>
        </w:rPr>
        <w:t>Life Cycle Assessment of Paper-Based Composites as Replacement for an Injection Molded Polypropylene Automotive Door Component</w:t>
      </w:r>
      <w:bookmarkEnd w:id="66"/>
    </w:p>
    <w:p w14:paraId="165E30E9" w14:textId="3687231A" w:rsidR="007D148E" w:rsidRDefault="007D148E">
      <w:pPr>
        <w:spacing w:after="160" w:line="259" w:lineRule="auto"/>
        <w:ind w:firstLine="0"/>
        <w:jc w:val="left"/>
        <w:rPr>
          <w:lang w:bidi="en-US"/>
        </w:rPr>
      </w:pPr>
      <w:r>
        <w:rPr>
          <w:lang w:bidi="en-US"/>
        </w:rPr>
        <w:br w:type="page"/>
      </w:r>
    </w:p>
    <w:p w14:paraId="795A68B8" w14:textId="77777777" w:rsidR="007D148E" w:rsidRPr="007D148E" w:rsidRDefault="007D148E" w:rsidP="007D148E">
      <w:pPr>
        <w:rPr>
          <w:lang w:bidi="en-US"/>
        </w:rPr>
      </w:pPr>
    </w:p>
    <w:p w14:paraId="767BACEE" w14:textId="7F9E9E32" w:rsidR="007D148E" w:rsidRPr="007D148E" w:rsidRDefault="007D148E" w:rsidP="007D148E">
      <w:pPr>
        <w:ind w:firstLine="0"/>
        <w:rPr>
          <w:lang w:bidi="en-US"/>
        </w:rPr>
      </w:pPr>
      <w:r w:rsidRPr="007D148E">
        <w:rPr>
          <w:lang w:bidi="en-US"/>
        </w:rPr>
        <w:t xml:space="preserve">Note: </w:t>
      </w:r>
      <w:r w:rsidRPr="007D148E">
        <w:rPr>
          <w:highlight w:val="yellow"/>
          <w:lang w:bidi="en-US"/>
        </w:rPr>
        <w:t xml:space="preserve">This chapter is submitted for publication…? Citation: </w:t>
      </w:r>
      <w:r w:rsidRPr="007D148E">
        <w:rPr>
          <w:b/>
          <w:bCs/>
          <w:highlight w:val="yellow"/>
          <w:lang w:bidi="en-US"/>
        </w:rPr>
        <w:t>TBD</w:t>
      </w:r>
    </w:p>
    <w:p w14:paraId="1CB6CC8A" w14:textId="77777777" w:rsidR="0080518D" w:rsidRPr="0080518D" w:rsidRDefault="0080518D" w:rsidP="0080518D">
      <w:pPr>
        <w:rPr>
          <w:lang w:bidi="en-US"/>
        </w:rPr>
      </w:pPr>
    </w:p>
    <w:p w14:paraId="27FC40D4" w14:textId="13A8E877" w:rsidR="0080518D" w:rsidRPr="007D148E" w:rsidRDefault="007D148E" w:rsidP="007D148E">
      <w:pPr>
        <w:pStyle w:val="MajorHeadings"/>
        <w:rPr>
          <w:lang w:bidi="en-US"/>
        </w:rPr>
      </w:pPr>
      <w:bookmarkStart w:id="67" w:name="_Toc190951817"/>
      <w:r>
        <w:rPr>
          <w:lang w:bidi="en-US"/>
        </w:rPr>
        <w:t>Abstract</w:t>
      </w:r>
      <w:bookmarkEnd w:id="67"/>
    </w:p>
    <w:p w14:paraId="15F4395C" w14:textId="77777777" w:rsidR="009165A6" w:rsidRDefault="007D148E" w:rsidP="009165A6">
      <w:pPr>
        <w:ind w:firstLine="0"/>
        <w:rPr>
          <w:rFonts w:eastAsia="SimSun"/>
          <w:kern w:val="2"/>
          <w:sz w:val="22"/>
          <w:szCs w:val="22"/>
          <w14:ligatures w14:val="standardContextual"/>
        </w:rPr>
      </w:pPr>
      <w:r w:rsidRPr="007D148E">
        <w:t>This study investigated the life cycle greenhouse gas (GHG) emissions of paper fiber-reinforced polypropylene as an alternative to talc-reinforced polypropylene (PP-TD5) in automotive door panels. Cradle-to-gate scenarios included a baseline reflecting current U.S. manufacturing practices, as well as scenarios utilizing renewable energy and recycled feedstocks. In the baseline, paper-based composites reduced GHG emissions by 35-40% compared to PP-TD5 panels, with reductions reaching up to 74% when renewable energy was employed. Substituting recycled post-consumer polypropylene into PP-TD5 could make it competitive in emissions if renewable energy is not used. Extending the analysis to the vehicle use-phase showed paper composites can further reduce emissions through weight savings, particularly in internal combustion vehicles. However, over the full lifecycle, paper composites demonstrated greater GHG reduction potential in battery electric vehicles, where manufacturing emissions dominate. These results underscore the role of lightweighting, renewable materials, and green energy in reducing the automotive industry’s carbon footprint.</w:t>
      </w:r>
      <w:r w:rsidR="009165A6" w:rsidRPr="009165A6">
        <w:rPr>
          <w:rFonts w:eastAsia="SimSun"/>
          <w:kern w:val="2"/>
          <w:sz w:val="22"/>
          <w:szCs w:val="22"/>
          <w14:ligatures w14:val="standardContextual"/>
        </w:rPr>
        <w:t xml:space="preserve"> </w:t>
      </w:r>
    </w:p>
    <w:p w14:paraId="6595CD7B" w14:textId="58D9F525" w:rsidR="00195CAD" w:rsidRDefault="007D148E" w:rsidP="007D148E">
      <w:pPr>
        <w:ind w:firstLine="0"/>
      </w:pPr>
      <w:r>
        <w:t xml:space="preserve">Keywords: </w:t>
      </w:r>
      <w:r w:rsidRPr="007D148E">
        <w:t>Life cycle analysis (LCA), automotive, vehicle lightweighting, natural fiber composites</w:t>
      </w:r>
    </w:p>
    <w:p w14:paraId="6685B38D" w14:textId="77777777" w:rsidR="009165A6" w:rsidRDefault="009165A6" w:rsidP="007D148E">
      <w:pPr>
        <w:ind w:firstLine="0"/>
      </w:pPr>
    </w:p>
    <w:p w14:paraId="2322D134" w14:textId="6F37AB6C" w:rsidR="007D148E" w:rsidRDefault="007D148E" w:rsidP="009165A6">
      <w:pPr>
        <w:pStyle w:val="MajorHeadings"/>
        <w:numPr>
          <w:ilvl w:val="1"/>
          <w:numId w:val="1"/>
        </w:numPr>
      </w:pPr>
      <w:bookmarkStart w:id="68" w:name="_Toc190951818"/>
      <w:r>
        <w:t>Introduction</w:t>
      </w:r>
      <w:bookmarkEnd w:id="68"/>
    </w:p>
    <w:p w14:paraId="07906F3B" w14:textId="4AD6BD7A" w:rsidR="009165A6" w:rsidRDefault="009165A6" w:rsidP="009165A6">
      <w:r w:rsidRPr="009165A6">
        <w:t xml:space="preserve">The automotive industry faces growing pressure to curb greenhouse gas (GHG) emissions and reduce reliance on fossil fuels. Initial efforts to reduce carbon emissions have focused on vehicle electrification, as the use phase of internal combustion engine vehicles (ICEVs) has historically accounted for up to 90% of GHG emissions </w:t>
      </w:r>
      <w:r w:rsidRPr="009165A6">
        <w:fldChar w:fldCharType="begin"/>
      </w:r>
      <w:r w:rsidRPr="009165A6">
        <w:instrText xml:space="preserve"> ADDIN ZOTERO_ITEM CSL_CITATION {"citationID":"0Ye4SFCp","properties":{"formattedCitation":"[121]","plainCitation":"[121]","noteIndex":0},"citationItems":[{"id":"GrEn1h2x/ierbQoHJ","uris":["http://zotero.org/users/local/atKPBTT7/items/KKDTEY8S"],"itemData":{"id":91,"type":"article-journal","abstract":"Lightweight materials have the potential to reduce vehicle fuel consumption and emissions. This study critically reviews Life Cycle Assessment (LCA) studies focused on lightweight materials (Advanced and High-Strength Steels (A/HSS), Aluminium (Al), Magnesium (Mg), and composites) for automotive chassis and body-in-white components, to identify the materials with the lowest environmental impacts, trends and improvement opportunities. Since most impacts are associated with the vehicle use-stage (due to fossil fuel consumption), lightweight materials have environmental benefits in a cradle-to-grave approach. Greenhouse gas (GHG) emissions and energy consumption are the most reported impact categories. Several studies simplify their inventory and overuse assumptions, which lead to higher results uncertainty. In addition, the primary and secondary mass reductions, recycling rates and driven distances have been identified as crucial hotspots. A/HSS is identified as the most preferable lightweight material, followed by Al. However, there is a lack of scientific consensus. To formulate sound conclusions, this review recommends that future studies should present clearer inventory data, GHG break-even driving distances, uncertainty and/or sensitivity analysis, as well as consider secondary mass reductions and assess other impact categories to unveil more hotspots for improvements. When substantial technology change is assumed, consequential LCA should be used to assess the predictive market uptake.","container-title":"Energy Reports","DOI":"10.1016/j.egyr.2022.01.067","ISSN":"23524847","journalAbbreviation":"Energy Reports","language":"en","page":"338-345","source":"DOI.org (Crossref)","title":"Life Cycle Assessment studies on lightweight materials for automotive applications - An overview","volume":"8","author":[{"family":"Gonçalves","given":"Margarida"},{"family":"Monteiro","given":"Helena"},{"family":"Iten","given":"Muriel"}],"issued":{"date-parts":[["2022",6]]}}}],"schema":"https://github.com/citation-style-language/schema/raw/master/csl-citation.json"} </w:instrText>
      </w:r>
      <w:r w:rsidRPr="009165A6">
        <w:fldChar w:fldCharType="separate"/>
      </w:r>
      <w:r w:rsidRPr="009165A6">
        <w:t>[121]</w:t>
      </w:r>
      <w:r w:rsidRPr="009165A6">
        <w:fldChar w:fldCharType="end"/>
      </w:r>
      <w:r w:rsidRPr="009165A6">
        <w:t>. However, shifting vehicle fuel source alone cannot enable the net-zero carbon emissions goal of the automotive industry, as raw material production and energy consumption during vehicle manufacturing still account for a non-trivial amount of carbon dioxide (CO</w:t>
      </w:r>
      <w:r w:rsidRPr="009165A6">
        <w:rPr>
          <w:vertAlign w:val="subscript"/>
        </w:rPr>
        <w:t>2</w:t>
      </w:r>
      <w:r w:rsidRPr="009165A6">
        <w:t xml:space="preserve">) </w:t>
      </w:r>
      <w:r w:rsidRPr="009165A6">
        <w:lastRenderedPageBreak/>
        <w:t xml:space="preserve">production, currently estimated at 14% for ICEVs and 41% for battery electric vehicles (BEVs) </w:t>
      </w:r>
      <w:r w:rsidRPr="009165A6">
        <w:fldChar w:fldCharType="begin"/>
      </w:r>
      <w:r w:rsidRPr="009165A6">
        <w:instrText xml:space="preserve"> ADDIN ZOTERO_ITEM CSL_CITATION {"citationID":"eG5jPU2H","properties":{"formattedCitation":"[122]","plainCitation":"[122]","noteIndex":0},"citationItems":[{"id":"GrEn1h2x/W0LuUtOE","uris":["http://zotero.org/users/local/atKPBTT7/items/3XGAMMML"],"itemData":{"id":242,"type":"report","event-place":"Paris","publisher":"IEA","publisher-place":"Paris","title":"Comparative life-cycle greenhouse gas emissions of a mid-size BEV and ICE vehicle","URL":"https://www.iea.org/data-and-statistics/charts/comparative-life-cycle-greenhouse-gas-emissions-of-a-mid-size-bev-and-ice-vehicle","author":[{"family":"IEA","given":""}],"issued":{"date-parts":[["2021"]]}}}],"schema":"https://github.com/citation-style-language/schema/raw/master/csl-citation.json"} </w:instrText>
      </w:r>
      <w:r w:rsidRPr="009165A6">
        <w:fldChar w:fldCharType="separate"/>
      </w:r>
      <w:r w:rsidRPr="009165A6">
        <w:t>[122]</w:t>
      </w:r>
      <w:r w:rsidRPr="009165A6">
        <w:fldChar w:fldCharType="end"/>
      </w:r>
      <w:r w:rsidRPr="009165A6">
        <w:t xml:space="preserve">. This fraction of the carbon footprint is expected to increase dramatically, with raw materials alone projected to account for 60% of the carbon footprint of a vehicle by 2040, as the use-phase GHG emissions decrease </w:t>
      </w:r>
      <w:r w:rsidRPr="009165A6">
        <w:fldChar w:fldCharType="begin"/>
      </w:r>
      <w:r w:rsidRPr="009165A6">
        <w:instrText xml:space="preserve"> ADDIN ZOTERO_ITEM CSL_CITATION {"citationID":"x76jAJUH","properties":{"formattedCitation":"[123]","plainCitation":"[123]","noteIndex":0},"citationItems":[{"id":"GrEn1h2x/oxaYSPKR","uris":["http://zotero.org/users/local/atKPBTT7/items/VTEJALCI"],"itemData":{"id":93,"type":"document","language":"en","publisher":"McKinsey &amp; Company","source":"Zotero","title":"The zero-carbon car: Abating material emissions is next on the agenda","author":[{"family":"Hannon","given":"Eric"},{"family":"Nauclér","given":"Tomas"},{"family":"Suneson","given":"Anders"},{"family":"Yüksel","given":"Fehmi"}],"issued":{"date-parts":[["2020",9]]}}}],"schema":"https://github.com/citation-style-language/schema/raw/master/csl-citation.json"} </w:instrText>
      </w:r>
      <w:r w:rsidRPr="009165A6">
        <w:fldChar w:fldCharType="separate"/>
      </w:r>
      <w:r w:rsidRPr="009165A6">
        <w:t>[123]</w:t>
      </w:r>
      <w:r w:rsidRPr="009165A6">
        <w:fldChar w:fldCharType="end"/>
      </w:r>
      <w:r w:rsidRPr="009165A6">
        <w:t>. Consequently, the industry faces a growing demand for low-carbon materials and manufacturing techniques to replace conventional options, helping reduce the overall lifecycle emissions of vehicles.</w:t>
      </w:r>
    </w:p>
    <w:p w14:paraId="4F6E5743" w14:textId="5F47D0B2" w:rsidR="009165A6" w:rsidRPr="009165A6" w:rsidRDefault="009165A6" w:rsidP="009165A6">
      <w:r w:rsidRPr="009165A6">
        <w:t xml:space="preserve">Much of the research into reducing vehicle carbon footprint has focused on lightweighting metal components in the structural elements of a car. These include the chassis, frame, door panels, hood, and other components that must meet stringent crashworthiness requirements </w:t>
      </w:r>
      <w:r w:rsidRPr="009165A6">
        <w:fldChar w:fldCharType="begin"/>
      </w:r>
      <w:r>
        <w:instrText xml:space="preserve"> ADDIN ZOTERO_ITEM CSL_CITATION {"citationID":"sA7Jki9v","properties":{"formattedCitation":"[124,125]","plainCitation":"[124,125]","noteIndex":0},"citationItems":[{"id":"GrEn1h2x/2QSTP3cP","uris":["http://zotero.org/users/local/atKPBTT7/items/7Z95P5GW"],"itemData":{"id":98,"type":"chapter","container-title":"New Trends and Developments in Automotive Industry","ISBN":"978-953-307-999-8","language":"en","note":"DOI: 10.5772/13286","publisher":"InTech","source":"DOI.org (Crossref)","title":"Materials in Automotive Application, State of the Art and Prospects","URL":"http://www.intechopen.com/books/new-trends-and-developments-in-automotive-industry/materials-in-automotive-application-state-of-the-art-and-prospects","editor":[{"family":"Chiaberge","given":"Marcello"}],"author":[{"family":"Ghassemieh","given":"Elaheh"}],"accessed":{"date-parts":[["2024",9,10]]},"issued":{"date-parts":[["2011",1,8]]}}},{"id":"GrEn1h2x/lVnEvAN0","uris":["http://zotero.org/users/local/atKPBTT7/items/UXKW3MK6"],"itemData":{"id":95,"type":"article-journal","abstract":"The car industry uses a tremendous number of materials to build cars, including iron, aluminum, steel, glass, rubber, petroleum products, copper, steel and others. These materials have evolved greatly over the decades, becoming more sophisticated, better built, and safer. They've changed as new automotive manufacturing technologies have emerged over the years, and they're used in increasingly innovative ways. This article is devoted to systematization information on the introduction and application of modern materials in the automotive industry.","container-title":"Journal of Engineering Sciences","DOI":"10.21272/jes.2017.4(2).f8","ISSN":"23122498, 24149381","issue":"2","journalAbbreviation":"JES","language":"en","page":"f8-f18","source":"DOI.org (Crossref)","title":"Modern materials for automotive industry","volume":"4","author":[{"family":"Hovorun","given":"T. P."},{"family":"Berladir","given":"K. V."},{"family":"Pererva","given":"V. I."},{"family":"Rudenko","given":"S. G."},{"family":"Martynov","given":"A. I."}],"issued":{"date-parts":[["2017"]]}}}],"schema":"https://github.com/citation-style-language/schema/raw/master/csl-citation.json"} </w:instrText>
      </w:r>
      <w:r w:rsidRPr="009165A6">
        <w:fldChar w:fldCharType="separate"/>
      </w:r>
      <w:r w:rsidRPr="009165A6">
        <w:t>[124,125]</w:t>
      </w:r>
      <w:r w:rsidRPr="009165A6">
        <w:fldChar w:fldCharType="end"/>
      </w:r>
      <w:r w:rsidRPr="009165A6">
        <w:t xml:space="preserve">. These structures comprise up to 80% of a passenger vehicle’s mass and, therefore, play a major role in fuel consumption during use-phase </w:t>
      </w:r>
      <w:r w:rsidRPr="009165A6">
        <w:fldChar w:fldCharType="begin"/>
      </w:r>
      <w:r>
        <w:instrText xml:space="preserve"> ADDIN ZOTERO_ITEM CSL_CITATION {"citationID":"UnII4TKk","properties":{"formattedCitation":"[126,127]","plainCitation":"[126,127]","noteIndex":0},"citationItems":[{"id":"GrEn1h2x/WFH2k8mF","uris":["http://zotero.org/users/local/atKPBTT7/items/Y3Y3BF8M"],"itemData":{"id":166,"type":"article-journal","container-title":"International Journal of Global Warming","DOI":"10.1504/IJGW.2018.093125","ISSN":"1758-2083, 1758-2091","issue":"3","journalAbbreviation":"IJGW","language":"en","page":"350","source":"DOI.org (Crossref)","title":"A comparative life cycle assessment based evaluation of greenhouse gas emission and social study: natural fibre versus glass fibre reinforced plastic automotive parts","title-short":"A comparative life cycle assessment based evaluation of greenhouse gas emission and social study","volume":"15","author":[{"family":"Akhshik","given":"Masoud"},{"family":"Panthapulakkal","given":"Suhara"},{"family":"Tjong","given":"Jimi"},{"family":"Sain","given":"Mohini"}],"issued":{"date-parts":[["2018"]]}}},{"id":"GrEn1h2x/XyqNdaDP","uris":["http://zotero.org/users/local/atKPBTT7/items/XW579EUE"],"itemData":{"id":162,"type":"article-journal","abstract":"Abstract\n            Elaborated shapes of many car components are the reason for which the use of casting techniques to fabricate them is a solution well founded from the economical point of view. Currently applicable regulatory requirements concerning emissions of exhaust fumes force the carmakers to reduce the overall weight of their products, as this is a basic precondition for reducing fuel consumption. As a result, newly launched car models contain a continuously increasing share of thin-walled castings made of materials which ensure a satisfactory level of service properties. At the same time, developing new technological processes allowing to extend the service life of individual components by means of surface improving becomes more and more important.","container-title":"Archives of Foundry Engineering","DOI":"10.1515/afe-2015-0042","ISSN":"2299-2944","issue":"2","license":"http://creativecommons.org/licenses/by-nc-nd/3.0/","page":"75-78","source":"DOI.org (Crossref)","title":"Materials Used in the Automotive Industry","volume":"15","author":[{"family":"Orłowicz","given":"A.W."},{"family":"Mróz","given":"M."},{"family":"Tupaj","given":"M."},{"family":"Trytek","given":"A."}],"issued":{"date-parts":[["2015",6,1]]}}}],"schema":"https://github.com/citation-style-language/schema/raw/master/csl-citation.json"} </w:instrText>
      </w:r>
      <w:r w:rsidRPr="009165A6">
        <w:fldChar w:fldCharType="separate"/>
      </w:r>
      <w:r w:rsidRPr="009165A6">
        <w:t>[126,127]</w:t>
      </w:r>
      <w:r w:rsidRPr="009165A6">
        <w:fldChar w:fldCharType="end"/>
      </w:r>
      <w:r w:rsidRPr="009165A6">
        <w:t xml:space="preserve">. Industry guidelines indicate that a 10% reduction in vehicle mass can improve fuel economy by 6% in ICEVs and increase driving range by 14% in BEVs </w:t>
      </w:r>
      <w:r w:rsidRPr="009165A6">
        <w:fldChar w:fldCharType="begin"/>
      </w:r>
      <w:r>
        <w:instrText xml:space="preserve"> ADDIN ZOTERO_ITEM CSL_CITATION {"citationID":"Kbw0rwI8","properties":{"formattedCitation":"[128]","plainCitation":"[128]","noteIndex":0},"citationItems":[{"id":"GrEn1h2x/BdIgT4Du","uris":["http://zotero.org/users/local/atKPBTT7/items/X7BSFPSB"],"itemData":{"id":101,"type":"article-journal","abstract":"In this age of global warming, the automotive industry is seeking to minimize the energy required to manufacture and operate its products without sacrificing performance and safety or increasing cost. Toward this end, whether cars and trucks are powered by internal-combustion engines or batteries, lowering vehicle weight is a major contributor to reducing energy consumption by increasing fuel efficiency. “The industry is driven by fuel efficiency,” said David Matlock of the Colorado School of Mines, who has helped develop advanced high-strength steels (AHSSs) used in autos.","container-title":"MRS Bulletin","DOI":"10.1557/mrs.2019.298","ISSN":"0883-7694, 1938-1425","issue":"12","journalAbbreviation":"MRS Bull.","language":"en","license":"https://www.cambridge.org/core/terms","page":"920-923","source":"DOI.org (Crossref)","title":"Fuel efficiency drives the auto industry to reduce vehicle weight","volume":"44","author":[{"family":"Robinson","given":"Arthur L."},{"family":"Taub","given":"Alan I."},{"family":"Keoleian","given":"Gregory A."}],"issued":{"date-parts":[["2019",12]]}}}],"schema":"https://github.com/citation-style-language/schema/raw/master/csl-citation.json"} </w:instrText>
      </w:r>
      <w:r w:rsidRPr="009165A6">
        <w:fldChar w:fldCharType="separate"/>
      </w:r>
      <w:r w:rsidRPr="009165A6">
        <w:t>[128]</w:t>
      </w:r>
      <w:r w:rsidRPr="009165A6">
        <w:fldChar w:fldCharType="end"/>
      </w:r>
      <w:r w:rsidRPr="009165A6">
        <w:t xml:space="preserve">. Replacing steel with lighter materials like aluminum or magnesium can reduce vehicle weight while maintaining necessary mechanical properties. For instance, Bushi et al. </w:t>
      </w:r>
      <w:r w:rsidRPr="009165A6">
        <w:fldChar w:fldCharType="begin"/>
      </w:r>
      <w:r>
        <w:instrText xml:space="preserve"> ADDIN ZOTERO_ITEM CSL_CITATION {"citationID":"0aApATmh","properties":{"formattedCitation":"(Bushi et al., 2019)","plainCitation":"(Bushi et al., 2019)","dontUpdate":true,"noteIndex":0},"citationItems":[{"id":"GrEn1h2x/UAJA90Qh","uris":["http://zotero.org/users/local/atKPBTT7/items/C3LVA6FG"],"itemData":{"id":103,"type":"article-journal","abstract":"Purpose Magna International Inc. (Magna), in cooperation with the United States Department of Energy (U.S. DOE) and partners FCA US LLC (FCA US) and Grupo Antolin North America, Inc., developed a new state of the art Ultralight door design in 2017 that achieved a 40% overall mass reduction compared to the Baseline door. The purpose of this comparative life cycle assessment (LCA) study is to provide quantitative information about the potential life cycle environmental performance of the new Ultralight door parts compared to the conventional door parts of the 2016 Chrysler 200C (the Baseline), built and driven for 250,000 km in North America (NA).\nMethods This LCA study of Magna’s Ultralight door innovation is conducted in accordance with the International Organization for Standardization (ISO) standards 14040 series and follows the specific rules and requirements provided in the Canadian Standards Association (CSA) Group guidelines for conducting LCA of auto parts incorporating weight changes due to material composition, manufacturing technology, or part geometry. This guidance establishes auto-sectorspecific technical parameters and LCA calculation rules and requirements for conducting comparative LCA studies for auto parts in NA.\nResults and discussion Life cycle global warming potential (GWP) and total primary energy demand (TPE) of the Ultralight auto doors (with powertrain, P/T adaptation) are 6.0 g carbon dioxide, CO2 eq/km, and 86 kJ/km lower than that of the Baseline, respectively. Life cycle GWP and TPE of the Ultralight auto doors (no P/T adaptation) are 2.8 g CO2 eq/km and 40 kJ/km lower than that of the Baseline, respectively. The Bvehicle strategic systems^ (with P/T adaptation) lightweighting approach shows the lowest potential environmental impacts compared to the Baseline in all selected LCA indicators.\nConclusions Overall, the innovative aluminum-intensive door design architecture provides a substantial mass reduction for the driver’s side door (15.2 kg), which results in a potential mass reduction of 49.5 kg for a 4-door vehicle versus its Baseline 4-door. The ISO 14040 series and CSA Group Guidance conformance LCA results of the Ultralight door designs (no P/T and with P/T adaptation) show lower potential environmental impacts due to lightweighting compared to the Baseline, both built and driven for 250,000 km in NA, in terms of all selected LCA indicators.","container-title":"The International Journal of Life Cycle Assessment","DOI":"10.1007/s11367-018-1515-z","ISSN":"0948-3349, 1614-7502","issue":"2","journalAbbreviation":"Int J Life Cycle Assess","language":"en","page":"310-323","source":"DOI.org (Crossref)","title":"New ultralight automotive door life cycle assessment","volume":"24","author":[{"family":"Bushi","given":"Lindita"},{"family":"Skszek","given":"Tim"},{"family":"Reaburn","given":"Timothy"}],"issued":{"date-parts":[["2019",2]]}}}],"schema":"https://github.com/citation-style-language/schema/raw/master/csl-citation.json"} </w:instrText>
      </w:r>
      <w:r w:rsidRPr="009165A6">
        <w:fldChar w:fldCharType="separate"/>
      </w:r>
      <w:r w:rsidRPr="009165A6">
        <w:t>(2019)</w:t>
      </w:r>
      <w:r w:rsidRPr="009165A6">
        <w:fldChar w:fldCharType="end"/>
      </w:r>
      <w:r w:rsidRPr="009165A6">
        <w:t xml:space="preserve"> found that redesigning a midsize sedan's door panel from a "mild steel-intensive" to an "aluminum-intensive" design reduced vehicle weight by 49.5 kg, with a corresponding reduction in global warming potential (GWP) of 1,511 kg CO</w:t>
      </w:r>
      <w:r w:rsidRPr="009165A6">
        <w:rPr>
          <w:vertAlign w:val="subscript"/>
        </w:rPr>
        <w:t>2</w:t>
      </w:r>
      <w:r w:rsidRPr="009165A6">
        <w:t>-eq. over the vehicle’s lifecycle, assuming suitable powertrain adjustments.</w:t>
      </w:r>
      <w:r w:rsidRPr="009165A6">
        <w:rPr>
          <w:b/>
          <w:bCs/>
        </w:rPr>
        <w:t xml:space="preserve"> </w:t>
      </w:r>
      <w:r w:rsidRPr="009165A6">
        <w:t xml:space="preserve">Similarly, Kim et al. </w:t>
      </w:r>
      <w:r w:rsidRPr="009165A6">
        <w:fldChar w:fldCharType="begin"/>
      </w:r>
      <w:r>
        <w:instrText xml:space="preserve"> ADDIN ZOTERO_ITEM CSL_CITATION {"citationID":"lHRQ9hO5","properties":{"formattedCitation":"(Kim et al., 2011)","plainCitation":"(Kim et al., 2011)","dontUpdate":true,"noteIndex":0},"citationItems":[{"id":"GrEn1h2x/dXOuBfjZ","uris":["http://zotero.org/users/local/atKPBTT7/items/5WC5Y5K4"],"itemData":{"id":125,"type":"article-journal","container-title":"Journal of Industrial Ecology","DOI":"10.1111/j.1530-9290.2010.00288.x","ISSN":"10881980","issue":"1","language":"en","license":"http://doi.wiley.com/10.1002/tdm_license_1.1","page":"64-80","source":"DOI.org (Crossref)","title":"Economic Assessment of Greenhouse Gas Emissions Reduction by Vehicle Lightweighting Using Aluminum and High-Strength Steel","volume":"15","author":[{"family":"Kim","given":"Hyung-Ju"},{"family":"Keoleian","given":"Gregory A."},{"family":"Skerlos","given":"Steven J."}],"issued":{"date-parts":[["2011",2]]}}}],"schema":"https://github.com/citation-style-language/schema/raw/master/csl-citation.json"} </w:instrText>
      </w:r>
      <w:r w:rsidRPr="009165A6">
        <w:fldChar w:fldCharType="separate"/>
      </w:r>
      <w:r w:rsidRPr="009165A6">
        <w:t>(2011)</w:t>
      </w:r>
      <w:r w:rsidRPr="009165A6">
        <w:fldChar w:fldCharType="end"/>
      </w:r>
      <w:r w:rsidRPr="009165A6">
        <w:t xml:space="preserve"> reported that replacing mild steel with aluminum or high-strength steel could save between 1,920 and 9,026 kg CO</w:t>
      </w:r>
      <w:r w:rsidRPr="009165A6">
        <w:rPr>
          <w:bCs/>
          <w:vertAlign w:val="subscript"/>
        </w:rPr>
        <w:t>2</w:t>
      </w:r>
      <w:r w:rsidRPr="009165A6">
        <w:t>-eq., depending on the amount of mild steel replaced. However, their study showed these replacements significantly increase vehicle manufacturing costs due to the added material and manufacturing expenses. They estimated that the cost of GHG savings ranges between $148 and $579 per metric ton of CO₂-eq., based on the degree of mild steel replacement.</w:t>
      </w:r>
    </w:p>
    <w:p w14:paraId="571696A2" w14:textId="3C0778DA" w:rsidR="009165A6" w:rsidRPr="009165A6" w:rsidRDefault="009165A6" w:rsidP="009165A6">
      <w:r w:rsidRPr="009165A6">
        <w:t xml:space="preserve">A potentially more cost-efficient approach to reducing vehicle lifecycle GHG emissions is the use of natural fiber-reinforced composites (NFRCs). NFRCs offer high stiffness, good specific strength, and lower costs compared to traditional composite reinforcements like carbon or glass fiber </w:t>
      </w:r>
      <w:r w:rsidRPr="009165A6">
        <w:fldChar w:fldCharType="begin"/>
      </w:r>
      <w:r>
        <w:instrText xml:space="preserve"> ADDIN ZOTERO_ITEM CSL_CITATION {"citationID":"h8asESdO","properties":{"formattedCitation":"[131,132]","plainCitation":"[131,132]","noteIndex":0},"citationItems":[{"id":"GrEn1h2x/v2ZESYJF","uris":["http://zotero.org/users/local/atKPBTT7/items/MTR8TXXG"],"itemData":{"id":132,"type":"article-journal","abstract":"Automotive industries have l been trying to shift towards cellulosic based composites because of their properties like high modulus, high strength, ease of modiﬁcation, less pollution, light weight, etc,. These natural/cellulosic ﬁbers are abundantly available in nature in the form agricultural wastes, for example sugarcane bagasse, cotton linter, rice husk, etc,. Natural ﬁbers are now widely used in industries other than automobile due to the above stated advantages. The main impediments of using natural ﬁbers are, 1) thermal stability, 2) compatibility issues and moderate interfacial interaction etc,. This review investigates the potential of cellulosic ﬁber based polymeric composites for automotive application. In particular, this review focuses on the effects of incorporating natural/ cellulosic ﬁbers on the performance of automotive body, anti-roll bar, bumper, leaf Spring, helical spring and gears. Another focus area for this paper was an extensive review on its best applications in the automotive sector, detailed information about the type of ﬁber and their use in the speciﬁc automotive sector is tabulated. It was found that cellulosic/natural ﬁber based polymeric composites can be an efﬁcient alternative for man-made synthetic ﬁbers in the automotive sectors.","container-title":"Journal of Materials Research and Technology","DOI":"10.1016/j.jmrt.2023.06.019","ISSN":"22387854","journalAbbreviation":"Journal of Materials Research and Technology","language":"en","page":"1086-1104","source":"DOI.org (Crossref)","title":"Potential of natural fiber based polymeric composites for cleaner automotive component production -a comprehensive review","volume":"25","author":[{"family":"Dua","given":"Sahib"},{"family":"Khatri","given":"Hardik"},{"family":"Naveen","given":"Jesuarockiam"},{"family":"Jawaid","given":"M."},{"family":"Jayakrishna","given":"K."},{"family":"Norrrahim","given":"M.N.F."},{"family":"Rashedi","given":"Ahmad"}],"issued":{"date-parts":[["2023",7]]}}},{"id":"GrEn1h2x/axXb1AD2","uris":["http://zotero.org/users/local/atKPBTT7/items/3I5NZIUZ"],"itemData":{"id":130,"type":"article-journal","container-title":"Journal of Natural Fibers","DOI":"10.1300/J395v01n03_03","ISSN":"1544-0478, 1544-046X","issue":"3","journalAbbreviation":"Journal of Natural Fibers","language":"en","page":"23-65","source":"DOI.org (Crossref)","title":"A Review on Natural Fibre-Based Composites—Part II: Application of Natural Reinforcements in Composite Materials for Automotive Industry","title-short":"A Review on Natural Fibre-Based Composites—Part II","volume":"1","author":[{"family":"Puglia","given":"D."},{"family":"Biagiotti","given":"J."},{"family":"Kenny","given":"J. M."}],"issued":{"date-parts":[["2005",4,6]]}}}],"schema":"https://github.com/citation-style-language/schema/raw/master/csl-citation.json"} </w:instrText>
      </w:r>
      <w:r w:rsidRPr="009165A6">
        <w:fldChar w:fldCharType="separate"/>
      </w:r>
      <w:r w:rsidRPr="009165A6">
        <w:t>[131,132]</w:t>
      </w:r>
      <w:r w:rsidRPr="009165A6">
        <w:fldChar w:fldCharType="end"/>
      </w:r>
      <w:r w:rsidRPr="009165A6">
        <w:t xml:space="preserve">. As such, many automotive manufacturers have incorporated NFRCs into applications such as seat backs, door panels, </w:t>
      </w:r>
      <w:r w:rsidRPr="009165A6">
        <w:lastRenderedPageBreak/>
        <w:t xml:space="preserve">dashboards, and boot liners </w:t>
      </w:r>
      <w:r w:rsidRPr="009165A6">
        <w:fldChar w:fldCharType="begin"/>
      </w:r>
      <w:r>
        <w:instrText xml:space="preserve"> ADDIN ZOTERO_ITEM CSL_CITATION {"citationID":"6f2jDjTY","properties":{"formattedCitation":"[133,134]","plainCitation":"[133,134]","noteIndex":0},"citationItems":[{"id":"GrEn1h2x/6mf9LzLE","uris":["http://zotero.org/users/local/atKPBTT7/items/3BYCLSRN"],"itemData":{"id":127,"type":"report","event-place":"Ann Arbor, MI","publisher":"Center for Automotive Research","publisher-place":"Ann Arbor, MI","title":"The Bio-Based Materials Automotive Value Chain","URL":"www.cargroup.org","author":[{"family":"Hill","given":"Kim"},{"family":"Swiecki","given":"Bernard"},{"family":"Creggar","given":"Joshua"}],"accessed":{"date-parts":[["2024",9,13]]},"issued":{"date-parts":[["2012",4]]}}},{"id":"GrEn1h2x/WKsC6lUd","uris":["http://zotero.org/users/local/atKPBTT7/items/IZ3JVAWR"],"itemData":{"id":129,"type":"article-journal","abstract":"Natural fibers have recently caught the attention of academic and industry researchers due to their ease of availability, environmental friendliness, and biodegradability. Natural fibers derived from plants, such as jute, sisal, banana, flax, hemp, coir, kenaf, and many more, have been extensively researched over the last two decades and are gaining prominence over synthetic fibers. Natural fiber composite materials exhibit excellent strength and stiffness, high fracture resistance, as well as superior thermal and acoustic insulation qualities. Natural fiber reinforced composites have the potential to minimize component cost and material waste in automotive applications. The rising need for lighter, safer, and more fuel-efficient automobiles has led to the increased use of natural fiber composite materials in automotive applications by European automakers over the last decade. This paper investigates recent advancements in the usage of natural fiber-based composite materials in the automobile sector.","container-title":"Engineered Science","DOI":"10.30919/es8d589","ISSN":"2576988X, 25769898","journalAbbreviation":"Eng. Sci.","language":"en","source":"DOI.org (Crossref)","title":"A Review on Natural Fiber Composite Material in Automotive Applications","URL":"https://www.espublisher.com/journals/articledetails/589","author":[{"family":"Naik","given":"Venkatesh"},{"family":"Kumar","given":"Mohan"},{"family":"Kaup","given":"Vijayananda"}],"accessed":{"date-parts":[["2024",9,13]]},"issued":{"date-parts":[["2021"]]}}}],"schema":"https://github.com/citation-style-language/schema/raw/master/csl-citation.json"} </w:instrText>
      </w:r>
      <w:r w:rsidRPr="009165A6">
        <w:fldChar w:fldCharType="separate"/>
      </w:r>
      <w:r w:rsidRPr="009165A6">
        <w:t>[133,134]</w:t>
      </w:r>
      <w:r w:rsidRPr="009165A6">
        <w:fldChar w:fldCharType="end"/>
      </w:r>
      <w:r w:rsidRPr="009165A6">
        <w:t xml:space="preserve">. Research by Boland et al. </w:t>
      </w:r>
      <w:r w:rsidRPr="009165A6">
        <w:fldChar w:fldCharType="begin"/>
      </w:r>
      <w:r>
        <w:instrText xml:space="preserve"> ADDIN ZOTERO_ITEM CSL_CITATION {"citationID":"tNrTv8FK","properties":{"formattedCitation":"(Boland et al., 2016)","plainCitation":"(Boland et al., 2016)","dontUpdate":true,"noteIndex":0},"citationItems":[{"id":"GrEn1h2x/P1ujMH5u","uris":["http://zotero.org/users/local/atKPBTT7/items/D6TRIGFP"],"itemData":{"id":153,"type":"article-journal","abstract":"This study examines the life cycle energy demand and greenhouse gas (GHG) emissions associated with substituting natural cellulose and kenaf in place of glass ﬁbers in automotive components. Speciﬁcally, a 30 wt% glass-ﬁber composite component weighing 3 kilograms (kg) was compared to a 30 wt% cellulose ﬁber composite component (2.65 kg) and 40 wt% kenaf ﬁber composite component (2.79 kg) for six cars, crossovers, and sport utility vehicles. The use-phase fuel consumption of the baseline and substitute components, with and without powertrain resizing, were determined using a mass-induced fuel consumption model based on U.S. Environmental Protection Agency test records. For all vehicles, compared to the baseline glass ﬁber component, using the cellulose composite material reduced life cycle energy demand by 9.2% with powertrain resizing (7.2% without) and reduced life cycle GHG emissions by 18.6% with powertrain resizing (16.3% without), whereas the kenaf composite component reduced energy demand by 6.0% with powertrain resizing (4.8% without) and GHG emissions by 10.7% with powertrain resizing (9.2% without). For both natural ﬁber components, the majority of the life cycle energy savings is realized in the use-phase fuel consumption as a result of the reduced weight of the component.","container-title":"Journal of Industrial Ecology","DOI":"10.1111/jiec.12286","ISSN":"1088-1980, 1530-9290","issue":"1","journalAbbreviation":"J of Industrial Ecology","language":"en","license":"http://onlinelibrary.wiley.com/termsAndConditions#vor","page":"179-189","source":"DOI.org (Crossref)","title":"Life Cycle Impacts of Natural Fiber Composites for Automotive Applications: Effects of Renewable Energy Content and Lightweighting","title-short":"Life Cycle Impacts of Natural Fiber Composites for Automotive Applications","volume":"20","author":[{"family":"Boland","given":"Claire S."},{"family":"De Kleine","given":"Robb"},{"family":"Keoleian","given":"Gregory A."},{"family":"Lee","given":"Ellen C."},{"family":"Kim","given":"Hyung Chul"},{"family":"Wallington","given":"Timothy J."}],"issued":{"date-parts":[["2016",2]]}}}],"schema":"https://github.com/citation-style-language/schema/raw/master/csl-citation.json"} </w:instrText>
      </w:r>
      <w:r w:rsidRPr="009165A6">
        <w:fldChar w:fldCharType="separate"/>
      </w:r>
      <w:r w:rsidRPr="009165A6">
        <w:t>(2016)</w:t>
      </w:r>
      <w:r w:rsidRPr="009165A6">
        <w:fldChar w:fldCharType="end"/>
      </w:r>
      <w:r w:rsidRPr="009165A6">
        <w:t xml:space="preserve"> demonstrated that replacing a glass fiber-reinforced polypropylene semi-structural console substrate with an NFRC part could lower cradle-to-gate emissions from 20.2 to 10.4 kg CO</w:t>
      </w:r>
      <w:r w:rsidRPr="009165A6">
        <w:rPr>
          <w:vertAlign w:val="subscript"/>
        </w:rPr>
        <w:t>2</w:t>
      </w:r>
      <w:r w:rsidRPr="009165A6">
        <w:t>-eq. per part</w:t>
      </w:r>
      <w:r w:rsidRPr="009165A6">
        <w:rPr>
          <w:b/>
          <w:bCs/>
        </w:rPr>
        <w:t xml:space="preserve"> </w:t>
      </w:r>
      <w:r w:rsidRPr="009165A6">
        <w:t xml:space="preserve">and reduce total lifecycle vehicle emissions by up to 19% when use-phase is included. Likewise, </w:t>
      </w:r>
      <w:bookmarkStart w:id="69" w:name="_Hlk179988859"/>
      <w:proofErr w:type="spellStart"/>
      <w:r w:rsidRPr="009165A6">
        <w:t>Wötzel</w:t>
      </w:r>
      <w:bookmarkEnd w:id="69"/>
      <w:proofErr w:type="spellEnd"/>
      <w:r w:rsidRPr="009165A6">
        <w:t xml:space="preserve"> et al. </w:t>
      </w:r>
      <w:r w:rsidRPr="009165A6">
        <w:fldChar w:fldCharType="begin"/>
      </w:r>
      <w:r>
        <w:instrText xml:space="preserve"> ADDIN ZOTERO_ITEM CSL_CITATION {"citationID":"esQ3fbt0","properties":{"formattedCitation":"(W\\uc0\\u246{}tzel et al., 1999)","plainCitation":"(Wötzel et al., 1999)","dontUpdate":true,"noteIndex":0},"citationItems":[{"id":"GrEn1h2x/sQnCfTtq","uris":["http://zotero.org/users/local/atKPBTT7/items/V8PPC639"],"itemData":{"id":115,"type":"article-journal","abstract":"With the increasing importance of environmental interactions, several innovations of the environmental performance are introduced in automotive industry. One aspect of innovation is an environmental material selection including renewable raw materials. Products of renewable raw materials are generally regarded as environmentally friendly, including products from hemp, jute and flax. The ecological preferences of products of natural fibres can be investigated and described by means of ecological balances. However, no general principles for the ecological advantages or disadvantages of fibre plants can be deducted from their life cycle assessment, since the ecological compatibility of the different products strongly depends on the circumstances of the journey of life of the product.","container-title":"Die Angewandte Makromolekulare Chemie","DOI":"10.1002/(SICI)1522-9505(19991201)272:1&lt;121::AID-APMC121&gt;3.0.CO;2-T","ISSN":"0003-3146, 1522-9505","issue":"1","journalAbbreviation":"Angew. Makromol. Chem.","language":"en","license":"http://doi.wiley.com/10.1002/tdm_license_1.1","page":"121-127","source":"DOI.org (Crossref)","title":"Life cycle studies on hemp fibre reinforced components and ABS for automotive parts","volume":"272","author":[{"family":"Wötzel","given":"K."},{"family":"Wirth","given":"R."},{"family":"Flake","given":"M."}],"issued":{"date-parts":[["1999",12,1]]}}}],"schema":"https://github.com/citation-style-language/schema/raw/master/csl-citation.json"} </w:instrText>
      </w:r>
      <w:r w:rsidRPr="009165A6">
        <w:fldChar w:fldCharType="separate"/>
      </w:r>
      <w:r w:rsidRPr="009165A6">
        <w:t>(1999)</w:t>
      </w:r>
      <w:r w:rsidRPr="009165A6">
        <w:fldChar w:fldCharType="end"/>
      </w:r>
      <w:r w:rsidRPr="009165A6">
        <w:t xml:space="preserve"> reported that replacing an ABS side panel with a hemp fiber-based composite in an Audi A3 reduced the cumulative energy demand (CED) from 132 to 73 MJ for the cradle-to-gate, with further reductions during the use-phase due to a weight decrease from 1.125 to 0.820 kg. </w:t>
      </w:r>
    </w:p>
    <w:p w14:paraId="189D9C5F" w14:textId="722C2092" w:rsidR="009165A6" w:rsidRPr="009165A6" w:rsidRDefault="009165A6" w:rsidP="009165A6">
      <w:r w:rsidRPr="009165A6">
        <w:t xml:space="preserve">Despite the environmental benefits of NFRCs, some research suggests that producing "greener" materials can result in higher environmental impacts than conventional counterparts </w:t>
      </w:r>
      <w:r w:rsidRPr="009165A6">
        <w:fldChar w:fldCharType="begin"/>
      </w:r>
      <w:r>
        <w:instrText xml:space="preserve"> ADDIN ZOTERO_ITEM CSL_CITATION {"citationID":"YvQu35go","properties":{"formattedCitation":"[137,138]","plainCitation":"[137,138]","noteIndex":0},"citationItems":[{"id":"GrEn1h2x/PWpOjJoo","uris":["http://zotero.org/users/local/atKPBTT7/items/FTUDU76S"],"itemData":{"id":155,"type":"article-journal","abstract":"This study examines the vehicle-cycle and vehicle total life-cycle impacts of substituting lightweight materials into vehicles. We determine part-based greenhouse gas (GHG) emission ratios by collecting material substitution data and evaluating that alongside known mass-based GHG ratios (using and updating Argonne National Laboratory’s GREET model) associated with material pair substitutions. Several vehicle parts are lightweighted via material substitution, using substitution ratios from a U.S. Department of Energy report, to determine GHG emissions. We then examine fuelcycle GHG reductions from lightweighting. The fuel reduction value methodology is applied using FRV estimates of 0.15− 0.25, and 0.25−0.5 L/(100km·100 kg), with and without powertrain adjustments, respectively. GHG breakeven values are derived for both driving distance and material substitution ratio. While material substitution can reduce vehicle weight, it often increases vehicle-cycle GHGs. It is likely that replacing steel (the dominant vehicle material) with wrought aluminum, carbon ﬁber reinforced plastic (CRFP), or magnesium will increase vehiclecycle GHGs. However, lifetime fuel economy beneﬁts often outweigh the vehicle-cycle, resulting in a net total life-cycle GHG beneﬁt. This is the case for steel replaced by wrought aluminum in all assumed cases, and for CFRP and magnesium except for high substitution ratio and low FRV.","container-title":"Environmental Science &amp; Technology","DOI":"10.1021/acs.est.5b03192","ISSN":"0013-936X, 1520-5851","issue":"20","journalAbbreviation":"Environ. Sci. Technol.","language":"en","page":"12535-12542","source":"DOI.org (Crossref)","title":"Impacts of Vehicle Weight Reduction via Material Substitution on Life-Cycle Greenhouse Gas Emissions","volume":"49","author":[{"family":"Kelly","given":"Jarod C."},{"family":"Sullivan","given":"John L."},{"family":"Burnham","given":"Andrew"},{"family":"Elgowainy","given":"Amgad"}],"issued":{"date-parts":[["2015",10,20]]}}},{"id":"GrEn1h2x/2sPfmGf5","uris":["http://zotero.org/users/local/atKPBTT7/items/2HM5KKHH"],"itemData":{"id":122,"type":"article-journal","abstract":"Biomaterials have gained attention in automotive industries for their renewability and environmental beneﬁts. This study evaluates the life cycle environmental impacts and beneﬁts of the automotive component produced from biocomposite (biomaterials, i.e., polypropylene (PP) reinforced with biocarbon and Miscanthus ﬁber) relative to the component produced from conventional composite (PP reinforced with talc and colorant; hereafter referred to composite) using the life cycle assessment (LCA) methodology. To accomplish this study, the LCA software (SimaPro 8.0.4.26) and the Ecoinvent database (v3.1) are used. Miscanthus, an energy crop grown on the marginal land in Ontario, Canada, is used for producing biocarbon. Then PP is reinforced with biocarbon for producing biocomposite and the automotive components. The functional unit is considered to be an automotive component (441 cm3). Among the materials used in automotive components, colorant has the highest environmental impacts for each unit mass, followed by Miscanthus ﬁber, PP, talc, and biocarbon, respectively. Interestingly, each unit mass of biocomposite has slightly greater environmental impacts compared with composite. However, the innovative component is emerged to be environmentally favorable over the conventional component. The global warming potential (GWP) of innovative components and conventional components are 11.08 kg CO2 eq. and 12.53 kg CO2 eq., respectively. Consequently, any replacement of conventional components with innovative components would lead to meeting the fuel economy emission regulations of the automotive industries.","container-title":"Journal of Cleaner Production","DOI":"10.1016/j.jclepro.2020.123051","ISSN":"09596526","journalAbbreviation":"Journal of Cleaner Production","language":"en","page":"123051","source":"DOI.org (Crossref)","title":"Evaluation of the life cycle of an automotive component produced from biocomposite","volume":"273","author":[{"family":"Roy","given":"Poritosh"},{"family":"Defersha","given":"Fantahun"},{"family":"Rodriguez-Uribe","given":"Arturo"},{"family":"Misra","given":"Manjusri"},{"family":"Mohanty","given":"Amar K."}],"issued":{"date-parts":[["2020",11]]}}}],"schema":"https://github.com/citation-style-language/schema/raw/master/csl-citation.json"} </w:instrText>
      </w:r>
      <w:r w:rsidRPr="009165A6">
        <w:fldChar w:fldCharType="separate"/>
      </w:r>
      <w:r w:rsidRPr="009165A6">
        <w:t>[137,138]</w:t>
      </w:r>
      <w:r w:rsidRPr="009165A6">
        <w:fldChar w:fldCharType="end"/>
      </w:r>
      <w:r w:rsidRPr="009165A6">
        <w:t xml:space="preserve">. For example, Roy </w:t>
      </w:r>
      <w:r w:rsidRPr="009165A6">
        <w:fldChar w:fldCharType="begin"/>
      </w:r>
      <w:r>
        <w:instrText xml:space="preserve"> ADDIN ZOTERO_ITEM CSL_CITATION {"citationID":"6Y5misCi","properties":{"formattedCitation":"(Roy et al., 2020)","plainCitation":"(Roy et al., 2020)","dontUpdate":true,"noteIndex":0},"citationItems":[{"id":"GrEn1h2x/2sPfmGf5","uris":["http://zotero.org/users/local/atKPBTT7/items/2HM5KKHH"],"itemData":{"id":122,"type":"article-journal","abstract":"Biomaterials have gained attention in automotive industries for their renewability and environmental beneﬁts. This study evaluates the life cycle environmental impacts and beneﬁts of the automotive component produced from biocomposite (biomaterials, i.e., polypropylene (PP) reinforced with biocarbon and Miscanthus ﬁber) relative to the component produced from conventional composite (PP reinforced with talc and colorant; hereafter referred to composite) using the life cycle assessment (LCA) methodology. To accomplish this study, the LCA software (SimaPro 8.0.4.26) and the Ecoinvent database (v3.1) are used. Miscanthus, an energy crop grown on the marginal land in Ontario, Canada, is used for producing biocarbon. Then PP is reinforced with biocarbon for producing biocomposite and the automotive components. The functional unit is considered to be an automotive component (441 cm3). Among the materials used in automotive components, colorant has the highest environmental impacts for each unit mass, followed by Miscanthus ﬁber, PP, talc, and biocarbon, respectively. Interestingly, each unit mass of biocomposite has slightly greater environmental impacts compared with composite. However, the innovative component is emerged to be environmentally favorable over the conventional component. The global warming potential (GWP) of innovative components and conventional components are 11.08 kg CO2 eq. and 12.53 kg CO2 eq., respectively. Consequently, any replacement of conventional components with innovative components would lead to meeting the fuel economy emission regulations of the automotive industries.","container-title":"Journal of Cleaner Production","DOI":"10.1016/j.jclepro.2020.123051","ISSN":"09596526","journalAbbreviation":"Journal of Cleaner Production","language":"en","page":"123051","source":"DOI.org (Crossref)","title":"Evaluation of the life cycle of an automotive component produced from biocomposite","volume":"273","author":[{"family":"Roy","given":"Poritosh"},{"family":"Defersha","given":"Fantahun"},{"family":"Rodriguez-Uribe","given":"Arturo"},{"family":"Misra","given":"Manjusri"},{"family":"Mohanty","given":"Amar K."}],"issued":{"date-parts":[["2020",11]]}}}],"schema":"https://github.com/citation-style-language/schema/raw/master/csl-citation.json"} </w:instrText>
      </w:r>
      <w:r w:rsidRPr="009165A6">
        <w:fldChar w:fldCharType="separate"/>
      </w:r>
      <w:r w:rsidRPr="009165A6">
        <w:t>(2020)</w:t>
      </w:r>
      <w:r w:rsidRPr="009165A6">
        <w:fldChar w:fldCharType="end"/>
      </w:r>
      <w:r w:rsidRPr="009165A6">
        <w:t xml:space="preserve"> found that a </w:t>
      </w:r>
      <w:proofErr w:type="spellStart"/>
      <w:r w:rsidRPr="009165A6">
        <w:t>biocomposite</w:t>
      </w:r>
      <w:proofErr w:type="spellEnd"/>
      <w:r w:rsidRPr="009165A6">
        <w:t xml:space="preserve"> produced from polypropylene (PP), miscanthus, and biochar had a GWP of 1.63 kg CO</w:t>
      </w:r>
      <w:r w:rsidRPr="009165A6">
        <w:rPr>
          <w:bCs/>
          <w:vertAlign w:val="subscript"/>
        </w:rPr>
        <w:t>2</w:t>
      </w:r>
      <w:r w:rsidRPr="009165A6">
        <w:t>-eq./kg, slightly higher than conventional talc-reinforced PP (1.58 kg CO</w:t>
      </w:r>
      <w:r w:rsidRPr="009165A6">
        <w:rPr>
          <w:bCs/>
          <w:vertAlign w:val="subscript"/>
        </w:rPr>
        <w:t>2</w:t>
      </w:r>
      <w:r w:rsidRPr="009165A6">
        <w:t xml:space="preserve"> eq./kg). Similarly, other research studies have shown that the carbon footprint of NFRCs depends heavily on the specific type of fiber used, as well as the farming practices involved in fiber production </w:t>
      </w:r>
      <w:r w:rsidRPr="009165A6">
        <w:fldChar w:fldCharType="begin"/>
      </w:r>
      <w:r>
        <w:instrText xml:space="preserve"> ADDIN ZOTERO_ITEM CSL_CITATION {"citationID":"7GsDAfrc","properties":{"formattedCitation":"[139,140]","plainCitation":"[139,140]","noteIndex":0},"citationItems":[{"id":"GrEn1h2x/jWnTbslw","uris":["http://zotero.org/users/local/atKPBTT7/items/7XUZWCLW"],"itemData":{"id":157,"type":"article-journal","language":"en","source":"Zotero","title":"Carbon Footprint and Sustainability of Different Natural Fibres for Biocomposites and Insulation Material","author":[{"family":"Barth","given":"Martha"}],"issued":{"date-parts":[["2015"]]}}},{"id":"GrEn1h2x/Yf2c0l6l","uris":["http://zotero.org/users/local/atKPBTT7/items/24UAIXLL"],"itemData":{"id":161,"type":"article-journal","abstract":"Life Cycle Assessment (LCA) was used to assess the environmental impacts of ﬁeld production of ﬁbre hemp and seven other crops in France. The production of 1 ha of hemp yielded a eutrophication potential of 20.5 kg PO4-equivalents, a global warming potential of 2330 kg CO2-equivalents, an acidiﬁcation potential of 9.8 kg SO2equivalents, a terrestrial ecotoxicity potential of 2.3 kg 1,4-dichlorobenzene-equivalents, an energy use of 11.4 GJ, and a land use of 1.02 ha.year. A comparison of hemp (low impacts), wheat (intermediate impacts) and sugar beet (high impacts) revealed that the crops were similar for the relative contributions of emitted substances and resources used to impacts, and for the relative contribution of processes to impacts. A reduction of the impacts of hemp production should focus on eutrophication, and consider the reduction of climate change, acidiﬁcation and energy use as secondary objectives. Given this objective, the overall environmental effect of the substitution of mineral fertiliser by pig slurry is negative. The introduction of reduced tillage is of interest, as it decreases energy use, acidiﬁcation and climate change. Measures leading to a reduction in NO3 leaching are highly interesting, as they strongly decrease eutrophication. Implications for hemp breeding are discussed.","container-title":"Euphytica","DOI":"10.1007/s10681-004-4750-2","ISSN":"0014-2336, 1573-5060","issue":"1-2","journalAbbreviation":"Euphytica","language":"en","license":"https://www.springer.com/tdm","page":"13-23","source":"DOI.org (Crossref)","title":"Life Cycle Analysis of field production of fibre hemp, the effect of production practices on environmental impacts","volume":"140","author":[{"family":"Van Der Werf","given":"Hayo M. G."}],"issued":{"date-parts":[["2004",1]]}}}],"schema":"https://github.com/citation-style-language/schema/raw/master/csl-citation.json"} </w:instrText>
      </w:r>
      <w:r w:rsidRPr="009165A6">
        <w:fldChar w:fldCharType="separate"/>
      </w:r>
      <w:r w:rsidRPr="009165A6">
        <w:t>[139,140]</w:t>
      </w:r>
      <w:r w:rsidRPr="009165A6">
        <w:fldChar w:fldCharType="end"/>
      </w:r>
      <w:r w:rsidRPr="009165A6">
        <w:t>. Therefore, careful evaluation of specific NFRC systems is critical to fully understanding their environmental impacts.</w:t>
      </w:r>
    </w:p>
    <w:p w14:paraId="7184A1FB" w14:textId="57223E00" w:rsidR="009165A6" w:rsidRPr="009165A6" w:rsidRDefault="009165A6" w:rsidP="009165A6">
      <w:r w:rsidRPr="009165A6">
        <w:t xml:space="preserve">Our previous work studied the use of paper fiber-reinforced polypropylene composites for automotive applications. We demonstrated that these composites, manufactured using methods adapted from the pulp and paper industry techniques, possess material properties—such as flexural strength, impact resistance, and water uptake—that are appropriate for automotive applications from the technical and cost perspectives </w:t>
      </w:r>
      <w:r w:rsidRPr="009165A6">
        <w:fldChar w:fldCharType="begin"/>
      </w:r>
      <w:r>
        <w:instrText xml:space="preserve"> ADDIN ZOTERO_ITEM CSL_CITATION {"citationID":"pfqhO27F","properties":{"formattedCitation":"[116]","plainCitation":"[116]","noteIndex":0},"citationItems":[{"id":"GrEn1h2x/DxoUY9Te","uris":["http://zotero.org/users/local/atKPBTT7/items/H9YKJM25"],"itemData":{"id":83,"type":"article-journal","container-title":"Composites Part A: Applied Science and Manufacturing","DOI":"10.1016/j.compositesa.2024.108339","ISSN":"1359835X","journalAbbreviation":"Composites Part A: Applied Science and Manufacturing","language":"en","page":"108339","source":"DOI.org (Crossref)","title":"Paper fiber-reinforced polypropylene composites from nonwoven preforms: A study on compression molding optimization from a manufacturing perspective","title-short":"Paper fiber-reinforced polypropylene composites from nonwoven preforms","volume":"185","author":[{"family":"Grubb","given":"Cecile A."},{"family":"Keffer","given":"David J."},{"family":"Webb","given":"Christopher D."},{"family":"Kardos","given":"Marton"},{"family":"Mainka","given":"Hendrik"},{"family":"Harper","given":"David P."}],"issued":{"date-parts":[["2024",10]]}}}],"schema":"https://github.com/citation-style-language/schema/raw/master/csl-citation.json"} </w:instrText>
      </w:r>
      <w:r w:rsidRPr="009165A6">
        <w:fldChar w:fldCharType="separate"/>
      </w:r>
      <w:r w:rsidRPr="009165A6">
        <w:t>[116]</w:t>
      </w:r>
      <w:r w:rsidRPr="009165A6">
        <w:fldChar w:fldCharType="end"/>
      </w:r>
      <w:r w:rsidRPr="009165A6">
        <w:t xml:space="preserve">. Our interest in using paper as a composite reinforcement stemmed from its abundance as a natural fiber feedstock, as well as its potential to reduce the carbon footprint when replacing injection-molded polypropylene parts. In this work, we estimated the lightweighting potential using a mass-index method reported by Deng et al. </w:t>
      </w:r>
      <w:r w:rsidRPr="009165A6">
        <w:fldChar w:fldCharType="begin"/>
      </w:r>
      <w:r>
        <w:instrText xml:space="preserve"> ADDIN ZOTERO_ITEM CSL_CITATION {"citationID":"krLC4UdK","properties":{"formattedCitation":"(Deng et al., 2019)","plainCitation":"(Deng et al., 2019)","dontUpdate":true,"noteIndex":0},"citationItems":[{"id":"GrEn1h2x/u8T0R6rX","uris":["http://zotero.org/users/local/atKPBTT7/items/YG6NXGEX"],"itemData":{"id":134,"type":"article-journal","abstract":"The present study combines the generalized rule-of-mixture (ROM) model and the Ashby material selection method for the life cycle assessment (LCA) of flax fiber reinforced polymers (FRPs) and glass FRPs (GFRPs). The ROM model allows life cycle environmental impact predictions according to specific parameters of flax FRPs such as fiber format, volume fraction, manufacturing technique, and load-bearing capacity. The comparisons applied in this study are constructed on two common composite structures: mat panels and injection molded struts with equal stiffness and strength as the design criteria. On the one hand, the parametric LCA predicts that the equal strength design criterion for flax FRPs contributes to consistent mass increases, subsequently resulting in higher life cycle environmental impacts compared to the reference GFRPs; on the other hand, under the equal stiffness criterion the flax mat polypropylene (flax mat-PP) film helps with mass reduction in reference to the glass mat-PP composite, leading to the 20–50% life cycle environmental impact reductions for most impact categories. The subsequent evaluation of the influences of the fiber volume fraction on flax FRPs shows different patterns. For the short flax fiber-PP composite, a steady decrease of the life cycle CO2 emissions can be observed with the increasing fiber volume fraction. However, for the flax mat-PP composite, depending on the tensile modulus of the flax fiber, the optimal volume fractions of the fiber change from 28 to 32% v/v, whereby the lowest life cycle greenhouse gas (GHG) emissions can be achieved.","container-title":"Journal of Industrial Ecology","DOI":"10.1111/jiec.12836","ISSN":"1088-1980, 1530-9290","issue":"4","journalAbbreviation":"J of Industrial Ecology","language":"en","page":"986-997","source":"DOI.org (Crossref)","title":"Optimal design of flax fiber reinforced polymer composite as a lightweight component for automobiles from a life cycle assessment perspective","volume":"23","author":[{"family":"Deng","given":"Yelin"},{"family":"Guo","given":"Yansong"},{"family":"Wu","given":"Peng"},{"family":"Ingarao","given":"Giuseppe"}],"issued":{"date-parts":[["2019",8]]}}}],"schema":"https://github.com/citation-style-language/schema/raw/master/csl-citation.json"} </w:instrText>
      </w:r>
      <w:r w:rsidRPr="009165A6">
        <w:fldChar w:fldCharType="separate"/>
      </w:r>
      <w:r w:rsidRPr="009165A6">
        <w:t>(2019)</w:t>
      </w:r>
      <w:r w:rsidRPr="009165A6">
        <w:fldChar w:fldCharType="end"/>
      </w:r>
      <w:r w:rsidRPr="009165A6">
        <w:t xml:space="preserve">, based on our previously measured mechanical properties, and assessed its impacts on the use-phase of the component in vehicles with different powertrains. Additionally, we explored potential carbon footprint reductions for both the conventional and novel paper composite parts by considering green energy use during manufacturing and utilization of recycled materials as </w:t>
      </w:r>
      <w:r w:rsidRPr="009165A6">
        <w:lastRenderedPageBreak/>
        <w:t>feedstocks. We also evaluated the full life cycle of a vehicle to quantify the greenhouse gas emission reductions when transitioned from conventional materials to our novel composites.</w:t>
      </w:r>
    </w:p>
    <w:p w14:paraId="01A26E4E" w14:textId="07E9C6E2" w:rsidR="009165A6" w:rsidRDefault="009165A6" w:rsidP="009165A6">
      <w:pPr>
        <w:pStyle w:val="MajorHeadings"/>
      </w:pPr>
      <w:bookmarkStart w:id="70" w:name="_Toc190951819"/>
      <w:r>
        <w:t>4.2 Methodology</w:t>
      </w:r>
      <w:bookmarkEnd w:id="70"/>
    </w:p>
    <w:p w14:paraId="283A6E74" w14:textId="5676FE1B" w:rsidR="009165A6" w:rsidRDefault="009165A6" w:rsidP="009165A6">
      <w:pPr>
        <w:pStyle w:val="Heading2"/>
      </w:pPr>
      <w:bookmarkStart w:id="71" w:name="_Toc190951820"/>
      <w:r>
        <w:t>4.2.1 Goal and Scope of Study</w:t>
      </w:r>
      <w:bookmarkEnd w:id="71"/>
    </w:p>
    <w:p w14:paraId="310C530C" w14:textId="774F9587" w:rsidR="009165A6" w:rsidRDefault="009165A6" w:rsidP="009165A6">
      <w:r w:rsidRPr="009165A6">
        <w:t>The objective of this study was to compare the carbon footprint of a compact crossover SUV door panel carrier made from a novel paper fiber-polypropylene composite with that of a conventional polypropylene door panel containing 5 wt.% talc powder filler (PP-TD5). The primary aim was to identify the main contributors to the carbon footprint and explore pathways to reduce GHG emissions associated with the cradle-to-gate production of the door panel. Additionally, we examined how weight differences between the door panels influence GHG emissions during the vehicle's use phase for both ICEV and BEV powertrains. The study analysis included scenarios that explore either using renewable energy or recycled feedstocks to assess how the carbon footprint of these components may evolve as manufacturing in the United States becomes more sustainable.</w:t>
      </w:r>
      <w:r>
        <w:t xml:space="preserve"> </w:t>
      </w:r>
    </w:p>
    <w:p w14:paraId="1E4692CC" w14:textId="11C9158B" w:rsidR="009165A6" w:rsidRPr="009165A6" w:rsidRDefault="009165A6" w:rsidP="009165A6">
      <w:r w:rsidRPr="009165A6">
        <w:t xml:space="preserve">The system boundaries of this work included material production, transportation, part manufacturing, and the </w:t>
      </w:r>
      <w:r w:rsidRPr="009165A6">
        <w:rPr>
          <w:bCs/>
        </w:rPr>
        <w:t>use-phase</w:t>
      </w:r>
      <w:r w:rsidRPr="009165A6">
        <w:t xml:space="preserve"> of the vehicle. We excluded an in-depth analysis of raw material production, instead using average values from the literature and available databases. Furthermore, we excluded the use of additives for both the paper composite and conventional PP-TD5 door panels due to the lack of publicly available information, though it is expected that both materials would require additives for flame retardancy, temperature stability, and UV resistance.</w:t>
      </w:r>
      <w:r w:rsidRPr="009165A6">
        <w:rPr>
          <w:b/>
          <w:bCs/>
        </w:rPr>
        <w:t xml:space="preserve"> Figure </w:t>
      </w:r>
      <w:r w:rsidRPr="00A22189">
        <w:rPr>
          <w:b/>
          <w:bCs/>
        </w:rPr>
        <w:t>4.</w:t>
      </w:r>
      <w:r w:rsidRPr="009165A6">
        <w:rPr>
          <w:b/>
          <w:bCs/>
        </w:rPr>
        <w:t>1</w:t>
      </w:r>
      <w:r w:rsidRPr="009165A6">
        <w:t xml:space="preserve"> shows an overview of the process steps and system boundaries, as well as the functional unit. </w:t>
      </w:r>
    </w:p>
    <w:p w14:paraId="491C8D29" w14:textId="06ADA9A3" w:rsidR="009165A6" w:rsidRDefault="009165A6" w:rsidP="009165A6">
      <w:pPr>
        <w:pStyle w:val="Heading2"/>
      </w:pPr>
      <w:bookmarkStart w:id="72" w:name="_Toc190951821"/>
      <w:r>
        <w:t>4.2.2 Functional Unit</w:t>
      </w:r>
      <w:bookmarkEnd w:id="72"/>
    </w:p>
    <w:p w14:paraId="676DE6F0" w14:textId="77777777" w:rsidR="009165A6" w:rsidRPr="009165A6" w:rsidRDefault="009165A6" w:rsidP="009165A6">
      <w:r w:rsidRPr="009165A6">
        <w:t>The functional unit for this study was an automotive door panel with characteristics based on the 2021 Volkswagen ID.4 AWD Pro S door panel carrier. The original door panel carrier is made of PP-TD5, weighs 1.392 kg, and is manufactured using injection molding. The part is designed with attachment points for fasteners and clips to secure it to the overall door panel assembly.</w:t>
      </w:r>
    </w:p>
    <w:p w14:paraId="69675D00" w14:textId="77777777" w:rsidR="000133C5" w:rsidRDefault="000133C5">
      <w:pPr>
        <w:spacing w:after="160" w:line="259" w:lineRule="auto"/>
        <w:ind w:firstLine="0"/>
        <w:jc w:val="left"/>
        <w:sectPr w:rsidR="000133C5" w:rsidSect="006B02BB">
          <w:pgSz w:w="12240" w:h="15840"/>
          <w:pgMar w:top="1440" w:right="1800" w:bottom="1872" w:left="1800" w:header="720" w:footer="720" w:gutter="0"/>
          <w:cols w:space="720"/>
          <w:docGrid w:linePitch="360"/>
        </w:sectPr>
      </w:pPr>
    </w:p>
    <w:p w14:paraId="430473DE" w14:textId="41BB098C" w:rsidR="000133C5" w:rsidRDefault="000133C5" w:rsidP="000133C5">
      <w:pPr>
        <w:pStyle w:val="FigureCaption"/>
      </w:pPr>
      <w:r w:rsidRPr="000133C5">
        <w:rPr>
          <w:rFonts w:ascii="Calibri" w:eastAsia="SimSun" w:hAnsi="Calibri"/>
          <w:kern w:val="2"/>
          <w:sz w:val="22"/>
          <w:szCs w:val="22"/>
          <w:lang w:eastAsia="zh-CN"/>
          <w14:ligatures w14:val="standardContextual"/>
        </w:rPr>
        <w:lastRenderedPageBreak/>
        <w:drawing>
          <wp:anchor distT="0" distB="0" distL="114300" distR="114300" simplePos="0" relativeHeight="251679744" behindDoc="0" locked="0" layoutInCell="1" allowOverlap="1" wp14:anchorId="6DCAC338" wp14:editId="5D7624B1">
            <wp:simplePos x="0" y="0"/>
            <wp:positionH relativeFrom="margin">
              <wp:align>center</wp:align>
            </wp:positionH>
            <wp:positionV relativeFrom="paragraph">
              <wp:posOffset>297</wp:posOffset>
            </wp:positionV>
            <wp:extent cx="8589870" cy="3503309"/>
            <wp:effectExtent l="0" t="0" r="1905" b="1905"/>
            <wp:wrapTopAndBottom/>
            <wp:docPr id="1510283919"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83919" name="Picture 2" descr="A diagram of a diagram&#10;&#10;Description automatically generated"/>
                    <pic:cNvPicPr/>
                  </pic:nvPicPr>
                  <pic:blipFill>
                    <a:blip r:embed="rId26"/>
                    <a:stretch>
                      <a:fillRect/>
                    </a:stretch>
                  </pic:blipFill>
                  <pic:spPr>
                    <a:xfrm>
                      <a:off x="0" y="0"/>
                      <a:ext cx="8589870" cy="3503309"/>
                    </a:xfrm>
                    <a:prstGeom prst="rect">
                      <a:avLst/>
                    </a:prstGeom>
                  </pic:spPr>
                </pic:pic>
              </a:graphicData>
            </a:graphic>
            <wp14:sizeRelH relativeFrom="page">
              <wp14:pctWidth>0</wp14:pctWidth>
            </wp14:sizeRelH>
            <wp14:sizeRelV relativeFrom="page">
              <wp14:pctHeight>0</wp14:pctHeight>
            </wp14:sizeRelV>
          </wp:anchor>
        </w:drawing>
      </w:r>
      <w:r>
        <w:t>Figure 4.1</w:t>
      </w:r>
      <w:r w:rsidRPr="000133C5">
        <w:rPr>
          <w:rFonts w:asciiTheme="minorHAnsi" w:eastAsia="SimSun" w:hAnsiTheme="minorHAnsi" w:cstheme="minorBidi"/>
          <w:b w:val="0"/>
          <w:bCs w:val="0"/>
          <w:noProof w:val="0"/>
          <w:kern w:val="2"/>
          <w:sz w:val="22"/>
          <w:szCs w:val="22"/>
          <w14:ligatures w14:val="standardContextual"/>
        </w:rPr>
        <w:t xml:space="preserve"> </w:t>
      </w:r>
      <w:r w:rsidRPr="000133C5">
        <w:rPr>
          <w:b w:val="0"/>
          <w:bCs w:val="0"/>
        </w:rPr>
        <w:t>Overview of process steps and system boundaries for the production of door panel carrier for a. paper composite door panel and b. conventional injection molded PP-TD5 part.</w:t>
      </w:r>
      <w:r>
        <w:br w:type="page"/>
      </w:r>
    </w:p>
    <w:p w14:paraId="3D67B02D" w14:textId="77777777" w:rsidR="000133C5" w:rsidRDefault="000133C5" w:rsidP="009165A6">
      <w:pPr>
        <w:sectPr w:rsidR="000133C5" w:rsidSect="000133C5">
          <w:pgSz w:w="15840" w:h="12240" w:orient="landscape"/>
          <w:pgMar w:top="1800" w:right="1440" w:bottom="1800" w:left="1872" w:header="720" w:footer="720" w:gutter="0"/>
          <w:cols w:space="720"/>
          <w:docGrid w:linePitch="360"/>
        </w:sectPr>
      </w:pPr>
    </w:p>
    <w:p w14:paraId="7E417A26" w14:textId="5F39D899" w:rsidR="009165A6" w:rsidRPr="009165A6" w:rsidRDefault="009165A6" w:rsidP="009165A6">
      <w:pPr>
        <w:rPr>
          <w:b/>
          <w:bCs/>
        </w:rPr>
      </w:pPr>
      <w:r w:rsidRPr="009165A6">
        <w:lastRenderedPageBreak/>
        <w:t>Our previous research demonstrated that paper composites, consisting of 60% market pulp and 40% polypropylene, exhibit significantly higher stiffness than PP-TD5 but with slightly greater density, as shown in Table S1. However, these composites have limitations that prevent molding complex features, such as attachment points, directly into the composite. To address this, we proposed a theoretical design for the door panel carrier that uses paper composites for the bulk of the part, while plastic ribs and attachment points are injection molded onto the rear side to replicate the attachment points of the Volkswagen ID.4 door panel carrier. We estimated the mass of the paper composite door panel carrier for both strength- and stiffness-limited designs using material indices based on the method described by Deng et al.</w:t>
      </w:r>
      <w:r w:rsidR="006A1D8D" w:rsidRPr="006A1D8D">
        <w:t xml:space="preserve"> </w:t>
      </w:r>
      <w:r w:rsidR="006A1D8D" w:rsidRPr="006A1D8D">
        <w:fldChar w:fldCharType="begin"/>
      </w:r>
      <w:r w:rsidR="006A1D8D" w:rsidRPr="006A1D8D">
        <w:instrText xml:space="preserve"> ADDIN ZOTERO_ITEM CSL_CITATION {"citationID":"MGIRp6D8","properties":{"formattedCitation":"[141]","plainCitation":"[141]","noteIndex":0},"citationItems":[{"id":"GrEn1h2x/u8T0R6rX","uris":["http://zotero.org/users/local/atKPBTT7/items/YG6NXGEX"],"itemData":{"id":"GrEn1h2x/u8T0R6rX","type":"article-journal","abstract":"The present study combines the generalized rule-of-mixture (ROM) model and the Ashby material selection method for the life cycle assessment (LCA) of flax fiber reinforced polymers (FRPs) and glass FRPs (GFRPs). The ROM model allows life cycle environmental impact predictions according to specific parameters of flax FRPs such as fiber format, volume fraction, manufacturing technique, and load-bearing capacity. The comparisons applied in this study are constructed on two common composite structures: mat panels and injection molded struts with equal stiffness and strength as the design criteria. On the one hand, the parametric LCA predicts that the equal strength design criterion for flax FRPs contributes to consistent mass increases, subsequently resulting in higher life cycle environmental impacts compared to the reference GFRPs; on the other hand, under the equal stiffness criterion the flax mat polypropylene (flax mat-PP) film helps with mass reduction in reference to the glass mat-PP composite, leading to the 20–50% life cycle environmental impact reductions for most impact categories. The subsequent evaluation of the influences of the fiber volume fraction on flax FRPs shows different patterns. For the short flax fiber-PP composite, a steady decrease of the life cycle CO2 emissions can be observed with the increasing fiber volume fraction. However, for the flax mat-PP composite, depending on the tensile modulus of the flax fiber, the optimal volume fractions of the fiber change from 28 to 32% v/v, whereby the lowest life cycle greenhouse gas (GHG) emissions can be achieved.","container-title":"Journal of Industrial Ecology","DOI":"10.1111/jiec.12836","ISSN":"1088-1980, 1530-9290","issue":"4","journalAbbreviation":"J of Industrial Ecology","language":"en","page":"986-997","source":"DOI.org (Crossref)","title":"Optimal design of flax fiber reinforced polymer composite as a lightweight component for automobiles from a life cycle assessment perspective","volume":"23","author":[{"family":"Deng","given":"Yelin"},{"family":"Guo","given":"Yansong"},{"family":"Wu","given":"Peng"},{"family":"Ingarao","given":"Giuseppe"}],"issued":{"date-parts":[["2019",8]]}}}],"schema":"https://github.com/citation-style-language/schema/raw/master/csl-citation.json"} </w:instrText>
      </w:r>
      <w:r w:rsidR="006A1D8D" w:rsidRPr="006A1D8D">
        <w:fldChar w:fldCharType="separate"/>
      </w:r>
      <w:r w:rsidR="006A1D8D" w:rsidRPr="006A1D8D">
        <w:t>[141]</w:t>
      </w:r>
      <w:r w:rsidR="006A1D8D" w:rsidRPr="006A1D8D">
        <w:fldChar w:fldCharType="end"/>
      </w:r>
      <w:r w:rsidRPr="009165A6">
        <w:t xml:space="preserve">. The full mass calculation details are provided in the </w:t>
      </w:r>
      <w:r w:rsidRPr="009165A6">
        <w:rPr>
          <w:highlight w:val="yellow"/>
        </w:rPr>
        <w:t>appendix</w:t>
      </w:r>
      <w:r w:rsidRPr="009165A6">
        <w:t>. We estimated that the mass would be 1.114 kg for the strength-limited design and 1.124 kg for the stiffness-limited design.</w:t>
      </w:r>
    </w:p>
    <w:p w14:paraId="6B248B08" w14:textId="1295ECBB" w:rsidR="009165A6" w:rsidRPr="009165A6" w:rsidRDefault="009165A6" w:rsidP="009165A6">
      <w:pPr>
        <w:pStyle w:val="Heading2"/>
      </w:pPr>
      <w:bookmarkStart w:id="73" w:name="_Toc190951822"/>
      <w:r>
        <w:t>4.2.3</w:t>
      </w:r>
      <w:r w:rsidRPr="009165A6">
        <w:t xml:space="preserve"> Scenario Analysis</w:t>
      </w:r>
      <w:bookmarkEnd w:id="73"/>
      <w:r w:rsidRPr="009165A6">
        <w:t xml:space="preserve">  </w:t>
      </w:r>
    </w:p>
    <w:p w14:paraId="73F6A0F2" w14:textId="6FB74742" w:rsidR="009165A6" w:rsidRPr="009165A6" w:rsidRDefault="009165A6" w:rsidP="009165A6">
      <w:pPr>
        <w:pStyle w:val="Heading3"/>
      </w:pPr>
      <w:bookmarkStart w:id="74" w:name="_Toc190951823"/>
      <w:r>
        <w:t>4.2.3.1</w:t>
      </w:r>
      <w:r w:rsidRPr="009165A6">
        <w:t xml:space="preserve"> Baseline, Green Energy, and Recycled Feedstock Scenarios</w:t>
      </w:r>
      <w:bookmarkEnd w:id="74"/>
    </w:p>
    <w:p w14:paraId="57896B9C" w14:textId="77777777" w:rsidR="009165A6" w:rsidRPr="009165A6" w:rsidRDefault="009165A6" w:rsidP="009165A6">
      <w:pPr>
        <w:rPr>
          <w:bCs/>
        </w:rPr>
      </w:pPr>
      <w:r w:rsidRPr="009165A6">
        <w:t>We conducted a baseline scenario calculation using inputs that we assumed reflect the current state of manufacturing in the United States. This scenario illustrates the potential GHG emission savings achievable by implementing paper composites as a replacement for conventional PP-TD5 materials in the near future. Additionally, we explored potential future scenarios in which the U.S. transitions to more sustainable energy mixes, as pledged for 2050. This analysis is essential to determine whether paper composites will remain a sustainable option as the world moves toward reducing CO</w:t>
      </w:r>
      <w:r w:rsidRPr="009165A6">
        <w:rPr>
          <w:vertAlign w:val="subscript"/>
        </w:rPr>
        <w:t>2</w:t>
      </w:r>
      <w:r w:rsidRPr="009165A6">
        <w:t xml:space="preserve"> emissions to mitigate the impacts of anthropogenic climate change. Finally, we evaluated how replacing virgin feedstock materials (market pulp and polypropylene granulate) with recycled alternatives would affect the carbon footprint of both types of door carrier panels. In all scenarios, GHG emissions in CO</w:t>
      </w:r>
      <w:r w:rsidRPr="009165A6">
        <w:softHyphen/>
      </w:r>
      <w:r w:rsidRPr="009165A6">
        <w:rPr>
          <w:vertAlign w:val="subscript"/>
        </w:rPr>
        <w:t>2</w:t>
      </w:r>
      <w:r w:rsidRPr="009165A6">
        <w:t xml:space="preserve">-eq. were calculated using </w:t>
      </w:r>
      <w:proofErr w:type="spellStart"/>
      <w:r w:rsidRPr="009165A6">
        <w:t>Sphera’s</w:t>
      </w:r>
      <w:proofErr w:type="spellEnd"/>
      <w:r w:rsidRPr="009165A6">
        <w:t xml:space="preserve"> LCA for Experts Software using CML2001 baseline climate change method, which calculates GWP 100 years.  </w:t>
      </w:r>
    </w:p>
    <w:p w14:paraId="4DF217B6" w14:textId="3DFA1C5C" w:rsidR="009165A6" w:rsidRPr="009165A6" w:rsidRDefault="009165A6" w:rsidP="009165A6">
      <w:pPr>
        <w:pStyle w:val="Heading3"/>
      </w:pPr>
      <w:bookmarkStart w:id="75" w:name="_Toc190951824"/>
      <w:r>
        <w:lastRenderedPageBreak/>
        <w:t>4.2.3.2</w:t>
      </w:r>
      <w:r w:rsidRPr="009165A6">
        <w:t xml:space="preserve"> GHG Emissions and Associated Savings Through Lightweighting for Different Vehicle Types</w:t>
      </w:r>
      <w:bookmarkEnd w:id="75"/>
    </w:p>
    <w:p w14:paraId="5B848B5D" w14:textId="2E1426DD" w:rsidR="009165A6" w:rsidRPr="009165A6" w:rsidRDefault="009165A6" w:rsidP="009165A6">
      <w:r w:rsidRPr="009165A6">
        <w:t>We calculated the GHG emissions associated with the use-phase of the vehicle for the baseline case (PP-TD5 panel) and both paper composite cases (stiffness- and strength-limited designs). This analysis was conducted for both ICEV and BEV powertrains using the methodology described in section 2.4.6. To demonstrate how GHG savings evolve throughout the vehicle's lifecycle, we performed calculations at distances ranging from 50,000 to 300,000 km in intervals of 50,000 km. Kim and Wallington modeled the reduction in fuel consumption under two assumptions: 1) the powertrain is held constant for the lightweighted vehicle, and 2) the powertrain is resized to account for the vehicle's mass reduction</w:t>
      </w:r>
      <w:r w:rsidR="006A1D8D">
        <w:t xml:space="preserve"> </w:t>
      </w:r>
      <w:r w:rsidR="006A1D8D">
        <w:fldChar w:fldCharType="begin"/>
      </w:r>
      <w:r w:rsidR="006A1D8D">
        <w:instrText xml:space="preserve"> ADDIN ZOTERO_ITEM CSL_CITATION {"citationID":"5StI5pqD","properties":{"formattedCitation":"[142]","plainCitation":"[142]","noteIndex":0},"citationItems":[{"id":"GrEn1h2x/6Nrbw2zR","uris":["http://zotero.org/users/local/atKPBTT7/items/MB5VZBHA"],"itemData":{"id":"GrEn1h2x/6Nrbw2zR","type":"article-journal","abstract":"Assessing the life-cycle beneﬁts of vehicle lightweighting requires a quantitative description of mass-induced fuel consumption (MIF) and fuel reduction values (FRVs). We have extended our physics-based model of MIF and FRVs for internal combustion engine vehicles (ICEVs) to electriﬁed vehicles (EVs) including hybrid electric vehicles (HEVs), plug-in hybrid electric vehicles (PHEVs), and battery electric vehicles (BEVs). We illustrate the utility of the model by calculating MIFs and FRVs for 37 EVs and 13 ICEVs. BEVs have much smaller MIF and FRVs, both in the range 0.04−0.07 Le/(100 km 100 kg), than those for ICEVs which are in the ranges 0.19−0.32 and 0.16−0.22 L/(100 km 100 kg), respectively. The MIF and FRVs for HEVs and PHEVs mostly lie between those for ICEVs and BEVs. Powertrain resizing increases the FRVs for ICEVs, HEVs and PHEVs. Lightweighting EVs is less eﬀective in reducing greenhouse gas emissions than lightweighting ICEVs, however the beneﬁts diﬀer substantially for diﬀerent vehicle models. The physicsbased approach outlined here enables model speciﬁc assessments for ICEVs, HEVs, PHEVs, and BEVs required to determine the optimal strategy for maximizing the life-cycle beneﬁts of lightweighting the light-duty vehicle ﬂeet.","container-title":"Environmental Science &amp; Technology","DOI":"10.1021/acs.est.6b02059","ISSN":"0013-936X, 1520-5851","issue":"20","journalAbbreviation":"Environ. Sci. Technol.","language":"en","license":"http://pubs.acs.org/page/policy/authorchoice_termsofuse.html","page":"11226-11233","source":"DOI.org (Crossref)","title":"Life Cycle Assessment of Vehicle Lightweighting: A Physics-Based Model To Estimate Use-Phase Fuel Consumption of Electrified Vehicles","title-short":"Life Cycle Assessment of Vehicle Lightweighting","volume":"50","author":[{"family":"Kim","given":"Hyung Chul"},{"family":"Wallington","given":"Timothy J."}],"issued":{"date-parts":[["2016",10,18]]}}}],"schema":"https://github.com/citation-style-language/schema/raw/master/csl-citation.json"} </w:instrText>
      </w:r>
      <w:r w:rsidR="006A1D8D">
        <w:fldChar w:fldCharType="separate"/>
      </w:r>
      <w:r w:rsidR="006A1D8D" w:rsidRPr="006A1D8D">
        <w:t>[142]</w:t>
      </w:r>
      <w:r w:rsidR="006A1D8D">
        <w:fldChar w:fldCharType="end"/>
      </w:r>
      <w:r w:rsidRPr="009165A6">
        <w:t>. They designate the fuel reduction value under the first assumption as FRV and the fuel reduction value under powertrain resizing as FRV+. For this study, we chose to analyze both cases. We used EPA data associated with the 2024 ID.4 and 2024 Tiguan to calculate MIF, FRV and FRV+ for our use-phase analyses. The calculated values are provided Table S5.</w:t>
      </w:r>
    </w:p>
    <w:p w14:paraId="6A112A74" w14:textId="0C2A1055" w:rsidR="009165A6" w:rsidRPr="009165A6" w:rsidRDefault="009165A6" w:rsidP="009165A6">
      <w:pPr>
        <w:pStyle w:val="Heading2"/>
      </w:pPr>
      <w:bookmarkStart w:id="76" w:name="_Toc190951825"/>
      <w:r>
        <w:t>4.2.4</w:t>
      </w:r>
      <w:r w:rsidRPr="009165A6">
        <w:t xml:space="preserve"> Life Cycle Inventory Data</w:t>
      </w:r>
      <w:bookmarkEnd w:id="76"/>
    </w:p>
    <w:p w14:paraId="2F9689D2" w14:textId="683B32D1" w:rsidR="009165A6" w:rsidRPr="009165A6" w:rsidRDefault="009165A6" w:rsidP="009165A6">
      <w:pPr>
        <w:pStyle w:val="Heading3"/>
      </w:pPr>
      <w:bookmarkStart w:id="77" w:name="_Toc190951826"/>
      <w:r>
        <w:t>4.2.4.1</w:t>
      </w:r>
      <w:r w:rsidRPr="009165A6">
        <w:t xml:space="preserve"> Raw Materials</w:t>
      </w:r>
      <w:bookmarkEnd w:id="77"/>
    </w:p>
    <w:p w14:paraId="3D32036C" w14:textId="77777777" w:rsidR="009165A6" w:rsidRPr="009165A6" w:rsidRDefault="009165A6" w:rsidP="009165A6">
      <w:r w:rsidRPr="009165A6">
        <w:t xml:space="preserve">We considered three scenarios: the baseline, renewable energy, and recycled feedstock scenarios. The raw materials used in the production of the studied door panel carriers included polypropylene (in both granulate and fiber form), market pulp, and talc powder. </w:t>
      </w:r>
    </w:p>
    <w:p w14:paraId="42BA20AC" w14:textId="559310D8" w:rsidR="009165A6" w:rsidRPr="009165A6" w:rsidRDefault="009165A6" w:rsidP="009165A6">
      <w:r w:rsidRPr="009165A6">
        <w:t>In the baseline scenario, the polypropylene was assumed to be derived from crude oil, which was cracked to form propene and then polymerized. Polypropylene fibers were assumed to be manufactured using a melt-spinning process. Talc powder was assumed to be sourced from underground mines in an alpine region, followed by grinding and purification to achieve a particle size of 1–15 microns. Data for market pulp was sourced from literature that assessed the average carbon footprint of various grades of pulp and paper in the United States, estimating an average of 0.855 kg CO</w:t>
      </w:r>
      <w:r w:rsidRPr="009165A6">
        <w:rPr>
          <w:vertAlign w:val="subscript"/>
        </w:rPr>
        <w:t>2</w:t>
      </w:r>
      <w:r w:rsidRPr="009165A6">
        <w:t xml:space="preserve">-eq. per kg of pulp </w:t>
      </w:r>
      <w:r w:rsidRPr="009165A6">
        <w:fldChar w:fldCharType="begin"/>
      </w:r>
      <w:r>
        <w:instrText xml:space="preserve"> ADDIN ZOTERO_ITEM CSL_CITATION {"citationID":"bTtKTDr0","properties":{"formattedCitation":"[143]","plainCitation":"[143]","noteIndex":0},"citationItems":[{"id":"GrEn1h2x/sF3uspcF","uris":["http://zotero.org/users/local/atKPBTT7/items/TM4H9U24"],"itemData":{"id":14,"type":"article-journal","abstract":"Greenhouse gas (GHG) emission levels are causing concern as climate change risks are growing, emphasizing the importance of GHG research for better understanding of emission sources. Previous studies on GHG emissions for the pulp and paper industry have ranged in scope from global to regional to site-specific. This study addresses the present knowledge gap of how GHG emissions vary among paper grades in the US. A cradle-to-gate life cycle carbon analysis for 252 mills in the US was performed by integrating large datasets at the production line level. The results indicated that one metric ton of paper product created a production weighted average of 942 kg of carbon dioxide equivalent (kg CO2eq) of GHG emissions. Greenhouse gas emissions varied by pulp and paper grade, from 608 kg CO2eq per metric ton of product to 1978 kg CO2eq per metric ton of product. Overall, fuels were the greatest contributor to the GHG emissions and should be the focus of emission reduction strategies across pulp and paper grades.","container-title":"BioResources","DOI":"10.15376/biores.15.2.3899-3914","ISSN":"19302126, 19302126","issue":"2","journalAbbreviation":"BioRes","language":"en","page":"3899-3914","source":"DOI.org (Crossref)","title":"Life cycle carbon footprint analysis of pulp and paper grades in the United States using production-line-based data and integration","volume":"15","author":[{"family":"Tomberlin","given":"Kristen E."},{"family":"Venditti","given":"Richard"},{"family":"Yao","given":"Yuan"}],"issued":{"date-parts":[["2020",4,7]]}}}],"schema":"https://github.com/citation-style-language/schema/raw/master/csl-citation.json"} </w:instrText>
      </w:r>
      <w:r w:rsidRPr="009165A6">
        <w:fldChar w:fldCharType="separate"/>
      </w:r>
      <w:r w:rsidRPr="009165A6">
        <w:t>[143]</w:t>
      </w:r>
      <w:r w:rsidRPr="009165A6">
        <w:fldChar w:fldCharType="end"/>
      </w:r>
      <w:r w:rsidRPr="009165A6">
        <w:t xml:space="preserve">. Additionally, we calculated the biogenic carbon storage potential of 1 kg of market pulp to </w:t>
      </w:r>
      <w:r w:rsidRPr="009165A6">
        <w:lastRenderedPageBreak/>
        <w:t>be 1.62 kg CO</w:t>
      </w:r>
      <w:r w:rsidRPr="009165A6">
        <w:rPr>
          <w:vertAlign w:val="subscript"/>
        </w:rPr>
        <w:t>2</w:t>
      </w:r>
      <w:r w:rsidRPr="009165A6">
        <w:t>, resulting in an overall carbon footprint of -0.765 kg CO</w:t>
      </w:r>
      <w:r w:rsidRPr="009165A6">
        <w:rPr>
          <w:vertAlign w:val="subscript"/>
        </w:rPr>
        <w:t>2</w:t>
      </w:r>
      <w:r w:rsidRPr="009165A6">
        <w:t xml:space="preserve">-eq. per kg of market pulp. A detailed explanation of this calculation is provided in the supplementary information. </w:t>
      </w:r>
    </w:p>
    <w:p w14:paraId="79844989" w14:textId="77777777" w:rsidR="009165A6" w:rsidRPr="009165A6" w:rsidRDefault="009165A6" w:rsidP="009165A6">
      <w:r w:rsidRPr="009165A6">
        <w:t xml:space="preserve">In the renewable energy scenario, we sought to use raw materials produced with renewable energy wherever possible. The </w:t>
      </w:r>
      <w:proofErr w:type="spellStart"/>
      <w:r w:rsidRPr="009165A6">
        <w:t>Sphera</w:t>
      </w:r>
      <w:proofErr w:type="spellEnd"/>
      <w:r w:rsidRPr="009165A6">
        <w:t xml:space="preserve"> database provided LCA data for polypropylene fiber and granulate data produced using renewable energy. However, no such information was available for either market pulp or talc powder. Polypropylene, in this scenario, was still derived from crude oil, but the manufacturing process utilized a green energy grid mix. This grid mix had the following composition: 63.05% wind, 19.43% photovoltaic, 10.97% hydro, 3.31% biomass, 2.10% biogas, 0.76% waste, 0.21% solar thermal, and 0.18% geothermal. This grid mix is designated as </w:t>
      </w:r>
      <w:r w:rsidRPr="009165A6">
        <w:rPr>
          <w:i/>
          <w:iCs/>
        </w:rPr>
        <w:t>RER: Green electricity grid mix</w:t>
      </w:r>
      <w:r w:rsidRPr="009165A6">
        <w:t xml:space="preserve"> in </w:t>
      </w:r>
      <w:proofErr w:type="spellStart"/>
      <w:r w:rsidRPr="009165A6">
        <w:t>Sphera’s</w:t>
      </w:r>
      <w:proofErr w:type="spellEnd"/>
      <w:r w:rsidRPr="009165A6">
        <w:t xml:space="preserve"> database.</w:t>
      </w:r>
    </w:p>
    <w:p w14:paraId="630611EA" w14:textId="698FDCAE" w:rsidR="009165A6" w:rsidRDefault="009165A6" w:rsidP="009165A6">
      <w:r w:rsidRPr="009165A6">
        <w:t xml:space="preserve">In the recycled feedstock scenario, we assumed that market pulp would be replaced with recycled paper pulp, and polypropylene granulate would be substituted with post-consumer PP recyclate. Data for recycled paper pulp was obtained from </w:t>
      </w:r>
      <w:proofErr w:type="spellStart"/>
      <w:r w:rsidRPr="009165A6">
        <w:t>Laurijssen</w:t>
      </w:r>
      <w:proofErr w:type="spellEnd"/>
      <w:r w:rsidRPr="009165A6">
        <w:t xml:space="preserve"> et al. which estimated the carbon footprint to be -1,100 kg CO</w:t>
      </w:r>
      <w:r w:rsidRPr="009165A6">
        <w:rPr>
          <w:bCs/>
          <w:vertAlign w:val="subscript"/>
        </w:rPr>
        <w:t>2</w:t>
      </w:r>
      <w:r w:rsidRPr="009165A6">
        <w:rPr>
          <w:bCs/>
        </w:rPr>
        <w:t>-eq.</w:t>
      </w:r>
      <w:r w:rsidRPr="009165A6">
        <w:t xml:space="preserve"> per ton of recycled paper</w:t>
      </w:r>
      <w:r w:rsidR="006A1D8D">
        <w:t xml:space="preserve"> </w:t>
      </w:r>
      <w:r w:rsidR="006A1D8D">
        <w:fldChar w:fldCharType="begin"/>
      </w:r>
      <w:r w:rsidR="006A1D8D">
        <w:instrText xml:space="preserve"> ADDIN ZOTERO_ITEM CSL_CITATION {"citationID":"R6T8Yx6I","properties":{"formattedCitation":"[144]","plainCitation":"[144]","noteIndex":0},"citationItems":[{"id":"GrEn1h2x/fvaIjbiI","uris":["http://zotero.org/users/local/atKPBTT7/items/R86HDTUN"],"itemData":{"id":"GrEn1h2x/fvaIjbiI","type":"article-journal","abstract":"The pulp and paper industry is placed in a unique position as biomass used as feedstock is now in increasingly high demand from the energy sector. Increased demand for biomass increases pressure on the availability of this resource, which might strengthen the need for recycling of paper. In this study, we calculate the energy use and carbon dioxide emissions for paper production from three pulp types. Increased recycling enables an increase in biomass availability and reduces life-cycle energy use and carbon dioxide emissions. Recovered paper as feedstock leads to lowest energy use (22 GJ/t) and CO2 emissions (−1100 kg CO2/t) when biomass not used for paper production is assumed to be converted into bio-energy. Large differences exist between paper grades in e.g. electricity and heat use during production, ﬁbre furnish, ﬁller content and recyclability. We found large variation in energy use over the life-cycle of different grades. However, in all paper grades, life-cycle energy use decreases with increased recycling rates and increased use of recovered ﬁbres. The average life-cycle energy use of the paper mix produced in The Netherlands, where the recycling rate is approximately 75%, is about 14 GJ/t. This equals CO2 savings of about 1 t CO2/t paper if no recycled ﬁbres would be used.","container-title":"Resources, Conservation and Recycling","DOI":"10.1016/j.resconrec.2010.03.016","ISSN":"09213449","issue":"12","journalAbbreviation":"Resources, Conservation and Recycling","language":"en","page":"1208-1218","source":"DOI.org (Crossref)","title":"Paper and biomass for energy?","volume":"54","author":[{"family":"Laurijssen","given":"Jobien"},{"family":"Marsidi","given":"Marc"},{"family":"Westenbroek","given":"Annita"},{"family":"Worrell","given":"Ernst"},{"family":"Faaij","given":"Andre"}],"issued":{"date-parts":[["2010",10]]}}}],"schema":"https://github.com/citation-style-language/schema/raw/master/csl-citation.json"} </w:instrText>
      </w:r>
      <w:r w:rsidR="006A1D8D">
        <w:fldChar w:fldCharType="separate"/>
      </w:r>
      <w:r w:rsidR="006A1D8D" w:rsidRPr="006A1D8D">
        <w:t>[144]</w:t>
      </w:r>
      <w:r w:rsidR="006A1D8D">
        <w:fldChar w:fldCharType="end"/>
      </w:r>
      <w:r w:rsidRPr="009165A6">
        <w:t xml:space="preserve">. While this study focused on the paper recycling industry in the Netherlands, we considered the value appropriate, as it aligns with other findings indicating that recycled paper production emits approximately 30% fewer greenhouse gases than virgin paper </w:t>
      </w:r>
      <w:r w:rsidRPr="009165A6">
        <w:rPr>
          <w:b/>
          <w:bCs/>
        </w:rPr>
        <w:fldChar w:fldCharType="begin"/>
      </w:r>
      <w:r>
        <w:instrText xml:space="preserve"> ADDIN ZOTERO_ITEM CSL_CITATION {"citationID":"5uu6UVFL","properties":{"formattedCitation":"[145]","plainCitation":"[145]","noteIndex":0},"citationItems":[{"id":"GrEn1h2x/W7io0kL9","uris":["http://zotero.org/users/local/atKPBTT7/items/YEKFIFT7"],"itemData":{"id":109,"type":"article-journal","abstract":"Paper has shaped society for centuries and is considered one of humanity’s most important inventions. However, pulp and paper products can be damaging to social and natural systems along their lifecycle of material extraction, processing, transportation, and waste handling. The pulp and paper industry is among the top five most energy-intensive industries globally and is the fourth largest industrial energy user. This industry accounts for approximately 6% of global industrial energy use and 2% of direct industrial CO2 emissions. The pulp and paper industry is also the largest user of original or virgin wood, with deleterious impacts on both human health and local flora and fauna, including aquatic ecosystems. This critical and systematic review seeks to identify alternatives for mitigating the climate impacts of pulp and paper processes and products, thus making the pulp and paper industry more environmentally sustainable. This study reviews 466 studies to answer the following questions: what are the main determinants of energy and carbon emissions emerging from the pulp and paper industry? What are the benefits of this industry adopting low-carbon manufacturing processes, and what barriers will need to be tackled to enable such adoption? Using a sociotechnical lens, we answer these questions, identify barriers for the pulp and paper industry’s decarbonization, and present promising avenues for future research.","container-title":"Renewable and Sustainable Energy Reviews","DOI":"10.1016/j.rser.2022.112706","ISSN":"13640321","journalAbbreviation":"Renewable and Sustainable Energy Reviews","language":"en","page":"112706","source":"DOI.org (Crossref)","title":"Decarbonizing the pulp and paper industry: A critical and systematic review of sociotechnical developments and policy options","title-short":"Decarbonizing the pulp and paper industry","volume":"167","author":[{"family":"Furszyfer Del Rio","given":"Dylan D."},{"family":"Sovacool","given":"Benjamin K."},{"family":"Griffiths","given":"Steve"},{"family":"Bazilian","given":"Morgan"},{"family":"Kim","given":"Jinsoo"},{"family":"Foley","given":"Aoife M."},{"family":"Rooney","given":"David"}],"issued":{"date-parts":[["2022",10]]}}}],"schema":"https://github.com/citation-style-language/schema/raw/master/csl-citation.json"} </w:instrText>
      </w:r>
      <w:r w:rsidRPr="009165A6">
        <w:rPr>
          <w:b/>
          <w:bCs/>
        </w:rPr>
        <w:fldChar w:fldCharType="separate"/>
      </w:r>
      <w:r w:rsidRPr="009165A6">
        <w:t>[145]</w:t>
      </w:r>
      <w:r w:rsidRPr="009165A6">
        <w:fldChar w:fldCharType="end"/>
      </w:r>
      <w:r w:rsidRPr="009165A6">
        <w:t xml:space="preserve">. For the recycled polypropylene granulate, we used data from the </w:t>
      </w:r>
      <w:proofErr w:type="spellStart"/>
      <w:r w:rsidRPr="009165A6">
        <w:t>Sphera</w:t>
      </w:r>
      <w:proofErr w:type="spellEnd"/>
      <w:r w:rsidRPr="009165A6">
        <w:t xml:space="preserve"> database (</w:t>
      </w:r>
      <w:r w:rsidRPr="009165A6">
        <w:rPr>
          <w:i/>
          <w:iCs/>
        </w:rPr>
        <w:t>US: Polypropylene (PP) granulate secondary</w:t>
      </w:r>
      <w:r w:rsidRPr="009165A6">
        <w:t xml:space="preserve">). This dataset assumes the recycled plastic originated from post-consumer waste and had a recycling efficiency of 90%. The energy used in recycling processes (washing, granulating, compounding, and pelletizing) was derived from a combination of thermal energy from natural gas and electricity. Recycled polypropylene fiber was not considered in this scenario, as producing high-quality fibers from post-consumer recycled feedstock is difficult due to contamination and inconsistencies in the material </w:t>
      </w:r>
      <w:r w:rsidRPr="009165A6">
        <w:fldChar w:fldCharType="begin"/>
      </w:r>
      <w:r>
        <w:instrText xml:space="preserve"> ADDIN ZOTERO_ITEM CSL_CITATION {"citationID":"ITcgmtwd","properties":{"formattedCitation":"[146]","plainCitation":"[146]","noteIndex":0},"citationItems":[{"id":"GrEn1h2x/InFJyErV","uris":["http://zotero.org/users/local/atKPBTT7/items/J2R3K98S"],"itemData":{"id":111,"type":"report","event-place":"Luxembourg","genre":"Final Report","language":"en","number":"ET-05-21-038-EN-N","publisher":"European Commission","publisher-place":"Luxembourg","source":"DOI.org (CSL JSON)","title":"Study on the technical, regulatory, economic and environmental effectiveness of textile fibres recycling: final report.","title-short":"Study on the technical, regulatory, economic and environmental effectiveness of textile fibres recycling","URL":"https://data.europa.eu/doi/10.2873/828412","author":[{"family":"Duhoux","given":"Tom"},{"family":"Maes","given":"Edwin"},{"family":"Hirschnitz-Garbers","given":"Martin"},{"family":"Peeters","given":"Karolien"},{"family":"Asscherickx","given":"Lise"},{"family":"Christis","given":"Maarten"},{"family":"Stubbe","given":"Birgit"},{"family":"Colignon","given":"Philippe"},{"family":"Hinzmann","given":"Mandy"},{"family":"Sachdeva","given":"Anurodh"}],"accessed":{"date-parts":[["2024",9,12]]},"issued":{"date-parts":[["2021"]]}}}],"schema":"https://github.com/citation-style-language/schema/raw/master/csl-citation.json"} </w:instrText>
      </w:r>
      <w:r w:rsidRPr="009165A6">
        <w:fldChar w:fldCharType="separate"/>
      </w:r>
      <w:r w:rsidRPr="009165A6">
        <w:t>[146]</w:t>
      </w:r>
      <w:r w:rsidRPr="009165A6">
        <w:fldChar w:fldCharType="end"/>
      </w:r>
      <w:r w:rsidRPr="009165A6">
        <w:t>.</w:t>
      </w:r>
    </w:p>
    <w:p w14:paraId="571DF49F" w14:textId="552A5DB4" w:rsidR="009165A6" w:rsidRPr="009165A6" w:rsidRDefault="009165A6" w:rsidP="009165A6">
      <w:pPr>
        <w:pStyle w:val="Heading3"/>
      </w:pPr>
      <w:bookmarkStart w:id="78" w:name="_Toc190951827"/>
      <w:r>
        <w:t>4.2.</w:t>
      </w:r>
      <w:r w:rsidR="00535A41">
        <w:t>4.2</w:t>
      </w:r>
      <w:r w:rsidRPr="009165A6">
        <w:t xml:space="preserve"> PP-TD5 Door Panel Manufacturing</w:t>
      </w:r>
      <w:bookmarkEnd w:id="78"/>
      <w:r w:rsidRPr="009165A6">
        <w:t xml:space="preserve"> </w:t>
      </w:r>
    </w:p>
    <w:p w14:paraId="333E49F6" w14:textId="77777777" w:rsidR="009165A6" w:rsidRPr="009165A6" w:rsidRDefault="009165A6" w:rsidP="009165A6">
      <w:r w:rsidRPr="009165A6">
        <w:t xml:space="preserve">The granulate required for producing the PP-TD5 door panels is typically produced by compounding talc powder with PP granulate using a twin-screw extruder. This process </w:t>
      </w:r>
      <w:r w:rsidRPr="009165A6">
        <w:lastRenderedPageBreak/>
        <w:t xml:space="preserve">was modeled using the "GLO: Compounding" process in </w:t>
      </w:r>
      <w:proofErr w:type="spellStart"/>
      <w:r w:rsidRPr="009165A6">
        <w:t>Sphera</w:t>
      </w:r>
      <w:proofErr w:type="spellEnd"/>
      <w:r w:rsidRPr="009165A6">
        <w:t xml:space="preserve">, which assumes an energy consumption rate of 1.73 MJ/kg and a water consumption rate of 0.636 L/kg. For the injection molding of the door panel, we used the </w:t>
      </w:r>
      <w:r w:rsidRPr="009165A6">
        <w:rPr>
          <w:i/>
          <w:iCs/>
        </w:rPr>
        <w:t>DE: Plastic injection molding part (unspecific)</w:t>
      </w:r>
      <w:r w:rsidRPr="009165A6">
        <w:t xml:space="preserve"> process from </w:t>
      </w:r>
      <w:proofErr w:type="spellStart"/>
      <w:r w:rsidRPr="009165A6">
        <w:t>Sphera</w:t>
      </w:r>
      <w:proofErr w:type="spellEnd"/>
      <w:r w:rsidRPr="009165A6">
        <w:t>. The energy consumption rate for compounding was assumed at 6.64 MJ/kg and a water consumption rate at 0.441 L/kg. Although this is a general process and is not limited to a specific type of polymer, it is suitable for modeling parts weighing between 0.2 and 2.0 kg, making it applicable for our study. A 2% scrap rate was assumed for both the compounding and injection molding processes.</w:t>
      </w:r>
    </w:p>
    <w:p w14:paraId="77A81FCE" w14:textId="0E90A788" w:rsidR="009165A6" w:rsidRPr="009165A6" w:rsidRDefault="00535A41" w:rsidP="009165A6">
      <w:pPr>
        <w:pStyle w:val="Heading3"/>
      </w:pPr>
      <w:bookmarkStart w:id="79" w:name="_Toc190951828"/>
      <w:r>
        <w:t>4.2.4.3</w:t>
      </w:r>
      <w:r w:rsidR="009165A6" w:rsidRPr="009165A6">
        <w:t xml:space="preserve"> Paper Composite Panel Manufacturing</w:t>
      </w:r>
      <w:bookmarkEnd w:id="79"/>
    </w:p>
    <w:p w14:paraId="07D91FF2" w14:textId="43093C9F" w:rsidR="009165A6" w:rsidRPr="009165A6" w:rsidRDefault="009165A6" w:rsidP="009165A6">
      <w:r w:rsidRPr="009165A6">
        <w:t xml:space="preserve">The paper composite panels were manufactured in two stages: first, a non-woven preform was produced using a fiber molding process, followed by molding a stack of preforms to create a consolidated composite part. A detailed description of this process is available in previous work </w:t>
      </w:r>
      <w:r w:rsidRPr="009165A6">
        <w:fldChar w:fldCharType="begin"/>
      </w:r>
      <w:r>
        <w:instrText xml:space="preserve"> ADDIN ZOTERO_ITEM CSL_CITATION {"citationID":"9Dr8OEGK","properties":{"formattedCitation":"[116]","plainCitation":"[116]","noteIndex":0},"citationItems":[{"id":"GrEn1h2x/DxoUY9Te","uris":["http://zotero.org/users/local/atKPBTT7/items/H9YKJM25"],"itemData":{"id":83,"type":"article-journal","container-title":"Composites Part A: Applied Science and Manufacturing","DOI":"10.1016/j.compositesa.2024.108339","ISSN":"1359835X","journalAbbreviation":"Composites Part A: Applied Science and Manufacturing","language":"en","page":"108339","source":"DOI.org (Crossref)","title":"Paper fiber-reinforced polypropylene composites from nonwoven preforms: A study on compression molding optimization from a manufacturing perspective","title-short":"Paper fiber-reinforced polypropylene composites from nonwoven preforms","volume":"185","author":[{"family":"Grubb","given":"Cecile A."},{"family":"Keffer","given":"David J."},{"family":"Webb","given":"Christopher D."},{"family":"Kardos","given":"Marton"},{"family":"Mainka","given":"Hendrik"},{"family":"Harper","given":"David P."}],"issued":{"date-parts":[["2024",10]]}}}],"schema":"https://github.com/citation-style-language/schema/raw/master/csl-citation.json"} </w:instrText>
      </w:r>
      <w:r w:rsidRPr="009165A6">
        <w:fldChar w:fldCharType="separate"/>
      </w:r>
      <w:r w:rsidRPr="009165A6">
        <w:t>[116]</w:t>
      </w:r>
      <w:r w:rsidRPr="009165A6">
        <w:fldChar w:fldCharType="end"/>
      </w:r>
      <w:r w:rsidRPr="009165A6">
        <w:t xml:space="preserve">. During the fiber molding stage, market pulp and polypropylene fibers are mixed to form a 1 wt.% slurry in water, with the water assumed to be tap water that is subsequently treated through the US municipal treatment system. The electricity required for fiber molding was estimated by the machine manufacturer to be 5.66 MJ/kg of molded material, which aligns relatively well with literature estimates ranging from 6.58 to 10.51 MJ/kg </w:t>
      </w:r>
      <w:r w:rsidRPr="009165A6">
        <w:fldChar w:fldCharType="begin"/>
      </w:r>
      <w:r>
        <w:instrText xml:space="preserve"> ADDIN ZOTERO_ITEM CSL_CITATION {"citationID":"SYnfqYFh","properties":{"formattedCitation":"[147\\uc0\\u8211{}149]","plainCitation":"[147–149]","noteIndex":0},"citationItems":[{"id":"GrEn1h2x/DDf8o3Xo","uris":["http://zotero.org/users/local/atKPBTT7/items/SYUBDQNK"],"itemData":{"id":85,"type":"article-journal","abstract":"Abstract\n            Moulded pulp has been used as an alternative to plastic in certain packaging applications, but some problems in the production system lead to higher costs including energy consumption. Industry tends to operate on the basis of experience rather than through scientific evaluation and systematic design methods. The research aims at detecting the problems in the production system by a multidimensional life cycle assessment (MLCA) with transparent analysis. The MLCA measures the performance of the moulded pulp production system with regard to technical, economic and environmental aspects and produces quantitative results (in monetary units), and finally indicates the overall efficiency of the production system using a sustainability index (SI). A life cycle impact assessment method based on endpoint modelling (LIME) is mainly adopted in the MLCA. Three existing moulded pulp production systems for industrial packaging in China were assessed in this study. The results show that the main environmental impacts of the three production systems are the atmospheric emissions and landfill waste; the drying stage in the production systems, which is dominated by consumption of resources and environmental impacts, is the key to controlling costs; steam should be the first preferred heat source in the drying process for achieving sustainability in the moulded pulp production system. The optimum for the three cases is identified by calculating the newly developed SI. The MLCA approach can be used to assist in identifying potential improvements and practical new packaging designs. Copyright © 2009 John Wiley &amp; Sons, Ltd.","container-title":"Packaging Technology and Science","DOI":"10.1002/pts.852","ISSN":"0894-3214, 1099-1522","issue":"5","journalAbbreviation":"Packag Technol Sci","language":"en","license":"http://onlinelibrary.wiley.com/termsAndConditions#vor","page":"261-273","source":"DOI.org (Crossref)","title":"Multidimensional life cycle assessment on various moulded pulp production systems","volume":"22","author":[{"family":"Huo","given":"Lijiang"},{"family":"Saito","given":"Katsuhiko"}],"issued":{"date-parts":[["2009",8]]}}},{"id":"GrEn1h2x/s1raDAFs","uris":["http://zotero.org/users/local/atKPBTT7/items/E5V7NFWG"],"itemData":{"id":89,"type":"article-journal","abstract":"Abstract\n            An initial carbon emission calculation formula for the pulp molding industry was first proposed in accordance with the calculation guidelines provided by the Intergovernmental Panel on Climate Change (IPCC). The formula was primarily developed by utilizing the greenhouse gas accounting methods used in the pulp and paper industry and the life cycle assessment (LCA) theory. Carbon dioxide emissions coming into being during the production processes of dry-press and wet-press pulp molding were calculated individually, alongside the carbon emission factors throughout the lifecycle of the products. This study also delivers a comparative analysis of pulp molding products and similar cushion packaging materials. Moreover, the findings reveal that during the production phase, particularly in the formative stages of pulp molding, substantial carbon dioxide emissions would be produced, with dry-press pulp molding products exhibiting markedly higher carbon emission factors than their wet-press counterparts. The primary objective of achieving low-carbon transformation for the pulp molding industry was to reduce the carbon emissions caused by the forming process, primarily by improving the forming process and enhancing energy efficiency or utilizing clean energy.","container-title":"Nordic Pulp &amp; Paper Research Journal","DOI":"10.1515/npprj-2023-0032","ISSN":"0283-2631, 2000-0669","issue":"4","language":"en","page":"573-582","source":"DOI.org (Crossref)","title":"Carbon emissions analysis of the pulp molding industry: a comparison of dry-press and wet-press production processes","title-short":"Carbon emissions analysis of the pulp molding industry","volume":"38","author":[{"family":"Lv","given":"Zhisheng"},{"family":"Jiang","given":"Shaohong"},{"family":"Wei","given":"Lingjun"},{"family":"Sun","given":"Hao"},{"family":"Liu","given":"Yuhui"},{"family":"Cui","given":"Jieyu"},{"family":"Zhang","given":"Wanlu"}],"issued":{"date-parts":[["2023",12,15]]}}},{"id":"GrEn1h2x/n9If8KDt","uris":["http://zotero.org/users/local/atKPBTT7/items/BEPJEFKI"],"itemData":{"id":87,"type":"thesis","abstract":"Packaging is a vital part of everyday life, and its wide-spread global use has led to concerns about the environmental impact it can cause. Regulations appearing as a result of these concerns are fuelling the exploration of new packaging technology which reduces the environmental impact. The aim of this study was to explore sustainability efforts occurring in companies working with the Loop Factory with regards to the packaging they use and to conduct a life cycle assessment (LCA) on dry moulded packaging technology being developed by The Loop Factory in comparison to other alternatives in order to assess the environmental impact of the technologies. The packaging application in this study was food takeaway trays. The life cycle assessment conducted was a cradle-to-grave study of dry moulded, wet moulded, and polypropylene food trays. The results of customer interviews show an increased pressure on companies to design and produce packaging with a minimized environmental impact. The results of the LCA list impacts for global warming, acidification, eutrophication, abiotic resource use, and cumulative energy demand. Also shown is a sensitivity analysis for a range of recycling rates, as well as a sensitivity analysis which added a wet moulded tray which was produced in Europe, as the original wet moulded tray shown in the results is made in China, The results of the life cycle assessment show a favourable performance for dry moulded trays in many cases, though particular attention must be paid to the use of different energy systems used when attempting to compare the results, as the wet moulded trays are produced in China, while the rest of the trays are produced in Europe. Sensitivity analysis varying the recycling rate and production location showed the change in the results possible with different choices and allowed for better comparison between the trays. The results emphasize the importance of disclosing modelling choices and transparency when using life cycle assessment. When choosing packaging in the future, users will need to weigh the importance of different environmental impact categories, material choices, and end-of-life treatment in order to decide the best option for packaging.","event-place":"Gothenburg, Sweden","language":"en","publisher":"Chalmers University of Technology","publisher-place":"Gothenburg, Sweden","source":"Zotero","title":"Life Cycle Assessment of Take-Away Food Containers","author":[{"family":"Svensson","given":"Amanda"}],"issued":{"date-parts":[["2021"]]}}}],"schema":"https://github.com/citation-style-language/schema/raw/master/csl-citation.json"} </w:instrText>
      </w:r>
      <w:r w:rsidRPr="009165A6">
        <w:fldChar w:fldCharType="separate"/>
      </w:r>
      <w:r w:rsidRPr="009165A6">
        <w:t>[147–149]</w:t>
      </w:r>
      <w:r w:rsidRPr="009165A6">
        <w:fldChar w:fldCharType="end"/>
      </w:r>
      <w:r w:rsidRPr="009165A6">
        <w:t>.</w:t>
      </w:r>
    </w:p>
    <w:p w14:paraId="2FAB2F01" w14:textId="3033DADB" w:rsidR="009165A6" w:rsidRPr="009165A6" w:rsidRDefault="009165A6" w:rsidP="009165A6">
      <w:pPr>
        <w:rPr>
          <w:i/>
          <w:iCs/>
        </w:rPr>
      </w:pPr>
      <w:r w:rsidRPr="009165A6">
        <w:t>Natural fiber composites are often consolidated through a “one-shot” process, where compression and injection molding are performed simultaneously. In this combined process, the compression molding component melts the matrix polymer, allowing it to fully encapsulate the reinforcing fibers, which is essential for achieving the desired mechanical properties. At the same time, the injection molding component adds features like stiffening ribs or fastener attachment points, which are critical to the part's functionality. Since no published data exists on the energy consumption of this specific process, we modeled the two steps separately.</w:t>
      </w:r>
      <w:r w:rsidRPr="009165A6">
        <w:rPr>
          <w:b/>
          <w:bCs/>
        </w:rPr>
        <w:t xml:space="preserve"> </w:t>
      </w:r>
      <w:r w:rsidRPr="009165A6">
        <w:t xml:space="preserve">The injection molding process was modeled as described previously, while the compression molding process was based on a literature value of 3.5 MJ/kg </w:t>
      </w:r>
      <w:r w:rsidRPr="009165A6">
        <w:rPr>
          <w:b/>
          <w:bCs/>
        </w:rPr>
        <w:fldChar w:fldCharType="begin"/>
      </w:r>
      <w:r>
        <w:instrText xml:space="preserve"> ADDIN ZOTERO_ITEM CSL_CITATION {"citationID":"vCsBB2r3","properties":{"formattedCitation":"[150]","plainCitation":"[150]","noteIndex":0},"citationItems":[{"id":"GrEn1h2x/YLbah4qy","uris":["http://zotero.org/users/local/atKPBTT7/items/VPFJCWUX"],"itemData":{"id":21,"type":"article-journal","abstract":"It is not common to accompany material development by a Life Cycle Assessment (LCA) during the research and development phase. It is the aim of the study at hand to present environmental aspects of the manufacturing of different polypropylene composites by injection moulding in comparison to the neat polypropylene. The process analysis following two injection-moulding experiments revealed that the total specific energy consumption of injection moulding of seven different materials and on different scales ranges from 1.6 MJ/kg to 3.5 MJ/kg. On the level of an ex-ante LCA from cradleto-factory gate, injection moulding can be rated from being a negligible to an important contributor.","container-title":"Journal of Reinforced Plastics and Composites","DOI":"10.1177/0731684416674565","ISSN":"0731-6844, 1530-7964","issue":"5","journalAbbreviation":"Journal of Reinforced Plastics and Composites","language":"en","page":"338-346","source":"DOI.org (Crossref)","title":"Injection moulding unit process for LCA: Energy intensity of manufacturing different materials at different scales","title-short":"Injection moulding unit process for LCA","volume":"36","author":[{"family":"Hesser","given":"Franziska"},{"family":"Mihalic","given":"Matthias"},{"family":"Paichl","given":"Barbara J"},{"family":"Wagner","given":"Martina"}],"issued":{"date-parts":[["2017",3]]}}}],"schema":"https://github.com/citation-style-language/schema/raw/master/csl-citation.json"} </w:instrText>
      </w:r>
      <w:r w:rsidRPr="009165A6">
        <w:rPr>
          <w:b/>
          <w:bCs/>
        </w:rPr>
        <w:fldChar w:fldCharType="separate"/>
      </w:r>
      <w:r w:rsidRPr="009165A6">
        <w:t>[150]</w:t>
      </w:r>
      <w:r w:rsidRPr="009165A6">
        <w:fldChar w:fldCharType="end"/>
      </w:r>
      <w:r w:rsidRPr="009165A6">
        <w:t>. The water consumption rate for the molding process was assumed to be the same as for the PP-TD5 injection molding. A 2% scrap rate was also assumed for all paper composite manufacturing processes.</w:t>
      </w:r>
    </w:p>
    <w:p w14:paraId="5536F3A8" w14:textId="00D10156" w:rsidR="009165A6" w:rsidRPr="009165A6" w:rsidRDefault="00535A41" w:rsidP="009165A6">
      <w:pPr>
        <w:pStyle w:val="Heading3"/>
      </w:pPr>
      <w:bookmarkStart w:id="80" w:name="_Toc190951829"/>
      <w:r>
        <w:lastRenderedPageBreak/>
        <w:t>4.2.4.4</w:t>
      </w:r>
      <w:r w:rsidR="009165A6" w:rsidRPr="009165A6">
        <w:t xml:space="preserve"> Energy Mixes</w:t>
      </w:r>
      <w:bookmarkEnd w:id="80"/>
    </w:p>
    <w:p w14:paraId="382E5A02" w14:textId="2F921406" w:rsidR="009165A6" w:rsidRPr="009165A6" w:rsidRDefault="009165A6" w:rsidP="009165A6">
      <w:r w:rsidRPr="009165A6">
        <w:t xml:space="preserve">The baseline calculations were conducted under the assumption that manufacturing would occur in the greater Tennessee Valley. For these calculations, we utilized the </w:t>
      </w:r>
      <w:proofErr w:type="spellStart"/>
      <w:r w:rsidRPr="009165A6">
        <w:t>Sphera</w:t>
      </w:r>
      <w:proofErr w:type="spellEnd"/>
      <w:r w:rsidRPr="009165A6">
        <w:t xml:space="preserve"> dataset </w:t>
      </w:r>
      <w:r w:rsidRPr="009165A6">
        <w:rPr>
          <w:i/>
          <w:iCs/>
        </w:rPr>
        <w:t>US: Electricity grid mix – SRTV</w:t>
      </w:r>
      <w:r w:rsidRPr="009165A6">
        <w:t xml:space="preserve">, which is based on the eGRID2021 dataset from the US Environmental Protection Agency (EPA). The composition of this energy mix is detailed in </w:t>
      </w:r>
      <w:r w:rsidRPr="009165A6">
        <w:rPr>
          <w:highlight w:val="yellow"/>
        </w:rPr>
        <w:t>Table S3</w:t>
      </w:r>
      <w:r w:rsidRPr="009165A6">
        <w:t xml:space="preserve"> </w:t>
      </w:r>
      <w:r w:rsidRPr="009165A6">
        <w:fldChar w:fldCharType="begin"/>
      </w:r>
      <w:r>
        <w:instrText xml:space="preserve"> ADDIN ZOTERO_ITEM CSL_CITATION {"citationID":"Qmbxdh0L","properties":{"formattedCitation":"[151]","plainCitation":"[151]","noteIndex":0},"citationItems":[{"id":"GrEn1h2x/6VKtIaDW","uris":["http://zotero.org/users/local/atKPBTT7/items/EUCK8Y3B"],"itemData":{"id":139,"type":"report","event-place":"Washington DC","publisher":"Office of Atmospheric Protection, Clean Air Markets Division","publisher-place":"Washington DC","title":"Emissions &amp; Generation Resource Integrated Database (eGRID), 2021.","URL":"https://www.epa.gov/egrid","author":[{"family":"United States Environmental Protection Agency (EPA)","given":""}],"accessed":{"date-parts":[["2024",9,25]]},"issued":{"date-parts":[["2023",1,30]]}}}],"schema":"https://github.com/citation-style-language/schema/raw/master/csl-citation.json"} </w:instrText>
      </w:r>
      <w:r w:rsidRPr="009165A6">
        <w:fldChar w:fldCharType="separate"/>
      </w:r>
      <w:r w:rsidRPr="009165A6">
        <w:t>[151]</w:t>
      </w:r>
      <w:r w:rsidRPr="009165A6">
        <w:fldChar w:fldCharType="end"/>
      </w:r>
      <w:r w:rsidRPr="009165A6">
        <w:t xml:space="preserve">. Calculations using green energy were based on the </w:t>
      </w:r>
      <w:proofErr w:type="spellStart"/>
      <w:r w:rsidRPr="009165A6">
        <w:t>Sphera</w:t>
      </w:r>
      <w:proofErr w:type="spellEnd"/>
      <w:r w:rsidRPr="009165A6">
        <w:t xml:space="preserve"> dataset </w:t>
      </w:r>
      <w:r w:rsidRPr="009165A6">
        <w:rPr>
          <w:i/>
          <w:iCs/>
        </w:rPr>
        <w:t>US: Electricity grid mix (2050) (Announced Pledges APS)</w:t>
      </w:r>
      <w:r w:rsidRPr="009165A6">
        <w:t xml:space="preserve">. This dataset assumes that the US will transition to a sustainable energy grid mix in accordance with the pledges recorded by the International Energy Agency (IEA). This projects that the US grid mix will be primarily composed of solar and wind power (approximately 75%), with the remaining fraction coming from hydro power, biomass, natural gas, and nuclear energy </w:t>
      </w:r>
      <w:r w:rsidRPr="009165A6">
        <w:fldChar w:fldCharType="begin"/>
      </w:r>
      <w:r>
        <w:instrText xml:space="preserve"> ADDIN ZOTERO_ITEM CSL_CITATION {"citationID":"LzQGlWbF","properties":{"formattedCitation":"[152]","plainCitation":"[152]","noteIndex":0},"citationItems":[{"id":"GrEn1h2x/cwTP7EzF","uris":["http://zotero.org/users/local/atKPBTT7/items/S82L3T6E"],"itemData":{"id":141,"type":"report","event-place":"Paris, France","language":"en","publisher":"International Energy Agency (IEA)","publisher-place":"Paris, France","source":"Zotero","title":"Net Zero by 2050","URL":"https://www.iea.org/reports/net-zero-by-2050","author":[{"family":"IEA","given":""}],"accessed":{"date-parts":[["2024",9,25]]},"issued":{"date-parts":[["2021"]]}}}],"schema":"https://github.com/citation-style-language/schema/raw/master/csl-citation.json"} </w:instrText>
      </w:r>
      <w:r w:rsidRPr="009165A6">
        <w:fldChar w:fldCharType="separate"/>
      </w:r>
      <w:r w:rsidRPr="009165A6">
        <w:t>[152]</w:t>
      </w:r>
      <w:r w:rsidRPr="009165A6">
        <w:fldChar w:fldCharType="end"/>
      </w:r>
      <w:r w:rsidRPr="009165A6">
        <w:t xml:space="preserve">. </w:t>
      </w:r>
    </w:p>
    <w:p w14:paraId="7CB3D476" w14:textId="0733E372" w:rsidR="009165A6" w:rsidRPr="009165A6" w:rsidRDefault="00535A41" w:rsidP="009165A6">
      <w:pPr>
        <w:pStyle w:val="Heading3"/>
      </w:pPr>
      <w:bookmarkStart w:id="81" w:name="_Toc190951830"/>
      <w:r>
        <w:t xml:space="preserve">4.2.4.5 </w:t>
      </w:r>
      <w:r w:rsidR="009165A6" w:rsidRPr="009165A6">
        <w:t>Transportation</w:t>
      </w:r>
      <w:bookmarkEnd w:id="81"/>
    </w:p>
    <w:p w14:paraId="19EAA2BD" w14:textId="39844B26" w:rsidR="009165A6" w:rsidRPr="009165A6" w:rsidRDefault="009165A6" w:rsidP="009165A6">
      <w:pPr>
        <w:rPr>
          <w:b/>
          <w:bCs/>
        </w:rPr>
      </w:pPr>
      <w:r w:rsidRPr="009165A6">
        <w:t xml:space="preserve">Transportation-related emissions were calculated using the Green Freight Handbook methodology </w:t>
      </w:r>
      <w:r w:rsidRPr="009165A6">
        <w:fldChar w:fldCharType="begin"/>
      </w:r>
      <w:r>
        <w:instrText xml:space="preserve"> ADDIN ZOTERO_ITEM CSL_CITATION {"citationID":"CP6cTPp5","properties":{"formattedCitation":"[153]","plainCitation":"[153]","noteIndex":0},"citationItems":[{"id":"GrEn1h2x/FxMLloQZ","uris":["http://zotero.org/users/local/atKPBTT7/items/XHXSEQEJ"],"itemData":{"id":105,"type":"document","language":"en","publisher":"Environmental Defense Fund","title":"The Green Freight Handbook","author":[{"family":"Mathers","given":"Jason"},{"family":"Craft","given":"Elena"},{"family":"Norsworthy","given":"Marcelo"},{"family":"Wolfe","given":"Christina"}],"issued":{"date-parts":[["2019",2,9]]}}}],"schema":"https://github.com/citation-style-language/schema/raw/master/csl-citation.json"} </w:instrText>
      </w:r>
      <w:r w:rsidRPr="009165A6">
        <w:fldChar w:fldCharType="separate"/>
      </w:r>
      <w:r w:rsidRPr="009165A6">
        <w:t>[153]</w:t>
      </w:r>
      <w:r w:rsidRPr="009165A6">
        <w:fldChar w:fldCharType="end"/>
      </w:r>
      <w:r w:rsidRPr="009165A6">
        <w:t>. For this study, we assumed that all raw materials and composite parts would be transported using a tractor-trailer truck equipped with a 12.2 m (40 ft) shipping container, which has a volume of 67.67 m³. According to US regulations, the maximum weight capacity for these trucks is 30,480 kg. Based on the densities of the raw materials, we calculated the quantities that could be accommodated in a 12.2 m shipping container. For polypropylene, a shipping container could contain 62,340 kg of material. For market pulp, a shipping container could contain 101,640 kg of material. Since both weights exceed the legal limit, we assumed that each truckload would carry 30,000 kg of material, which represents 98% of its total capacity.</w:t>
      </w:r>
    </w:p>
    <w:p w14:paraId="5971E77A" w14:textId="4E5D686F" w:rsidR="009165A6" w:rsidRPr="009165A6" w:rsidRDefault="009165A6" w:rsidP="009165A6">
      <w:r w:rsidRPr="009165A6">
        <w:t xml:space="preserve">A significant portion of the polypropylene manufactured in the United States is produced in the greater Houston, TX area. This includes facilities such as LyondellBasell’s Bayport Polymers Facility in Pasadena, TX, which produces polypropylene for the automotive industry </w:t>
      </w:r>
      <w:r w:rsidRPr="009165A6">
        <w:fldChar w:fldCharType="begin"/>
      </w:r>
      <w:r>
        <w:instrText xml:space="preserve"> ADDIN ZOTERO_ITEM CSL_CITATION {"citationID":"ty7IljhP","properties":{"formattedCitation":"[154]","plainCitation":"[154]","noteIndex":0},"citationItems":[{"id":"GrEn1h2x/CZWR9RDd","uris":["http://zotero.org/users/local/atKPBTT7/items/MI5ABKTQ"],"itemData":{"id":248,"type":"webpage","title":"Bayport Polymers Facility","URL":"https://www.lyondellbasell.com/en/bayport-polymers-plant/","author":[{"family":"LyondellBasell","given":""}],"accessed":{"date-parts":[["2024",11,13]]},"issued":{"date-parts":[["2024"]]}}}],"schema":"https://github.com/citation-style-language/schema/raw/master/csl-citation.json"} </w:instrText>
      </w:r>
      <w:r w:rsidRPr="009165A6">
        <w:fldChar w:fldCharType="separate"/>
      </w:r>
      <w:r w:rsidRPr="009165A6">
        <w:t>[154]</w:t>
      </w:r>
      <w:r w:rsidRPr="009165A6">
        <w:fldChar w:fldCharType="end"/>
      </w:r>
      <w:r w:rsidRPr="009165A6">
        <w:t xml:space="preserve">. Therefore, we assumed that both polypropylene granulate and fibers would be produced in Houston and then transported to manufacturing facilities. For the PP-TD5 door panel, we assumed that talc is sourced from a mine near Ennis, Montana, which is the largest talc mine in the United States and supplies over 50% of the talc used in the North American market </w:t>
      </w:r>
      <w:r w:rsidRPr="009165A6">
        <w:fldChar w:fldCharType="begin"/>
      </w:r>
      <w:r>
        <w:instrText xml:space="preserve"> ADDIN ZOTERO_ITEM CSL_CITATION {"citationID":"6nSgWzDN","properties":{"formattedCitation":"[155]","plainCitation":"[155]","noteIndex":0},"citationItems":[{"id":"GrEn1h2x/PvAU8ATk","uris":["http://zotero.org/users/local/atKPBTT7/items/NVDP6ZAZ"],"itemData":{"id":249,"type":"webpage","language":"en","title":"Magris Talc","URL":"https://www.magrispm.com/magristalc","author":[{"family":"Magris Performance Materials","given":""}],"accessed":{"date-parts":[["2024",11,13]]},"issued":{"date-parts":[["2023"]]}}}],"schema":"https://github.com/citation-style-language/schema/raw/master/csl-citation.json"} </w:instrText>
      </w:r>
      <w:r w:rsidRPr="009165A6">
        <w:fldChar w:fldCharType="separate"/>
      </w:r>
      <w:r w:rsidRPr="009165A6">
        <w:t>[155]</w:t>
      </w:r>
      <w:r w:rsidRPr="009165A6">
        <w:fldChar w:fldCharType="end"/>
      </w:r>
      <w:r w:rsidRPr="009165A6">
        <w:t xml:space="preserve">. We estimated that the talc would travel 2885 km to </w:t>
      </w:r>
      <w:r w:rsidRPr="009165A6">
        <w:lastRenderedPageBreak/>
        <w:t>Houston, TX, where it would be compounded with polypropylene to create the PP-TD5 injection molding compound. The molding compound would then be transported 1310 km to Chattanooga, TN, where is a hub for many Tier 1 automotive injection molding companies. Finally, we assumed the parts would travel approximately 8 km from the Tier 1 company to the Volkswagen manufacturing facility for installation on the vehicle. For this final transportation leg, we estimated the truck would only be 50% full to allow for secure fixturing of parts to prevent damage during transit.</w:t>
      </w:r>
    </w:p>
    <w:p w14:paraId="01CA23B8" w14:textId="77777777" w:rsidR="009165A6" w:rsidRPr="009165A6" w:rsidRDefault="009165A6" w:rsidP="009165A6">
      <w:r w:rsidRPr="009165A6">
        <w:t xml:space="preserve">For the paper composite door panel, the polypropylene was assumed to travel approximately 1450 km from Houston, TX, to Vonore, TN. The market pulp used in our previous work was sourced from Domtar Corporation’s Kingsport mill; therefore, we estimated that the market pulp to produce paper composites would travel about 210 km from Kingsport, TN, to Vonore, TN. We assumed that the paper composite preforms would be manufactured in Vonore, TN, by a fiber molding company and then transported to Chattanooga, TN, located approximately 145 km away. In Chattanooga, we anticipated that the preforms would be consolidated as described in section 2.3.3 by an automotive Tier 1 molding company. Finally, we estimated that the parts would be transported around 8 km from the Tier 1 company to the Volkswagen manufacturing facility for installation on the vehicle. For the transport of the preforms, we assumed that the trucks would be 70% full to account for the stacking of preforms. Similar to the transportation of the PP-TD5 parts, we assumed that the trucks carrying the final components would be filled to 50% capacity. The distances that all materials and intermediates travel are summarized in the </w:t>
      </w:r>
      <w:r w:rsidRPr="009165A6">
        <w:rPr>
          <w:highlight w:val="yellow"/>
        </w:rPr>
        <w:t>Table S4</w:t>
      </w:r>
      <w:r w:rsidRPr="009165A6">
        <w:t>.</w:t>
      </w:r>
    </w:p>
    <w:p w14:paraId="64CAD1EF" w14:textId="18B40F2B" w:rsidR="00944B6E" w:rsidRPr="00944B6E" w:rsidRDefault="00944B6E" w:rsidP="00944B6E">
      <w:pPr>
        <w:pStyle w:val="Heading3"/>
      </w:pPr>
      <w:bookmarkStart w:id="82" w:name="_Toc190951831"/>
      <w:r>
        <w:t>4.2.4.6</w:t>
      </w:r>
      <w:r w:rsidRPr="00944B6E">
        <w:t xml:space="preserve"> Use-Phase</w:t>
      </w:r>
      <w:bookmarkEnd w:id="82"/>
    </w:p>
    <w:p w14:paraId="53E4BBA1" w14:textId="6138BBD0" w:rsidR="00944B6E" w:rsidRPr="00944B6E" w:rsidRDefault="00944B6E" w:rsidP="00944B6E">
      <w:r w:rsidRPr="00944B6E">
        <w:t>To model the GHG emissions during the use-phase, we employed methods developed by Kim and Wallington to estimate changes in vehicle fuel consumption resulting from lightweighting</w:t>
      </w:r>
      <w:r w:rsidR="006A1D8D">
        <w:t xml:space="preserve"> </w:t>
      </w:r>
      <w:r w:rsidR="006A1D8D">
        <w:fldChar w:fldCharType="begin"/>
      </w:r>
      <w:r w:rsidR="006A1D8D">
        <w:instrText xml:space="preserve"> ADDIN ZOTERO_ITEM CSL_CITATION {"citationID":"1DIq9rAh","properties":{"formattedCitation":"[142]","plainCitation":"[142]","noteIndex":0},"citationItems":[{"id":"GrEn1h2x/6Nrbw2zR","uris":["http://zotero.org/users/local/atKPBTT7/items/MB5VZBHA"],"itemData":{"id":"GrEn1h2x/6Nrbw2zR","type":"article-journal","abstract":"Assessing the life-cycle beneﬁts of vehicle lightweighting requires a quantitative description of mass-induced fuel consumption (MIF) and fuel reduction values (FRVs). We have extended our physics-based model of MIF and FRVs for internal combustion engine vehicles (ICEVs) to electriﬁed vehicles (EVs) including hybrid electric vehicles (HEVs), plug-in hybrid electric vehicles (PHEVs), and battery electric vehicles (BEVs). We illustrate the utility of the model by calculating MIFs and FRVs for 37 EVs and 13 ICEVs. BEVs have much smaller MIF and FRVs, both in the range 0.04−0.07 Le/(100 km 100 kg), than those for ICEVs which are in the ranges 0.19−0.32 and 0.16−0.22 L/(100 km 100 kg), respectively. The MIF and FRVs for HEVs and PHEVs mostly lie between those for ICEVs and BEVs. Powertrain resizing increases the FRVs for ICEVs, HEVs and PHEVs. Lightweighting EVs is less eﬀective in reducing greenhouse gas emissions than lightweighting ICEVs, however the beneﬁts diﬀer substantially for diﬀerent vehicle models. The physicsbased approach outlined here enables model speciﬁc assessments for ICEVs, HEVs, PHEVs, and BEVs required to determine the optimal strategy for maximizing the life-cycle beneﬁts of lightweighting the light-duty vehicle ﬂeet.","container-title":"Environmental Science &amp; Technology","DOI":"10.1021/acs.est.6b02059","ISSN":"0013-936X, 1520-5851","issue":"20","journalAbbreviation":"Environ. Sci. Technol.","language":"en","license":"http://pubs.acs.org/page/policy/authorchoice_termsofuse.html","page":"11226-11233","source":"DOI.org (Crossref)","title":"Life Cycle Assessment of Vehicle Lightweighting: A Physics-Based Model To Estimate Use-Phase Fuel Consumption of Electrified Vehicles","title-short":"Life Cycle Assessment of Vehicle Lightweighting","volume":"50","author":[{"family":"Kim","given":"Hyung Chul"},{"family":"Wallington","given":"Timothy J."}],"issued":{"date-parts":[["2016",10,18]]}}}],"schema":"https://github.com/citation-style-language/schema/raw/master/csl-citation.json"} </w:instrText>
      </w:r>
      <w:r w:rsidR="006A1D8D">
        <w:fldChar w:fldCharType="separate"/>
      </w:r>
      <w:r w:rsidR="006A1D8D" w:rsidRPr="006A1D8D">
        <w:t>[142]</w:t>
      </w:r>
      <w:r w:rsidR="006A1D8D">
        <w:fldChar w:fldCharType="end"/>
      </w:r>
      <w:r w:rsidRPr="00944B6E">
        <w:t xml:space="preserve">. Although the vehicle chosen for this study is a BEV, we also calculated the impact of part mass changes on fuel consumption and emissions for ICEVs, recognizing that most vehicles produced by Volkswagen are still not battery powered. </w:t>
      </w:r>
    </w:p>
    <w:p w14:paraId="08FEE85B" w14:textId="77777777" w:rsidR="00944B6E" w:rsidRPr="00944B6E" w:rsidRDefault="00944B6E" w:rsidP="00944B6E">
      <w:r w:rsidRPr="00944B6E">
        <w:lastRenderedPageBreak/>
        <w:t>The baseline use-phase fuel consumption of a vehicle can be calculated using the following equation:</w:t>
      </w:r>
    </w:p>
    <w:tbl>
      <w:tblPr>
        <w:tblStyle w:val="TableGrid"/>
        <w:tblW w:w="0" w:type="auto"/>
        <w:tblLook w:val="04A0" w:firstRow="1" w:lastRow="0" w:firstColumn="1" w:lastColumn="0" w:noHBand="0" w:noVBand="1"/>
      </w:tblPr>
      <w:tblGrid>
        <w:gridCol w:w="7244"/>
        <w:gridCol w:w="1396"/>
      </w:tblGrid>
      <w:tr w:rsidR="00944B6E" w:rsidRPr="00944B6E" w14:paraId="3ECD579B" w14:textId="77777777" w:rsidTr="000164F3">
        <w:tc>
          <w:tcPr>
            <w:tcW w:w="8635" w:type="dxa"/>
            <w:tcBorders>
              <w:top w:val="nil"/>
              <w:left w:val="nil"/>
              <w:bottom w:val="nil"/>
              <w:right w:val="nil"/>
            </w:tcBorders>
          </w:tcPr>
          <w:p w14:paraId="3624AEDF" w14:textId="16ADEC38" w:rsidR="00944B6E" w:rsidRPr="00944B6E" w:rsidRDefault="006A1D8D" w:rsidP="00944B6E">
            <m:oMathPara>
              <m:oMath>
                <m:r>
                  <w:rPr>
                    <w:rFonts w:ascii="Cambria Math" w:hAnsi="Cambria Math"/>
                  </w:rPr>
                  <m:t>f=MIF×</m:t>
                </m:r>
                <m:sSub>
                  <m:sSubPr>
                    <m:ctrlPr>
                      <w:rPr>
                        <w:rFonts w:ascii="Cambria Math" w:hAnsi="Cambria Math"/>
                        <w:i/>
                      </w:rPr>
                    </m:ctrlPr>
                  </m:sSubPr>
                  <m:e>
                    <m:r>
                      <w:rPr>
                        <w:rFonts w:ascii="Cambria Math" w:hAnsi="Cambria Math"/>
                      </w:rPr>
                      <m:t>m</m:t>
                    </m:r>
                  </m:e>
                  <m:sub>
                    <m:r>
                      <w:rPr>
                        <w:rFonts w:ascii="Cambria Math" w:hAnsi="Cambria Math"/>
                      </w:rPr>
                      <m:t>part</m:t>
                    </m:r>
                  </m:sub>
                </m:sSub>
                <m:r>
                  <w:rPr>
                    <w:rFonts w:ascii="Cambria Math" w:hAnsi="Cambria Math"/>
                  </w:rPr>
                  <m:t>×d</m:t>
                </m:r>
              </m:oMath>
            </m:oMathPara>
          </w:p>
        </w:tc>
        <w:tc>
          <w:tcPr>
            <w:tcW w:w="715" w:type="dxa"/>
            <w:tcBorders>
              <w:top w:val="nil"/>
              <w:left w:val="nil"/>
              <w:bottom w:val="nil"/>
              <w:right w:val="nil"/>
            </w:tcBorders>
            <w:vAlign w:val="center"/>
          </w:tcPr>
          <w:p w14:paraId="38556340" w14:textId="2A9C7647" w:rsidR="00944B6E" w:rsidRPr="00944B6E" w:rsidRDefault="00944B6E" w:rsidP="00944B6E">
            <w:r w:rsidRPr="00944B6E">
              <w:t>(</w:t>
            </w:r>
            <w:r w:rsidRPr="006A1D8D">
              <w:t>4.</w:t>
            </w:r>
            <w:r w:rsidRPr="00944B6E">
              <w:t>1)</w:t>
            </w:r>
          </w:p>
        </w:tc>
      </w:tr>
    </w:tbl>
    <w:p w14:paraId="66A6A87A" w14:textId="4BE789FD" w:rsidR="00944B6E" w:rsidRPr="00944B6E" w:rsidRDefault="00944B6E" w:rsidP="00944B6E">
      <w:pPr>
        <w:ind w:firstLine="0"/>
      </w:pPr>
      <w:r w:rsidRPr="00944B6E">
        <w:t xml:space="preserve">where </w:t>
      </w:r>
      <m:oMath>
        <m:r>
          <w:rPr>
            <w:rFonts w:ascii="Cambria Math" w:hAnsi="Cambria Math"/>
          </w:rPr>
          <m:t>MIF</m:t>
        </m:r>
      </m:oMath>
      <w:r w:rsidRPr="00944B6E">
        <w:t xml:space="preserve"> is the mass-induced fuel consumption, </w:t>
      </w:r>
      <m:oMath>
        <m:sSub>
          <m:sSubPr>
            <m:ctrlPr>
              <w:rPr>
                <w:rFonts w:ascii="Cambria Math" w:hAnsi="Cambria Math"/>
                <w:i/>
              </w:rPr>
            </m:ctrlPr>
          </m:sSubPr>
          <m:e>
            <m:r>
              <w:rPr>
                <w:rFonts w:ascii="Cambria Math" w:hAnsi="Cambria Math"/>
              </w:rPr>
              <m:t>m</m:t>
            </m:r>
          </m:e>
          <m:sub>
            <m:r>
              <w:rPr>
                <w:rFonts w:ascii="Cambria Math" w:hAnsi="Cambria Math"/>
              </w:rPr>
              <m:t>part</m:t>
            </m:r>
          </m:sub>
        </m:sSub>
      </m:oMath>
      <w:r w:rsidRPr="00944B6E">
        <w:t xml:space="preserve"> is the part mass, and </w:t>
      </w:r>
      <m:oMath>
        <m:r>
          <w:rPr>
            <w:rFonts w:ascii="Cambria Math" w:hAnsi="Cambria Math"/>
          </w:rPr>
          <m:t>d</m:t>
        </m:r>
      </m:oMath>
      <w:r w:rsidRPr="00944B6E">
        <w:t xml:space="preserve"> is the distance traveled.  This fuel consumption can then be converted into GHG emissions by multiplying by a well-to-wheel emission factor. For this, we used U.S. averages from the GREET model, which are 2.82 kg CO2-eq./L for gasoline-powered cars and 0.613 kg CO</w:t>
      </w:r>
      <w:r w:rsidRPr="00944B6E">
        <w:rPr>
          <w:vertAlign w:val="subscript"/>
        </w:rPr>
        <w:t>2</w:t>
      </w:r>
      <w:r w:rsidRPr="00944B6E">
        <w:t xml:space="preserve">-eq./kWh for electric vehicles. We assumed that 1 L of gasoline is equivalent to 8.9 kWh, based on the GREET model </w:t>
      </w:r>
      <w:r w:rsidRPr="00944B6E">
        <w:fldChar w:fldCharType="begin"/>
      </w:r>
      <w:r>
        <w:instrText xml:space="preserve"> ADDIN ZOTERO_ITEM CSL_CITATION {"citationID":"zkZQOoYI","properties":{"formattedCitation":"[156]","plainCitation":"[156]","noteIndex":0},"citationItems":[{"id":"GrEn1h2x/V1Kp9UER","uris":["http://zotero.org/users/local/atKPBTT7/items/YLFR6RLZ"],"itemData":{"id":137,"type":"software","abstract":"To fully evaluate energy and emission impacts of advanced vehicle technologies and new transportation fuels, the fuel cycle from wells to wheels and the vehicle cycle through material recovery and vehicle disposal need to be considered. Sponsored by the U.S. Department of Energy's Office of Energy Efficiency and Renewable Energy (EERE), Argonne has developed a full life-cycle model called GREET (Greenhouse gases, Regulated Emissions, and Energy use in Technologies). It allows researchers and analysts to evaluate various vehicle and fuel combinations on a full fuel-cycle/vehicle-cycle basis. The first version of GREET was released in 1996. Since then, Argonne has continued to update and expand the model. GREET.Net provides the user with an easy to use and fully graphical toolbox to perform life cycle analysis simulations of alternative transportation fuels and vehicle technologies in a matter of a few clicks. It provides a comprehensive, life-cycle-based approach to compare the energy use and emissions of conventional and advanced vehicle technologies. The tool includes the data of both fuel-cycle (fuel production and vehicle operation) and vehicle-cycle (vehicle material recovery and production, vehicle component fabrication, vehicle assembly, and vehicle disposal/recycling). This public domain model is available free of charge for anyone to use.","note":"language: en\nDOI: 10.11578/GREET-NET-2023/DC.20230907.2","publisher":"Argonne National Laboratory (ANL), Argonne, IL (United States)","source":"DOI.org (Datacite)","title":"Greenhouse gases, Regulated Emissions, and Energy use in Technologies Model ® (2023 .Net)","URL":"https://www.osti.gov/doecode/biblio/113208","author":[{"family":"Wang","given":"Michael"},{"family":"Elgowainy","given":"Amgad"},{"family":"Lu","given":"Zifeng"},{"family":"Baek","given":"Kwang"},{"family":"Balchandani","given":"Sweta"},{"family":"Benavides","given":"Pahola"},{"family":"Burnham","given":"Andrew"},{"family":"Cai","given":"Hao"},{"family":"Chen","given":"Peter"},{"family":"Gan","given":"Yu"},{"family":"Gracida-Alvarez","given":"Ulises"},{"family":"Hawkins","given":"Troy"},{"family":"Huang","given":"Tai-Yuan"},{"family":"Iyer","given":"Rakesh"},{"family":"Kar","given":"Saurajyoti"},{"family":"Kelly","given":"Jarod"},{"family":"Kim","given":"Taemin"},{"family":"Kolodziej","given":"Christopher"},{"family":"Lee","given":"Kyuha"},{"family":"Lee","given":"Uisung"},{"family":"Liu","given":"Xinyu"},{"family":"Masum","given":"Farhad"},{"family":"Morales","given":"Michele"},{"family":"Ng","given":"Clarence"},{"family":"Ou","given":"Longwen"},{"family":"Poddar","given":"Tuhin"},{"family":"Reddi","given":"Krishna"},{"family":"Shukla","given":"Siddharth"},{"family":"Singh","given":"Udayan"},{"family":"Sun","given":"Lili"},{"family":"Sun","given":"Pingping"},{"family":"Sykora","given":"Tom"},{"family":"Vyawahare","given":"Pradeep"},{"family":"Zhang","given":"Jingyi"}],"accessed":{"date-parts":[["2024",9,25]]},"issued":{"date-parts":[["2023"]]}}}],"schema":"https://github.com/citation-style-language/schema/raw/master/csl-citation.json"} </w:instrText>
      </w:r>
      <w:r w:rsidRPr="00944B6E">
        <w:fldChar w:fldCharType="separate"/>
      </w:r>
      <w:r w:rsidRPr="00944B6E">
        <w:t>[156]</w:t>
      </w:r>
      <w:r w:rsidRPr="00944B6E">
        <w:fldChar w:fldCharType="end"/>
      </w:r>
      <w:r w:rsidRPr="00944B6E">
        <w:t>.</w:t>
      </w:r>
    </w:p>
    <w:p w14:paraId="229A41FD" w14:textId="77777777" w:rsidR="00944B6E" w:rsidRPr="00944B6E" w:rsidRDefault="00944B6E" w:rsidP="00944B6E">
      <w:r w:rsidRPr="00944B6E">
        <w:t>Reduction in fuel consumption due to lightweighting can be calculated using the following equation:</w:t>
      </w:r>
    </w:p>
    <w:tbl>
      <w:tblPr>
        <w:tblStyle w:val="TableGrid"/>
        <w:tblW w:w="0" w:type="auto"/>
        <w:tblLook w:val="04A0" w:firstRow="1" w:lastRow="0" w:firstColumn="1" w:lastColumn="0" w:noHBand="0" w:noVBand="1"/>
      </w:tblPr>
      <w:tblGrid>
        <w:gridCol w:w="7244"/>
        <w:gridCol w:w="1396"/>
      </w:tblGrid>
      <w:tr w:rsidR="00944B6E" w:rsidRPr="00944B6E" w14:paraId="38B6B6E2" w14:textId="77777777" w:rsidTr="000164F3">
        <w:tc>
          <w:tcPr>
            <w:tcW w:w="8635" w:type="dxa"/>
            <w:tcBorders>
              <w:top w:val="nil"/>
              <w:left w:val="nil"/>
              <w:bottom w:val="nil"/>
              <w:right w:val="nil"/>
            </w:tcBorders>
          </w:tcPr>
          <w:p w14:paraId="12E24F72" w14:textId="335FBC1A" w:rsidR="00944B6E" w:rsidRPr="00944B6E" w:rsidRDefault="00000000" w:rsidP="00944B6E">
            <w:pPr>
              <w:rPr>
                <w:i/>
              </w:rPr>
            </w:pPr>
            <m:oMathPara>
              <m:oMath>
                <m:sSub>
                  <m:sSubPr>
                    <m:ctrlPr>
                      <w:rPr>
                        <w:rFonts w:ascii="Cambria Math" w:hAnsi="Cambria Math"/>
                        <w:i/>
                      </w:rPr>
                    </m:ctrlPr>
                  </m:sSubPr>
                  <m:e>
                    <m:r>
                      <w:rPr>
                        <w:rFonts w:ascii="Cambria Math" w:hAnsi="Cambria Math"/>
                      </w:rPr>
                      <m:t>f</m:t>
                    </m:r>
                  </m:e>
                  <m:sub>
                    <m:r>
                      <w:rPr>
                        <w:rFonts w:ascii="Cambria Math" w:hAnsi="Cambria Math"/>
                      </w:rPr>
                      <m:t>lightweighted</m:t>
                    </m:r>
                  </m:sub>
                </m:sSub>
                <m:r>
                  <w:rPr>
                    <w:rFonts w:ascii="Cambria Math" w:hAnsi="Cambria Math"/>
                  </w:rPr>
                  <m:t>=f-FRV×</m:t>
                </m:r>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part</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lightweighte</m:t>
                        </m:r>
                        <m:sSub>
                          <m:sSubPr>
                            <m:ctrlPr>
                              <w:rPr>
                                <w:rFonts w:ascii="Cambria Math" w:hAnsi="Cambria Math"/>
                                <w:i/>
                              </w:rPr>
                            </m:ctrlPr>
                          </m:sSubPr>
                          <m:e>
                            <m:r>
                              <w:rPr>
                                <w:rFonts w:ascii="Cambria Math" w:hAnsi="Cambria Math"/>
                              </w:rPr>
                              <m:t>d</m:t>
                            </m:r>
                          </m:e>
                          <m:sub>
                            <m:r>
                              <w:rPr>
                                <w:rFonts w:ascii="Cambria Math" w:hAnsi="Cambria Math"/>
                              </w:rPr>
                              <m:t>part</m:t>
                            </m:r>
                          </m:sub>
                        </m:sSub>
                      </m:sub>
                    </m:sSub>
                  </m:e>
                </m:d>
                <m:r>
                  <w:rPr>
                    <w:rFonts w:ascii="Cambria Math" w:hAnsi="Cambria Math"/>
                  </w:rPr>
                  <m:t>×d,</m:t>
                </m:r>
              </m:oMath>
            </m:oMathPara>
          </w:p>
        </w:tc>
        <w:tc>
          <w:tcPr>
            <w:tcW w:w="715" w:type="dxa"/>
            <w:tcBorders>
              <w:top w:val="nil"/>
              <w:left w:val="nil"/>
              <w:bottom w:val="nil"/>
              <w:right w:val="nil"/>
            </w:tcBorders>
            <w:vAlign w:val="center"/>
          </w:tcPr>
          <w:p w14:paraId="0F0E754D" w14:textId="6F01A0BD" w:rsidR="00944B6E" w:rsidRPr="00944B6E" w:rsidRDefault="00944B6E" w:rsidP="00944B6E">
            <w:pPr>
              <w:rPr>
                <w:iCs/>
              </w:rPr>
            </w:pPr>
            <w:r w:rsidRPr="00944B6E">
              <w:rPr>
                <w:iCs/>
              </w:rPr>
              <w:t>(</w:t>
            </w:r>
            <w:r w:rsidRPr="006A1D8D">
              <w:rPr>
                <w:iCs/>
              </w:rPr>
              <w:t>4.</w:t>
            </w:r>
            <w:r w:rsidRPr="00944B6E">
              <w:rPr>
                <w:iCs/>
              </w:rPr>
              <w:t>2)</w:t>
            </w:r>
          </w:p>
        </w:tc>
      </w:tr>
    </w:tbl>
    <w:p w14:paraId="5492C083" w14:textId="575EFF9E" w:rsidR="00944B6E" w:rsidRPr="00944B6E" w:rsidRDefault="00944B6E" w:rsidP="00944B6E">
      <w:pPr>
        <w:ind w:firstLine="0"/>
      </w:pPr>
      <w:r w:rsidRPr="00944B6E">
        <w:t xml:space="preserve">where </w:t>
      </w:r>
      <m:oMath>
        <m:sSub>
          <m:sSubPr>
            <m:ctrlPr>
              <w:rPr>
                <w:rFonts w:ascii="Cambria Math" w:hAnsi="Cambria Math"/>
                <w:i/>
              </w:rPr>
            </m:ctrlPr>
          </m:sSubPr>
          <m:e>
            <m:r>
              <w:rPr>
                <w:rFonts w:ascii="Cambria Math" w:hAnsi="Cambria Math"/>
              </w:rPr>
              <m:t>f</m:t>
            </m:r>
          </m:e>
          <m:sub>
            <m:r>
              <w:rPr>
                <w:rFonts w:ascii="Cambria Math" w:hAnsi="Cambria Math"/>
              </w:rPr>
              <m:t>lightweighted</m:t>
            </m:r>
          </m:sub>
        </m:sSub>
      </m:oMath>
      <w:r w:rsidRPr="00944B6E">
        <w:t xml:space="preserve"> is the fuel consumption of a lightweighted vehicle, </w:t>
      </w:r>
      <m:oMath>
        <m:r>
          <w:rPr>
            <w:rFonts w:ascii="Cambria Math" w:hAnsi="Cambria Math"/>
          </w:rPr>
          <m:t>FRV</m:t>
        </m:r>
      </m:oMath>
      <w:r w:rsidRPr="00944B6E">
        <w:t xml:space="preserve"> is the fuel reduction value, and </w:t>
      </w:r>
      <m:oMath>
        <m:sSub>
          <m:sSubPr>
            <m:ctrlPr>
              <w:rPr>
                <w:rFonts w:ascii="Cambria Math" w:hAnsi="Cambria Math"/>
                <w:i/>
              </w:rPr>
            </m:ctrlPr>
          </m:sSubPr>
          <m:e>
            <m:r>
              <w:rPr>
                <w:rFonts w:ascii="Cambria Math" w:hAnsi="Cambria Math"/>
              </w:rPr>
              <m:t>m</m:t>
            </m:r>
          </m:e>
          <m:sub>
            <m:r>
              <w:rPr>
                <w:rFonts w:ascii="Cambria Math" w:hAnsi="Cambria Math"/>
              </w:rPr>
              <m:t>lightweighted_part</m:t>
            </m:r>
          </m:sub>
        </m:sSub>
      </m:oMath>
      <w:r w:rsidRPr="00944B6E" w:rsidDel="000864AC">
        <w:t xml:space="preserve"> </w:t>
      </w:r>
      <w:r w:rsidRPr="00944B6E">
        <w:t xml:space="preserve"> is the mass of the lightweighted part. A detailed example of performed calculations is given in the supplementary information. </w:t>
      </w:r>
    </w:p>
    <w:p w14:paraId="1CF03536" w14:textId="77777777" w:rsidR="00944B6E" w:rsidRDefault="00944B6E" w:rsidP="00944B6E">
      <w:r w:rsidRPr="00944B6E">
        <w:t xml:space="preserve">In the green energy scenario, we assumed that electric vehicles would be charged using the same energy mix as in the manufacturing calculations: the </w:t>
      </w:r>
      <w:r w:rsidRPr="00944B6E">
        <w:rPr>
          <w:i/>
          <w:iCs/>
        </w:rPr>
        <w:t>US: Electricity grid mix (2050) (Announced Pledges APS)</w:t>
      </w:r>
      <w:r w:rsidRPr="00944B6E">
        <w:t>, with a carbon footprint of 0.0165 kg CO₂-eq./kWh. To assess the impact of not achieving these goals, we conducted a sensitivity analysis on use-phase emissions for BEVs. For this analysis, we considered two alternative energy scenarios</w:t>
      </w:r>
      <w:r w:rsidRPr="00944B6E">
        <w:rPr>
          <w:i/>
          <w:iCs/>
        </w:rPr>
        <w:t xml:space="preserve"> US: Electricity grid mix (2040) (Announced Pledges APS)</w:t>
      </w:r>
      <w:r w:rsidRPr="00944B6E">
        <w:t xml:space="preserve"> with a carbon footprint of 0.0483 kg CO₂-eq./kWh and the </w:t>
      </w:r>
      <w:r w:rsidRPr="00944B6E">
        <w:rPr>
          <w:i/>
          <w:iCs/>
        </w:rPr>
        <w:t>US: Electricity grid mix (2030) (Announced Pledges APS)</w:t>
      </w:r>
      <w:r w:rsidRPr="00944B6E">
        <w:t xml:space="preserve"> with a carbon footprint of 0.19 kg CO₂-eq./kWh.</w:t>
      </w:r>
    </w:p>
    <w:p w14:paraId="65250FB1" w14:textId="77777777" w:rsidR="00944B6E" w:rsidRDefault="00944B6E" w:rsidP="00944B6E"/>
    <w:p w14:paraId="56647E60" w14:textId="0433E4D8" w:rsidR="00944B6E" w:rsidRPr="00944B6E" w:rsidRDefault="00944B6E" w:rsidP="00944B6E">
      <w:pPr>
        <w:pStyle w:val="MajorHeadings"/>
      </w:pPr>
      <w:bookmarkStart w:id="83" w:name="_Toc190951832"/>
      <w:r>
        <w:t>4.3 Results and Discussion</w:t>
      </w:r>
      <w:bookmarkEnd w:id="83"/>
      <w:r>
        <w:t xml:space="preserve"> </w:t>
      </w:r>
    </w:p>
    <w:p w14:paraId="7540EF01" w14:textId="418DF3A7" w:rsidR="009165A6" w:rsidRDefault="00944B6E" w:rsidP="00944B6E">
      <w:pPr>
        <w:pStyle w:val="Heading2"/>
      </w:pPr>
      <w:bookmarkStart w:id="84" w:name="_Toc190951833"/>
      <w:r>
        <w:t>4.3.1 Cradle-to-gate GHG Emissions</w:t>
      </w:r>
      <w:bookmarkEnd w:id="84"/>
    </w:p>
    <w:p w14:paraId="2FFA425A" w14:textId="56197278" w:rsidR="00944B6E" w:rsidRPr="00944B6E" w:rsidRDefault="00944B6E" w:rsidP="00944B6E">
      <w:r w:rsidRPr="00944B6E">
        <w:t xml:space="preserve">The cradle-to-gate GHG emissions for producing a door panel carrier are strongly influenced by design choices, the manufacturing energy mix, and raw material sources. </w:t>
      </w:r>
      <w:r w:rsidRPr="00944B6E">
        <w:lastRenderedPageBreak/>
        <w:t xml:space="preserve">Our study found emissions ranging from 0.78 kg CO₂-eq. to 4.93 kg CO₂-eq. per part, with sustainable energy and low-carbon material inputs significantly reducing emissions. </w:t>
      </w:r>
      <w:r w:rsidRPr="00944B6E">
        <w:rPr>
          <w:b/>
          <w:bCs/>
        </w:rPr>
        <w:t xml:space="preserve">Figure </w:t>
      </w:r>
      <w:r w:rsidRPr="006664DE">
        <w:rPr>
          <w:b/>
          <w:bCs/>
        </w:rPr>
        <w:t>4.</w:t>
      </w:r>
      <w:r w:rsidRPr="00944B6E">
        <w:rPr>
          <w:b/>
          <w:bCs/>
        </w:rPr>
        <w:t>2</w:t>
      </w:r>
      <w:r w:rsidRPr="00944B6E">
        <w:t xml:space="preserve"> illustrates these findings, presenting the total cradle-to-gate GHG emissions across all three scenarios, along with the emissions specifically attributed to raw materials. </w:t>
      </w:r>
    </w:p>
    <w:p w14:paraId="2ED04107" w14:textId="77777777" w:rsidR="00944B6E" w:rsidRPr="00944B6E" w:rsidRDefault="00944B6E" w:rsidP="00944B6E">
      <w:r w:rsidRPr="00944B6E">
        <w:t>Figure 2a illustrates the cradle-to-gate GHG emissions for the paper composite door panel carrier compared to the conventional injection-molded PP-TD5 part in the baseline scenario. Both stiffness-limited and strength-limited design cases for the paper composite panels are presented for comparison. The stiffness-limited design achieves a 35% reduction in GHG emissions, while the strength-limited design achieves a 40% reduction due to its slightly lower mass (1.14 kg vs. 1.24 kg).</w:t>
      </w:r>
      <w:r w:rsidRPr="00944B6E">
        <w:rPr>
          <w:b/>
          <w:bCs/>
        </w:rPr>
        <w:t xml:space="preserve"> </w:t>
      </w:r>
      <w:r w:rsidRPr="00944B6E">
        <w:t xml:space="preserve">The emissions difference between PP-TD5 and paper composites is primarily driven by the carbon intensity of raw materials, as shown in Figures 2a and 2b. For the paper composites panels, raw materials account for 26% of the overall carbon footprint, a proportion that remains consistent for both design cases. In contrast, raw materials constitute over 61% of the overall footprint for the PP-TD5 part. Polypropylene is the primary contributor to the raw material footprint for both parts, whereas the market pulp in the paper composite contributes negatively through carbon sequestration. Talc's contribution to the overall carbon footprint is negligible, accounting for only ~0.6% of the raw material carbon footprint and ~0.4% of the total cradle-to-gate emissions. </w:t>
      </w:r>
    </w:p>
    <w:p w14:paraId="6E038818" w14:textId="77777777" w:rsidR="006664DE" w:rsidRDefault="00944B6E" w:rsidP="00944B6E">
      <w:r w:rsidRPr="00944B6E">
        <w:t>The total GHG emissions associated with manufacturing the paper composite panels are 2.11 kg CO</w:t>
      </w:r>
      <w:r w:rsidRPr="00944B6E">
        <w:rPr>
          <w:bCs/>
          <w:vertAlign w:val="subscript"/>
        </w:rPr>
        <w:t>2</w:t>
      </w:r>
      <w:r w:rsidRPr="00944B6E">
        <w:t>-eq./part and 1.94 CO</w:t>
      </w:r>
      <w:r w:rsidRPr="00944B6E">
        <w:rPr>
          <w:bCs/>
          <w:vertAlign w:val="subscript"/>
        </w:rPr>
        <w:t>2</w:t>
      </w:r>
      <w:r w:rsidRPr="00944B6E">
        <w:t>-eq./part for the stiffness-limited and strength-limited designs, respectively. In both cases, this represents 65% of the overall cradle-to-gate carbon footprint. This is higher than the emissions from the conventional PP-TD5 part, where manufacturing processes account for only 34% of the emissions at 1.67 kg CO</w:t>
      </w:r>
      <w:r w:rsidRPr="00944B6E">
        <w:rPr>
          <w:vertAlign w:val="subscript"/>
        </w:rPr>
        <w:t>2</w:t>
      </w:r>
      <w:r w:rsidRPr="00944B6E">
        <w:t xml:space="preserve">-eq./part. Additionally, the production of paper composite panels requires significantly more water than the PP-TD5 scenario; the wet preform manufacturing process consumes approximately 110 kg of water per part, while injection molding uses considerably less. Notably, around 85% of the emissions related to water usage and treatment arise from the wastewater treatment process, suggesting that recycling the fiber molding water instead of treating it as municipal wastewater could potentially mitigate </w:t>
      </w:r>
    </w:p>
    <w:p w14:paraId="6F746A5B" w14:textId="23DB0CEE" w:rsidR="006664DE" w:rsidRDefault="006664DE" w:rsidP="006664DE">
      <w:pPr>
        <w:pStyle w:val="FigureCaption"/>
        <w:jc w:val="both"/>
      </w:pPr>
      <w:r w:rsidRPr="006664DE">
        <w:rPr>
          <w:rFonts w:ascii="Calibri" w:eastAsia="SimSun" w:hAnsi="Calibri"/>
          <w:kern w:val="2"/>
          <w:sz w:val="22"/>
          <w:szCs w:val="22"/>
          <w:lang w:eastAsia="zh-CN"/>
          <w14:ligatures w14:val="standardContextual"/>
        </w:rPr>
        <w:lastRenderedPageBreak/>
        <w:drawing>
          <wp:inline distT="0" distB="0" distL="0" distR="0" wp14:anchorId="258BC255" wp14:editId="0F13E5BD">
            <wp:extent cx="5486400" cy="6077243"/>
            <wp:effectExtent l="0" t="0" r="0" b="0"/>
            <wp:docPr id="1205984682" name="Picture 4" descr="A group of graphs showing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682" name="Picture 4" descr="A group of graphs showing different colors&#10;&#10;Description automatically generated with medium confidence"/>
                    <pic:cNvPicPr/>
                  </pic:nvPicPr>
                  <pic:blipFill>
                    <a:blip r:embed="rId27"/>
                    <a:stretch>
                      <a:fillRect/>
                    </a:stretch>
                  </pic:blipFill>
                  <pic:spPr>
                    <a:xfrm>
                      <a:off x="0" y="0"/>
                      <a:ext cx="5486400" cy="6077243"/>
                    </a:xfrm>
                    <a:prstGeom prst="rect">
                      <a:avLst/>
                    </a:prstGeom>
                  </pic:spPr>
                </pic:pic>
              </a:graphicData>
            </a:graphic>
          </wp:inline>
        </w:drawing>
      </w:r>
    </w:p>
    <w:p w14:paraId="735C6020" w14:textId="06C1EFC7" w:rsidR="006664DE" w:rsidRPr="006664DE" w:rsidRDefault="006664DE" w:rsidP="006664DE">
      <w:pPr>
        <w:pStyle w:val="FigureCaption"/>
        <w:jc w:val="both"/>
      </w:pPr>
      <w:r w:rsidRPr="006664DE">
        <w:t xml:space="preserve">Figure </w:t>
      </w:r>
      <w:r>
        <w:t>4.</w:t>
      </w:r>
      <w:r w:rsidRPr="006664DE">
        <w:t xml:space="preserve">2 </w:t>
      </w:r>
      <w:r w:rsidRPr="006664DE">
        <w:rPr>
          <w:b w:val="0"/>
          <w:bCs w:val="0"/>
        </w:rPr>
        <w:t xml:space="preserve">Cradle-to-gate GHG emissions for the paper composite door panel carrier compared to the conventional injection-molded PP-TD5 part under the three studio scenarios. a. GHG emissions for part in baseline scenario, b. GHG emissions for raw material inputs in baseline scenario, c. GHG emissions for part in green energy scenario, d. GHG emissions for raw material inputs in green energy scenario, e. Cradle-to-gate GHG emissions for part in recycled feedstock scenario, f. GHG emissions for raw material inputs in recycled feedstock scenario. PC_Stiffness = Paper composite door panel with stiffness </w:t>
      </w:r>
      <w:r w:rsidRPr="006664DE">
        <w:rPr>
          <w:b w:val="0"/>
          <w:bCs w:val="0"/>
        </w:rPr>
        <w:lastRenderedPageBreak/>
        <w:t>limited design; PC_Strength = Paper composite door panel with strength limited design; PP-TD5 = conventional door panel molded from talc-filled polypropylene; Transportation = transportation of all raw materials, preforms and molded panels; water usage and wastewater treatment = all water used during manufacturing processes and its subsequent treatment; part manufacturing = compression and injection molding processes used to manufacture final door panel parts; PP-Talc compounding = manufacturing of PP-TD5 granulate using twin screw extrusion; preform manufacturing = fiber molding of paper composite preforms.</w:t>
      </w:r>
      <w:r w:rsidRPr="006664DE">
        <w:t xml:space="preserve"> </w:t>
      </w:r>
    </w:p>
    <w:p w14:paraId="57B954BA" w14:textId="77777777" w:rsidR="006664DE" w:rsidRDefault="006664DE">
      <w:pPr>
        <w:spacing w:after="160" w:line="259" w:lineRule="auto"/>
        <w:ind w:firstLine="0"/>
        <w:jc w:val="left"/>
      </w:pPr>
      <w:r>
        <w:br w:type="page"/>
      </w:r>
    </w:p>
    <w:p w14:paraId="065B6437" w14:textId="1888EB58" w:rsidR="00944B6E" w:rsidRPr="00944B6E" w:rsidRDefault="00944B6E" w:rsidP="006664DE">
      <w:pPr>
        <w:ind w:firstLine="0"/>
      </w:pPr>
      <w:r w:rsidRPr="00944B6E">
        <w:lastRenderedPageBreak/>
        <w:t xml:space="preserve">emissions. Transportation contributes approximately 4% of cradle-to-gate GHG emissions for the paper composite and 5% for the PP-TD5. There is potential to reduce transportation emissions by shipping raw materials via railcar instead of by semi-truck; however, such adjustments are unlikely to significantly impact the overall cradle-to-gate carbon footprint of either scenario. Overall, while the manufacturing processes for paper composite panels yield higher GHG emissions than those for the conventional PP-TD5 parts, the incorporation of a carbon-negative raw material such as market pulp significantly mitigates the overall carbon footprint of the part. </w:t>
      </w:r>
    </w:p>
    <w:p w14:paraId="7B204E12" w14:textId="17707CFA" w:rsidR="00944B6E" w:rsidRPr="00944B6E" w:rsidRDefault="00944B6E" w:rsidP="00944B6E">
      <w:r w:rsidRPr="00944B6E">
        <w:rPr>
          <w:b/>
          <w:bCs/>
        </w:rPr>
        <w:t>Figures 4.2c</w:t>
      </w:r>
      <w:r w:rsidRPr="00944B6E">
        <w:t xml:space="preserve"> and </w:t>
      </w:r>
      <w:r w:rsidRPr="00944B6E">
        <w:rPr>
          <w:b/>
          <w:bCs/>
        </w:rPr>
        <w:t>4.2d</w:t>
      </w:r>
      <w:r w:rsidRPr="00944B6E">
        <w:t xml:space="preserve"> show the GHG emissions from producing paper composite and PP-TD5 panels using “green” energy mixes instead of the current energy sources used in the United States. This represents a scenario where the United States has fulfilled its sustainable energy pledges and transitioned away from fossil-based fuel sources. Analyzing this scenario is important to determine whether paper composite automotive parts will remain a viable sustainable option for the industry as the world transitions toward a more sustainable future. Our findings indicate that adopting green energy significantly reduces GHG emissions in the production of both PP-TD5 and paper composite door panel carriers. Specifically, GHG emissions associated with paper composites decrease by approximately 74%, while those for the PP-TD5 panel are reduced only by 48%. This disparity can be attributed to the higher energy consumption required for manufacturing paper composites compared to the conventional door panel. Additionally, substantial reductions are observed in the carbon footprints linked to the raw materials, with a decrease of around 48% for using the paper composite and around 26% for using PP-TD5. These reductions in GHG emissions are primarily due to the implementation of green energy mixes in producing polypropylene granulate and fiber raw materials utilized in both products. However, the ongoing reliance on crude oil as a feedstock for polypropylene production constrains the extent to which the overall environmental impacts can be mitigated. Thus, while the transition to green energy offers significant opportunities for reducing emissions, the choice and sourcing of raw materials remain critical factors in achieving sustainability goals in automotive manufacturing.</w:t>
      </w:r>
    </w:p>
    <w:p w14:paraId="215FFC4E" w14:textId="218C7DAC" w:rsidR="00944B6E" w:rsidRPr="00944B6E" w:rsidRDefault="00944B6E" w:rsidP="00944B6E">
      <w:r w:rsidRPr="00944B6E">
        <w:rPr>
          <w:b/>
          <w:bCs/>
        </w:rPr>
        <w:lastRenderedPageBreak/>
        <w:t>Figures 4.2e</w:t>
      </w:r>
      <w:r w:rsidRPr="00944B6E">
        <w:t xml:space="preserve"> and </w:t>
      </w:r>
      <w:r w:rsidRPr="00944B6E">
        <w:rPr>
          <w:b/>
          <w:bCs/>
        </w:rPr>
        <w:t>4.2f</w:t>
      </w:r>
      <w:r w:rsidRPr="00944B6E">
        <w:t xml:space="preserve"> present the GHG emissions associated with the production of paper composite and PP-TD5 panels when utilizing recycled paper and recycled polypropylene granulate as feedstock. While both materials are currently available as commercial products, the supply of recycled polypropylene remains limited, with an estimated recycling rate of around 1% in the United States </w:t>
      </w:r>
      <w:r w:rsidRPr="00944B6E">
        <w:fldChar w:fldCharType="begin"/>
      </w:r>
      <w:r>
        <w:instrText xml:space="preserve"> ADDIN ZOTERO_ITEM CSL_CITATION {"citationID":"rz2ivy1L","properties":{"formattedCitation":"[157]","plainCitation":"[157]","noteIndex":0},"citationItems":[{"id":"GrEn1h2x/ZGbGqpuG","uris":["http://zotero.org/users/local/atKPBTT7/items/YYG47VQ8"],"itemData":{"id":145,"type":"article-journal","abstract":"In this study, polypropylene (PP) was reprocessed at various cycles to simulate recycling to be used as a matrix for highly loaded wood plastic composites (WPC). The neat and composite samples were produced using a batch mixer and injection molder. The extent of PP recycling was analyzed using chromatography, rheology, micro­ scopy, and other physical/mechanical properties. While successive thermo-mechanical processing caused considerable chain scission of the PP, shown by the reduction in melt viscosity and the average molecular weight. While, other properties like tensile strength and modulus did not change significantly. The repeated reprocessing allowed for the incorporate of high 70 wt% wood flour (WF) to produce highly filled WPC. Overall, the WPCs displayed appealing physical properties through the increase in hardness and stiff characteristics while reducing the composites elongation by ~17%. This indicates that the recycling of PP could be of great importance to reduce waste accumulation by producing WPCs for construction and other applications.","container-title":"Composites Part B: Engineering","DOI":"10.1016/j.compositesb.2021.108873","ISSN":"13598368","journalAbbreviation":"Composites Part B: Engineering","language":"en","page":"108873","source":"DOI.org (Crossref)","title":"Thermo-mechanical recycling of polypropylene for the facile and scalable fabrication of highly loaded wood plastic composites","volume":"219","author":[{"family":"Jubinville","given":"Dylan"},{"family":"Esmizadeh","given":"Elnaz"},{"family":"Tzoganakis","given":"Costas"},{"family":"Mekonnen","given":"Tizazu"}],"issued":{"date-parts":[["2021",8]]}}}],"schema":"https://github.com/citation-style-language/schema/raw/master/csl-citation.json"} </w:instrText>
      </w:r>
      <w:r w:rsidRPr="00944B6E">
        <w:fldChar w:fldCharType="separate"/>
      </w:r>
      <w:r w:rsidRPr="00944B6E">
        <w:t>[157]</w:t>
      </w:r>
      <w:r w:rsidRPr="00944B6E">
        <w:fldChar w:fldCharType="end"/>
      </w:r>
      <w:r w:rsidRPr="00944B6E">
        <w:t xml:space="preserve">. However, this rate is anticipated to increase over the next decade as the demand for recycled plastics rises and collection rates along with recycling capacities improve globally </w:t>
      </w:r>
      <w:r w:rsidRPr="00944B6E">
        <w:fldChar w:fldCharType="begin"/>
      </w:r>
      <w:r>
        <w:instrText xml:space="preserve"> ADDIN ZOTERO_ITEM CSL_CITATION {"citationID":"XYaW7WFC","properties":{"formattedCitation":"[158]","plainCitation":"[158]","noteIndex":0},"citationItems":[{"id":"GrEn1h2x/nUGB9tJo","uris":["http://zotero.org/users/local/atKPBTT7/items/QNJHIMAU"],"itemData":{"id":147,"type":"report","event-place":"Brussels, Belgium","language":"en","publisher":"Plastics Recyclers Europe (PRE)","publisher-place":"Brussels, Belgium","title":"HDPE &amp; PP Market In Europe: State of Play","URL":"www.plasticsrecyclers.eu","author":[{"family":"Plastic Recyclers Europe","given":""}],"accessed":{"date-parts":[["2024",9,26]]},"issued":{"date-parts":[["2020"]]}}}],"schema":"https://github.com/citation-style-language/schema/raw/master/csl-citation.json"} </w:instrText>
      </w:r>
      <w:r w:rsidRPr="00944B6E">
        <w:fldChar w:fldCharType="separate"/>
      </w:r>
      <w:r w:rsidRPr="00944B6E">
        <w:t>[158]</w:t>
      </w:r>
      <w:r w:rsidRPr="00944B6E">
        <w:fldChar w:fldCharType="end"/>
      </w:r>
      <w:r w:rsidRPr="00944B6E">
        <w:t>. It is important to note that, as explained in the methodology section, the polypropylene fibers used in the paper composites are still assumed to come from virgin plastic, due to the technical challenges associated with manufacturing fibers from post-consumer materials and the absence of commercially available products. This scenario, therefore, illustrates the potential for near-term advancements in the production of the door panel carrier.</w:t>
      </w:r>
    </w:p>
    <w:p w14:paraId="29B28FC1" w14:textId="7A5F083C" w:rsidR="00944B6E" w:rsidRPr="00944B6E" w:rsidRDefault="00944B6E" w:rsidP="00944B6E">
      <w:r w:rsidRPr="00944B6E">
        <w:t>The results indicate that manufacturing the PP-TD5 panel with recycled polypropylene allows it to achieve a carbon footprint that is equal to or better than that of the paper composite panel. Notably, for the stiffness-limited design of the paper composite panel, the PP-TD5 panel exhibits a 7.6% lower carbon footprint compared to its paper composite counterpart. Although the paper composite door panel still has lower GHG emissions associated with its raw materials than the PP-TD5 panel, the larger manufacturing burden for the paper composite panels results in a slightly higher footprint overall. This scenario represents around a 14% reduction in carbon footprint for the paper composite panels and around a 48% reduction for the PP-TD5 panel compared to the baseline scenario. Despite these significant reductions, the GHG emissions remain markedly higher than those of the paper composite panels produced in the green energy scenario. This underscores the importance of incorporating both recycled materials and green energy to meet the automotive industry’s goal of achieving net-zero carbon emissions.</w:t>
      </w:r>
    </w:p>
    <w:p w14:paraId="7BC70CE4" w14:textId="41771B0A" w:rsidR="009165A6" w:rsidRDefault="00944B6E" w:rsidP="00944B6E">
      <w:pPr>
        <w:pStyle w:val="Heading2"/>
      </w:pPr>
      <w:bookmarkStart w:id="85" w:name="_Toc190951834"/>
      <w:r>
        <w:t>4.3.2 Use-Phase GHG Emissions</w:t>
      </w:r>
      <w:bookmarkEnd w:id="85"/>
    </w:p>
    <w:p w14:paraId="7510C2E8" w14:textId="77777777" w:rsidR="006664DE" w:rsidRDefault="00944B6E" w:rsidP="00944B6E">
      <w:r w:rsidRPr="006664DE">
        <w:rPr>
          <w:b/>
          <w:bCs/>
        </w:rPr>
        <w:t>Figure 4.3</w:t>
      </w:r>
      <w:r w:rsidRPr="00944B6E">
        <w:t xml:space="preserve"> shows the GHG emissions associated with 100,000 km of vehicle use for the two vehicle types studied. As anticipated, ICEVs exhibit much higher GHG </w:t>
      </w:r>
    </w:p>
    <w:p w14:paraId="1C8CD573" w14:textId="3D96BCB1" w:rsidR="006664DE" w:rsidRDefault="006664DE" w:rsidP="006664DE">
      <w:pPr>
        <w:pStyle w:val="FigureCaption"/>
        <w:jc w:val="both"/>
      </w:pPr>
      <w:r w:rsidRPr="006664DE">
        <w:rPr>
          <w:rFonts w:ascii="Calibri" w:eastAsia="SimSun" w:hAnsi="Calibri"/>
          <w:b w:val="0"/>
          <w:bCs w:val="0"/>
          <w:kern w:val="2"/>
          <w:sz w:val="22"/>
          <w:szCs w:val="22"/>
          <w:lang w:eastAsia="zh-CN"/>
          <w14:ligatures w14:val="standardContextual"/>
        </w:rPr>
        <w:lastRenderedPageBreak/>
        <w:drawing>
          <wp:anchor distT="0" distB="0" distL="114300" distR="114300" simplePos="0" relativeHeight="251681792" behindDoc="1" locked="0" layoutInCell="1" allowOverlap="1" wp14:anchorId="0D15B0E8" wp14:editId="1F171CED">
            <wp:simplePos x="0" y="0"/>
            <wp:positionH relativeFrom="margin">
              <wp:align>center</wp:align>
            </wp:positionH>
            <wp:positionV relativeFrom="paragraph">
              <wp:posOffset>107003</wp:posOffset>
            </wp:positionV>
            <wp:extent cx="4252444" cy="3256037"/>
            <wp:effectExtent l="0" t="0" r="0" b="1905"/>
            <wp:wrapNone/>
            <wp:docPr id="1858753267"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53267" name="Picture 1" descr="A graph of different colored bars&#10;&#10;Description automatically generated"/>
                    <pic:cNvPicPr/>
                  </pic:nvPicPr>
                  <pic:blipFill>
                    <a:blip r:embed="rId28"/>
                    <a:stretch>
                      <a:fillRect/>
                    </a:stretch>
                  </pic:blipFill>
                  <pic:spPr>
                    <a:xfrm>
                      <a:off x="0" y="0"/>
                      <a:ext cx="4252444" cy="3256037"/>
                    </a:xfrm>
                    <a:prstGeom prst="rect">
                      <a:avLst/>
                    </a:prstGeom>
                  </pic:spPr>
                </pic:pic>
              </a:graphicData>
            </a:graphic>
            <wp14:sizeRelH relativeFrom="page">
              <wp14:pctWidth>0</wp14:pctWidth>
            </wp14:sizeRelH>
            <wp14:sizeRelV relativeFrom="page">
              <wp14:pctHeight>0</wp14:pctHeight>
            </wp14:sizeRelV>
          </wp:anchor>
        </w:drawing>
      </w:r>
    </w:p>
    <w:p w14:paraId="2EA763A2" w14:textId="69D5792E" w:rsidR="006664DE" w:rsidRDefault="006664DE" w:rsidP="006664DE">
      <w:pPr>
        <w:pStyle w:val="FigureCaption"/>
        <w:jc w:val="both"/>
      </w:pPr>
    </w:p>
    <w:p w14:paraId="7CAD94C9" w14:textId="77777777" w:rsidR="006664DE" w:rsidRDefault="006664DE" w:rsidP="006664DE">
      <w:pPr>
        <w:pStyle w:val="FigureCaption"/>
        <w:jc w:val="both"/>
      </w:pPr>
    </w:p>
    <w:p w14:paraId="556B6486" w14:textId="77777777" w:rsidR="006664DE" w:rsidRDefault="006664DE" w:rsidP="006664DE">
      <w:pPr>
        <w:pStyle w:val="FigureCaption"/>
        <w:jc w:val="both"/>
      </w:pPr>
    </w:p>
    <w:p w14:paraId="519342D7" w14:textId="77777777" w:rsidR="006664DE" w:rsidRDefault="006664DE" w:rsidP="006664DE">
      <w:pPr>
        <w:pStyle w:val="FigureCaption"/>
        <w:jc w:val="both"/>
      </w:pPr>
    </w:p>
    <w:p w14:paraId="2C0D847F" w14:textId="77777777" w:rsidR="006664DE" w:rsidRDefault="006664DE" w:rsidP="006664DE">
      <w:pPr>
        <w:pStyle w:val="FigureCaption"/>
        <w:jc w:val="both"/>
      </w:pPr>
    </w:p>
    <w:p w14:paraId="39A5FE63" w14:textId="77777777" w:rsidR="006664DE" w:rsidRDefault="006664DE" w:rsidP="006664DE">
      <w:pPr>
        <w:pStyle w:val="FigureCaption"/>
        <w:jc w:val="both"/>
      </w:pPr>
    </w:p>
    <w:p w14:paraId="619E968D" w14:textId="77777777" w:rsidR="006664DE" w:rsidRDefault="006664DE" w:rsidP="006664DE">
      <w:pPr>
        <w:pStyle w:val="FigureCaption"/>
        <w:jc w:val="both"/>
      </w:pPr>
    </w:p>
    <w:p w14:paraId="26F0C0B8" w14:textId="77777777" w:rsidR="006664DE" w:rsidRDefault="006664DE" w:rsidP="006664DE">
      <w:pPr>
        <w:pStyle w:val="FigureCaption"/>
        <w:jc w:val="both"/>
      </w:pPr>
    </w:p>
    <w:p w14:paraId="051E9B5E" w14:textId="77777777" w:rsidR="006664DE" w:rsidRDefault="006664DE" w:rsidP="006664DE">
      <w:pPr>
        <w:pStyle w:val="FigureCaption"/>
        <w:jc w:val="both"/>
      </w:pPr>
    </w:p>
    <w:p w14:paraId="31CA712D" w14:textId="77777777" w:rsidR="006664DE" w:rsidRDefault="006664DE" w:rsidP="006664DE">
      <w:pPr>
        <w:pStyle w:val="FigureCaption"/>
        <w:jc w:val="both"/>
      </w:pPr>
    </w:p>
    <w:p w14:paraId="335EEAED" w14:textId="77777777" w:rsidR="006664DE" w:rsidRDefault="006664DE" w:rsidP="006664DE">
      <w:pPr>
        <w:pStyle w:val="FigureCaption"/>
        <w:jc w:val="both"/>
      </w:pPr>
    </w:p>
    <w:p w14:paraId="28DDE018" w14:textId="77777777" w:rsidR="006664DE" w:rsidRDefault="006664DE" w:rsidP="006664DE">
      <w:pPr>
        <w:pStyle w:val="FigureCaption"/>
        <w:jc w:val="both"/>
      </w:pPr>
    </w:p>
    <w:p w14:paraId="74C1FCD7" w14:textId="7596F566" w:rsidR="006664DE" w:rsidRPr="006664DE" w:rsidRDefault="006664DE" w:rsidP="006664DE">
      <w:pPr>
        <w:pStyle w:val="FigureCaption"/>
        <w:jc w:val="both"/>
      </w:pPr>
      <w:r w:rsidRPr="006664DE">
        <w:t xml:space="preserve">Figure </w:t>
      </w:r>
      <w:r>
        <w:t>4.</w:t>
      </w:r>
      <w:r w:rsidRPr="006664DE">
        <w:t xml:space="preserve">3 </w:t>
      </w:r>
      <w:r w:rsidRPr="006664DE">
        <w:rPr>
          <w:b w:val="0"/>
          <w:bCs w:val="0"/>
        </w:rPr>
        <w:t>Cradle-to-gate GHG emissions per 100,000 km of vehicle use on a per part basis. PP-TD5 = conventional door panel molded from talc-filled polypropylene, PC_Stiffness_No PT Adj. = Paper composite door panel with stiffness limited design without powertrain resizing assumption, PC_Strength_No PT Adj.= Paper composite door panel with strength limited design without powertrain resizing assumption, PC_Stiffness_PT Adj. = Paper composite door panel with stiffness limited design with powertrain resizing, PC_Strength_PT Adj. = Paper composite door panel with strength limited design with powertrain resizing.</w:t>
      </w:r>
    </w:p>
    <w:p w14:paraId="164DB6E7" w14:textId="7CF2FA4C" w:rsidR="006664DE" w:rsidRDefault="006664DE">
      <w:pPr>
        <w:spacing w:after="160" w:line="259" w:lineRule="auto"/>
        <w:ind w:firstLine="0"/>
        <w:jc w:val="left"/>
      </w:pPr>
      <w:r>
        <w:br w:type="page"/>
      </w:r>
    </w:p>
    <w:p w14:paraId="0AF8BBE4" w14:textId="1F122622" w:rsidR="00944B6E" w:rsidRPr="00944B6E" w:rsidRDefault="00944B6E" w:rsidP="006664DE">
      <w:pPr>
        <w:ind w:firstLine="0"/>
      </w:pPr>
      <w:r w:rsidRPr="00944B6E">
        <w:lastRenderedPageBreak/>
        <w:t>emissions than BEVs, particularly when green energy is used to charge the electric vehicles. In this context, switching to a paper composite door panel provides more substantial absolute reductions in GHG emissions for the ICEV. However, the relative reductions are comparable across vehicle types; the ICEV experiences decreases of 7.6% (stiffness-limited) and 12.8% (strength-limited) in scenarios without powertrain adjustment, and reductions of 11.7% (stiffness-limited) and 19.8% (strength-limited) when the powertrain is resized. In contrast, the BEV achieves decreases of 10.8% (stiffness-limited) and 17.9% (strength-limited), regardless of powertrain adjustments</w:t>
      </w:r>
      <w:r>
        <w:t>.</w:t>
      </w:r>
    </w:p>
    <w:p w14:paraId="04B6DEDC" w14:textId="77777777" w:rsidR="00944B6E" w:rsidRPr="00944B6E" w:rsidRDefault="00944B6E" w:rsidP="00944B6E">
      <w:r w:rsidRPr="00944B6E">
        <w:t>We also considered the cumulative reduction in GHG emissions over the vehicle’s entire use, assuming that all four door panels would be replaced with a paper composite alternative. In the case of ICEVs, across 300,000 km, the use of paper composite panels rather than PP-TD5 panels will result in avoided emissions of 10.82 kg CO</w:t>
      </w:r>
      <w:r w:rsidRPr="00944B6E">
        <w:rPr>
          <w:vertAlign w:val="subscript"/>
        </w:rPr>
        <w:t>2</w:t>
      </w:r>
      <w:r w:rsidRPr="00944B6E">
        <w:t>-eq. for a stiffness-limited design and 18.13 kg CO</w:t>
      </w:r>
      <w:r w:rsidRPr="00944B6E">
        <w:rPr>
          <w:vertAlign w:val="subscript"/>
        </w:rPr>
        <w:t>2</w:t>
      </w:r>
      <w:r w:rsidRPr="00944B6E">
        <w:t>-eq. for a strength-limited design. For electric vehicles, the avoided emissions for replacing PP-TD5 panels with paper composite ones are substantially smaller at 4.36 kg CO</w:t>
      </w:r>
      <w:r w:rsidRPr="00944B6E">
        <w:rPr>
          <w:vertAlign w:val="subscript"/>
        </w:rPr>
        <w:t>2</w:t>
      </w:r>
      <w:r w:rsidRPr="00944B6E">
        <w:t>-eq. (stiffness-limited design) and 7.31 kg CO</w:t>
      </w:r>
      <w:r w:rsidRPr="00944B6E">
        <w:rPr>
          <w:vertAlign w:val="subscript"/>
        </w:rPr>
        <w:t>2</w:t>
      </w:r>
      <w:r w:rsidRPr="00944B6E">
        <w:t>-eq. (strength-limited design) when vehicles are charged using current energy mixes. While these reductions may appear modest, they become substantial at scale. For instance, when applied to the total production of ID.4s (223,425) by Volkswagen in 2023, could translate into avoided emissions totaling approximately 974,000 kg CO2-eq. or 1.63 million kg CO</w:t>
      </w:r>
      <w:r w:rsidRPr="00944B6E">
        <w:rPr>
          <w:vertAlign w:val="subscript"/>
        </w:rPr>
        <w:t>2</w:t>
      </w:r>
      <w:r w:rsidRPr="00944B6E">
        <w:t>-eq. across the lifetime of those vehicles (</w:t>
      </w:r>
      <w:r w:rsidRPr="00944B6E">
        <w:rPr>
          <w:highlight w:val="yellow"/>
        </w:rPr>
        <w:t>Volkswagen Group, 2024</w:t>
      </w:r>
      <w:r w:rsidRPr="00944B6E">
        <w:t xml:space="preserve">). Similarly, if paper composite door panels were employed in all 633,147 </w:t>
      </w:r>
      <w:proofErr w:type="spellStart"/>
      <w:r w:rsidRPr="00944B6E">
        <w:t>Tiguans</w:t>
      </w:r>
      <w:proofErr w:type="spellEnd"/>
      <w:r w:rsidRPr="00944B6E">
        <w:t xml:space="preserve"> produced in 2023—a Volkswagen ICEV comparable in size to the ID.4—the lifetime avoided emissions could reach up to 6.85 million kg CO2-eq. for the stiffness-limited scenario and 11.48 million kg CO</w:t>
      </w:r>
      <w:r w:rsidRPr="00944B6E">
        <w:rPr>
          <w:vertAlign w:val="subscript"/>
        </w:rPr>
        <w:t>2</w:t>
      </w:r>
      <w:r w:rsidRPr="00944B6E">
        <w:t>-eq. for the strength-limited scenario. To put this in perspective, the average American drives about 21,700 km per year, emitting roughly 3,000 kg CO₂-eq. (</w:t>
      </w:r>
      <w:r w:rsidRPr="00944B6E">
        <w:rPr>
          <w:highlight w:val="yellow"/>
        </w:rPr>
        <w:t>United States Department of Transportation, 2022</w:t>
      </w:r>
      <w:r w:rsidRPr="00944B6E">
        <w:t>). Therefore, the BEV scenarios are comparable to removing between 324 and 543 people from the road for a year, while the ICEV scenario equates to as many as 3,826 people being taken off the road.</w:t>
      </w:r>
    </w:p>
    <w:p w14:paraId="76904482" w14:textId="77777777" w:rsidR="00944B6E" w:rsidRPr="00944B6E" w:rsidRDefault="00944B6E" w:rsidP="00944B6E">
      <w:r w:rsidRPr="00944B6E">
        <w:t xml:space="preserve">However, comparing different fuel sources (gasoline, conventional energy, and green energy) reveals that fuel type has a far greater impact on carbon emissions than </w:t>
      </w:r>
      <w:r w:rsidRPr="00944B6E">
        <w:lastRenderedPageBreak/>
        <w:t xml:space="preserve">lightweighting via design changes. For example, switching from an ICEV to a BEV (charged with the current energy mix) reduces emissions by 115.97–118.92 kg CO₂-eq. per vehicle, depending on the design case. The reduction is even more significant for BEVs charged with green energy, achieving 151.63–151.71 kg CO₂-eq. per vehicle. As such, if all previously considered </w:t>
      </w:r>
      <w:proofErr w:type="spellStart"/>
      <w:r w:rsidRPr="00944B6E">
        <w:t>Tiguans</w:t>
      </w:r>
      <w:proofErr w:type="spellEnd"/>
      <w:r w:rsidRPr="00944B6E">
        <w:t xml:space="preserve"> were replaced with ID.4s, this shift could avoid up to 33.9 million kg CO₂-eq. per year, highlighting the critical role of clean energy in reducing overall emissions.</w:t>
      </w:r>
    </w:p>
    <w:p w14:paraId="41FB413B" w14:textId="32F8083C" w:rsidR="006B02BB" w:rsidRDefault="00944B6E" w:rsidP="00944B6E">
      <w:pPr>
        <w:pStyle w:val="Heading2"/>
      </w:pPr>
      <w:bookmarkStart w:id="86" w:name="_Toc190951835"/>
      <w:r>
        <w:t>4.3.3 Total Life-Cycle GHG Emissions</w:t>
      </w:r>
      <w:bookmarkEnd w:id="86"/>
    </w:p>
    <w:p w14:paraId="0324F4D4" w14:textId="75D4CEE1" w:rsidR="00944B6E" w:rsidRPr="00944B6E" w:rsidRDefault="00944B6E" w:rsidP="00944B6E">
      <w:r w:rsidRPr="00944B6E">
        <w:rPr>
          <w:b/>
          <w:bCs/>
        </w:rPr>
        <w:t xml:space="preserve">Figure </w:t>
      </w:r>
      <w:r w:rsidRPr="006664DE">
        <w:rPr>
          <w:b/>
          <w:bCs/>
        </w:rPr>
        <w:t>4.</w:t>
      </w:r>
      <w:r w:rsidRPr="00944B6E">
        <w:rPr>
          <w:b/>
          <w:bCs/>
        </w:rPr>
        <w:t>4</w:t>
      </w:r>
      <w:r w:rsidRPr="00944B6E">
        <w:t xml:space="preserve"> presents the full life cycle GHG emissions associated with conventional PP-TD5 door panel and the paper composite door panels across all three scenarios, assuming a use-phase driving distance of 300,000 km. In the baseline scenario, shown in </w:t>
      </w:r>
      <w:r w:rsidRPr="00944B6E">
        <w:rPr>
          <w:b/>
          <w:bCs/>
        </w:rPr>
        <w:t>Figure 4.4a</w:t>
      </w:r>
      <w:r w:rsidRPr="00944B6E">
        <w:t>, the transition from a PP-TD5 panel to a paper composite panel results in GHG emission reductions ranging from 10% to 15% for ICEVs and 18% to 25% for BEVs. The more significant relative improvement for the BEV can be attributed to the heightened impact of cradle-to-gate emissions on the overall carbon footprint. This trend is illustrated in Figure 4b, which delineates the relative contribution of each component to the total GHG emissions. For the ICEVs, the use-phase emissions account for 89-92% of the total carbon footprint, while they only account for 68-74% of the total for the BEVs.</w:t>
      </w:r>
    </w:p>
    <w:p w14:paraId="3BD12196" w14:textId="77777777" w:rsidR="00944B6E" w:rsidRPr="00944B6E" w:rsidRDefault="00944B6E" w:rsidP="00944B6E">
      <w:r w:rsidRPr="00944B6E">
        <w:t>These trends are similar in the recycled feedstock scenario, with use-phase emissions ranging from 77 to 94% depending on vehicle type and door panel design criteria. This is likewise true for the ICEV in the green energy scenario, where use-phase emissions range from ~94% for the PP-TD5 panel to ~98% for the paper composite panels. The major difference comes for the BEV in the green energy scenario, which only has 10-23% of its emissions coming from the use-phase. It should be noted however, that the total life cycle GHG emissions in this case are significantly lower than in any case we analyzed, at 1.01-1.1 kg CO₂-eq. for the paper composite panels and 2.84 kg CO₂-eq. for the PP-TD5 panel.</w:t>
      </w:r>
    </w:p>
    <w:p w14:paraId="34DD62DD" w14:textId="77777777" w:rsidR="006664DE" w:rsidRDefault="00944B6E" w:rsidP="00944B6E">
      <w:r w:rsidRPr="00944B6E">
        <w:t xml:space="preserve">Given that the carbon intensity of the energy mix in the green energy scenario is based on the United States's pledges to transition to more sustainable energy sources, we </w:t>
      </w:r>
    </w:p>
    <w:p w14:paraId="1090B242" w14:textId="27569E02" w:rsidR="006664DE" w:rsidRDefault="006664DE" w:rsidP="006664DE">
      <w:pPr>
        <w:pStyle w:val="FigureCaption"/>
        <w:jc w:val="both"/>
      </w:pPr>
      <w:r w:rsidRPr="006664DE">
        <w:rPr>
          <w:rFonts w:eastAsia="SimSun"/>
          <w:kern w:val="2"/>
          <w:sz w:val="22"/>
          <w:szCs w:val="22"/>
          <w:lang w:eastAsia="zh-CN"/>
          <w14:ligatures w14:val="standardContextual"/>
        </w:rPr>
        <w:lastRenderedPageBreak/>
        <w:drawing>
          <wp:anchor distT="0" distB="0" distL="114300" distR="114300" simplePos="0" relativeHeight="251683840" behindDoc="0" locked="0" layoutInCell="1" allowOverlap="1" wp14:anchorId="40F88A05" wp14:editId="56B36D2F">
            <wp:simplePos x="0" y="0"/>
            <wp:positionH relativeFrom="margin">
              <wp:align>center</wp:align>
            </wp:positionH>
            <wp:positionV relativeFrom="paragraph">
              <wp:posOffset>0</wp:posOffset>
            </wp:positionV>
            <wp:extent cx="5457190" cy="6675120"/>
            <wp:effectExtent l="0" t="0" r="0" b="0"/>
            <wp:wrapTopAndBottom/>
            <wp:docPr id="880687630" name="Picture 5"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7630" name="Picture 5" descr="A collage of graphs&#10;&#10;AI-generated content may be incorrect."/>
                    <pic:cNvPicPr/>
                  </pic:nvPicPr>
                  <pic:blipFill>
                    <a:blip r:embed="rId29"/>
                    <a:stretch>
                      <a:fillRect/>
                    </a:stretch>
                  </pic:blipFill>
                  <pic:spPr>
                    <a:xfrm>
                      <a:off x="0" y="0"/>
                      <a:ext cx="5457190" cy="6675120"/>
                    </a:xfrm>
                    <a:prstGeom prst="rect">
                      <a:avLst/>
                    </a:prstGeom>
                  </pic:spPr>
                </pic:pic>
              </a:graphicData>
            </a:graphic>
            <wp14:sizeRelH relativeFrom="page">
              <wp14:pctWidth>0</wp14:pctWidth>
            </wp14:sizeRelH>
            <wp14:sizeRelV relativeFrom="page">
              <wp14:pctHeight>0</wp14:pctHeight>
            </wp14:sizeRelV>
          </wp:anchor>
        </w:drawing>
      </w:r>
    </w:p>
    <w:p w14:paraId="5F75BF26" w14:textId="1A134C78" w:rsidR="006664DE" w:rsidRDefault="006664DE" w:rsidP="006664DE">
      <w:pPr>
        <w:pStyle w:val="FigureCaption"/>
        <w:jc w:val="both"/>
      </w:pPr>
      <w:r w:rsidRPr="006664DE">
        <w:t xml:space="preserve">Figure 4. </w:t>
      </w:r>
      <w:r w:rsidRPr="006664DE">
        <w:rPr>
          <w:b w:val="0"/>
          <w:bCs w:val="0"/>
        </w:rPr>
        <w:t xml:space="preserve">Total life-cycle emissions GHG emissions for the paper composite door panel carrier compared to the conventional injection-molded PP-TD5 part under the three studio scenarios. a. GHG emissions for part in baseline scenario, b. relative GHG emissions for raw material inputs in baseline scenario, c. GHG emissions for part in green energy </w:t>
      </w:r>
      <w:r w:rsidRPr="006664DE">
        <w:rPr>
          <w:b w:val="0"/>
          <w:bCs w:val="0"/>
        </w:rPr>
        <w:lastRenderedPageBreak/>
        <w:t xml:space="preserve">scenario, d. relative GHG emissions for raw material inputs in green energy scenario, e. Cradle-to-gate GHG emissions for part in recycled feedstock scenario, f. relative GHG emissions for raw material inputs in recycled feedstock scenario. PP-TD5 ICEV = conventional PP-TD5 panel used in ICEV, PC_Stiffness ICEV = </w:t>
      </w:r>
      <w:bookmarkStart w:id="87" w:name="_Hlk185522044"/>
      <w:r w:rsidRPr="006664DE">
        <w:rPr>
          <w:b w:val="0"/>
          <w:bCs w:val="0"/>
        </w:rPr>
        <w:t>stiffness-limited design of paper composite panel used in</w:t>
      </w:r>
      <w:bookmarkEnd w:id="87"/>
      <w:r w:rsidRPr="006664DE">
        <w:rPr>
          <w:b w:val="0"/>
          <w:bCs w:val="0"/>
        </w:rPr>
        <w:t xml:space="preserve"> ICEV, PC_Strength ICEV = strength-limited design of paper composite panel used in ICEV, PP-TD5 BEV = conventional PP-TD5 panel used in BEV, PC_Stiffness BEV =  stiffness-limited design of paper composite panel used in BEV, PC_Strength BEV = strength-limited design of paper composite panel used in BEV</w:t>
      </w:r>
      <w:r>
        <w:br w:type="page"/>
      </w:r>
    </w:p>
    <w:p w14:paraId="610256A7" w14:textId="2C2696D9" w:rsidR="00944B6E" w:rsidRPr="00944B6E" w:rsidRDefault="00944B6E" w:rsidP="006664DE">
      <w:pPr>
        <w:ind w:firstLine="0"/>
      </w:pPr>
      <w:r w:rsidRPr="00944B6E">
        <w:lastRenderedPageBreak/>
        <w:t xml:space="preserve">conducted a sensitivity analysis to evaluate how total life-cycle emissions would be affected if these goals are not fully achieved. The results of this analysis are shown in </w:t>
      </w:r>
      <w:r w:rsidRPr="00944B6E">
        <w:rPr>
          <w:b/>
          <w:bCs/>
          <w:highlight w:val="yellow"/>
        </w:rPr>
        <w:t>Figure 4.5</w:t>
      </w:r>
      <w:r w:rsidRPr="00944B6E">
        <w:t xml:space="preserve">. Unsurprisingly, the lifecycle GHG emissions are strongly dependent on the grid mix used to charge the vehicle, as is the portion of the carbon footprint that is associated with the use-phase. It should be noted that for 2040 PP-TD5, we find that 67% of the emissions are attributable to raw materials which is similar to previously mentioned predictions </w:t>
      </w:r>
      <w:r w:rsidRPr="00944B6E">
        <w:fldChar w:fldCharType="begin"/>
      </w:r>
      <w:r>
        <w:instrText xml:space="preserve"> ADDIN ZOTERO_ITEM CSL_CITATION {"citationID":"9QA7vg0U","properties":{"formattedCitation":"[123]","plainCitation":"[123]","noteIndex":0},"citationItems":[{"id":"GrEn1h2x/oxaYSPKR","uris":["http://zotero.org/users/local/atKPBTT7/items/VTEJALCI"],"itemData":{"id":"SZ1XOKnf/lPdi66nI","type":"document","language":"en","publisher":"McKinsey &amp; Company","source":"Zotero","title":"The zero-carbon car: Abating material emissions is next on the agenda","author":[{"family":"Hannon","given":"Eric"},{"family":"Nauclér","given":"Tomas"},{"family":"Suneson","given":"Anders"},{"family":"Yüksel","given":"Fehmi"}],"issued":{"date-parts":[["2020",9]]}}}],"schema":"https://github.com/citation-style-language/schema/raw/master/csl-citation.json"} </w:instrText>
      </w:r>
      <w:r w:rsidRPr="00944B6E">
        <w:fldChar w:fldCharType="separate"/>
      </w:r>
      <w:r w:rsidRPr="00944B6E">
        <w:t>[123]</w:t>
      </w:r>
      <w:r w:rsidRPr="00944B6E">
        <w:fldChar w:fldCharType="end"/>
      </w:r>
      <w:r>
        <w:t>.</w:t>
      </w:r>
    </w:p>
    <w:p w14:paraId="62D37BF8" w14:textId="75B1CCDB" w:rsidR="00944B6E" w:rsidRDefault="00944B6E" w:rsidP="00944B6E">
      <w:r w:rsidRPr="00944B6E">
        <w:t>Overall, our results highlight the importance of component lightweighting, in conjunction with the adoption of renewable materials and green energy. For instance, for a BEV with PP-TD5 door panels, the switch from virgin PP to recycled PP only reduces life cycle GHG emissions from 15.18 to 12.81 kg CO</w:t>
      </w:r>
      <w:r w:rsidRPr="00944B6E">
        <w:rPr>
          <w:vertAlign w:val="subscript"/>
        </w:rPr>
        <w:t>2</w:t>
      </w:r>
      <w:r w:rsidRPr="00944B6E">
        <w:t xml:space="preserve">-eq./part, which is less substantial than the reduction achieved by switching to paper composite panels in the baseline scenario. However, the switch to recycled polypropylene would likely be cost-prohibitive, as the high-quality recycles needed for the automotive industry are expected to continue to have substantial premiums over virgin material (up to 60%) until 2030 and beyond, due to the imbalance between supply and demand </w:t>
      </w:r>
      <w:r w:rsidRPr="00944B6E">
        <w:fldChar w:fldCharType="begin"/>
      </w:r>
      <w:r>
        <w:instrText xml:space="preserve"> ADDIN ZOTERO_ITEM CSL_CITATION {"citationID":"edMKwmHG","properties":{"formattedCitation":"[159]","plainCitation":"[159]","noteIndex":0},"citationItems":[{"id":"GrEn1h2x/Yi85ePln","uris":["http://zotero.org/users/local/atKPBTT7/items/53XHSGJC"],"itemData":{"id":150,"type":"document","publisher":"McKinsey &amp; Company","title":"Capturing the green-premium value from sustainable materials","URL":"https://www.mckinsey.com/industries/metals-and-mining/our-insights/capturing-the-green-premium-value-from-sustainable-materials","author":[{"family":"Azevedo","given":"Marcelo"},{"family":"Moore","given":"Anna"},{"family":"Van den Heuvel","given":"Caroline"},{"family":"Van Hoey","given":"Michel"}],"accessed":{"date-parts":[["2024",9,30]]},"issued":{"date-parts":[["2022",10,28]]}}}],"schema":"https://github.com/citation-style-language/schema/raw/master/csl-citation.json"} </w:instrText>
      </w:r>
      <w:r w:rsidRPr="00944B6E">
        <w:fldChar w:fldCharType="separate"/>
      </w:r>
      <w:r w:rsidRPr="00944B6E">
        <w:t>[159]</w:t>
      </w:r>
      <w:r w:rsidRPr="00944B6E">
        <w:fldChar w:fldCharType="end"/>
      </w:r>
      <w:r w:rsidRPr="00944B6E">
        <w:t xml:space="preserve">. In contrast, the paper and pulp industry which is well-developed and relatively stable, already offers a lower-cost feedstock compared to polypropylene </w:t>
      </w:r>
      <w:r w:rsidRPr="00944B6E">
        <w:fldChar w:fldCharType="begin"/>
      </w:r>
      <w:r>
        <w:instrText xml:space="preserve"> ADDIN ZOTERO_ITEM CSL_CITATION {"citationID":"CK6jNg7C","properties":{"formattedCitation":"[160]","plainCitation":"[160]","noteIndex":0},"citationItems":[{"id":"GrEn1h2x/hP28sloW","uris":["http://zotero.org/users/local/atKPBTT7/items/42RTB5KB"],"itemData":{"id":151,"type":"article-journal","container-title":"Tuijin Jishu/Journal of Propulsion Technology","DOI":"10.52783/tjjpt.v44.i5.3356","issue":"5","page":"3594 - 3602","title":"Pulp And Paper Industry: A Review","volume":"44","author":[{"family":"Maverengo","given":"Hilton"},{"family":"Inambao","given":"Freddie L."},{"family":"Ilupeju","given":"Samnuel"}],"issued":{"date-parts":[["2023",12]]}}}],"schema":"https://github.com/citation-style-language/schema/raw/master/csl-citation.json"} </w:instrText>
      </w:r>
      <w:r w:rsidRPr="00944B6E">
        <w:fldChar w:fldCharType="separate"/>
      </w:r>
      <w:r w:rsidRPr="00944B6E">
        <w:t>[160]</w:t>
      </w:r>
      <w:r w:rsidRPr="00944B6E">
        <w:fldChar w:fldCharType="end"/>
      </w:r>
      <w:r w:rsidRPr="00944B6E">
        <w:t xml:space="preserve">. Consequently, adopting paper composites is projected to be more cost-effective and environmentally advantageous than relying on recycled feedstocks for the conventional PP-TD5 panel. </w:t>
      </w:r>
    </w:p>
    <w:p w14:paraId="39BB999E" w14:textId="77777777" w:rsidR="004A6E6B" w:rsidRPr="00944B6E" w:rsidRDefault="004A6E6B" w:rsidP="00944B6E"/>
    <w:p w14:paraId="48DB9673" w14:textId="2295A7A3" w:rsidR="00944B6E" w:rsidRPr="00944B6E" w:rsidRDefault="004A6E6B" w:rsidP="004A6E6B">
      <w:pPr>
        <w:pStyle w:val="MajorHeadings"/>
      </w:pPr>
      <w:bookmarkStart w:id="88" w:name="_Toc190951836"/>
      <w:r>
        <w:t>4.4 Conclusions</w:t>
      </w:r>
      <w:bookmarkEnd w:id="88"/>
      <w:r>
        <w:t xml:space="preserve"> </w:t>
      </w:r>
    </w:p>
    <w:p w14:paraId="0918845B" w14:textId="77777777" w:rsidR="006664DE" w:rsidRDefault="004A6E6B" w:rsidP="004A6E6B">
      <w:r w:rsidRPr="004A6E6B">
        <w:t xml:space="preserve">This study demonstrates that replacing a talc-reinforced polypropylene automotive door panel with a paper-based composite can significantly reduce GHG emissions during both the production and use-phases. The paper composite exhibits superior mechanical properties compared to PP-TD5, which lends itself to lightweighting the functional unit. Specifically, the part weight could be reduced by approximately 11% when stiffness is used as the design criteria and by 18% when strength is prioritized instead. In a baseline cradle-to-gate scenario, replacing the PP-TD5 panel with a paper composite one results in a 35-40% reduction in GHG emissions, depending on the selected design criteria. The reduction </w:t>
      </w:r>
    </w:p>
    <w:p w14:paraId="0D69A52E" w14:textId="0B702049" w:rsidR="006664DE" w:rsidRDefault="006664DE" w:rsidP="006664DE">
      <w:pPr>
        <w:pStyle w:val="FigureCaption"/>
        <w:jc w:val="both"/>
      </w:pPr>
      <w:r w:rsidRPr="006664DE">
        <w:rPr>
          <w:rFonts w:ascii="Calibri" w:eastAsia="SimSun" w:hAnsi="Calibri"/>
          <w:kern w:val="2"/>
          <w:sz w:val="22"/>
          <w:szCs w:val="22"/>
          <w:lang w:eastAsia="zh-CN"/>
          <w14:ligatures w14:val="standardContextual"/>
        </w:rPr>
        <w:lastRenderedPageBreak/>
        <w:drawing>
          <wp:anchor distT="0" distB="0" distL="114300" distR="114300" simplePos="0" relativeHeight="251684864" behindDoc="0" locked="0" layoutInCell="1" allowOverlap="1" wp14:anchorId="67934A10" wp14:editId="0E694D3D">
            <wp:simplePos x="0" y="0"/>
            <wp:positionH relativeFrom="margin">
              <wp:posOffset>-180975</wp:posOffset>
            </wp:positionH>
            <wp:positionV relativeFrom="paragraph">
              <wp:posOffset>107004</wp:posOffset>
            </wp:positionV>
            <wp:extent cx="5842601" cy="2548647"/>
            <wp:effectExtent l="0" t="0" r="6350" b="4445"/>
            <wp:wrapTopAndBottom/>
            <wp:docPr id="1659607942"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07942" name="Picture 2" descr="A close-up of a graph&#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42601" cy="2548647"/>
                    </a:xfrm>
                    <a:prstGeom prst="rect">
                      <a:avLst/>
                    </a:prstGeom>
                  </pic:spPr>
                </pic:pic>
              </a:graphicData>
            </a:graphic>
            <wp14:sizeRelH relativeFrom="page">
              <wp14:pctWidth>0</wp14:pctWidth>
            </wp14:sizeRelH>
            <wp14:sizeRelV relativeFrom="page">
              <wp14:pctHeight>0</wp14:pctHeight>
            </wp14:sizeRelV>
          </wp:anchor>
        </w:drawing>
      </w:r>
    </w:p>
    <w:p w14:paraId="291EB680" w14:textId="210D119E" w:rsidR="006664DE" w:rsidRPr="006664DE" w:rsidRDefault="006664DE" w:rsidP="006664DE">
      <w:pPr>
        <w:pStyle w:val="FigureCaption"/>
        <w:jc w:val="both"/>
        <w:rPr>
          <w:b w:val="0"/>
          <w:bCs w:val="0"/>
        </w:rPr>
      </w:pPr>
      <w:r w:rsidRPr="006664DE">
        <w:t xml:space="preserve">Figure </w:t>
      </w:r>
      <w:r>
        <w:t>4.</w:t>
      </w:r>
      <w:r w:rsidRPr="006664DE">
        <w:t xml:space="preserve">5 </w:t>
      </w:r>
      <w:r w:rsidRPr="006664DE">
        <w:rPr>
          <w:b w:val="0"/>
          <w:bCs w:val="0"/>
        </w:rPr>
        <w:t xml:space="preserve">Sensitivity analysis for part used in BEV charging. a. GHG emissions for part in BEV produced using green energy, b. relative GHG emissions for part in BEV produced using green energy. 2050 PP-TD5 = conventional PP-TD5 panel used in BEV charged with predicted 2050 U.S. grid mix, 2050 PC_Stiffness = stiffness-limited design of paper composite panel used in BEV charged with predicted 2050 U.S. grid mix, 2050 PC_Strength = strength-limited design of paper composite panel used in BEV charged with predicted 2050 U.S. grid mix, 2040 PP-TD5 = conventional PP-TD5 panel used in BEV charged with predicted 2040 U.S. grid mix, 2040 PC_Stiffness = stiffness-limited design of paper composite panel used in BEV charged with predicted 2040 U.S. grid mix, 2040 PC_Strength = strength-limited design of paper composite panel used in BEV charged with predicted 2040 U.S. grid mix, 2030 PP-TD5 = conventional PP-TD5 panel used in BEV charged with predicted 2030 U.S. grid mix, 2030 PC_Stiffness = stiffness-limited design of paper composite panel used in BEV charged with predicted 2030 U.S. grid mix, 2030 PC_Strength = strength-limited design of paper composite panel used in BEV charged with predicted 2030 U.S. grid mix. </w:t>
      </w:r>
    </w:p>
    <w:p w14:paraId="166C5878" w14:textId="77777777" w:rsidR="006664DE" w:rsidRDefault="006664DE">
      <w:pPr>
        <w:spacing w:after="160" w:line="259" w:lineRule="auto"/>
        <w:ind w:firstLine="0"/>
        <w:jc w:val="left"/>
      </w:pPr>
      <w:r>
        <w:br w:type="page"/>
      </w:r>
    </w:p>
    <w:p w14:paraId="38325145" w14:textId="0C9A4C43" w:rsidR="004A6E6B" w:rsidRPr="004A6E6B" w:rsidRDefault="004A6E6B" w:rsidP="006664DE">
      <w:pPr>
        <w:ind w:firstLine="0"/>
      </w:pPr>
      <w:r w:rsidRPr="004A6E6B">
        <w:lastRenderedPageBreak/>
        <w:t>improves to about 74% when green energy sources are used for raw materials and manufacturing, representing a roughly 48% decrease compared to the baseline paper composite scenario. When recycled materials are used as feedstocks, the carbon footprint of the PP-TD5 panel becomes comparable to that of the strength-limited paper composite design and is approximately 8% lower than the stiffness-limited design. Therefore, the benefits of using recycled feedstock are less significant for the paper composite panel, as most of its emissions arise from energy consumed during the manufacturing process rather than from raw materials. Our findings demonstrate that part weight has a substantial impact during the use-phase, particularly for ICEVs. Nevertheless, when considering the entire vehicle lifecycle (excluding end-of-life considerations), the relative GHG reduction achieved by switching to paper composites is greater in BEVs than in ICEVs, due to the higher share of manufacturing-related emissions in the BEV scenario. Overall, this study shows that paper composite automotive parts significantly improve GHG emissions, by using sustainable feedstocks and effective lightweighting strategies.</w:t>
      </w:r>
    </w:p>
    <w:p w14:paraId="273FE568" w14:textId="77777777" w:rsidR="009165A6" w:rsidRDefault="009165A6" w:rsidP="004A6E6B">
      <w:pPr>
        <w:rPr>
          <w:color w:val="000000"/>
        </w:rPr>
      </w:pPr>
      <w:r>
        <w:br w:type="page"/>
      </w:r>
    </w:p>
    <w:p w14:paraId="1F9399B3" w14:textId="7C5D6D88" w:rsidR="006B02BB" w:rsidRDefault="006B02BB" w:rsidP="006B02BB">
      <w:pPr>
        <w:pStyle w:val="MajorHeadings"/>
      </w:pPr>
      <w:bookmarkStart w:id="89" w:name="_Toc190951837"/>
      <w:r>
        <w:lastRenderedPageBreak/>
        <w:t>Refernces</w:t>
      </w:r>
      <w:bookmarkEnd w:id="89"/>
      <w:r>
        <w:t xml:space="preserve"> </w:t>
      </w:r>
    </w:p>
    <w:p w14:paraId="22FE84D7" w14:textId="77777777" w:rsidR="006A1D8D" w:rsidRDefault="006B02BB" w:rsidP="006A1D8D">
      <w:pPr>
        <w:pStyle w:val="Bibliography"/>
      </w:pPr>
      <w:r>
        <w:fldChar w:fldCharType="begin"/>
      </w:r>
      <w:r w:rsidR="006A1D8D">
        <w:instrText xml:space="preserve"> ADDIN ZOTERO_BIBL {"uncited":[],"omitted":[],"custom":[]} CSL_BIBLIOGRAPHY </w:instrText>
      </w:r>
      <w:r>
        <w:fldChar w:fldCharType="separate"/>
      </w:r>
      <w:r w:rsidR="006A1D8D">
        <w:t>[1]</w:t>
      </w:r>
      <w:r w:rsidR="006A1D8D">
        <w:tab/>
      </w:r>
      <w:proofErr w:type="spellStart"/>
      <w:r w:rsidR="006A1D8D">
        <w:t>Hovorun</w:t>
      </w:r>
      <w:proofErr w:type="spellEnd"/>
      <w:r w:rsidR="006A1D8D">
        <w:t xml:space="preserve"> TP, </w:t>
      </w:r>
      <w:proofErr w:type="spellStart"/>
      <w:r w:rsidR="006A1D8D">
        <w:t>Berladir</w:t>
      </w:r>
      <w:proofErr w:type="spellEnd"/>
      <w:r w:rsidR="006A1D8D">
        <w:t xml:space="preserve"> KV, Pererva VI, Rudenko SG, Martynov AI. Modern materials for automotive industry. J Eng Sci 2017;4:f8–18. https://doi.org/10.21272/jes.2017.4(2).f8.</w:t>
      </w:r>
    </w:p>
    <w:p w14:paraId="193AE74D" w14:textId="77777777" w:rsidR="006A1D8D" w:rsidRDefault="006A1D8D" w:rsidP="006A1D8D">
      <w:pPr>
        <w:pStyle w:val="Bibliography"/>
      </w:pPr>
      <w:r>
        <w:t>[2]</w:t>
      </w:r>
      <w:r>
        <w:tab/>
        <w:t>Mishra A. Automotive Materials: An Overview 2020;07:6.</w:t>
      </w:r>
    </w:p>
    <w:p w14:paraId="03C83B7C" w14:textId="77777777" w:rsidR="006A1D8D" w:rsidRDefault="006A1D8D" w:rsidP="006A1D8D">
      <w:pPr>
        <w:pStyle w:val="Bibliography"/>
      </w:pPr>
      <w:r>
        <w:t>[3]</w:t>
      </w:r>
      <w:r>
        <w:tab/>
        <w:t>Ghassemieh E. Materials in Automotive Application, State of the Art and Prospects. In: Chiaberge M, editor. New Trends Dev. Automot. Ind., InTech; 2011. https://doi.org/10.5772/13286.</w:t>
      </w:r>
    </w:p>
    <w:p w14:paraId="339EB49A" w14:textId="77777777" w:rsidR="006A1D8D" w:rsidRDefault="006A1D8D" w:rsidP="006A1D8D">
      <w:pPr>
        <w:pStyle w:val="Bibliography"/>
      </w:pPr>
      <w:r>
        <w:t>[4]</w:t>
      </w:r>
      <w:r>
        <w:tab/>
        <w:t>Hoffmann C, Van Hoey M, Zeumer B. Decarbonization challenge for steel. McKinsey Co 2020.</w:t>
      </w:r>
    </w:p>
    <w:p w14:paraId="6A834665" w14:textId="77777777" w:rsidR="006A1D8D" w:rsidRDefault="006A1D8D" w:rsidP="006A1D8D">
      <w:pPr>
        <w:pStyle w:val="Bibliography"/>
      </w:pPr>
      <w:r>
        <w:t>[5]</w:t>
      </w:r>
      <w:r>
        <w:tab/>
        <w:t>Kamczyc A. World Steel Association releases paper on CO2 emission reduction. Recycl Today 2021.</w:t>
      </w:r>
    </w:p>
    <w:p w14:paraId="49307159" w14:textId="77777777" w:rsidR="006A1D8D" w:rsidRDefault="006A1D8D" w:rsidP="006A1D8D">
      <w:pPr>
        <w:pStyle w:val="Bibliography"/>
      </w:pPr>
      <w:r>
        <w:t>[6]</w:t>
      </w:r>
      <w:r>
        <w:tab/>
        <w:t>Peng T, Ou X, Yan X, Wang G. Life-cycle analysis of energy consumption and GHG emissions of aluminium production in China. Energy Procedia 2019;158:3937–43. https://doi.org/10.1016/j.egypro.2019.01.849.</w:t>
      </w:r>
    </w:p>
    <w:p w14:paraId="6279494F" w14:textId="77777777" w:rsidR="006A1D8D" w:rsidRDefault="006A1D8D" w:rsidP="006A1D8D">
      <w:pPr>
        <w:pStyle w:val="Bibliography"/>
      </w:pPr>
      <w:r>
        <w:t>[7]</w:t>
      </w:r>
      <w:r>
        <w:tab/>
        <w:t>Tjotta S. Decarbonizing the Aluminum Value Chain 2022.</w:t>
      </w:r>
    </w:p>
    <w:p w14:paraId="61FE3DB4" w14:textId="77777777" w:rsidR="006A1D8D" w:rsidRDefault="006A1D8D" w:rsidP="006A1D8D">
      <w:pPr>
        <w:pStyle w:val="Bibliography"/>
      </w:pPr>
      <w:r>
        <w:t>[8]</w:t>
      </w:r>
      <w:r>
        <w:tab/>
        <w:t>Pradeep SA, Iyer RK, Kazan H, Pilla S. Automotive Applications of Plastics: Past, Present, and Future. Appl. Plast. Eng. Handb., Elsevier; 2017, p. 651–73. https://doi.org/10.1016/B978-0-323-39040-8.00031-6.</w:t>
      </w:r>
    </w:p>
    <w:p w14:paraId="719212B5" w14:textId="77777777" w:rsidR="006A1D8D" w:rsidRDefault="006A1D8D" w:rsidP="006A1D8D">
      <w:pPr>
        <w:pStyle w:val="Bibliography"/>
      </w:pPr>
      <w:r>
        <w:t>[9]</w:t>
      </w:r>
      <w:r>
        <w:tab/>
        <w:t>Patil A, Patel A, Purohit R. An overview of Polymeric Materials for Automotive Applications. Mater Today Proc 2017;4:3807–15. https://doi.org/10.1016/j.matpr.2017.02.278.</w:t>
      </w:r>
    </w:p>
    <w:p w14:paraId="0BE48E50" w14:textId="77777777" w:rsidR="006A1D8D" w:rsidRDefault="006A1D8D" w:rsidP="006A1D8D">
      <w:pPr>
        <w:pStyle w:val="Bibliography"/>
      </w:pPr>
      <w:r>
        <w:t>[10]</w:t>
      </w:r>
      <w:r>
        <w:tab/>
        <w:t>Mashek W. Automotive Recycling - Devalued is now Revalued 2016.</w:t>
      </w:r>
    </w:p>
    <w:p w14:paraId="5A343D8C" w14:textId="77777777" w:rsidR="006A1D8D" w:rsidRDefault="006A1D8D" w:rsidP="006A1D8D">
      <w:pPr>
        <w:pStyle w:val="Bibliography"/>
      </w:pPr>
      <w:r>
        <w:t>[11]</w:t>
      </w:r>
      <w:r>
        <w:tab/>
        <w:t>Miller L, Soulliere K, Sawyer-Beaulieu S, Tseng S, Tam E. Challenges and Alternatives to Plastics Recycling in the Automotive Sector. Materials 2014;7:5883–902. https://doi.org/10.3390/ma7085883.</w:t>
      </w:r>
    </w:p>
    <w:p w14:paraId="2129FD53" w14:textId="77777777" w:rsidR="006A1D8D" w:rsidRDefault="006A1D8D" w:rsidP="006A1D8D">
      <w:pPr>
        <w:pStyle w:val="Bibliography"/>
      </w:pPr>
      <w:r>
        <w:t>[12]</w:t>
      </w:r>
      <w:r>
        <w:tab/>
        <w:t>Seay JR. Waste Plastic: Challenges and Opportunities for the Chemical Industry 2020:8.</w:t>
      </w:r>
    </w:p>
    <w:p w14:paraId="62E82E58" w14:textId="77777777" w:rsidR="006A1D8D" w:rsidRDefault="006A1D8D" w:rsidP="006A1D8D">
      <w:pPr>
        <w:pStyle w:val="Bibliography"/>
      </w:pPr>
      <w:r>
        <w:t>[13]</w:t>
      </w:r>
      <w:r>
        <w:tab/>
        <w:t>Ead AS, Appel R, Alex N, Ayranci C, Carey JP. Life cycle analysis for green composites: A review of literature including considerations for local and global agricultural use. J Eng Fibers Fabr 2021;16:155892502110269. https://doi.org/10.1177/15589250211026940.</w:t>
      </w:r>
    </w:p>
    <w:p w14:paraId="0046D3F8" w14:textId="77777777" w:rsidR="006A1D8D" w:rsidRDefault="006A1D8D" w:rsidP="006A1D8D">
      <w:pPr>
        <w:pStyle w:val="Bibliography"/>
      </w:pPr>
      <w:r>
        <w:t>[14]</w:t>
      </w:r>
      <w:r>
        <w:tab/>
        <w:t>Analysis of Existing Envionmental Impact Assessment Metholdologies for use in Life Cycle Assessment 2010.</w:t>
      </w:r>
    </w:p>
    <w:p w14:paraId="383E7715" w14:textId="77777777" w:rsidR="006A1D8D" w:rsidRDefault="006A1D8D" w:rsidP="006A1D8D">
      <w:pPr>
        <w:pStyle w:val="Bibliography"/>
      </w:pPr>
      <w:r>
        <w:t>[15]</w:t>
      </w:r>
      <w:r>
        <w:tab/>
        <w:t>Pero FD, Delogu M, Pierini M. Life Cycle Assessment in the automotive sector: a comparative case study of Internal Combustion Engine (ICE) and electric car. Procedia Struct Integr 2018;12:521–37. https://doi.org/10.1016/j.prostr.2018.11.066.</w:t>
      </w:r>
    </w:p>
    <w:p w14:paraId="4F6B3DFE" w14:textId="77777777" w:rsidR="006A1D8D" w:rsidRDefault="006A1D8D" w:rsidP="006A1D8D">
      <w:pPr>
        <w:pStyle w:val="Bibliography"/>
      </w:pPr>
      <w:r>
        <w:t>[16]</w:t>
      </w:r>
      <w:r>
        <w:tab/>
        <w:t>Conway G. Life-Cycle Analysis for the Automotive Sector. In: Kalghatgi G, Agarwal AK, Leach F, Senecal K, editors. Engines Fuels Future Transp., Singapore: Springer Singapore; 2022, p. 103–31. https://doi.org/10.1007/978-981-16-8717-4_6.</w:t>
      </w:r>
    </w:p>
    <w:p w14:paraId="60360792" w14:textId="77777777" w:rsidR="006A1D8D" w:rsidRDefault="006A1D8D" w:rsidP="006A1D8D">
      <w:pPr>
        <w:pStyle w:val="Bibliography"/>
      </w:pPr>
      <w:r>
        <w:t>[17]</w:t>
      </w:r>
      <w:r>
        <w:tab/>
        <w:t>Fehrenbacher K. BMW, Ford, other automakers rev up carbon commitments 2020:2.</w:t>
      </w:r>
    </w:p>
    <w:p w14:paraId="13CD6520" w14:textId="77777777" w:rsidR="006A1D8D" w:rsidRDefault="006A1D8D" w:rsidP="006A1D8D">
      <w:pPr>
        <w:pStyle w:val="Bibliography"/>
      </w:pPr>
      <w:r>
        <w:t>[18]</w:t>
      </w:r>
      <w:r>
        <w:tab/>
        <w:t xml:space="preserve">Ford Expands Climate Change Goals, Sets Target to Become Cabon Neutral by 2050: Annual Sustainability Report. Ford Newsroom 2020. </w:t>
      </w:r>
      <w:r>
        <w:lastRenderedPageBreak/>
        <w:t>https://media.ford.com/content/fordmedia/fna/us/en/news/2020/06/24/ford-expands-climate-change-goals.html (accessed June 28, 2022).</w:t>
      </w:r>
    </w:p>
    <w:p w14:paraId="49AD447B" w14:textId="77777777" w:rsidR="006A1D8D" w:rsidRDefault="006A1D8D" w:rsidP="006A1D8D">
      <w:pPr>
        <w:pStyle w:val="Bibliography"/>
      </w:pPr>
      <w:r>
        <w:t>[19]</w:t>
      </w:r>
      <w:r>
        <w:tab/>
        <w:t>Jones D. General Motors Aims to Be Carbon Neutral By 2040. NPR 2021:14.</w:t>
      </w:r>
    </w:p>
    <w:p w14:paraId="172903F1" w14:textId="77777777" w:rsidR="006A1D8D" w:rsidRDefault="006A1D8D" w:rsidP="006A1D8D">
      <w:pPr>
        <w:pStyle w:val="Bibliography"/>
      </w:pPr>
      <w:r>
        <w:t>[20]</w:t>
      </w:r>
      <w:r>
        <w:tab/>
        <w:t>How we become CO₂-neutral 2021. https://www.volkswagenag.com/en/news/stories/2020/10/29-climate-measures-of-the-volkswagen-group.html.</w:t>
      </w:r>
    </w:p>
    <w:p w14:paraId="1B89058D" w14:textId="77777777" w:rsidR="006A1D8D" w:rsidRDefault="006A1D8D" w:rsidP="006A1D8D">
      <w:pPr>
        <w:pStyle w:val="Bibliography"/>
      </w:pPr>
      <w:r>
        <w:t>[21]</w:t>
      </w:r>
      <w:r>
        <w:tab/>
        <w:t>Hannon E, Naucler T, Suneson A, Yuksel F. The zero-carbon car: Abating material emissions is next on the agenda. McKinsey Sustain 2020.</w:t>
      </w:r>
    </w:p>
    <w:p w14:paraId="72A6B342" w14:textId="77777777" w:rsidR="006A1D8D" w:rsidRDefault="006A1D8D" w:rsidP="006A1D8D">
      <w:pPr>
        <w:pStyle w:val="Bibliography"/>
      </w:pPr>
      <w:r>
        <w:t>[22]</w:t>
      </w:r>
      <w:r>
        <w:tab/>
        <w:t>Koronis G, Silva A, Fontul M. Green composites: A review of adequate materials for automotive applications. Compos Part B Eng 2013;44:120–7. https://doi.org/10.1016/j.compositesb.2012.07.004.</w:t>
      </w:r>
    </w:p>
    <w:p w14:paraId="0037DE4C" w14:textId="77777777" w:rsidR="006A1D8D" w:rsidRDefault="006A1D8D" w:rsidP="006A1D8D">
      <w:pPr>
        <w:pStyle w:val="Bibliography"/>
      </w:pPr>
      <w:r>
        <w:t>[23]</w:t>
      </w:r>
      <w:r>
        <w:tab/>
        <w:t>Dunne R, Desai D, Sadiku R, Jayaramudu J. A review of natural fibres, their sustainability and automotive applications. J Reinf Plast Compos 2016;35:1041–50. https://doi.org/10.1177/0731684416633898.</w:t>
      </w:r>
    </w:p>
    <w:p w14:paraId="7A57ABB3" w14:textId="77777777" w:rsidR="006A1D8D" w:rsidRDefault="006A1D8D" w:rsidP="006A1D8D">
      <w:pPr>
        <w:pStyle w:val="Bibliography"/>
      </w:pPr>
      <w:r>
        <w:t>[24]</w:t>
      </w:r>
      <w:r>
        <w:tab/>
        <w:t>Mahmud S, Hasan KMF, Jahid MdA, Mohiuddin K, Zhang R, Zhu J. Comprehensive review on plant fiber-reinforced polymeric biocomposites. J Mater Sci 2021;56:7231–64. https://doi.org/10.1007/s10853-021-05774-9.</w:t>
      </w:r>
    </w:p>
    <w:p w14:paraId="1062E4AC" w14:textId="77777777" w:rsidR="006A1D8D" w:rsidRDefault="006A1D8D" w:rsidP="006A1D8D">
      <w:pPr>
        <w:pStyle w:val="Bibliography"/>
      </w:pPr>
      <w:r>
        <w:t>[25]</w:t>
      </w:r>
      <w:r>
        <w:tab/>
        <w:t>Nurul Fazita MR, Jayaraman K, Bhattacharyya D, Mohamad Haafiz MK, Saurabh C, Hussin M, et al. Green Composites Made of Bamboo Fabric and Poly (Lactic) Acid for Packaging Applications—A Review. Materials 2016;9:435. https://doi.org/10.3390/ma9060435.</w:t>
      </w:r>
    </w:p>
    <w:p w14:paraId="3CEB58E6" w14:textId="77777777" w:rsidR="006A1D8D" w:rsidRDefault="006A1D8D" w:rsidP="006A1D8D">
      <w:pPr>
        <w:pStyle w:val="Bibliography"/>
      </w:pPr>
      <w:r>
        <w:t>[26]</w:t>
      </w:r>
      <w:r>
        <w:tab/>
        <w:t>Ababu M, Husen E, Awraris B, Bashawal N. Review of the Applications and Properties of Bamboo Fiber Reinforced Composite Materials 2021;9:9.</w:t>
      </w:r>
    </w:p>
    <w:p w14:paraId="2BBE5529" w14:textId="77777777" w:rsidR="006A1D8D" w:rsidRDefault="006A1D8D" w:rsidP="006A1D8D">
      <w:pPr>
        <w:pStyle w:val="Bibliography"/>
      </w:pPr>
      <w:r>
        <w:t>[27]</w:t>
      </w:r>
      <w:r>
        <w:tab/>
        <w:t>Madsen B, Gamstedt EK. Wood versus Plant Fibers: Similarities and Differences in Composite Applications. Adv Mater Sci Eng 2013;2013:1–14. https://doi.org/10.1155/2013/564346.</w:t>
      </w:r>
    </w:p>
    <w:p w14:paraId="3FD5C50F" w14:textId="77777777" w:rsidR="006A1D8D" w:rsidRDefault="006A1D8D" w:rsidP="006A1D8D">
      <w:pPr>
        <w:pStyle w:val="Bibliography"/>
      </w:pPr>
      <w:r>
        <w:t>[28]</w:t>
      </w:r>
      <w:r>
        <w:tab/>
        <w:t>Chandgude S, Salunkhe S. In state of art: Mechanical behavior of natural fiber‐based hybrid polymeric composites for application of automobile components. Polym Compos 2021;42:2678–703. https://doi.org/10.1002/pc.26045.</w:t>
      </w:r>
    </w:p>
    <w:p w14:paraId="06F5AF03" w14:textId="77777777" w:rsidR="006A1D8D" w:rsidRDefault="006A1D8D" w:rsidP="006A1D8D">
      <w:pPr>
        <w:pStyle w:val="Bibliography"/>
      </w:pPr>
      <w:r>
        <w:t>[29]</w:t>
      </w:r>
      <w:r>
        <w:tab/>
        <w:t>Olhan S, Khatkar V, Behera BK. Review: Textile-based natural fibre-reinforced polymeric composites in automotive lightweighting. J Mater Sci 2021;56:18867–910. https://doi.org/10.1007/s10853-021-06509-6.</w:t>
      </w:r>
    </w:p>
    <w:p w14:paraId="1A47C269" w14:textId="77777777" w:rsidR="006A1D8D" w:rsidRDefault="006A1D8D" w:rsidP="006A1D8D">
      <w:pPr>
        <w:pStyle w:val="Bibliography"/>
      </w:pPr>
      <w:r>
        <w:t>[30]</w:t>
      </w:r>
      <w:r>
        <w:tab/>
        <w:t>Hocevar J. Circular Claims Fall Flat: Comprehensive U.S. Survey of Plastics Recyclability. Greenpeace; n.d.</w:t>
      </w:r>
    </w:p>
    <w:p w14:paraId="4DF9F216" w14:textId="77777777" w:rsidR="006A1D8D" w:rsidRDefault="006A1D8D" w:rsidP="006A1D8D">
      <w:pPr>
        <w:pStyle w:val="Bibliography"/>
      </w:pPr>
      <w:r>
        <w:t>[31]</w:t>
      </w:r>
      <w:r>
        <w:tab/>
        <w:t>The Growing Market for Recycled Polypropylene 2020.</w:t>
      </w:r>
    </w:p>
    <w:p w14:paraId="08C91BD3" w14:textId="77777777" w:rsidR="006A1D8D" w:rsidRDefault="006A1D8D" w:rsidP="006A1D8D">
      <w:pPr>
        <w:pStyle w:val="Bibliography"/>
      </w:pPr>
      <w:r>
        <w:t>[32]</w:t>
      </w:r>
      <w:r>
        <w:tab/>
        <w:t>Siracusa V, Blanco I. Bio-Polyethylene (Bio-PE), Bio-Polypropylene (Bio-PP) and Bio-Poly(ethylene terephthalate) (Bio-PET): Recent Developments in Bio-Based Polymers Analogous to Petroleum-Derived Ones for Packaging and Engineering Applications. Polymers 2020;12:1641. https://doi.org/10.3390/polym12081641.</w:t>
      </w:r>
    </w:p>
    <w:p w14:paraId="263D1B5C" w14:textId="77777777" w:rsidR="006A1D8D" w:rsidRDefault="006A1D8D" w:rsidP="006A1D8D">
      <w:pPr>
        <w:pStyle w:val="Bibliography"/>
      </w:pPr>
      <w:r>
        <w:t>[33]</w:t>
      </w:r>
      <w:r>
        <w:tab/>
        <w:t>Walker S, Rothman R. Life cycle assessment of bio-based and fossil-based plastic: A review. J Clean Prod 2020;261:121158. https://doi.org/10.1016/j.jclepro.2020.121158.</w:t>
      </w:r>
    </w:p>
    <w:p w14:paraId="114F6A9F" w14:textId="77777777" w:rsidR="006A1D8D" w:rsidRDefault="006A1D8D" w:rsidP="006A1D8D">
      <w:pPr>
        <w:pStyle w:val="Bibliography"/>
      </w:pPr>
      <w:r>
        <w:t>[34]</w:t>
      </w:r>
      <w:r>
        <w:tab/>
        <w:t xml:space="preserve">Belboom S, Léonard A. Does biobased polymer achieve better environmental impacts than fossil polymer? Comparison of fossil HDPE and biobased HDPE produced from </w:t>
      </w:r>
      <w:r>
        <w:lastRenderedPageBreak/>
        <w:t>sugar beet and wheat. Biomass Bioenergy 2016;85:159–67. https://doi.org/10.1016/j.biombioe.2015.12.014.</w:t>
      </w:r>
    </w:p>
    <w:p w14:paraId="2EBA1334" w14:textId="77777777" w:rsidR="006A1D8D" w:rsidRDefault="006A1D8D" w:rsidP="006A1D8D">
      <w:pPr>
        <w:pStyle w:val="Bibliography"/>
      </w:pPr>
      <w:r>
        <w:t>[35]</w:t>
      </w:r>
      <w:r>
        <w:tab/>
        <w:t>Chen L, Pelton REO, Smith TM. Comparative life cycle assessment of fossil and bio-based polyethylene terephthalate (PET) bottles. J Clean Prod 2016;137:667–76. https://doi.org/10.1016/j.jclepro.2016.07.094.</w:t>
      </w:r>
    </w:p>
    <w:p w14:paraId="337F89A2" w14:textId="77777777" w:rsidR="006A1D8D" w:rsidRDefault="006A1D8D" w:rsidP="006A1D8D">
      <w:pPr>
        <w:pStyle w:val="Bibliography"/>
      </w:pPr>
      <w:r>
        <w:t>[36]</w:t>
      </w:r>
      <w:r>
        <w:tab/>
        <w:t>Clark TF. Plant fibers in the paper industry. Econ Bot 1965;19:394–405. https://doi.org/10.1007/BF02904811.</w:t>
      </w:r>
    </w:p>
    <w:p w14:paraId="3ECFDA3A" w14:textId="77777777" w:rsidR="006A1D8D" w:rsidRDefault="006A1D8D" w:rsidP="006A1D8D">
      <w:pPr>
        <w:pStyle w:val="Bibliography"/>
      </w:pPr>
      <w:r>
        <w:t>[37]</w:t>
      </w:r>
      <w:r>
        <w:tab/>
        <w:t>Bajpai P. Green Chemistry and Sustainability in Pulp and Paper Industry. Cham: Springer International Publishing; 2015. https://doi.org/10.1007/978-3-319-18744-0.</w:t>
      </w:r>
    </w:p>
    <w:p w14:paraId="46F3BCC2" w14:textId="77777777" w:rsidR="006A1D8D" w:rsidRDefault="006A1D8D" w:rsidP="006A1D8D">
      <w:pPr>
        <w:pStyle w:val="Bibliography"/>
      </w:pPr>
      <w:r>
        <w:t>[38]</w:t>
      </w:r>
      <w:r>
        <w:tab/>
        <w:t>Asim M, Saba N, Jawaid M, Nasir M, Pervaiz M, Alothman OY. A Review on Phenolic Resin and its Composites. Curr Anal Chem 2018;14:185–97. https://doi.org/10.2174/1573411013666171003154410.</w:t>
      </w:r>
    </w:p>
    <w:p w14:paraId="0F9D4894" w14:textId="77777777" w:rsidR="006A1D8D" w:rsidRDefault="006A1D8D" w:rsidP="006A1D8D">
      <w:pPr>
        <w:pStyle w:val="Bibliography"/>
      </w:pPr>
      <w:r>
        <w:t>[39]</w:t>
      </w:r>
      <w:r>
        <w:tab/>
        <w:t>Micarta. Am Mach 1913;39:122.</w:t>
      </w:r>
    </w:p>
    <w:p w14:paraId="1FF61109" w14:textId="77777777" w:rsidR="006A1D8D" w:rsidRDefault="006A1D8D" w:rsidP="006A1D8D">
      <w:pPr>
        <w:pStyle w:val="Bibliography"/>
      </w:pPr>
      <w:r>
        <w:t>[40]</w:t>
      </w:r>
      <w:r>
        <w:tab/>
        <w:t>Ni W. Resol–Vegetable Fibers Composites. In: Khan A, editor. Mater. Res. Found., vol. 122. 1st ed., Materials Research Forum LLC; 2022, p. 154–98. https://doi.org/10.21741/9781644901854-7.</w:t>
      </w:r>
    </w:p>
    <w:p w14:paraId="3DF853BF" w14:textId="77777777" w:rsidR="006A1D8D" w:rsidRDefault="006A1D8D" w:rsidP="006A1D8D">
      <w:pPr>
        <w:pStyle w:val="Bibliography"/>
      </w:pPr>
      <w:r>
        <w:t>[41]</w:t>
      </w:r>
      <w:r>
        <w:tab/>
        <w:t>Wilbur K. This Unlikely Material Could Be the Next Big Kitchen Counter Trend. Archit Dig 2018.</w:t>
      </w:r>
    </w:p>
    <w:p w14:paraId="7AB1992E" w14:textId="77777777" w:rsidR="006A1D8D" w:rsidRDefault="006A1D8D" w:rsidP="006A1D8D">
      <w:pPr>
        <w:pStyle w:val="Bibliography"/>
      </w:pPr>
      <w:r>
        <w:t>[42]</w:t>
      </w:r>
      <w:r>
        <w:tab/>
        <w:t>Mock P, Diaz S. Pathways to decarbonization: The European passenger car market, 2021–2035. Berlin: International Council on Clean Transportation; 2021.</w:t>
      </w:r>
    </w:p>
    <w:p w14:paraId="0A4E6EE7" w14:textId="77777777" w:rsidR="006A1D8D" w:rsidRDefault="006A1D8D" w:rsidP="006A1D8D">
      <w:pPr>
        <w:pStyle w:val="Bibliography"/>
      </w:pPr>
      <w:r>
        <w:t>[43]</w:t>
      </w:r>
      <w:r>
        <w:tab/>
        <w:t>Poschmann J, Bach V, Finkbeiner M. Decarbonization Potentials for Automotive Supply Chains: Emission-Intensity Pathways of Carbon-Intensive Hotspots of Battery Electric Vehicles. Sustainability 2023;15:11795. https://doi.org/10.3390/su151511795.</w:t>
      </w:r>
    </w:p>
    <w:p w14:paraId="7E014AB0" w14:textId="77777777" w:rsidR="006A1D8D" w:rsidRDefault="006A1D8D" w:rsidP="006A1D8D">
      <w:pPr>
        <w:pStyle w:val="Bibliography"/>
      </w:pPr>
      <w:r>
        <w:t>[44]</w:t>
      </w:r>
      <w:r>
        <w:tab/>
        <w:t>Verma S, Dwivedi G, Verma P. Life cycle assessment of electric vehicles in comparison to combustion engine vehicles: A review. Mater Today Proc 2022;49:217–22. https://doi.org/10.1016/j.matpr.2021.01.666.</w:t>
      </w:r>
    </w:p>
    <w:p w14:paraId="129B39AD" w14:textId="77777777" w:rsidR="006A1D8D" w:rsidRDefault="006A1D8D" w:rsidP="006A1D8D">
      <w:pPr>
        <w:pStyle w:val="Bibliography"/>
      </w:pPr>
      <w:r>
        <w:t>[45]</w:t>
      </w:r>
      <w:r>
        <w:tab/>
        <w:t>Khalid MY, Al Rashid A, Arif ZU, Ahmed W, Arshad H, Zaidi AA. Natural fiber reinforced composites: Sustainable materials for emerging applications. Results Eng 2021;11:100263. https://doi.org/10.1016/j.rineng.2021.100263.</w:t>
      </w:r>
    </w:p>
    <w:p w14:paraId="68005F83" w14:textId="77777777" w:rsidR="006A1D8D" w:rsidRDefault="006A1D8D" w:rsidP="006A1D8D">
      <w:pPr>
        <w:pStyle w:val="Bibliography"/>
      </w:pPr>
      <w:r>
        <w:t>[46]</w:t>
      </w:r>
      <w:r>
        <w:tab/>
        <w:t>Yang T, Hu L, Xiong X, Petrů M, Noman MT, Mishra R, et al. Sound Absorption Properties of Natural Fibers: A Review. Sustainability 2020;12:8477. https://doi.org/10.3390/su12208477.</w:t>
      </w:r>
    </w:p>
    <w:p w14:paraId="715D113C" w14:textId="77777777" w:rsidR="006A1D8D" w:rsidRDefault="006A1D8D" w:rsidP="006A1D8D">
      <w:pPr>
        <w:pStyle w:val="Bibliography"/>
      </w:pPr>
      <w:r>
        <w:t>[47]</w:t>
      </w:r>
      <w:r>
        <w:tab/>
        <w:t>Joshi SV, Drzal LT, Mohanty AK, Arora S. Are natural fiber composites environmentally superior to glass fiber reinforced composites? Compos Part Appl Sci Manuf 2004;35:371–6. https://doi.org/10.1016/j.compositesa.2003.09.016.</w:t>
      </w:r>
    </w:p>
    <w:p w14:paraId="1A6B132D" w14:textId="77777777" w:rsidR="006A1D8D" w:rsidRDefault="006A1D8D" w:rsidP="006A1D8D">
      <w:pPr>
        <w:pStyle w:val="Bibliography"/>
      </w:pPr>
      <w:r>
        <w:t>[48]</w:t>
      </w:r>
      <w:r>
        <w:tab/>
        <w:t>Boland CS, De Kleine R, Keoleian GA, Lee EC, Kim HC, Wallington TJ. Life Cycle Impacts of Natural Fiber Composites for Automotive Applications: Effects of Renewable Energy Content and Lightweighting: Life Cycle Impacts of Natural Fiber Composites. J Ind Ecol 2016;20:179–89. https://doi.org/10.1111/jiec.12286.</w:t>
      </w:r>
    </w:p>
    <w:p w14:paraId="18CB59E0" w14:textId="77777777" w:rsidR="006A1D8D" w:rsidRDefault="006A1D8D" w:rsidP="006A1D8D">
      <w:pPr>
        <w:pStyle w:val="Bibliography"/>
      </w:pPr>
      <w:r>
        <w:t>[49]</w:t>
      </w:r>
      <w:r>
        <w:tab/>
        <w:t>Thyavihalli Girijappa YG, Mavinkere Rangappa S, Parameswaranpillai J, Siengchin S. Natural Fibers as Sustainable and Renewable Resource for Development of Eco-Friendly Composites: A Comprehensive Review. Front Mater 2019;6:226. https://doi.org/10.3389/fmats.2019.00226.</w:t>
      </w:r>
    </w:p>
    <w:p w14:paraId="4C43A683" w14:textId="77777777" w:rsidR="006A1D8D" w:rsidRDefault="006A1D8D" w:rsidP="006A1D8D">
      <w:pPr>
        <w:pStyle w:val="Bibliography"/>
      </w:pPr>
      <w:r>
        <w:lastRenderedPageBreak/>
        <w:t>[50]</w:t>
      </w:r>
      <w:r>
        <w:tab/>
        <w:t>Khan T, Hameed Sultan MTB, Ariffin AH. The challenges of natural fiber in manufacturing, material selection, and technology application: A review. J Reinf Plast Compos 2018;37:770–9. https://doi.org/10.1177/0731684418756762.</w:t>
      </w:r>
    </w:p>
    <w:p w14:paraId="5A57DC03" w14:textId="77777777" w:rsidR="006A1D8D" w:rsidRDefault="006A1D8D" w:rsidP="006A1D8D">
      <w:pPr>
        <w:pStyle w:val="Bibliography"/>
      </w:pPr>
      <w:r>
        <w:t>[51]</w:t>
      </w:r>
      <w:r>
        <w:tab/>
        <w:t xml:space="preserve">Nassar MMA, Alzebdeh KI, Pervez T, Al‐Hinai N, Munam A. Progress and challenges in sustainability, compatibility, and production of </w:t>
      </w:r>
      <w:r>
        <w:rPr>
          <w:smallCaps/>
        </w:rPr>
        <w:t>eco‐composites</w:t>
      </w:r>
      <w:r>
        <w:t xml:space="preserve"> : A </w:t>
      </w:r>
      <w:r>
        <w:rPr>
          <w:smallCaps/>
        </w:rPr>
        <w:t>state‐of‐art</w:t>
      </w:r>
      <w:r>
        <w:t xml:space="preserve"> review. J Appl Polym Sci 2021;138:51284. https://doi.org/10.1002/app.51284.</w:t>
      </w:r>
    </w:p>
    <w:p w14:paraId="77A0328F" w14:textId="77777777" w:rsidR="006A1D8D" w:rsidRDefault="006A1D8D" w:rsidP="006A1D8D">
      <w:pPr>
        <w:pStyle w:val="Bibliography"/>
      </w:pPr>
      <w:r>
        <w:t>[52]</w:t>
      </w:r>
      <w:r>
        <w:tab/>
        <w:t>Haag K, Padovani J, Fita S, Trouvé J-P, Pineau C, Hawkins S, et al. Influence of flax fibre variety and year-to-year variability on composite properties. Ind Crops Prod 2017;98:1–9. https://doi.org/10.1016/j.indcrop.2016.12.028.</w:t>
      </w:r>
    </w:p>
    <w:p w14:paraId="57C07F20" w14:textId="77777777" w:rsidR="006A1D8D" w:rsidRDefault="006A1D8D" w:rsidP="006A1D8D">
      <w:pPr>
        <w:pStyle w:val="Bibliography"/>
      </w:pPr>
      <w:r>
        <w:t>[53]</w:t>
      </w:r>
      <w:r>
        <w:tab/>
        <w:t>Belkhir S, Koubaa A, Khadhri A, Ksontini M, Smiti S. Variations in the morphological characteristics of Stipa tenacissima fiber: The case of Tunisia. Ind Crops Prod 2012;37:200–6. https://doi.org/10.1016/j.indcrop.2011.11.021.</w:t>
      </w:r>
    </w:p>
    <w:p w14:paraId="0ED9CD1D" w14:textId="77777777" w:rsidR="006A1D8D" w:rsidRDefault="006A1D8D" w:rsidP="006A1D8D">
      <w:pPr>
        <w:pStyle w:val="Bibliography"/>
      </w:pPr>
      <w:r>
        <w:t>[54]</w:t>
      </w:r>
      <w:r>
        <w:tab/>
        <w:t>Azwa ZN, Yousif BF, Manalo AC, Karunasena W. A review on the degradability of polymeric composites based on natural fibres. Mater Des 2013;47:424–42. https://doi.org/10.1016/j.matdes.2012.11.025.</w:t>
      </w:r>
    </w:p>
    <w:p w14:paraId="549E86E2" w14:textId="77777777" w:rsidR="006A1D8D" w:rsidRDefault="006A1D8D" w:rsidP="006A1D8D">
      <w:pPr>
        <w:pStyle w:val="Bibliography"/>
      </w:pPr>
      <w:r>
        <w:t>[55]</w:t>
      </w:r>
      <w:r>
        <w:tab/>
        <w:t>Naidu AL, Rao PR. A Review on Chemical Behavior of Natural Fiber Composites. Int J Chem Sci 2016;14:2223–38.</w:t>
      </w:r>
    </w:p>
    <w:p w14:paraId="60A97287" w14:textId="77777777" w:rsidR="006A1D8D" w:rsidRDefault="006A1D8D" w:rsidP="006A1D8D">
      <w:pPr>
        <w:pStyle w:val="Bibliography"/>
      </w:pPr>
      <w:r>
        <w:t>[56]</w:t>
      </w:r>
      <w:r>
        <w:tab/>
        <w:t>Poletto M, Júnior HLO, Zattera AJ. Thermal Decomposition of Natural Fibers: Kinetics and Degradation Mechanisms. In: Tiwari A, Raj B, editors. React. Mech. Therm. Anal. Adv. Mater. 1st ed., Wiley; 2015, p. 515–45. https://doi.org/10.1002/9781119117711.ch21.</w:t>
      </w:r>
    </w:p>
    <w:p w14:paraId="5F9B8A7F" w14:textId="77777777" w:rsidR="006A1D8D" w:rsidRDefault="006A1D8D" w:rsidP="006A1D8D">
      <w:pPr>
        <w:pStyle w:val="Bibliography"/>
      </w:pPr>
      <w:r>
        <w:t>[57]</w:t>
      </w:r>
      <w:r>
        <w:tab/>
        <w:t>Zwawi M. A Review on Natural Fiber Bio-Composites, Surface Modifications and Applications. Molecules 2021;26:404. https://doi.org/10.3390/molecules26020404.</w:t>
      </w:r>
    </w:p>
    <w:p w14:paraId="6D1D01BA" w14:textId="77777777" w:rsidR="006A1D8D" w:rsidRDefault="006A1D8D" w:rsidP="006A1D8D">
      <w:pPr>
        <w:pStyle w:val="Bibliography"/>
      </w:pPr>
      <w:r>
        <w:t>[58]</w:t>
      </w:r>
      <w:r>
        <w:tab/>
        <w:t>Malkapuram R, Kumar V, Yuvraj Singh Negi. Recent Development in Natural Fiber Reinforced Polypropylene Composites. J Reinf Plast Compos 2009;28:1169–89. https://doi.org/10.1177/0731684407087759.</w:t>
      </w:r>
    </w:p>
    <w:p w14:paraId="0CD82360" w14:textId="77777777" w:rsidR="006A1D8D" w:rsidRDefault="006A1D8D" w:rsidP="006A1D8D">
      <w:pPr>
        <w:pStyle w:val="Bibliography"/>
      </w:pPr>
      <w:r>
        <w:t>[59]</w:t>
      </w:r>
      <w:r>
        <w:tab/>
        <w:t>Verma D, Goh KL, Vimal V. Interfacial Studies of Natural Fiber-Reinforced Particulate Thermoplastic Composites and Their Mechanical Properties. J Nat Fibers 2022;19:2299–326. https://doi.org/10.1080/15440478.2020.1808147.</w:t>
      </w:r>
    </w:p>
    <w:p w14:paraId="5AD1D571" w14:textId="77777777" w:rsidR="006A1D8D" w:rsidRDefault="006A1D8D" w:rsidP="006A1D8D">
      <w:pPr>
        <w:pStyle w:val="Bibliography"/>
      </w:pPr>
      <w:r>
        <w:t>[60]</w:t>
      </w:r>
      <w:r>
        <w:tab/>
        <w:t>Tran LQN, Fuentes CA, Dupont-Gillain C, Van Vuure AW, Verpoest I. Understanding the interfacial compatibility and adhesion of natural coir fibre thermoplastic composites. Compos Sci Technol 2013;80:23–30. https://doi.org/10.1016/j.compscitech.2013.03.004.</w:t>
      </w:r>
    </w:p>
    <w:p w14:paraId="3EF63966" w14:textId="77777777" w:rsidR="006A1D8D" w:rsidRDefault="006A1D8D" w:rsidP="006A1D8D">
      <w:pPr>
        <w:pStyle w:val="Bibliography"/>
      </w:pPr>
      <w:r>
        <w:t>[61]</w:t>
      </w:r>
      <w:r>
        <w:tab/>
        <w:t>Szabó L, Soria A, Forsström J, Keränen JT, Hytönen E. A world model of the pulp and paper industry: Demand, energy consumption and emission scenarios to 2030. Environ Sci Policy 2009;12:257–69. https://doi.org/10.1016/j.envsci.2009.01.011.</w:t>
      </w:r>
    </w:p>
    <w:p w14:paraId="0704E6BC" w14:textId="77777777" w:rsidR="006A1D8D" w:rsidRDefault="006A1D8D" w:rsidP="006A1D8D">
      <w:pPr>
        <w:pStyle w:val="Bibliography"/>
      </w:pPr>
      <w:r>
        <w:t>[62]</w:t>
      </w:r>
      <w:r>
        <w:tab/>
        <w:t>Sithole BB. Pulp and Paper. Anal Chem 1995;67:87R-95R.</w:t>
      </w:r>
    </w:p>
    <w:p w14:paraId="62146441" w14:textId="77777777" w:rsidR="006A1D8D" w:rsidRDefault="006A1D8D" w:rsidP="006A1D8D">
      <w:pPr>
        <w:pStyle w:val="Bibliography"/>
      </w:pPr>
      <w:r>
        <w:t>[63]</w:t>
      </w:r>
      <w:r>
        <w:tab/>
        <w:t>Guan N, Hu C, Guan L, Zhang W, Yun H, Hu X. A Process Optimization and Performance Study of Environmentally Friendly Waste Newspaper/Polypropylene Film Layered Composites. Materials 2020;13:413. https://doi.org/10.3390/ma13020413.</w:t>
      </w:r>
    </w:p>
    <w:p w14:paraId="43570707" w14:textId="77777777" w:rsidR="006A1D8D" w:rsidRDefault="006A1D8D" w:rsidP="006A1D8D">
      <w:pPr>
        <w:pStyle w:val="Bibliography"/>
      </w:pPr>
      <w:r>
        <w:t>[64]</w:t>
      </w:r>
      <w:r>
        <w:tab/>
        <w:t xml:space="preserve">Hernández-Díaz D, Villar-Ribera R, Espinach FX, Julián F, Hernández-Abad V, Delgado-Aguilar M. Impact Properties and Water Uptake Behavior of Old Newspaper </w:t>
      </w:r>
      <w:r>
        <w:lastRenderedPageBreak/>
        <w:t>Recycled Fibers-Reinforced Polypropylene Composites. Materials 2020;13:1079. https://doi.org/10.3390/ma13051079.</w:t>
      </w:r>
    </w:p>
    <w:p w14:paraId="7CB56338" w14:textId="77777777" w:rsidR="006A1D8D" w:rsidRDefault="006A1D8D" w:rsidP="006A1D8D">
      <w:pPr>
        <w:pStyle w:val="Bibliography"/>
      </w:pPr>
      <w:r>
        <w:t>[65]</w:t>
      </w:r>
      <w:r>
        <w:tab/>
        <w:t>Graupner N, Prambauer M, Fröhlking T, Graf C, Becker JM, Meyer K, et al. Copy paper as a source of reinforcement for biodegradable composites – Influence of fibre loading, processing method and layer arrangement – An overview. Compos Part Appl Sci Manuf 2019;120:161–71. https://doi.org/10.1016/j.compositesa.2019.02.016.</w:t>
      </w:r>
    </w:p>
    <w:p w14:paraId="55AC46B7" w14:textId="77777777" w:rsidR="006A1D8D" w:rsidRDefault="006A1D8D" w:rsidP="006A1D8D">
      <w:pPr>
        <w:pStyle w:val="Bibliography"/>
      </w:pPr>
      <w:r>
        <w:t>[66]</w:t>
      </w:r>
      <w:r>
        <w:tab/>
        <w:t>Prambauer M, Paulik C, Burgstaller C. The influence of paper type on the properties of structural paper – Polypropylene composites. Compos Part Appl Sci Manuf 2015;74:107–13. https://doi.org/10.1016/j.compositesa.2015.04.004.</w:t>
      </w:r>
    </w:p>
    <w:p w14:paraId="4D21BF8F" w14:textId="77777777" w:rsidR="006A1D8D" w:rsidRDefault="006A1D8D" w:rsidP="006A1D8D">
      <w:pPr>
        <w:pStyle w:val="Bibliography"/>
      </w:pPr>
      <w:r>
        <w:t>[67]</w:t>
      </w:r>
      <w:r>
        <w:tab/>
        <w:t>Prambauer M, Paulik C, Burgstaller C. Evaluation of the interfacial properties of polypropylene composite laminates, reinforced with paper sheets. Compos Part Appl Sci Manuf 2016;88:59–66. https://doi.org/10.1016/j.compositesa.2016.05.016.</w:t>
      </w:r>
    </w:p>
    <w:p w14:paraId="22BEAC10" w14:textId="77777777" w:rsidR="006A1D8D" w:rsidRDefault="006A1D8D" w:rsidP="006A1D8D">
      <w:pPr>
        <w:pStyle w:val="Bibliography"/>
      </w:pPr>
      <w:r>
        <w:t>[68]</w:t>
      </w:r>
      <w:r>
        <w:tab/>
        <w:t>Prambauer M, Voronych O, Burgstaller C. Influence of the process method on the properties of paper-fiber-reinforced composites. Mater Today Proc 2020;31:S236–41. https://doi.org/10.1016/j.matpr.2019.11.231.</w:t>
      </w:r>
    </w:p>
    <w:p w14:paraId="07DBB6DC" w14:textId="77777777" w:rsidR="006A1D8D" w:rsidRDefault="006A1D8D" w:rsidP="006A1D8D">
      <w:pPr>
        <w:pStyle w:val="Bibliography"/>
      </w:pPr>
      <w:r>
        <w:t>[69]</w:t>
      </w:r>
      <w:r>
        <w:tab/>
        <w:t>Cioffi MGA, De Oliveira DM, De Bomfim ASC, De Carvalho Benini KCC, Cioffi MOH, Voorwald HJC. Thermo-Mechanical Properties of Polypropylene Composites Filled with Recycled Office Waste Paper. J Nat Fibers 2022;19:14089–101. https://doi.org/10.1080/15440478.2022.2116517.</w:t>
      </w:r>
    </w:p>
    <w:p w14:paraId="1302CF9F" w14:textId="77777777" w:rsidR="006A1D8D" w:rsidRDefault="006A1D8D" w:rsidP="006A1D8D">
      <w:pPr>
        <w:pStyle w:val="Bibliography"/>
      </w:pPr>
      <w:r>
        <w:t>[70]</w:t>
      </w:r>
      <w:r>
        <w:tab/>
        <w:t>Valente M, Tirillò J, Quitadamo A, Santulli C. Paper fiber filled polymer. Mechanical evaluation and interfaces modification. Compos Part B Eng 2017;110:520–9. https://doi.org/10.1016/j.compositesb.2016.11.013.</w:t>
      </w:r>
    </w:p>
    <w:p w14:paraId="6DE3B4FD" w14:textId="77777777" w:rsidR="006A1D8D" w:rsidRDefault="006A1D8D" w:rsidP="006A1D8D">
      <w:pPr>
        <w:pStyle w:val="Bibliography"/>
      </w:pPr>
      <w:r>
        <w:t>[71]</w:t>
      </w:r>
      <w:r>
        <w:tab/>
        <w:t>Thomason JL. The influence of fibre length and concentration on the properties of glass fibre reinforced polypropylene: 5. Injection moulded long and short fibre PP. Compos Part Appl Sci Manuf 2002;33:1641–52. https://doi.org/10.1016/S1359-835X(02)00179-3.</w:t>
      </w:r>
    </w:p>
    <w:p w14:paraId="53A350E2" w14:textId="77777777" w:rsidR="006A1D8D" w:rsidRDefault="006A1D8D" w:rsidP="006A1D8D">
      <w:pPr>
        <w:pStyle w:val="Bibliography"/>
      </w:pPr>
      <w:r>
        <w:t>[72]</w:t>
      </w:r>
      <w:r>
        <w:tab/>
        <w:t>Aditya R, Hwang S-J, Lee H-H. Observation of fiber orientation in injection molded long-fiber reinforced composites, Kelantan, Malaysia: 2019, p. 030029. https://doi.org/10.1063/1.5088287.</w:t>
      </w:r>
    </w:p>
    <w:p w14:paraId="3B62DB6C" w14:textId="77777777" w:rsidR="006A1D8D" w:rsidRDefault="006A1D8D" w:rsidP="006A1D8D">
      <w:pPr>
        <w:pStyle w:val="Bibliography"/>
      </w:pPr>
      <w:r>
        <w:t>[73]</w:t>
      </w:r>
      <w:r>
        <w:tab/>
        <w:t>Pickering KL, Efendy MGA, Le TM. A review of recent developments in natural fibre composites and their mechanical performance. Compos Part Appl Sci Manuf 2016;83:98–112. https://doi.org/10.1016/j.compositesa.2015.08.038.</w:t>
      </w:r>
    </w:p>
    <w:p w14:paraId="5A889899" w14:textId="77777777" w:rsidR="006A1D8D" w:rsidRDefault="006A1D8D" w:rsidP="006A1D8D">
      <w:pPr>
        <w:pStyle w:val="Bibliography"/>
      </w:pPr>
      <w:r>
        <w:t>[74]</w:t>
      </w:r>
      <w:r>
        <w:tab/>
        <w:t>Raissi S, Farsani R-E. Statistical Process Optimization Through Multi-Response Surface Methodology 2009;3.</w:t>
      </w:r>
    </w:p>
    <w:p w14:paraId="455301AB" w14:textId="77777777" w:rsidR="006A1D8D" w:rsidRDefault="006A1D8D" w:rsidP="006A1D8D">
      <w:pPr>
        <w:pStyle w:val="Bibliography"/>
      </w:pPr>
      <w:r>
        <w:t>[75]</w:t>
      </w:r>
      <w:r>
        <w:tab/>
        <w:t>Dean A, Morris M, Stufken J, Bingham D. Handbook of Design and Analysis of Experiments n.d.</w:t>
      </w:r>
    </w:p>
    <w:p w14:paraId="1C73E007" w14:textId="77777777" w:rsidR="006A1D8D" w:rsidRDefault="006A1D8D" w:rsidP="006A1D8D">
      <w:pPr>
        <w:pStyle w:val="Bibliography"/>
      </w:pPr>
      <w:r>
        <w:t>[76]</w:t>
      </w:r>
      <w:r>
        <w:tab/>
        <w:t>Kirch W, editor. Pearson’s Correlation Coefficient. Encycl. Public Health, Dordrecht: Springer Netherlands; 2008, p. 1090–1. https://doi.org/10.1007/978-1-4020-5614-7_2569.</w:t>
      </w:r>
    </w:p>
    <w:p w14:paraId="24663D65" w14:textId="77777777" w:rsidR="006A1D8D" w:rsidRDefault="006A1D8D" w:rsidP="006A1D8D">
      <w:pPr>
        <w:pStyle w:val="Bibliography"/>
      </w:pPr>
      <w:r>
        <w:t>[77]</w:t>
      </w:r>
      <w:r>
        <w:tab/>
        <w:t>Asuero AG, Sayago A, González AG. The Correlation Coefficient: An Overview. Crit Rev Anal Chem 2006;36:41–59. https://doi.org/10.1080/10408340500526766.</w:t>
      </w:r>
    </w:p>
    <w:p w14:paraId="014DFECC" w14:textId="77777777" w:rsidR="006A1D8D" w:rsidRDefault="006A1D8D" w:rsidP="006A1D8D">
      <w:pPr>
        <w:pStyle w:val="Bibliography"/>
      </w:pPr>
      <w:r>
        <w:t>[78]</w:t>
      </w:r>
      <w:r>
        <w:tab/>
        <w:t>Esonye C, Onukwuli OD, Ofoefule AU. Optimization of methyl ester production from Prunus Amygdalus seed oil using response surface methodology and Artificial Neural Networks. Renew Energy 2019;130:61–72. https://doi.org/10.1016/j.renene.2018.06.036.</w:t>
      </w:r>
    </w:p>
    <w:p w14:paraId="283486F1" w14:textId="77777777" w:rsidR="006A1D8D" w:rsidRDefault="006A1D8D" w:rsidP="006A1D8D">
      <w:pPr>
        <w:pStyle w:val="Bibliography"/>
      </w:pPr>
      <w:r>
        <w:lastRenderedPageBreak/>
        <w:t>[79]</w:t>
      </w:r>
      <w:r>
        <w:tab/>
        <w:t xml:space="preserve">Greenland S. Valid </w:t>
      </w:r>
      <w:r>
        <w:rPr>
          <w:i/>
          <w:iCs/>
        </w:rPr>
        <w:t>P</w:t>
      </w:r>
      <w:r>
        <w:t xml:space="preserve"> -Values Behave Exactly as They Should: Some Misleading Criticisms of </w:t>
      </w:r>
      <w:r>
        <w:rPr>
          <w:i/>
          <w:iCs/>
        </w:rPr>
        <w:t>P</w:t>
      </w:r>
      <w:r>
        <w:t xml:space="preserve"> -Values and Their Resolution With </w:t>
      </w:r>
      <w:r>
        <w:rPr>
          <w:i/>
          <w:iCs/>
        </w:rPr>
        <w:t>S</w:t>
      </w:r>
      <w:r>
        <w:t xml:space="preserve"> -Values. Am Stat 2019;73:106–14. https://doi.org/10.1080/00031305.2018.1529625.</w:t>
      </w:r>
    </w:p>
    <w:p w14:paraId="02299330" w14:textId="77777777" w:rsidR="006A1D8D" w:rsidRDefault="006A1D8D" w:rsidP="006A1D8D">
      <w:pPr>
        <w:pStyle w:val="Bibliography"/>
      </w:pPr>
      <w:r>
        <w:t>[80]</w:t>
      </w:r>
      <w:r>
        <w:tab/>
        <w:t>Grubb CA, Kardos M, Webb C, Mainka H, Keffer DJ, Harper DP. Manufacturing and Characterization of Polypropylene-Paper Composites for Automotive Applications. SAMPE 2023, NA SAMPE; 2023. https://doi.org/10.33599/nasampe/s.23.0178.</w:t>
      </w:r>
    </w:p>
    <w:p w14:paraId="100049EE" w14:textId="77777777" w:rsidR="006A1D8D" w:rsidRDefault="006A1D8D" w:rsidP="006A1D8D">
      <w:pPr>
        <w:pStyle w:val="Bibliography"/>
      </w:pPr>
      <w:r>
        <w:t>[81]</w:t>
      </w:r>
      <w:r>
        <w:tab/>
        <w:t>Thakur VK, Kessler MR, editors. Injection Molding of Natural Fiber Reinforced Composites. Green Biorenewable Biocomposites. 0 ed., Apple Academic Press; 2016, p. 293–308. https://doi.org/10.1201/b18092-14.</w:t>
      </w:r>
    </w:p>
    <w:p w14:paraId="7620F51B" w14:textId="77777777" w:rsidR="006A1D8D" w:rsidRDefault="006A1D8D" w:rsidP="006A1D8D">
      <w:pPr>
        <w:pStyle w:val="Bibliography"/>
      </w:pPr>
      <w:r>
        <w:t>[82]</w:t>
      </w:r>
      <w:r>
        <w:tab/>
        <w:t>Jahnz A, Dejond C. Circular economy: improving design and end-of-life management of cars for more resource-efficient automotive sector 2023.</w:t>
      </w:r>
    </w:p>
    <w:p w14:paraId="69680A80" w14:textId="77777777" w:rsidR="006A1D8D" w:rsidRDefault="006A1D8D" w:rsidP="006A1D8D">
      <w:pPr>
        <w:pStyle w:val="Bibliography"/>
      </w:pPr>
      <w:r>
        <w:t>[83]</w:t>
      </w:r>
      <w:r>
        <w:tab/>
        <w:t>K. B, Cetecioglu Z, Ince O. Pollution Prevention in the Pulp and Paper Industries. In: Broniewicz E, editor. Environ. Manag. Pract., InTech; 2011. https://doi.org/10.5772/23709.</w:t>
      </w:r>
    </w:p>
    <w:p w14:paraId="5767B221" w14:textId="77777777" w:rsidR="006A1D8D" w:rsidRDefault="006A1D8D" w:rsidP="006A1D8D">
      <w:pPr>
        <w:pStyle w:val="Bibliography"/>
      </w:pPr>
      <w:r>
        <w:t>[84]</w:t>
      </w:r>
      <w:r>
        <w:tab/>
        <w:t>Zhao X, Copenhaver K, Wang L, Korey M, Gardner DJ, Li K, et al. Recycling of natural fiber composites: Challenges and opportunities. Resour Conserv Recycl 2022;177:105962. https://doi.org/10.1016/j.resconrec.2021.105962.</w:t>
      </w:r>
    </w:p>
    <w:p w14:paraId="40298FD4" w14:textId="77777777" w:rsidR="006A1D8D" w:rsidRDefault="006A1D8D" w:rsidP="006A1D8D">
      <w:pPr>
        <w:pStyle w:val="Bibliography"/>
      </w:pPr>
      <w:r>
        <w:t>[85]</w:t>
      </w:r>
      <w:r>
        <w:tab/>
        <w:t>Augier L, Sperone G, Vaca-Garcia C, Borredon M-E. Influence of the wood fibre filler on the internal recycling of poly(vinyl chloride)-based composites. Polym Degrad Stab 2007;92:1169–76. https://doi.org/10.1016/j.polymdegradstab.2007.04.010.</w:t>
      </w:r>
    </w:p>
    <w:p w14:paraId="157F8AD0" w14:textId="77777777" w:rsidR="006A1D8D" w:rsidRDefault="006A1D8D" w:rsidP="006A1D8D">
      <w:pPr>
        <w:pStyle w:val="Bibliography"/>
      </w:pPr>
      <w:r>
        <w:t>[86]</w:t>
      </w:r>
      <w:r>
        <w:tab/>
        <w:t>Beg MDH, Pickering KL. Reprocessing of wood fibre reinforced polypropylene composites. Part I: Effects on physical and mechanical properties. Compos Part Appl Sci Manuf 2008;39:1091–100. https://doi.org/10.1016/j.compositesa.2008.04.013.</w:t>
      </w:r>
    </w:p>
    <w:p w14:paraId="58FD1C63" w14:textId="77777777" w:rsidR="006A1D8D" w:rsidRDefault="006A1D8D" w:rsidP="006A1D8D">
      <w:pPr>
        <w:pStyle w:val="Bibliography"/>
      </w:pPr>
      <w:r>
        <w:t>[87]</w:t>
      </w:r>
      <w:r>
        <w:tab/>
        <w:t>Nadali E, Layeghi M, Ebrahimi G, Naghdi R, Jonoobi M, Khorasani MM, et al. Effects of Multiple Extrusions on Structure-property Performance of Natural Fiber High-density Polyethylene Biocomposites. Mater Res 2018;21. https://doi.org/10.1590/1980-5373-mr-2017-0301.</w:t>
      </w:r>
    </w:p>
    <w:p w14:paraId="0136DF1B" w14:textId="77777777" w:rsidR="006A1D8D" w:rsidRDefault="006A1D8D" w:rsidP="006A1D8D">
      <w:pPr>
        <w:pStyle w:val="Bibliography"/>
      </w:pPr>
      <w:r>
        <w:t>[88]</w:t>
      </w:r>
      <w:r>
        <w:tab/>
        <w:t>Soccalingame L, Perrin D, Bénézet J-C, Bergeret A. Reprocessing of UV-weathered wood flour reinforced polypropylene composites: Study of a natural outdoor exposure. Polym Degrad Stab 2016;133:389–98. https://doi.org/10.1016/j.polymdegradstab.2016.09.011.</w:t>
      </w:r>
    </w:p>
    <w:p w14:paraId="3119B9D2" w14:textId="77777777" w:rsidR="006A1D8D" w:rsidRDefault="006A1D8D" w:rsidP="006A1D8D">
      <w:pPr>
        <w:pStyle w:val="Bibliography"/>
      </w:pPr>
      <w:r>
        <w:t>[89]</w:t>
      </w:r>
      <w:r>
        <w:tab/>
        <w:t>Correa-Aguirre JP, Luna-Vera F, Caicedo C, Vera-Mondragón B, Hidalgo-Salazar MA. The Effects of Reprocessing and Fiber Treatments on the Properties of Polypropylene-Sugarcane Bagasse Biocomposites. Polymers 2020;12:1440. https://doi.org/10.3390/polym12071440.</w:t>
      </w:r>
    </w:p>
    <w:p w14:paraId="42FA6ACE" w14:textId="77777777" w:rsidR="006A1D8D" w:rsidRDefault="006A1D8D" w:rsidP="006A1D8D">
      <w:pPr>
        <w:pStyle w:val="Bibliography"/>
      </w:pPr>
      <w:r>
        <w:t>[90]</w:t>
      </w:r>
      <w:r>
        <w:tab/>
        <w:t>Fazita MR, Jayaraman K, Bhattacharyya D, Hossain Md, Haafiz MK, H.P.S. A. Disposal Options of Bamboo Fabric-Reinforced Poly(Lactic) Acid Composites for Sustainable Packaging: Biodegradability and Recyclability. Polymers 2015;7:1476–96. https://doi.org/10.3390/polym7081465.</w:t>
      </w:r>
    </w:p>
    <w:p w14:paraId="1BE04B0D" w14:textId="77777777" w:rsidR="006A1D8D" w:rsidRDefault="006A1D8D" w:rsidP="006A1D8D">
      <w:pPr>
        <w:pStyle w:val="Bibliography"/>
      </w:pPr>
      <w:r>
        <w:t>[91]</w:t>
      </w:r>
      <w:r>
        <w:tab/>
        <w:t>Uitterhaegen E, Parinet J, Labonne L, Mérian T, Ballas S, Véronèse T, et al. Performance, durability and recycling of thermoplastic biocomposites reinforced with coriander straw. Compos Part Appl Sci Manuf 2018;113:254–63. https://doi.org/10.1016/j.compositesa.2018.07.038.</w:t>
      </w:r>
    </w:p>
    <w:p w14:paraId="06ABE43A" w14:textId="77777777" w:rsidR="006A1D8D" w:rsidRDefault="006A1D8D" w:rsidP="006A1D8D">
      <w:pPr>
        <w:pStyle w:val="Bibliography"/>
      </w:pPr>
      <w:r>
        <w:lastRenderedPageBreak/>
        <w:t>[92]</w:t>
      </w:r>
      <w:r>
        <w:tab/>
        <w:t>Graupner N, Albrecht K, Ziegmann G, Enzler H, Muessig J. Influence of reprocessing on fibre length distribution, tensile strength and impact strength of injection moulded cellulose fibre-reinforced polylactide (PLA) composites. Express Polym Lett 2016;10:647–63. https://doi.org/10.3144/expresspolymlett.2016.59.</w:t>
      </w:r>
    </w:p>
    <w:p w14:paraId="0B5F48E2" w14:textId="77777777" w:rsidR="006A1D8D" w:rsidRDefault="006A1D8D" w:rsidP="006A1D8D">
      <w:pPr>
        <w:pStyle w:val="Bibliography"/>
      </w:pPr>
      <w:r>
        <w:t>[93]</w:t>
      </w:r>
      <w:r>
        <w:tab/>
        <w:t>Bourmaud A, Åkesson D, Beaugrand J, Le Duigou A, Skrifvars M, Baley C. Recycling of L-Poly-(lactide)-Poly-(butylene-succinate)-flax biocomposite. Polym Degrad Stab 2016;128:77–88. https://doi.org/10.1016/j.polymdegradstab.2016.03.018.</w:t>
      </w:r>
    </w:p>
    <w:p w14:paraId="617BC856" w14:textId="77777777" w:rsidR="006A1D8D" w:rsidRDefault="006A1D8D" w:rsidP="006A1D8D">
      <w:pPr>
        <w:pStyle w:val="Bibliography"/>
      </w:pPr>
      <w:r>
        <w:t>[94]</w:t>
      </w:r>
      <w:r>
        <w:tab/>
        <w:t>Tajvidi M, Takemura A. Recycled Natural Fiber Polypropylene Composites: Water Absorption/Desorption Kinetics and Dimensional Stability. J Polym Environ 2010;18:500–9. https://doi.org/10.1007/s10924-010-0215-y.</w:t>
      </w:r>
    </w:p>
    <w:p w14:paraId="64C17AF5" w14:textId="77777777" w:rsidR="006A1D8D" w:rsidRDefault="006A1D8D" w:rsidP="006A1D8D">
      <w:pPr>
        <w:pStyle w:val="Bibliography"/>
      </w:pPr>
      <w:r>
        <w:t>[95]</w:t>
      </w:r>
      <w:r>
        <w:tab/>
        <w:t>Litster J, Ennis B. The Science and Engineering of Granulation Processes. vol. 15. Dordrecht: Springer Netherlands; 2004. https://doi.org/10.1007/978-94-017-0546-2.</w:t>
      </w:r>
    </w:p>
    <w:p w14:paraId="6D970289" w14:textId="77777777" w:rsidR="006A1D8D" w:rsidRDefault="006A1D8D" w:rsidP="006A1D8D">
      <w:pPr>
        <w:pStyle w:val="Bibliography"/>
      </w:pPr>
      <w:r>
        <w:t>[96]</w:t>
      </w:r>
      <w:r>
        <w:tab/>
        <w:t>Agassant J-F, Arda DR, Combeaud C, Merten A, Münstedt H, Mackley MR, et al. Polymer Processing Extrusion Instabilities and Methods for their Elimination or Minimisation. Int Polym Process 2006;21:239–55. https://doi.org/10.3139/217.0084.</w:t>
      </w:r>
    </w:p>
    <w:p w14:paraId="5549336F" w14:textId="77777777" w:rsidR="006A1D8D" w:rsidRDefault="006A1D8D" w:rsidP="006A1D8D">
      <w:pPr>
        <w:pStyle w:val="Bibliography"/>
      </w:pPr>
      <w:r>
        <w:t>[97]</w:t>
      </w:r>
      <w:r>
        <w:tab/>
        <w:t>Zhang M, Guo B-H, Xu J. A Review on Polymer Crystallization Theories. Crystals 2016;7:4. https://doi.org/10.3390/cryst7010004.</w:t>
      </w:r>
    </w:p>
    <w:p w14:paraId="7447184A" w14:textId="77777777" w:rsidR="006A1D8D" w:rsidRDefault="006A1D8D" w:rsidP="006A1D8D">
      <w:pPr>
        <w:pStyle w:val="Bibliography"/>
      </w:pPr>
      <w:r>
        <w:t>[98]</w:t>
      </w:r>
      <w:r>
        <w:tab/>
        <w:t>González-González VA, Neira-Velázquez G, Angulo-Sánchez JL. Polypropylene chain scissions and molecular weight changes in multiple extrusion. Polym Degrad Stab 1998;60:33–42. https://doi.org/10.1016/S0141-3910(96)00233-9.</w:t>
      </w:r>
    </w:p>
    <w:p w14:paraId="667BCF75" w14:textId="77777777" w:rsidR="006A1D8D" w:rsidRDefault="006A1D8D" w:rsidP="006A1D8D">
      <w:pPr>
        <w:pStyle w:val="Bibliography"/>
      </w:pPr>
      <w:r>
        <w:t>[99]</w:t>
      </w:r>
      <w:r>
        <w:tab/>
        <w:t>Zhang B, Chen J, Ji F, Zhang X, Zheng G, Shen C. Effects of melt structure on shear-induced β-cylindrites of isotactic polypropylene. Polymer 2012;53:1791–800. https://doi.org/10.1016/j.polymer.2012.02.023.</w:t>
      </w:r>
    </w:p>
    <w:p w14:paraId="36D2B005" w14:textId="77777777" w:rsidR="006A1D8D" w:rsidRDefault="006A1D8D" w:rsidP="006A1D8D">
      <w:pPr>
        <w:pStyle w:val="Bibliography"/>
      </w:pPr>
      <w:r>
        <w:t>[100]</w:t>
      </w:r>
      <w:r>
        <w:tab/>
        <w:t>Wang S, Zhang J. Effect of nucleating agent on the crystallization behavior, crystal form and solar reflectance of polypropylene. Sol Energy Mater Sol Cells 2013;117:577–84. https://doi.org/10.1016/j.solmat.2013.07.033.</w:t>
      </w:r>
    </w:p>
    <w:p w14:paraId="4BB7749A" w14:textId="77777777" w:rsidR="006A1D8D" w:rsidRDefault="006A1D8D" w:rsidP="006A1D8D">
      <w:pPr>
        <w:pStyle w:val="Bibliography"/>
      </w:pPr>
      <w:r>
        <w:t>[101]</w:t>
      </w:r>
      <w:r>
        <w:tab/>
        <w:t>Bednarek WH, Paukszta D, Szostak M, Szymańska J. Fundamental studies on shear-induced nucleation and beta-phase formation in the isotactic polypropylene—effect of the temperature. J Polym Res 2021;28:439. https://doi.org/10.1007/s10965-021-02652-5.</w:t>
      </w:r>
    </w:p>
    <w:p w14:paraId="5801080B" w14:textId="77777777" w:rsidR="006A1D8D" w:rsidRDefault="006A1D8D" w:rsidP="006A1D8D">
      <w:pPr>
        <w:pStyle w:val="Bibliography"/>
      </w:pPr>
      <w:r>
        <w:t>[102]</w:t>
      </w:r>
      <w:r>
        <w:tab/>
        <w:t>Androsch R, Monami A, Kucera J. Effect of an alpha-phase nucleating agent on the crystallization kinetics of a propylene/ethylene random copolymer at largely different supercooling. J Cryst Growth 2014;408:91–6. https://doi.org/10.1016/j.jcrysgro.2014.09.028.</w:t>
      </w:r>
    </w:p>
    <w:p w14:paraId="3A9E6E81" w14:textId="77777777" w:rsidR="006A1D8D" w:rsidRDefault="006A1D8D" w:rsidP="006A1D8D">
      <w:pPr>
        <w:pStyle w:val="Bibliography"/>
      </w:pPr>
      <w:r>
        <w:t>[103]</w:t>
      </w:r>
      <w:r>
        <w:tab/>
        <w:t>Jung MR, Horgen FD, Orski SV, Rodriguez C. V, Beers KL, Balazs GH, et al. Validation of ATR FT-IR to identify polymers of plastic marine debris, including those ingested by marine organisms. Mar Pollut Bull 2018;127:704–16. https://doi.org/10.1016/j.marpolbul.2017.12.061.</w:t>
      </w:r>
    </w:p>
    <w:p w14:paraId="6B0222E7" w14:textId="77777777" w:rsidR="006A1D8D" w:rsidRDefault="006A1D8D" w:rsidP="006A1D8D">
      <w:pPr>
        <w:pStyle w:val="Bibliography"/>
      </w:pPr>
      <w:r>
        <w:t>[104]</w:t>
      </w:r>
      <w:r>
        <w:tab/>
        <w:t>Qian S, Igarashi T, Nitta K. Thermal degradation behavior of polypropylene in the melt state: molecular weight distribution changes and chain scission mechanism. Polym Bull 2011;67:1661–70. https://doi.org/10.1007/s00289-011-0560-6.</w:t>
      </w:r>
    </w:p>
    <w:p w14:paraId="4C01E22A" w14:textId="77777777" w:rsidR="006A1D8D" w:rsidRDefault="006A1D8D" w:rsidP="006A1D8D">
      <w:pPr>
        <w:pStyle w:val="Bibliography"/>
      </w:pPr>
      <w:r>
        <w:t>[105]</w:t>
      </w:r>
      <w:r>
        <w:tab/>
        <w:t>Łojewska J, Miśkowiec P, Łojewski T, Proniewicz LM. Cellulose oxidative and hydrolytic degradation: In situ FTIR approach. Polym Degrad Stab 2005;88:512–20. https://doi.org/10.1016/j.polymdegradstab.2004.12.012.</w:t>
      </w:r>
    </w:p>
    <w:p w14:paraId="7F4E54F9" w14:textId="77777777" w:rsidR="006A1D8D" w:rsidRDefault="006A1D8D" w:rsidP="006A1D8D">
      <w:pPr>
        <w:pStyle w:val="Bibliography"/>
      </w:pPr>
      <w:r>
        <w:lastRenderedPageBreak/>
        <w:t>[106]</w:t>
      </w:r>
      <w:r>
        <w:tab/>
        <w:t>Łojewska J, Missori M, Lubańska A, Grimaldi P, Ziȩba K, Proniewicz LM, et al. Carbonyl groups development on degraded cellulose. Correlation between spectroscopic and chemical results. Appl Phys A 2007;89:883–7. https://doi.org/10.1007/s00339-007-4220-5.</w:t>
      </w:r>
    </w:p>
    <w:p w14:paraId="7B1ECDFD" w14:textId="77777777" w:rsidR="006A1D8D" w:rsidRDefault="006A1D8D" w:rsidP="006A1D8D">
      <w:pPr>
        <w:pStyle w:val="Bibliography"/>
      </w:pPr>
      <w:r>
        <w:t>[107]</w:t>
      </w:r>
      <w:r>
        <w:tab/>
        <w:t>Chen Z, Hu TQ, Jang HF, Grant E. Multivariate Analysis of Hemicelluloses in Bleached Kraft Pulp Using Infrared Spectroscopy. Appl Spectrosc 2016;70:1981–93. https://doi.org/10.1177/0003702816675363.</w:t>
      </w:r>
    </w:p>
    <w:p w14:paraId="67D154B9" w14:textId="77777777" w:rsidR="006A1D8D" w:rsidRDefault="006A1D8D" w:rsidP="006A1D8D">
      <w:pPr>
        <w:pStyle w:val="Bibliography"/>
      </w:pPr>
      <w:r>
        <w:t>[108]</w:t>
      </w:r>
      <w:r>
        <w:tab/>
        <w:t>Lionetto F, Del Sole R, Cannoletta D, Vasapollo G, Maffezzoli A. Monitoring Wood Degradation during Weathering by Cellulose Crystallinity. Materials 2012;5:1910–22. https://doi.org/10.3390/ma5101910.</w:t>
      </w:r>
    </w:p>
    <w:p w14:paraId="64AC3A1C" w14:textId="77777777" w:rsidR="006A1D8D" w:rsidRDefault="006A1D8D" w:rsidP="006A1D8D">
      <w:pPr>
        <w:pStyle w:val="Bibliography"/>
      </w:pPr>
      <w:r>
        <w:t>[109]</w:t>
      </w:r>
      <w:r>
        <w:tab/>
        <w:t>Li J, Zhu Z, Li T, Peng X, Jiang S, Turng L. Quantification of the Young’s modulus for polypropylene: Influence of initial crystallinity and service temperature. J Appl Polym Sci 2020;137:48581. https://doi.org/10.1002/app.48581.</w:t>
      </w:r>
    </w:p>
    <w:p w14:paraId="3E3E3C82" w14:textId="77777777" w:rsidR="006A1D8D" w:rsidRDefault="006A1D8D" w:rsidP="006A1D8D">
      <w:pPr>
        <w:pStyle w:val="Bibliography"/>
      </w:pPr>
      <w:r>
        <w:t>[110]</w:t>
      </w:r>
      <w:r>
        <w:tab/>
        <w:t>Tsui NT, Paraskos AJ, Torun L, Swager TM, Thomas EL. Minimization of Internal Molecular Free Volume: A Mechanism for the Simultaneous Enhancement of Polymer Stiffness, Strength, and Ductility. Macromolecules 2006;39:3350–8. https://doi.org/10.1021/ma060047q.</w:t>
      </w:r>
    </w:p>
    <w:p w14:paraId="74A41620" w14:textId="77777777" w:rsidR="006A1D8D" w:rsidRDefault="006A1D8D" w:rsidP="006A1D8D">
      <w:pPr>
        <w:pStyle w:val="Bibliography"/>
      </w:pPr>
      <w:r>
        <w:t>[111]</w:t>
      </w:r>
      <w:r>
        <w:tab/>
        <w:t>Schultz JM. Microstructural aspects of failure in semicrystalline polymers. Polym Eng Sci 1984;24:770–85. https://doi.org/10.1002/pen.760241007.</w:t>
      </w:r>
    </w:p>
    <w:p w14:paraId="55F1ADBA" w14:textId="77777777" w:rsidR="006A1D8D" w:rsidRDefault="006A1D8D" w:rsidP="006A1D8D">
      <w:pPr>
        <w:pStyle w:val="Bibliography"/>
      </w:pPr>
      <w:r>
        <w:t>[112]</w:t>
      </w:r>
      <w:r>
        <w:tab/>
        <w:t>Nugroho G, Budiyantoro C. Optimization of Fiber Factors on Flexural Properties for Carbon Fiber Reinforced Polypropylene. J Compos Sci 2022;6:160. https://doi.org/10.3390/jcs6060160.</w:t>
      </w:r>
    </w:p>
    <w:p w14:paraId="33A2AC30" w14:textId="77777777" w:rsidR="006A1D8D" w:rsidRDefault="006A1D8D" w:rsidP="006A1D8D">
      <w:pPr>
        <w:pStyle w:val="Bibliography"/>
      </w:pPr>
      <w:r>
        <w:t>[113]</w:t>
      </w:r>
      <w:r>
        <w:tab/>
        <w:t>Leguillon D, Martin É, Lafarie-Frenot M-C. Flexural vs. tensile strength in brittle materials. Comptes Rendus Mécanique 2015;343:275–81. https://doi.org/10.1016/j.crme.2015.02.003.</w:t>
      </w:r>
    </w:p>
    <w:p w14:paraId="02B46B55" w14:textId="77777777" w:rsidR="006A1D8D" w:rsidRDefault="006A1D8D" w:rsidP="006A1D8D">
      <w:pPr>
        <w:pStyle w:val="Bibliography"/>
      </w:pPr>
      <w:r>
        <w:t>[114]</w:t>
      </w:r>
      <w:r>
        <w:tab/>
        <w:t>Schober P, Boer C, Schwarte LA. Correlation Coefficients: Appropriate Use and Interpretation. Anesth Analg 2018;126:1763–8. https://doi.org/10.1213/ANE.0000000000002864.</w:t>
      </w:r>
    </w:p>
    <w:p w14:paraId="5E8650B4" w14:textId="77777777" w:rsidR="006A1D8D" w:rsidRDefault="006A1D8D" w:rsidP="006A1D8D">
      <w:pPr>
        <w:pStyle w:val="Bibliography"/>
      </w:pPr>
      <w:r>
        <w:t>[115]</w:t>
      </w:r>
      <w:r>
        <w:tab/>
        <w:t>Kant S, Urmila, Kumar J, Pundir G. Study of Talc Filled Polypropylene - A Concept for Improving Mechanical Properties of Polypropylene. Int J Res Eng Technol 2013;02:411–5. https://doi.org/10.15623/ijret.2013.0204001.</w:t>
      </w:r>
    </w:p>
    <w:p w14:paraId="61D2E567" w14:textId="77777777" w:rsidR="006A1D8D" w:rsidRDefault="006A1D8D" w:rsidP="006A1D8D">
      <w:pPr>
        <w:pStyle w:val="Bibliography"/>
      </w:pPr>
      <w:r>
        <w:t>[116]</w:t>
      </w:r>
      <w:r>
        <w:tab/>
        <w:t>Grubb CA, Keffer DJ, Webb CD, Kardos M, Mainka H, Harper DP. Paper fiber-reinforced polypropylene composites from nonwoven preforms: A study on compression molding optimization from a manufacturing perspective. Compos Part Appl Sci Manuf 2024;185:108339. https://doi.org/10.1016/j.compositesa.2024.108339.</w:t>
      </w:r>
    </w:p>
    <w:p w14:paraId="72B7935B" w14:textId="77777777" w:rsidR="006A1D8D" w:rsidRDefault="006A1D8D" w:rsidP="006A1D8D">
      <w:pPr>
        <w:pStyle w:val="Bibliography"/>
      </w:pPr>
      <w:r>
        <w:t>[117]</w:t>
      </w:r>
      <w:r>
        <w:tab/>
        <w:t>González-Sánchez C, Fonseca-Valero C, Ochoa-Mendoza A, Garriga-Meco A, Rodríguez-Hurtado E. Rheological behavior of original and recycled cellulose–polyolefin composite materials. Compos Part Appl Sci Manuf 2011;42:1075–83. https://doi.org/10.1016/j.compositesa.2011.04.012.</w:t>
      </w:r>
    </w:p>
    <w:p w14:paraId="079CFC54" w14:textId="77777777" w:rsidR="006A1D8D" w:rsidRDefault="006A1D8D" w:rsidP="006A1D8D">
      <w:pPr>
        <w:pStyle w:val="Bibliography"/>
      </w:pPr>
      <w:r>
        <w:t>[118]</w:t>
      </w:r>
      <w:r>
        <w:tab/>
        <w:t>Mohanty S, Nayak SK. Rheological characterization of HDPE/sisal fiber composites. Polym Eng Sci 2007;47:1634–42. https://doi.org/10.1002/pen.20847.</w:t>
      </w:r>
    </w:p>
    <w:p w14:paraId="2C88D625" w14:textId="77777777" w:rsidR="006A1D8D" w:rsidRDefault="006A1D8D" w:rsidP="006A1D8D">
      <w:pPr>
        <w:pStyle w:val="Bibliography"/>
      </w:pPr>
      <w:r>
        <w:t>[119]</w:t>
      </w:r>
      <w:r>
        <w:tab/>
        <w:t>Le Moigne N, Van Den Oever M, Budtova T. Dynamic and capillary shear rheology of natural fiber‐reinforced composites. Polym Eng Sci 2013;53:2582–93. https://doi.org/10.1002/pen.23521.</w:t>
      </w:r>
    </w:p>
    <w:p w14:paraId="188C02B0" w14:textId="77777777" w:rsidR="006A1D8D" w:rsidRDefault="006A1D8D" w:rsidP="006A1D8D">
      <w:pPr>
        <w:pStyle w:val="Bibliography"/>
      </w:pPr>
      <w:r>
        <w:lastRenderedPageBreak/>
        <w:t>[120]</w:t>
      </w:r>
      <w:r>
        <w:tab/>
        <w:t>Bouafif H, Koubaa A, Perre P, Cloutier A. Effects of Composite Processing Methods on Wood Particle Development and Length Distribution: Consequences on Mechanical Properties of Wood–Thermoplastic Com-posites. WOOD FIBER Sci 2010;42.</w:t>
      </w:r>
    </w:p>
    <w:p w14:paraId="4E4FEB16" w14:textId="77777777" w:rsidR="006A1D8D" w:rsidRDefault="006A1D8D" w:rsidP="006A1D8D">
      <w:pPr>
        <w:pStyle w:val="Bibliography"/>
      </w:pPr>
      <w:r>
        <w:t>[121]</w:t>
      </w:r>
      <w:r>
        <w:tab/>
        <w:t>Gonçalves M, Monteiro H, Iten M. Life Cycle Assessment studies on lightweight materials for automotive applications - An overview. Energy Rep 2022;8:338–45. https://doi.org/10.1016/j.egyr.2022.01.067.</w:t>
      </w:r>
    </w:p>
    <w:p w14:paraId="6AFA79F7" w14:textId="77777777" w:rsidR="006A1D8D" w:rsidRDefault="006A1D8D" w:rsidP="006A1D8D">
      <w:pPr>
        <w:pStyle w:val="Bibliography"/>
      </w:pPr>
      <w:r>
        <w:t>[122]</w:t>
      </w:r>
      <w:r>
        <w:tab/>
        <w:t>IEA. Comparative life-cycle greenhouse gas emissions of a mid-size BEV and ICE vehicle. Paris: IEA; 2021.</w:t>
      </w:r>
    </w:p>
    <w:p w14:paraId="2625E3CE" w14:textId="77777777" w:rsidR="006A1D8D" w:rsidRDefault="006A1D8D" w:rsidP="006A1D8D">
      <w:pPr>
        <w:pStyle w:val="Bibliography"/>
      </w:pPr>
      <w:r>
        <w:t>[123]</w:t>
      </w:r>
      <w:r>
        <w:tab/>
        <w:t>Hannon E, Nauclér T, Suneson A, Yüksel F. The zero-carbon car: Abating material emissions is next on the agenda 2020.</w:t>
      </w:r>
    </w:p>
    <w:p w14:paraId="16A11F0B" w14:textId="77777777" w:rsidR="006A1D8D" w:rsidRDefault="006A1D8D" w:rsidP="006A1D8D">
      <w:pPr>
        <w:pStyle w:val="Bibliography"/>
      </w:pPr>
      <w:r>
        <w:t>[124]</w:t>
      </w:r>
      <w:r>
        <w:tab/>
        <w:t>Ghassemieh E. Materials in Automotive Application, State of the Art and Prospects. In: Chiaberge M, editor. New Trends Dev. Automot. Ind., InTech; 2011. https://doi.org/10.5772/13286.</w:t>
      </w:r>
    </w:p>
    <w:p w14:paraId="3E30AE3B" w14:textId="77777777" w:rsidR="006A1D8D" w:rsidRDefault="006A1D8D" w:rsidP="006A1D8D">
      <w:pPr>
        <w:pStyle w:val="Bibliography"/>
      </w:pPr>
      <w:r>
        <w:t>[125]</w:t>
      </w:r>
      <w:r>
        <w:tab/>
        <w:t>Hovorun TP, Berladir KV, Pererva VI, Rudenko SG, Martynov AI. Modern materials for automotive industry. J Eng Sci 2017;4:f8–18. https://doi.org/10.21272/jes.2017.4(2).f8.</w:t>
      </w:r>
    </w:p>
    <w:p w14:paraId="6C98E0FA" w14:textId="77777777" w:rsidR="006A1D8D" w:rsidRDefault="006A1D8D" w:rsidP="006A1D8D">
      <w:pPr>
        <w:pStyle w:val="Bibliography"/>
      </w:pPr>
      <w:r>
        <w:t>[126]</w:t>
      </w:r>
      <w:r>
        <w:tab/>
        <w:t>Akhshik M, Panthapulakkal S, Tjong J, Sain M. A comparative life cycle assessment based evaluation of greenhouse gas emission and social study: natural fibre versus glass fibre reinforced plastic automotive parts. Int J Glob Warm 2018;15:350. https://doi.org/10.1504/IJGW.2018.093125.</w:t>
      </w:r>
    </w:p>
    <w:p w14:paraId="3FFBC4F7" w14:textId="77777777" w:rsidR="006A1D8D" w:rsidRDefault="006A1D8D" w:rsidP="006A1D8D">
      <w:pPr>
        <w:pStyle w:val="Bibliography"/>
      </w:pPr>
      <w:r>
        <w:t>[127]</w:t>
      </w:r>
      <w:r>
        <w:tab/>
        <w:t>Orłowicz AW, Mróz M, Tupaj M, Trytek A. Materials Used in the Automotive Industry. Arch Foundry Eng 2015;15:75–8. https://doi.org/10.1515/afe-2015-0042.</w:t>
      </w:r>
    </w:p>
    <w:p w14:paraId="38C0122B" w14:textId="77777777" w:rsidR="006A1D8D" w:rsidRDefault="006A1D8D" w:rsidP="006A1D8D">
      <w:pPr>
        <w:pStyle w:val="Bibliography"/>
      </w:pPr>
      <w:r>
        <w:t>[128]</w:t>
      </w:r>
      <w:r>
        <w:tab/>
        <w:t>Robinson AL, Taub AI, Keoleian GA. Fuel efficiency drives the auto industry to reduce vehicle weight. MRS Bull 2019;44:920–3. https://doi.org/10.1557/mrs.2019.298.</w:t>
      </w:r>
    </w:p>
    <w:p w14:paraId="3B85DEAD" w14:textId="77777777" w:rsidR="006A1D8D" w:rsidRDefault="006A1D8D" w:rsidP="006A1D8D">
      <w:pPr>
        <w:pStyle w:val="Bibliography"/>
      </w:pPr>
      <w:r>
        <w:t>[129]</w:t>
      </w:r>
      <w:r>
        <w:tab/>
        <w:t>Bushi L, Skszek T, Reaburn T. New ultralight automotive door life cycle assessment. Int J Life Cycle Assess 2019;24:310–23. https://doi.org/10.1007/s11367-018-1515-z.</w:t>
      </w:r>
    </w:p>
    <w:p w14:paraId="19BC71A2" w14:textId="77777777" w:rsidR="006A1D8D" w:rsidRDefault="006A1D8D" w:rsidP="006A1D8D">
      <w:pPr>
        <w:pStyle w:val="Bibliography"/>
      </w:pPr>
      <w:r>
        <w:t>[130]</w:t>
      </w:r>
      <w:r>
        <w:tab/>
        <w:t>Kim H-J, Keoleian GA, Skerlos SJ. Economic Assessment of Greenhouse Gas Emissions Reduction by Vehicle Lightweighting Using Aluminum and High-Strength Steel. J Ind Ecol 2011;15:64–80. https://doi.org/10.1111/j.1530-9290.2010.00288.x.</w:t>
      </w:r>
    </w:p>
    <w:p w14:paraId="6D602512" w14:textId="77777777" w:rsidR="006A1D8D" w:rsidRDefault="006A1D8D" w:rsidP="006A1D8D">
      <w:pPr>
        <w:pStyle w:val="Bibliography"/>
      </w:pPr>
      <w:r>
        <w:t>[131]</w:t>
      </w:r>
      <w:r>
        <w:tab/>
        <w:t>Dua S, Khatri H, Naveen J, Jawaid M, Jayakrishna K, Norrrahim MNF, et al. Potential of natural fiber based polymeric composites for cleaner automotive component production -a comprehensive review. J Mater Res Technol 2023;25:1086–104. https://doi.org/10.1016/j.jmrt.2023.06.019.</w:t>
      </w:r>
    </w:p>
    <w:p w14:paraId="1C7B1FD9" w14:textId="77777777" w:rsidR="006A1D8D" w:rsidRDefault="006A1D8D" w:rsidP="006A1D8D">
      <w:pPr>
        <w:pStyle w:val="Bibliography"/>
      </w:pPr>
      <w:r>
        <w:t>[132]</w:t>
      </w:r>
      <w:r>
        <w:tab/>
        <w:t>Puglia D, Biagiotti J, Kenny JM. A Review on Natural Fibre-Based Composites—Part II: Application of Natural Reinforcements in Composite Materials for Automotive Industry. J Nat Fibers 2005;1:23–65. https://doi.org/10.1300/J395v01n03_03.</w:t>
      </w:r>
    </w:p>
    <w:p w14:paraId="3A81887F" w14:textId="77777777" w:rsidR="006A1D8D" w:rsidRDefault="006A1D8D" w:rsidP="006A1D8D">
      <w:pPr>
        <w:pStyle w:val="Bibliography"/>
      </w:pPr>
      <w:r>
        <w:t>[133]</w:t>
      </w:r>
      <w:r>
        <w:tab/>
        <w:t>Hill K, Swiecki B, Creggar J. The Bio-Based Materials Automotive Value Chain. Ann Arbor, MI: Center for Automotive Research; 2012.</w:t>
      </w:r>
    </w:p>
    <w:p w14:paraId="165E409D" w14:textId="77777777" w:rsidR="006A1D8D" w:rsidRDefault="006A1D8D" w:rsidP="006A1D8D">
      <w:pPr>
        <w:pStyle w:val="Bibliography"/>
      </w:pPr>
      <w:r>
        <w:t>[134]</w:t>
      </w:r>
      <w:r>
        <w:tab/>
        <w:t>Naik V, Kumar M, Kaup V. A Review on Natural Fiber Composite Material in Automotive Applications. Eng Sci 2021. https://doi.org/10.30919/es8d589.</w:t>
      </w:r>
    </w:p>
    <w:p w14:paraId="38E17DA9" w14:textId="77777777" w:rsidR="006A1D8D" w:rsidRDefault="006A1D8D" w:rsidP="006A1D8D">
      <w:pPr>
        <w:pStyle w:val="Bibliography"/>
      </w:pPr>
      <w:r>
        <w:lastRenderedPageBreak/>
        <w:t>[135]</w:t>
      </w:r>
      <w:r>
        <w:tab/>
        <w:t>Boland CS, De Kleine R, Keoleian GA, Lee EC, Kim HC, Wallington TJ. Life Cycle Impacts of Natural Fiber Composites for Automotive Applications: Effects of Renewable Energy Content and Lightweighting. J Ind Ecol 2016;20:179–89. https://doi.org/10.1111/jiec.12286.</w:t>
      </w:r>
    </w:p>
    <w:p w14:paraId="3D9E7FD5" w14:textId="77777777" w:rsidR="006A1D8D" w:rsidRDefault="006A1D8D" w:rsidP="006A1D8D">
      <w:pPr>
        <w:pStyle w:val="Bibliography"/>
      </w:pPr>
      <w:r>
        <w:t>[136]</w:t>
      </w:r>
      <w:r>
        <w:tab/>
        <w:t>Wötzel K, Wirth R, Flake M. Life cycle studies on hemp fibre reinforced components and ABS for automotive parts. Angew Makromol Chem 1999;272:121–7. https://doi.org/10.1002/(SICI)1522-9505(19991201)272:1&lt;121::AID-APMC121&gt;3.0.CO;2-T.</w:t>
      </w:r>
    </w:p>
    <w:p w14:paraId="049AD424" w14:textId="77777777" w:rsidR="006A1D8D" w:rsidRDefault="006A1D8D" w:rsidP="006A1D8D">
      <w:pPr>
        <w:pStyle w:val="Bibliography"/>
      </w:pPr>
      <w:r>
        <w:t>[137]</w:t>
      </w:r>
      <w:r>
        <w:tab/>
        <w:t>Kelly JC, Sullivan JL, Burnham A, Elgowainy A. Impacts of Vehicle Weight Reduction via Material Substitution on Life-Cycle Greenhouse Gas Emissions. Environ Sci Technol 2015;49:12535–42. https://doi.org/10.1021/acs.est.5b03192.</w:t>
      </w:r>
    </w:p>
    <w:p w14:paraId="42C920AD" w14:textId="77777777" w:rsidR="006A1D8D" w:rsidRDefault="006A1D8D" w:rsidP="006A1D8D">
      <w:pPr>
        <w:pStyle w:val="Bibliography"/>
      </w:pPr>
      <w:r>
        <w:t>[138]</w:t>
      </w:r>
      <w:r>
        <w:tab/>
        <w:t>Roy P, Defersha F, Rodriguez-Uribe A, Misra M, Mohanty AK. Evaluation of the life cycle of an automotive component produced from biocomposite. J Clean Prod 2020;273:123051. https://doi.org/10.1016/j.jclepro.2020.123051.</w:t>
      </w:r>
    </w:p>
    <w:p w14:paraId="38F75E25" w14:textId="77777777" w:rsidR="006A1D8D" w:rsidRDefault="006A1D8D" w:rsidP="006A1D8D">
      <w:pPr>
        <w:pStyle w:val="Bibliography"/>
      </w:pPr>
      <w:r>
        <w:t>[139]</w:t>
      </w:r>
      <w:r>
        <w:tab/>
        <w:t>Barth M. Carbon Footprint and Sustainability of Different Natural Fibres for Biocomposites and Insulation Material 2015.</w:t>
      </w:r>
    </w:p>
    <w:p w14:paraId="04E38E5B" w14:textId="77777777" w:rsidR="006A1D8D" w:rsidRDefault="006A1D8D" w:rsidP="006A1D8D">
      <w:pPr>
        <w:pStyle w:val="Bibliography"/>
      </w:pPr>
      <w:r>
        <w:t>[140]</w:t>
      </w:r>
      <w:r>
        <w:tab/>
        <w:t>Van Der Werf HMG. Life Cycle Analysis of field production of fibre hemp, the effect of production practices on environmental impacts. Euphytica 2004;140:13–23. https://doi.org/10.1007/s10681-004-4750-2.</w:t>
      </w:r>
    </w:p>
    <w:p w14:paraId="28D8F587" w14:textId="77777777" w:rsidR="006A1D8D" w:rsidRDefault="006A1D8D" w:rsidP="006A1D8D">
      <w:pPr>
        <w:pStyle w:val="Bibliography"/>
      </w:pPr>
      <w:r>
        <w:t>[141]</w:t>
      </w:r>
      <w:r>
        <w:tab/>
        <w:t>Deng Y, Guo Y, Wu P, Ingarao G. Optimal design of flax fiber reinforced polymer composite as a lightweight component for automobiles from a life cycle assessment perspective. J Ind Ecol 2019;23:986–97. https://doi.org/10.1111/jiec.12836.</w:t>
      </w:r>
    </w:p>
    <w:p w14:paraId="265005ED" w14:textId="77777777" w:rsidR="006A1D8D" w:rsidRDefault="006A1D8D" w:rsidP="006A1D8D">
      <w:pPr>
        <w:pStyle w:val="Bibliography"/>
      </w:pPr>
      <w:r>
        <w:t>[142]</w:t>
      </w:r>
      <w:r>
        <w:tab/>
        <w:t>Kim HC, Wallington TJ. Life Cycle Assessment of Vehicle Lightweighting: A Physics-Based Model To Estimate Use-Phase Fuel Consumption of Electrified Vehicles. Environ Sci Technol 2016;50:11226–33. https://doi.org/10.1021/acs.est.6b02059.</w:t>
      </w:r>
    </w:p>
    <w:p w14:paraId="67000C51" w14:textId="77777777" w:rsidR="006A1D8D" w:rsidRDefault="006A1D8D" w:rsidP="006A1D8D">
      <w:pPr>
        <w:pStyle w:val="Bibliography"/>
      </w:pPr>
      <w:r>
        <w:t>[143]</w:t>
      </w:r>
      <w:r>
        <w:tab/>
        <w:t>Tomberlin KE, Venditti R, Yao Y. Life cycle carbon footprint analysis of pulp and paper grades in the United States using production-line-based data and integration. BioResources 2020;15:3899–914. https://doi.org/10.15376/biores.15.2.3899-3914.</w:t>
      </w:r>
    </w:p>
    <w:p w14:paraId="07E57A9D" w14:textId="77777777" w:rsidR="006A1D8D" w:rsidRDefault="006A1D8D" w:rsidP="006A1D8D">
      <w:pPr>
        <w:pStyle w:val="Bibliography"/>
      </w:pPr>
      <w:r>
        <w:t>[144]</w:t>
      </w:r>
      <w:r>
        <w:tab/>
        <w:t>Laurijssen J, Marsidi M, Westenbroek A, Worrell E, Faaij A. Paper and biomass for energy? Resour Conserv Recycl 2010;54:1208–18. https://doi.org/10.1016/j.resconrec.2010.03.016.</w:t>
      </w:r>
    </w:p>
    <w:p w14:paraId="099D7DD4" w14:textId="77777777" w:rsidR="006A1D8D" w:rsidRDefault="006A1D8D" w:rsidP="006A1D8D">
      <w:pPr>
        <w:pStyle w:val="Bibliography"/>
      </w:pPr>
      <w:r>
        <w:t>[145]</w:t>
      </w:r>
      <w:r>
        <w:tab/>
        <w:t>Furszyfer Del Rio DD, Sovacool BK, Griffiths S, Bazilian M, Kim J, Foley AM, et al. Decarbonizing the pulp and paper industry: A critical and systematic review of sociotechnical developments and policy options. Renew Sustain Energy Rev 2022;167:112706. https://doi.org/10.1016/j.rser.2022.112706.</w:t>
      </w:r>
    </w:p>
    <w:p w14:paraId="79F0E89B" w14:textId="77777777" w:rsidR="006A1D8D" w:rsidRDefault="006A1D8D" w:rsidP="006A1D8D">
      <w:pPr>
        <w:pStyle w:val="Bibliography"/>
      </w:pPr>
      <w:r>
        <w:t>[146]</w:t>
      </w:r>
      <w:r>
        <w:tab/>
        <w:t>Duhoux T, Maes E, Hirschnitz-Garbers M, Peeters K, Asscherickx L, Christis M, et al. Study on the technical, regulatory, economic and environmental effectiveness of textile fibres recycling: final report. Luxembourg: European Commission; 2021.</w:t>
      </w:r>
    </w:p>
    <w:p w14:paraId="2A188429" w14:textId="77777777" w:rsidR="006A1D8D" w:rsidRDefault="006A1D8D" w:rsidP="006A1D8D">
      <w:pPr>
        <w:pStyle w:val="Bibliography"/>
      </w:pPr>
      <w:r>
        <w:t>[147]</w:t>
      </w:r>
      <w:r>
        <w:tab/>
        <w:t>Huo L, Saito K. Multidimensional life cycle assessment on various moulded pulp production systems. Packag Technol Sci 2009;22:261–73. https://doi.org/10.1002/pts.852.</w:t>
      </w:r>
    </w:p>
    <w:p w14:paraId="0992EA7F" w14:textId="77777777" w:rsidR="006A1D8D" w:rsidRDefault="006A1D8D" w:rsidP="006A1D8D">
      <w:pPr>
        <w:pStyle w:val="Bibliography"/>
      </w:pPr>
      <w:r>
        <w:t>[148]</w:t>
      </w:r>
      <w:r>
        <w:tab/>
        <w:t>Lv Z, Jiang S, Wei L, Sun H, Liu Y, Cui J, et al. Carbon emissions analysis of the pulp molding industry: a comparison of dry-press and wet-press production processes. Nord Pulp Pap Res J 2023;38:573–82. https://doi.org/10.1515/npprj-2023-0032.</w:t>
      </w:r>
    </w:p>
    <w:p w14:paraId="643AB631" w14:textId="77777777" w:rsidR="006A1D8D" w:rsidRDefault="006A1D8D" w:rsidP="006A1D8D">
      <w:pPr>
        <w:pStyle w:val="Bibliography"/>
      </w:pPr>
      <w:r>
        <w:lastRenderedPageBreak/>
        <w:t>[149]</w:t>
      </w:r>
      <w:r>
        <w:tab/>
        <w:t>Svensson A. Life Cycle Assessment of Take-Away Food Containers. Chalmers University of Technology, 2021.</w:t>
      </w:r>
    </w:p>
    <w:p w14:paraId="3B6C6E83" w14:textId="77777777" w:rsidR="006A1D8D" w:rsidRDefault="006A1D8D" w:rsidP="006A1D8D">
      <w:pPr>
        <w:pStyle w:val="Bibliography"/>
      </w:pPr>
      <w:r>
        <w:t>[150]</w:t>
      </w:r>
      <w:r>
        <w:tab/>
        <w:t>Hesser F, Mihalic M, Paichl BJ, Wagner M. Injection moulding unit process for LCA: Energy intensity of manufacturing different materials at different scales. J Reinf Plast Compos 2017;36:338–46. https://doi.org/10.1177/0731684416674565.</w:t>
      </w:r>
    </w:p>
    <w:p w14:paraId="49D862F8" w14:textId="77777777" w:rsidR="006A1D8D" w:rsidRDefault="006A1D8D" w:rsidP="006A1D8D">
      <w:pPr>
        <w:pStyle w:val="Bibliography"/>
      </w:pPr>
      <w:r>
        <w:t>[151]</w:t>
      </w:r>
      <w:r>
        <w:tab/>
        <w:t>United States Environmental Protection Agency (EPA). Emissions &amp; Generation Resource Integrated Database (eGRID), 2021. Washington DC: Office of Atmospheric Protection, Clean Air Markets Division; 2023.</w:t>
      </w:r>
    </w:p>
    <w:p w14:paraId="0D599399" w14:textId="77777777" w:rsidR="006A1D8D" w:rsidRDefault="006A1D8D" w:rsidP="006A1D8D">
      <w:pPr>
        <w:pStyle w:val="Bibliography"/>
      </w:pPr>
      <w:r>
        <w:t>[152]</w:t>
      </w:r>
      <w:r>
        <w:tab/>
        <w:t>IEA. Net Zero by 2050. Paris, France: International Energy Agency (IEA); 2021.</w:t>
      </w:r>
    </w:p>
    <w:p w14:paraId="407FFD58" w14:textId="77777777" w:rsidR="006A1D8D" w:rsidRDefault="006A1D8D" w:rsidP="006A1D8D">
      <w:pPr>
        <w:pStyle w:val="Bibliography"/>
      </w:pPr>
      <w:r>
        <w:t>[153]</w:t>
      </w:r>
      <w:r>
        <w:tab/>
        <w:t>Mathers J, Craft E, Norsworthy M, Wolfe C. The Green Freight Handbook 2019.</w:t>
      </w:r>
    </w:p>
    <w:p w14:paraId="0926EB9E" w14:textId="77777777" w:rsidR="006A1D8D" w:rsidRDefault="006A1D8D" w:rsidP="006A1D8D">
      <w:pPr>
        <w:pStyle w:val="Bibliography"/>
      </w:pPr>
      <w:r>
        <w:t>[154]</w:t>
      </w:r>
      <w:r>
        <w:tab/>
        <w:t>LyondellBasell. Bayport Polymers Facility 2024. https://www.lyondellbasell.com/en/bayport-polymers-plant/ (accessed November 13, 2024).</w:t>
      </w:r>
    </w:p>
    <w:p w14:paraId="3529CD4A" w14:textId="77777777" w:rsidR="006A1D8D" w:rsidRDefault="006A1D8D" w:rsidP="006A1D8D">
      <w:pPr>
        <w:pStyle w:val="Bibliography"/>
      </w:pPr>
      <w:r>
        <w:t>[155]</w:t>
      </w:r>
      <w:r>
        <w:tab/>
        <w:t>Magris Performance Materials. Magris Talc 2023. https://www.magrispm.com/magristalc (accessed November 13, 2024).</w:t>
      </w:r>
    </w:p>
    <w:p w14:paraId="1FB54EE6" w14:textId="77777777" w:rsidR="006A1D8D" w:rsidRDefault="006A1D8D" w:rsidP="006A1D8D">
      <w:pPr>
        <w:pStyle w:val="Bibliography"/>
      </w:pPr>
      <w:r>
        <w:t>[156]</w:t>
      </w:r>
      <w:r>
        <w:tab/>
        <w:t>Wang M, Elgowainy A, Lu Z, Baek K, Balchandani S, Benavides P, et al. Greenhouse gases, Regulated Emissions, and Energy use in Technologies Model ® (2023 .Net) 2023. https://doi.org/10.11578/GREET-NET-2023/DC.20230907.2.</w:t>
      </w:r>
    </w:p>
    <w:p w14:paraId="09A09E2E" w14:textId="66D39847" w:rsidR="006A1D8D" w:rsidRDefault="006A1D8D" w:rsidP="006A1D8D">
      <w:pPr>
        <w:pStyle w:val="Bibliography"/>
      </w:pPr>
      <w:r>
        <w:t>[157]</w:t>
      </w:r>
      <w:r>
        <w:tab/>
        <w:t>Jubinville D, Esmizadeh E, Tzoganakis C, Mekonnen T. Thermo-mechanical recycling of polypropylene for the facile and scalable fabrication of highly loaded wood plastic composites. Compos Part B Eng 2021;219:108873. https://doi.org/10.1016/j.compositesb.2021.108873.</w:t>
      </w:r>
      <w:r w:rsidR="00EC046B">
        <w:t xml:space="preserve"> </w:t>
      </w:r>
    </w:p>
    <w:p w14:paraId="71E10F45" w14:textId="77777777" w:rsidR="006A1D8D" w:rsidRDefault="006A1D8D" w:rsidP="006A1D8D">
      <w:pPr>
        <w:pStyle w:val="Bibliography"/>
      </w:pPr>
      <w:r>
        <w:t>[158]</w:t>
      </w:r>
      <w:r>
        <w:tab/>
        <w:t>Plastic Recyclers Europe. HDPE &amp; PP Market In Europe: State of Play. Brussels, Belgium: Plastics Recyclers Europe (PRE); 2020.</w:t>
      </w:r>
    </w:p>
    <w:p w14:paraId="6213AB9F" w14:textId="77777777" w:rsidR="006A1D8D" w:rsidRDefault="006A1D8D" w:rsidP="006A1D8D">
      <w:pPr>
        <w:pStyle w:val="Bibliography"/>
      </w:pPr>
      <w:r>
        <w:t>[159]</w:t>
      </w:r>
      <w:r>
        <w:tab/>
        <w:t>Azevedo M, Moore A, Van den Heuvel C, Van Hoey M. Capturing the green-premium value from sustainable materials 2022.</w:t>
      </w:r>
    </w:p>
    <w:p w14:paraId="27ABDFC9" w14:textId="3E8F802A" w:rsidR="00EC046B" w:rsidRDefault="006A1D8D" w:rsidP="006A1D8D">
      <w:pPr>
        <w:pStyle w:val="Bibliography"/>
      </w:pPr>
      <w:r>
        <w:t>[160]</w:t>
      </w:r>
      <w:r>
        <w:tab/>
        <w:t>Maverengo H, Inambao FL, Ilupeju S. Pulp And Paper Industry: A Review. Tuijin JishuJournal Propuls Technol 2023;44:3594–602. https://doi.org/10.52783/tjjpt.v44.i5.3356.</w:t>
      </w:r>
    </w:p>
    <w:p w14:paraId="32EF8EDB" w14:textId="77777777" w:rsidR="00970B86" w:rsidRDefault="00970B86" w:rsidP="00970B86"/>
    <w:p w14:paraId="3F94942E" w14:textId="635DBC20" w:rsidR="00586911" w:rsidRPr="00586911" w:rsidRDefault="006B02BB" w:rsidP="00970B86">
      <w:pPr>
        <w:spacing w:after="160" w:line="259" w:lineRule="auto"/>
        <w:ind w:firstLine="0"/>
        <w:jc w:val="left"/>
      </w:pPr>
      <w:r>
        <w:fldChar w:fldCharType="end"/>
      </w:r>
    </w:p>
    <w:sectPr w:rsidR="00586911" w:rsidRPr="00586911" w:rsidSect="006B02BB">
      <w:pgSz w:w="12240" w:h="15840"/>
      <w:pgMar w:top="1440" w:right="1800" w:bottom="1872"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Grubb, Cecile Austin" w:date="2024-04-26T14:56:00Z" w:initials="C">
    <w:p w14:paraId="27346EF8" w14:textId="77777777" w:rsidR="006B02BB" w:rsidRDefault="006B02BB" w:rsidP="006B02BB">
      <w:pPr>
        <w:pStyle w:val="CommentText1"/>
        <w:jc w:val="left"/>
      </w:pPr>
      <w:r>
        <w:rPr>
          <w:rStyle w:val="CommentReference"/>
        </w:rPr>
        <w:annotationRef/>
      </w:r>
      <w:r>
        <w:t>Add to 3</w:t>
      </w:r>
      <w:r>
        <w:rPr>
          <w:vertAlign w:val="superscript"/>
        </w:rPr>
        <w:t>rd</w:t>
      </w:r>
      <w:r>
        <w:t xml:space="preserve"> sig fig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346EF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5D921D" w16cex:dateUtc="2024-04-26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346EF8" w16cid:durableId="195D92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4D05A" w14:textId="77777777" w:rsidR="007730DB" w:rsidRDefault="007730DB" w:rsidP="0017150C">
      <w:pPr>
        <w:spacing w:line="240" w:lineRule="auto"/>
      </w:pPr>
      <w:r>
        <w:separator/>
      </w:r>
    </w:p>
  </w:endnote>
  <w:endnote w:type="continuationSeparator" w:id="0">
    <w:p w14:paraId="3A45FE5F" w14:textId="77777777" w:rsidR="007730DB" w:rsidRDefault="007730DB" w:rsidP="00171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975364"/>
      <w:docPartObj>
        <w:docPartGallery w:val="Page Numbers (Bottom of Page)"/>
        <w:docPartUnique/>
      </w:docPartObj>
    </w:sdtPr>
    <w:sdtEndPr>
      <w:rPr>
        <w:noProof/>
      </w:rPr>
    </w:sdtEndPr>
    <w:sdtContent>
      <w:p w14:paraId="5BC7B451" w14:textId="062C3159" w:rsidR="0017150C" w:rsidRDefault="001715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071525" w14:textId="77777777" w:rsidR="0017150C" w:rsidRDefault="0017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CDF1C" w14:textId="77777777" w:rsidR="007730DB" w:rsidRDefault="007730DB" w:rsidP="0017150C">
      <w:pPr>
        <w:spacing w:line="240" w:lineRule="auto"/>
      </w:pPr>
      <w:r>
        <w:separator/>
      </w:r>
    </w:p>
  </w:footnote>
  <w:footnote w:type="continuationSeparator" w:id="0">
    <w:p w14:paraId="13863935" w14:textId="77777777" w:rsidR="007730DB" w:rsidRDefault="007730DB" w:rsidP="001715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4FFB"/>
    <w:multiLevelType w:val="hybridMultilevel"/>
    <w:tmpl w:val="E8F458D8"/>
    <w:lvl w:ilvl="0" w:tplc="7F1844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DB035F"/>
    <w:multiLevelType w:val="multilevel"/>
    <w:tmpl w:val="B3F06C80"/>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4529652">
    <w:abstractNumId w:val="1"/>
  </w:num>
  <w:num w:numId="2" w16cid:durableId="3668790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ubb, Cecile Austin">
    <w15:presenceInfo w15:providerId="AD" w15:userId="S::cgrubb4@vols.utk.edu::6dae2eeb-701b-4006-bfc2-3defb7f9b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20"/>
    <w:rsid w:val="000133C5"/>
    <w:rsid w:val="0005232A"/>
    <w:rsid w:val="000C37DC"/>
    <w:rsid w:val="000F0CD0"/>
    <w:rsid w:val="00132420"/>
    <w:rsid w:val="0017150C"/>
    <w:rsid w:val="00184379"/>
    <w:rsid w:val="00195CAD"/>
    <w:rsid w:val="001A3AB6"/>
    <w:rsid w:val="001E2BDE"/>
    <w:rsid w:val="001E485F"/>
    <w:rsid w:val="001F2B32"/>
    <w:rsid w:val="00246DDC"/>
    <w:rsid w:val="00301BE6"/>
    <w:rsid w:val="003746F7"/>
    <w:rsid w:val="004202E9"/>
    <w:rsid w:val="0043555C"/>
    <w:rsid w:val="004A1F6D"/>
    <w:rsid w:val="004A6E6B"/>
    <w:rsid w:val="004E55F3"/>
    <w:rsid w:val="005304A1"/>
    <w:rsid w:val="00535A41"/>
    <w:rsid w:val="00585B95"/>
    <w:rsid w:val="00586911"/>
    <w:rsid w:val="005D28EB"/>
    <w:rsid w:val="006144C5"/>
    <w:rsid w:val="006664DE"/>
    <w:rsid w:val="00677A40"/>
    <w:rsid w:val="006A1D8D"/>
    <w:rsid w:val="006B02BB"/>
    <w:rsid w:val="007016BF"/>
    <w:rsid w:val="00767F36"/>
    <w:rsid w:val="007730DB"/>
    <w:rsid w:val="007D148E"/>
    <w:rsid w:val="0080518D"/>
    <w:rsid w:val="00894444"/>
    <w:rsid w:val="008B73EF"/>
    <w:rsid w:val="008F4101"/>
    <w:rsid w:val="009165A6"/>
    <w:rsid w:val="00944B6E"/>
    <w:rsid w:val="00970B86"/>
    <w:rsid w:val="009A0342"/>
    <w:rsid w:val="009D7D66"/>
    <w:rsid w:val="00A22189"/>
    <w:rsid w:val="00C34425"/>
    <w:rsid w:val="00C516CB"/>
    <w:rsid w:val="00C52A43"/>
    <w:rsid w:val="00C578BF"/>
    <w:rsid w:val="00CC1889"/>
    <w:rsid w:val="00D35DE1"/>
    <w:rsid w:val="00D45E17"/>
    <w:rsid w:val="00D82520"/>
    <w:rsid w:val="00D9032B"/>
    <w:rsid w:val="00EC046B"/>
    <w:rsid w:val="00F0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1C94"/>
  <w15:chartTrackingRefBased/>
  <w15:docId w15:val="{368F2ABB-F51A-44D4-9631-BF0AAFB1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20"/>
    <w:pPr>
      <w:spacing w:after="0" w:line="360" w:lineRule="auto"/>
      <w:ind w:firstLine="720"/>
      <w:jc w:val="both"/>
    </w:pPr>
    <w:rPr>
      <w:rFonts w:ascii="Times New Roman" w:eastAsia="Times New Roman" w:hAnsi="Times New Roman" w:cs="Times New Roman"/>
      <w:kern w:val="0"/>
      <w:sz w:val="24"/>
      <w:szCs w:val="24"/>
      <w14:ligatures w14:val="none"/>
    </w:rPr>
  </w:style>
  <w:style w:type="paragraph" w:styleId="Heading1">
    <w:name w:val="heading 1"/>
    <w:aliases w:val="Chapter Titles"/>
    <w:basedOn w:val="Normal"/>
    <w:next w:val="Normal"/>
    <w:link w:val="Heading1Char"/>
    <w:uiPriority w:val="9"/>
    <w:qFormat/>
    <w:rsid w:val="00132420"/>
    <w:pPr>
      <w:keepNext/>
      <w:keepLines/>
      <w:spacing w:before="360" w:after="80"/>
      <w:jc w:val="center"/>
      <w:outlineLvl w:val="0"/>
    </w:pPr>
    <w:rPr>
      <w:rFonts w:eastAsiaTheme="majorEastAsia"/>
      <w:b/>
      <w:bCs/>
      <w:sz w:val="56"/>
      <w:szCs w:val="56"/>
    </w:rPr>
  </w:style>
  <w:style w:type="paragraph" w:styleId="Heading2">
    <w:name w:val="heading 2"/>
    <w:basedOn w:val="Normal"/>
    <w:next w:val="Normal"/>
    <w:link w:val="Heading2Char"/>
    <w:uiPriority w:val="9"/>
    <w:unhideWhenUsed/>
    <w:qFormat/>
    <w:rsid w:val="005304A1"/>
    <w:pPr>
      <w:keepNext/>
      <w:keepLines/>
      <w:spacing w:before="120" w:line="480" w:lineRule="auto"/>
      <w:ind w:firstLine="0"/>
      <w:outlineLvl w:val="1"/>
    </w:pPr>
    <w:rPr>
      <w:rFonts w:eastAsiaTheme="majorEastAsia"/>
      <w:b/>
      <w:bCs/>
      <w:i/>
      <w:iCs/>
    </w:rPr>
  </w:style>
  <w:style w:type="paragraph" w:styleId="Heading3">
    <w:name w:val="heading 3"/>
    <w:basedOn w:val="Normal"/>
    <w:next w:val="Normal"/>
    <w:link w:val="Heading3Char"/>
    <w:unhideWhenUsed/>
    <w:qFormat/>
    <w:rsid w:val="009165A6"/>
    <w:pPr>
      <w:keepNext/>
      <w:keepLines/>
      <w:ind w:firstLine="0"/>
      <w:outlineLvl w:val="2"/>
    </w:pPr>
    <w:rPr>
      <w:rFonts w:eastAsiaTheme="majorEastAsia" w:cstheme="majorBidi"/>
      <w:i/>
      <w:iCs/>
    </w:rPr>
  </w:style>
  <w:style w:type="paragraph" w:styleId="Heading4">
    <w:name w:val="heading 4"/>
    <w:basedOn w:val="Normal"/>
    <w:next w:val="Normal"/>
    <w:link w:val="Heading4Char"/>
    <w:unhideWhenUsed/>
    <w:rsid w:val="001324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1324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324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324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1324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1324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s Char"/>
    <w:basedOn w:val="DefaultParagraphFont"/>
    <w:link w:val="Heading1"/>
    <w:uiPriority w:val="9"/>
    <w:rsid w:val="00132420"/>
    <w:rPr>
      <w:rFonts w:ascii="Times New Roman" w:eastAsiaTheme="majorEastAsia" w:hAnsi="Times New Roman" w:cs="Times New Roman"/>
      <w:b/>
      <w:bCs/>
      <w:kern w:val="0"/>
      <w:sz w:val="56"/>
      <w:szCs w:val="56"/>
      <w14:ligatures w14:val="none"/>
    </w:rPr>
  </w:style>
  <w:style w:type="character" w:customStyle="1" w:styleId="Heading2Char">
    <w:name w:val="Heading 2 Char"/>
    <w:basedOn w:val="DefaultParagraphFont"/>
    <w:link w:val="Heading2"/>
    <w:uiPriority w:val="9"/>
    <w:rsid w:val="005304A1"/>
    <w:rPr>
      <w:rFonts w:ascii="Times New Roman" w:eastAsiaTheme="majorEastAsia" w:hAnsi="Times New Roman" w:cs="Times New Roman"/>
      <w:b/>
      <w:bCs/>
      <w:i/>
      <w:iCs/>
      <w:kern w:val="0"/>
      <w:sz w:val="24"/>
      <w:szCs w:val="24"/>
      <w14:ligatures w14:val="none"/>
    </w:rPr>
  </w:style>
  <w:style w:type="character" w:customStyle="1" w:styleId="Heading3Char">
    <w:name w:val="Heading 3 Char"/>
    <w:basedOn w:val="DefaultParagraphFont"/>
    <w:link w:val="Heading3"/>
    <w:rsid w:val="009165A6"/>
    <w:rPr>
      <w:rFonts w:ascii="Times New Roman" w:eastAsiaTheme="majorEastAsia" w:hAnsi="Times New Roman" w:cstheme="majorBidi"/>
      <w:i/>
      <w:iCs/>
      <w:kern w:val="0"/>
      <w:sz w:val="24"/>
      <w:szCs w:val="24"/>
      <w14:ligatures w14:val="none"/>
    </w:rPr>
  </w:style>
  <w:style w:type="character" w:customStyle="1" w:styleId="Heading4Char">
    <w:name w:val="Heading 4 Char"/>
    <w:basedOn w:val="DefaultParagraphFont"/>
    <w:link w:val="Heading4"/>
    <w:uiPriority w:val="9"/>
    <w:semiHidden/>
    <w:rsid w:val="001324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4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420"/>
    <w:rPr>
      <w:rFonts w:eastAsiaTheme="majorEastAsia" w:cstheme="majorBidi"/>
      <w:color w:val="272727" w:themeColor="text1" w:themeTint="D8"/>
    </w:rPr>
  </w:style>
  <w:style w:type="paragraph" w:styleId="Title">
    <w:name w:val="Title"/>
    <w:basedOn w:val="Normal"/>
    <w:next w:val="Normal"/>
    <w:link w:val="TitleChar"/>
    <w:uiPriority w:val="10"/>
    <w:rsid w:val="00132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132420"/>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132420"/>
    <w:pPr>
      <w:spacing w:before="160"/>
      <w:jc w:val="center"/>
    </w:pPr>
    <w:rPr>
      <w:i/>
      <w:iCs/>
      <w:color w:val="404040" w:themeColor="text1" w:themeTint="BF"/>
    </w:rPr>
  </w:style>
  <w:style w:type="character" w:customStyle="1" w:styleId="QuoteChar">
    <w:name w:val="Quote Char"/>
    <w:basedOn w:val="DefaultParagraphFont"/>
    <w:link w:val="Quote"/>
    <w:uiPriority w:val="29"/>
    <w:rsid w:val="00132420"/>
    <w:rPr>
      <w:i/>
      <w:iCs/>
      <w:color w:val="404040" w:themeColor="text1" w:themeTint="BF"/>
    </w:rPr>
  </w:style>
  <w:style w:type="paragraph" w:styleId="ListParagraph">
    <w:name w:val="List Paragraph"/>
    <w:basedOn w:val="Normal"/>
    <w:uiPriority w:val="34"/>
    <w:rsid w:val="00132420"/>
    <w:pPr>
      <w:ind w:left="720"/>
      <w:contextualSpacing/>
    </w:pPr>
  </w:style>
  <w:style w:type="character" w:styleId="IntenseEmphasis">
    <w:name w:val="Intense Emphasis"/>
    <w:basedOn w:val="DefaultParagraphFont"/>
    <w:uiPriority w:val="21"/>
    <w:rsid w:val="00132420"/>
    <w:rPr>
      <w:i/>
      <w:iCs/>
      <w:color w:val="0F4761" w:themeColor="accent1" w:themeShade="BF"/>
    </w:rPr>
  </w:style>
  <w:style w:type="paragraph" w:styleId="IntenseQuote">
    <w:name w:val="Intense Quote"/>
    <w:basedOn w:val="Normal"/>
    <w:next w:val="Normal"/>
    <w:link w:val="IntenseQuoteChar"/>
    <w:uiPriority w:val="30"/>
    <w:rsid w:val="00132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420"/>
    <w:rPr>
      <w:i/>
      <w:iCs/>
      <w:color w:val="0F4761" w:themeColor="accent1" w:themeShade="BF"/>
    </w:rPr>
  </w:style>
  <w:style w:type="character" w:styleId="IntenseReference">
    <w:name w:val="Intense Reference"/>
    <w:basedOn w:val="DefaultParagraphFont"/>
    <w:uiPriority w:val="32"/>
    <w:rsid w:val="00132420"/>
    <w:rPr>
      <w:b/>
      <w:bCs/>
      <w:smallCaps/>
      <w:color w:val="0F4761" w:themeColor="accent1" w:themeShade="BF"/>
      <w:spacing w:val="5"/>
    </w:rPr>
  </w:style>
  <w:style w:type="paragraph" w:customStyle="1" w:styleId="MajorHeadings">
    <w:name w:val="Major Headings"/>
    <w:basedOn w:val="Normal"/>
    <w:link w:val="MajorHeadingsChar"/>
    <w:qFormat/>
    <w:rsid w:val="00132420"/>
    <w:pPr>
      <w:numPr>
        <w:ilvl w:val="12"/>
      </w:numPr>
      <w:autoSpaceDE w:val="0"/>
      <w:autoSpaceDN w:val="0"/>
      <w:adjustRightInd w:val="0"/>
      <w:spacing w:line="480" w:lineRule="auto"/>
      <w:ind w:firstLine="720"/>
      <w:jc w:val="center"/>
      <w:outlineLvl w:val="0"/>
    </w:pPr>
    <w:rPr>
      <w:b/>
      <w:caps/>
      <w:color w:val="000000"/>
    </w:rPr>
  </w:style>
  <w:style w:type="character" w:customStyle="1" w:styleId="MajorHeadingsChar">
    <w:name w:val="Major Headings Char"/>
    <w:basedOn w:val="DefaultParagraphFont"/>
    <w:link w:val="MajorHeadings"/>
    <w:rsid w:val="00132420"/>
    <w:rPr>
      <w:rFonts w:ascii="Times New Roman" w:eastAsia="Times New Roman" w:hAnsi="Times New Roman" w:cs="Times New Roman"/>
      <w:b/>
      <w:caps/>
      <w:color w:val="000000"/>
      <w:kern w:val="0"/>
      <w:sz w:val="24"/>
      <w:szCs w:val="24"/>
      <w14:ligatures w14:val="none"/>
    </w:rPr>
  </w:style>
  <w:style w:type="paragraph" w:customStyle="1" w:styleId="Normal-Centered">
    <w:name w:val="Normal - Centered"/>
    <w:basedOn w:val="Normal"/>
    <w:link w:val="Normal-CenteredChar"/>
    <w:qFormat/>
    <w:rsid w:val="00132420"/>
    <w:pPr>
      <w:jc w:val="center"/>
    </w:pPr>
  </w:style>
  <w:style w:type="character" w:customStyle="1" w:styleId="Normal-CenteredChar">
    <w:name w:val="Normal - Centered Char"/>
    <w:basedOn w:val="DefaultParagraphFont"/>
    <w:link w:val="Normal-Centered"/>
    <w:rsid w:val="00132420"/>
    <w:rPr>
      <w:rFonts w:ascii="Times New Roman" w:eastAsia="Times New Roman" w:hAnsi="Times New Roman" w:cs="Times New Roman"/>
      <w:kern w:val="0"/>
      <w:sz w:val="24"/>
      <w:szCs w:val="24"/>
      <w14:ligatures w14:val="none"/>
    </w:rPr>
  </w:style>
  <w:style w:type="paragraph" w:customStyle="1" w:styleId="BodyTextv1">
    <w:name w:val="Body Text v1"/>
    <w:basedOn w:val="Heading3"/>
    <w:link w:val="BodyTextv1Char"/>
    <w:rsid w:val="00246DDC"/>
    <w:pPr>
      <w:keepLines w:val="0"/>
      <w:numPr>
        <w:ilvl w:val="2"/>
      </w:numPr>
    </w:pPr>
    <w:rPr>
      <w:rFonts w:eastAsia="Times New Roman" w:cs="Times New Roman"/>
      <w:b/>
      <w:bCs/>
      <w:i w:val="0"/>
      <w:iCs w:val="0"/>
    </w:rPr>
  </w:style>
  <w:style w:type="character" w:customStyle="1" w:styleId="BodyTextv1Char">
    <w:name w:val="Body Text v1 Char"/>
    <w:basedOn w:val="Heading3Char"/>
    <w:link w:val="BodyTextv1"/>
    <w:rsid w:val="00246DDC"/>
    <w:rPr>
      <w:rFonts w:ascii="Times New Roman" w:eastAsia="Times New Roman" w:hAnsi="Times New Roman" w:cs="Times New Roman"/>
      <w:b/>
      <w:bCs/>
      <w:i w:val="0"/>
      <w:iCs w:val="0"/>
      <w:kern w:val="0"/>
      <w:sz w:val="24"/>
      <w:szCs w:val="24"/>
      <w14:ligatures w14:val="none"/>
    </w:rPr>
  </w:style>
  <w:style w:type="table" w:styleId="TableGrid">
    <w:name w:val="Table Grid"/>
    <w:basedOn w:val="TableNormal"/>
    <w:uiPriority w:val="39"/>
    <w:rsid w:val="001A3AB6"/>
    <w:pPr>
      <w:spacing w:after="0" w:line="240" w:lineRule="auto"/>
    </w:pPr>
    <w:rPr>
      <w:rFonts w:ascii="Times New Roman" w:eastAsia="Times New Roman" w:hAnsi="Times New Roman"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1A3AB6"/>
    <w:pPr>
      <w:spacing w:after="160" w:line="259" w:lineRule="auto"/>
      <w:ind w:firstLine="0"/>
      <w:jc w:val="left"/>
    </w:pPr>
    <w:rPr>
      <w:b/>
      <w:bCs/>
    </w:rPr>
  </w:style>
  <w:style w:type="character" w:customStyle="1" w:styleId="TableHeadingChar">
    <w:name w:val="Table Heading Char"/>
    <w:basedOn w:val="DefaultParagraphFont"/>
    <w:link w:val="TableHeading"/>
    <w:rsid w:val="001A3AB6"/>
    <w:rPr>
      <w:rFonts w:ascii="Times New Roman" w:eastAsia="Times New Roman" w:hAnsi="Times New Roman" w:cs="Times New Roman"/>
      <w:b/>
      <w:bCs/>
      <w:kern w:val="0"/>
      <w:sz w:val="24"/>
      <w:szCs w:val="24"/>
      <w14:ligatures w14:val="none"/>
    </w:rPr>
  </w:style>
  <w:style w:type="paragraph" w:customStyle="1" w:styleId="TableDescription">
    <w:name w:val="Table Description"/>
    <w:basedOn w:val="TableHeading"/>
    <w:link w:val="TableDescriptionChar"/>
    <w:qFormat/>
    <w:rsid w:val="001A3AB6"/>
    <w:rPr>
      <w:b w:val="0"/>
      <w:bCs w:val="0"/>
    </w:rPr>
  </w:style>
  <w:style w:type="character" w:customStyle="1" w:styleId="TableDescriptionChar">
    <w:name w:val="Table Description Char"/>
    <w:basedOn w:val="TableHeadingChar"/>
    <w:link w:val="TableDescription"/>
    <w:rsid w:val="001A3AB6"/>
    <w:rPr>
      <w:rFonts w:ascii="Times New Roman" w:eastAsia="Times New Roman" w:hAnsi="Times New Roman" w:cs="Times New Roman"/>
      <w:b w:val="0"/>
      <w:bCs w:val="0"/>
      <w:kern w:val="0"/>
      <w:sz w:val="24"/>
      <w:szCs w:val="24"/>
      <w14:ligatures w14:val="none"/>
    </w:rPr>
  </w:style>
  <w:style w:type="character" w:styleId="Hyperlink">
    <w:name w:val="Hyperlink"/>
    <w:basedOn w:val="DefaultParagraphFont"/>
    <w:uiPriority w:val="99"/>
    <w:unhideWhenUsed/>
    <w:rsid w:val="00586911"/>
    <w:rPr>
      <w:color w:val="467886" w:themeColor="hyperlink"/>
      <w:u w:val="single"/>
    </w:rPr>
  </w:style>
  <w:style w:type="character" w:styleId="UnresolvedMention">
    <w:name w:val="Unresolved Mention"/>
    <w:basedOn w:val="DefaultParagraphFont"/>
    <w:uiPriority w:val="99"/>
    <w:semiHidden/>
    <w:unhideWhenUsed/>
    <w:rsid w:val="00586911"/>
    <w:rPr>
      <w:color w:val="605E5C"/>
      <w:shd w:val="clear" w:color="auto" w:fill="E1DFDD"/>
    </w:rPr>
  </w:style>
  <w:style w:type="paragraph" w:customStyle="1" w:styleId="FigureCaption">
    <w:name w:val="Figure Caption"/>
    <w:basedOn w:val="Normal-Centered"/>
    <w:link w:val="FigureCaptionChar"/>
    <w:qFormat/>
    <w:rsid w:val="00586911"/>
    <w:pPr>
      <w:ind w:firstLine="0"/>
    </w:pPr>
    <w:rPr>
      <w:b/>
      <w:bCs/>
      <w:noProof/>
    </w:rPr>
  </w:style>
  <w:style w:type="character" w:customStyle="1" w:styleId="FigureCaptionChar">
    <w:name w:val="Figure Caption Char"/>
    <w:basedOn w:val="Normal-CenteredChar"/>
    <w:link w:val="FigureCaption"/>
    <w:rsid w:val="00586911"/>
    <w:rPr>
      <w:rFonts w:ascii="Times New Roman" w:eastAsia="Times New Roman" w:hAnsi="Times New Roman" w:cs="Times New Roman"/>
      <w:b/>
      <w:bCs/>
      <w:noProof/>
      <w:kern w:val="0"/>
      <w:sz w:val="24"/>
      <w:szCs w:val="24"/>
      <w14:ligatures w14:val="none"/>
    </w:rPr>
  </w:style>
  <w:style w:type="paragraph" w:styleId="Bibliography">
    <w:name w:val="Bibliography"/>
    <w:basedOn w:val="Normal"/>
    <w:next w:val="Normal"/>
    <w:uiPriority w:val="37"/>
    <w:unhideWhenUsed/>
    <w:rsid w:val="006B02BB"/>
    <w:pPr>
      <w:tabs>
        <w:tab w:val="left" w:pos="504"/>
      </w:tabs>
      <w:spacing w:line="240" w:lineRule="auto"/>
      <w:ind w:left="504" w:hanging="504"/>
    </w:pPr>
  </w:style>
  <w:style w:type="table" w:customStyle="1" w:styleId="TableGrid1">
    <w:name w:val="Table Grid1"/>
    <w:basedOn w:val="TableNormal"/>
    <w:next w:val="TableGrid"/>
    <w:uiPriority w:val="39"/>
    <w:rsid w:val="006B02BB"/>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02BB"/>
    <w:rPr>
      <w:sz w:val="16"/>
      <w:szCs w:val="16"/>
    </w:rPr>
  </w:style>
  <w:style w:type="paragraph" w:customStyle="1" w:styleId="CommentText1">
    <w:name w:val="Comment Text1"/>
    <w:basedOn w:val="Normal"/>
    <w:next w:val="CommentText"/>
    <w:link w:val="CommentTextChar"/>
    <w:uiPriority w:val="99"/>
    <w:unhideWhenUsed/>
    <w:rsid w:val="006B02BB"/>
    <w:pPr>
      <w:spacing w:after="160" w:line="240" w:lineRule="auto"/>
      <w:ind w:firstLine="0"/>
    </w:pPr>
    <w:rPr>
      <w:sz w:val="20"/>
      <w:szCs w:val="20"/>
    </w:rPr>
  </w:style>
  <w:style w:type="character" w:customStyle="1" w:styleId="CommentTextChar">
    <w:name w:val="Comment Text Char"/>
    <w:basedOn w:val="DefaultParagraphFont"/>
    <w:link w:val="CommentText1"/>
    <w:uiPriority w:val="99"/>
    <w:rsid w:val="006B02BB"/>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1"/>
    <w:uiPriority w:val="99"/>
    <w:semiHidden/>
    <w:unhideWhenUsed/>
    <w:rsid w:val="006B02BB"/>
    <w:pPr>
      <w:spacing w:line="240" w:lineRule="auto"/>
    </w:pPr>
    <w:rPr>
      <w:sz w:val="20"/>
      <w:szCs w:val="20"/>
    </w:rPr>
  </w:style>
  <w:style w:type="character" w:customStyle="1" w:styleId="CommentTextChar1">
    <w:name w:val="Comment Text Char1"/>
    <w:basedOn w:val="DefaultParagraphFont"/>
    <w:link w:val="CommentText"/>
    <w:uiPriority w:val="99"/>
    <w:semiHidden/>
    <w:rsid w:val="006B02BB"/>
    <w:rPr>
      <w:rFonts w:ascii="Times New Roman" w:eastAsia="Times New Roman" w:hAnsi="Times New Roman" w:cs="Times New Roman"/>
      <w:kern w:val="0"/>
      <w:sz w:val="20"/>
      <w:szCs w:val="20"/>
      <w14:ligatures w14:val="none"/>
    </w:rPr>
  </w:style>
  <w:style w:type="paragraph" w:styleId="Caption">
    <w:name w:val="caption"/>
    <w:basedOn w:val="Normal"/>
    <w:next w:val="Normal"/>
    <w:uiPriority w:val="35"/>
    <w:unhideWhenUsed/>
    <w:qFormat/>
    <w:rsid w:val="000C37DC"/>
    <w:pPr>
      <w:spacing w:after="200" w:line="240" w:lineRule="auto"/>
    </w:pPr>
    <w:rPr>
      <w:i/>
      <w:iCs/>
      <w:color w:val="0E2841" w:themeColor="text2"/>
      <w:sz w:val="18"/>
      <w:szCs w:val="18"/>
    </w:rPr>
  </w:style>
  <w:style w:type="paragraph" w:styleId="NoSpacing">
    <w:name w:val="No Spacing"/>
    <w:uiPriority w:val="1"/>
    <w:rsid w:val="009165A6"/>
    <w:pPr>
      <w:spacing w:after="0" w:line="240" w:lineRule="auto"/>
      <w:ind w:firstLine="720"/>
      <w:jc w:val="both"/>
    </w:pPr>
    <w:rPr>
      <w:rFonts w:ascii="Times New Roman" w:eastAsia="Times New Roman" w:hAnsi="Times New Roman" w:cs="Times New Roman"/>
      <w:kern w:val="0"/>
      <w:sz w:val="24"/>
      <w:szCs w:val="24"/>
      <w14:ligatures w14:val="none"/>
    </w:rPr>
  </w:style>
  <w:style w:type="paragraph" w:styleId="TOC1">
    <w:name w:val="toc 1"/>
    <w:basedOn w:val="Normal"/>
    <w:next w:val="Normal"/>
    <w:autoRedefine/>
    <w:uiPriority w:val="39"/>
    <w:unhideWhenUsed/>
    <w:rsid w:val="00970B86"/>
    <w:pPr>
      <w:spacing w:line="240" w:lineRule="auto"/>
      <w:ind w:firstLine="0"/>
    </w:pPr>
  </w:style>
  <w:style w:type="paragraph" w:styleId="TOC2">
    <w:name w:val="toc 2"/>
    <w:basedOn w:val="Normal"/>
    <w:next w:val="Normal"/>
    <w:autoRedefine/>
    <w:uiPriority w:val="39"/>
    <w:unhideWhenUsed/>
    <w:rsid w:val="00970B86"/>
    <w:pPr>
      <w:spacing w:line="240" w:lineRule="auto"/>
      <w:ind w:left="288"/>
    </w:pPr>
  </w:style>
  <w:style w:type="paragraph" w:styleId="TOC3">
    <w:name w:val="toc 3"/>
    <w:basedOn w:val="Normal"/>
    <w:next w:val="Normal"/>
    <w:autoRedefine/>
    <w:uiPriority w:val="39"/>
    <w:unhideWhenUsed/>
    <w:rsid w:val="00970B86"/>
    <w:pPr>
      <w:spacing w:line="240" w:lineRule="auto"/>
      <w:ind w:left="475"/>
    </w:pPr>
  </w:style>
  <w:style w:type="paragraph" w:customStyle="1" w:styleId="TitlePages">
    <w:name w:val="Title Pages"/>
    <w:basedOn w:val="MajorHeadings"/>
    <w:link w:val="TitlePagesChar"/>
    <w:qFormat/>
    <w:rsid w:val="00D9032B"/>
    <w:rPr>
      <w:lang w:val="en-CA"/>
    </w:rPr>
  </w:style>
  <w:style w:type="character" w:customStyle="1" w:styleId="TitlePagesChar">
    <w:name w:val="Title Pages Char"/>
    <w:basedOn w:val="MajorHeadingsChar"/>
    <w:link w:val="TitlePages"/>
    <w:rsid w:val="00D9032B"/>
    <w:rPr>
      <w:rFonts w:ascii="Times New Roman" w:eastAsia="Times New Roman" w:hAnsi="Times New Roman" w:cs="Times New Roman"/>
      <w:b/>
      <w:caps/>
      <w:color w:val="000000"/>
      <w:kern w:val="0"/>
      <w:sz w:val="24"/>
      <w:szCs w:val="24"/>
      <w:lang w:val="en-CA"/>
      <w14:ligatures w14:val="none"/>
    </w:rPr>
  </w:style>
  <w:style w:type="paragraph" w:styleId="TOCHeading">
    <w:name w:val="TOC Heading"/>
    <w:basedOn w:val="Heading1"/>
    <w:next w:val="Normal"/>
    <w:uiPriority w:val="39"/>
    <w:unhideWhenUsed/>
    <w:qFormat/>
    <w:rsid w:val="0017150C"/>
    <w:pPr>
      <w:spacing w:before="240" w:after="0" w:line="259" w:lineRule="auto"/>
      <w:ind w:firstLine="0"/>
      <w:jc w:val="left"/>
      <w:outlineLvl w:val="9"/>
    </w:pPr>
    <w:rPr>
      <w:rFonts w:asciiTheme="majorHAnsi" w:hAnsiTheme="majorHAnsi" w:cstheme="majorBidi"/>
      <w:b w:val="0"/>
      <w:bCs w:val="0"/>
      <w:color w:val="0F4761" w:themeColor="accent1" w:themeShade="BF"/>
      <w:sz w:val="32"/>
      <w:szCs w:val="32"/>
    </w:rPr>
  </w:style>
  <w:style w:type="paragraph" w:styleId="Header">
    <w:name w:val="header"/>
    <w:basedOn w:val="Normal"/>
    <w:link w:val="HeaderChar"/>
    <w:uiPriority w:val="99"/>
    <w:unhideWhenUsed/>
    <w:rsid w:val="0017150C"/>
    <w:pPr>
      <w:tabs>
        <w:tab w:val="center" w:pos="4680"/>
        <w:tab w:val="right" w:pos="9360"/>
      </w:tabs>
      <w:spacing w:line="240" w:lineRule="auto"/>
    </w:pPr>
  </w:style>
  <w:style w:type="character" w:customStyle="1" w:styleId="HeaderChar">
    <w:name w:val="Header Char"/>
    <w:basedOn w:val="DefaultParagraphFont"/>
    <w:link w:val="Header"/>
    <w:uiPriority w:val="99"/>
    <w:rsid w:val="0017150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17150C"/>
    <w:pPr>
      <w:tabs>
        <w:tab w:val="center" w:pos="4680"/>
        <w:tab w:val="right" w:pos="9360"/>
      </w:tabs>
      <w:spacing w:line="240" w:lineRule="auto"/>
    </w:pPr>
  </w:style>
  <w:style w:type="character" w:customStyle="1" w:styleId="FooterChar">
    <w:name w:val="Footer Char"/>
    <w:basedOn w:val="DefaultParagraphFont"/>
    <w:link w:val="Footer"/>
    <w:uiPriority w:val="99"/>
    <w:rsid w:val="0017150C"/>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5.tif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9.tiff"/><Relationship Id="rId28" Type="http://schemas.openxmlformats.org/officeDocument/2006/relationships/image" Target="media/image14.png"/><Relationship Id="rId10" Type="http://schemas.openxmlformats.org/officeDocument/2006/relationships/image" Target="media/image1.tiff"/><Relationship Id="rId19" Type="http://schemas.openxmlformats.org/officeDocument/2006/relationships/hyperlink" Target="https://doi.org/10.3390/recycling906012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compositesa.2024.108339" TargetMode="External"/><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4321B-0C08-4E22-8582-C715265E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112</Pages>
  <Words>79398</Words>
  <Characters>452572</Characters>
  <Application>Microsoft Office Word</Application>
  <DocSecurity>0</DocSecurity>
  <Lines>3771</Lines>
  <Paragraphs>1061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dc:creator>
  <cp:keywords/>
  <dc:description/>
  <cp:lastModifiedBy>Grubb, Cecile Austin</cp:lastModifiedBy>
  <cp:revision>29</cp:revision>
  <dcterms:created xsi:type="dcterms:W3CDTF">2025-02-17T17:15:00Z</dcterms:created>
  <dcterms:modified xsi:type="dcterms:W3CDTF">2025-02-20T21:56:00Z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id="GrEn1h2x"/&gt;&lt;style id="http://www.zotero.org/styles/composites-part-a"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