
<file path=[Content_Types].xml><?xml version="1.0" encoding="utf-8"?>
<Types xmlns="http://schemas.openxmlformats.org/package/2006/content-types">
  <Default Extension="jpeg" ContentType="image/jpeg"/>
  <Default Extension="jpg" ContentType="application/octet-stream"/>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AA0B6" w14:textId="77777777" w:rsidR="0033629A" w:rsidRDefault="004409CB">
      <w:pPr>
        <w:pStyle w:val="Title"/>
      </w:pPr>
      <w:r>
        <w:t>Science Education to the Rescue? Assessing The Relationship Between Scientific Literacy and Carbon Emissions</w:t>
      </w:r>
    </w:p>
    <w:p w14:paraId="25946160" w14:textId="77777777" w:rsidR="0033629A" w:rsidRDefault="0033629A">
      <w:pPr>
        <w:sectPr w:rsidR="0033629A" w:rsidSect="00B8133B">
          <w:footerReference w:type="default" r:id="rId8"/>
          <w:type w:val="continuous"/>
          <w:pgSz w:w="11952" w:h="16848"/>
          <w:pgMar w:top="1440" w:right="1440" w:bottom="1440" w:left="1440" w:header="720" w:footer="720" w:gutter="0"/>
          <w:cols w:space="720"/>
          <w:titlePg/>
          <w:docGrid w:linePitch="326"/>
        </w:sectPr>
      </w:pPr>
    </w:p>
    <w:p w14:paraId="48687212" w14:textId="77777777" w:rsidR="0033629A" w:rsidRDefault="004409CB">
      <w:pPr>
        <w:pStyle w:val="FirstParagraph"/>
      </w:pPr>
      <w:r>
        <w:br/>
      </w:r>
    </w:p>
    <w:p w14:paraId="69ED0057" w14:textId="77777777" w:rsidR="0033629A" w:rsidRDefault="004409CB">
      <w:pPr>
        <w:pStyle w:val="BodyText"/>
      </w:pPr>
      <w:r>
        <w:br/>
      </w:r>
    </w:p>
    <w:p w14:paraId="443307B6" w14:textId="77777777" w:rsidR="0033629A" w:rsidRDefault="004409CB">
      <w:pPr>
        <w:pStyle w:val="BodyText"/>
      </w:pPr>
      <w:r>
        <w:br/>
      </w:r>
    </w:p>
    <w:p w14:paraId="74BB9F7D" w14:textId="77777777" w:rsidR="0033629A" w:rsidRDefault="004409CB">
      <w:pPr>
        <w:pStyle w:val="BodyText"/>
      </w:pPr>
      <w:r>
        <w:br/>
      </w:r>
    </w:p>
    <w:p w14:paraId="5CE27E76" w14:textId="77777777" w:rsidR="0033629A" w:rsidRDefault="004409CB">
      <w:pPr>
        <w:pStyle w:val="BodyText"/>
        <w:pBdr>
          <w:top w:val="none" w:sz="0" w:space="0" w:color="000000"/>
          <w:left w:val="none" w:sz="0" w:space="0" w:color="000000"/>
          <w:bottom w:val="none" w:sz="0" w:space="0" w:color="000000"/>
          <w:right w:val="none" w:sz="0" w:space="0" w:color="000000"/>
        </w:pBdr>
        <w:spacing w:before="0" w:after="0" w:line="240" w:lineRule="auto"/>
        <w:ind w:firstLine="0"/>
        <w:jc w:val="center"/>
      </w:pPr>
      <w:r>
        <w:rPr>
          <w:rFonts w:eastAsia="Times New Roman"/>
          <w:b/>
          <w:color w:val="000000"/>
          <w:sz w:val="28"/>
          <w:szCs w:val="28"/>
        </w:rPr>
        <w:t>A Dissertation Presented for the</w:t>
      </w:r>
      <w:r>
        <w:t xml:space="preserve"> </w:t>
      </w:r>
    </w:p>
    <w:p w14:paraId="781A5F0A" w14:textId="77777777" w:rsidR="0033629A" w:rsidRDefault="004409CB">
      <w:pPr>
        <w:pStyle w:val="BodyText"/>
        <w:pBdr>
          <w:top w:val="none" w:sz="0" w:space="0" w:color="000000"/>
          <w:left w:val="none" w:sz="0" w:space="0" w:color="000000"/>
          <w:bottom w:val="none" w:sz="0" w:space="0" w:color="000000"/>
          <w:right w:val="none" w:sz="0" w:space="0" w:color="000000"/>
        </w:pBdr>
        <w:spacing w:before="0" w:after="0" w:line="240" w:lineRule="auto"/>
        <w:ind w:firstLine="0"/>
        <w:jc w:val="center"/>
      </w:pPr>
      <w:r>
        <w:rPr>
          <w:rFonts w:eastAsia="Times New Roman"/>
          <w:b/>
          <w:color w:val="000000"/>
          <w:sz w:val="28"/>
          <w:szCs w:val="28"/>
        </w:rPr>
        <w:t>Doctor of Philosophy</w:t>
      </w:r>
      <w:r>
        <w:t xml:space="preserve"> </w:t>
      </w:r>
    </w:p>
    <w:p w14:paraId="26BCEB3C" w14:textId="77777777" w:rsidR="0033629A" w:rsidRDefault="004409CB">
      <w:pPr>
        <w:pStyle w:val="BodyText"/>
        <w:pBdr>
          <w:top w:val="none" w:sz="0" w:space="0" w:color="000000"/>
          <w:left w:val="none" w:sz="0" w:space="0" w:color="000000"/>
          <w:bottom w:val="none" w:sz="0" w:space="0" w:color="000000"/>
          <w:right w:val="none" w:sz="0" w:space="0" w:color="000000"/>
        </w:pBdr>
        <w:spacing w:before="0" w:after="0" w:line="240" w:lineRule="auto"/>
        <w:ind w:firstLine="0"/>
        <w:jc w:val="center"/>
      </w:pPr>
      <w:r>
        <w:rPr>
          <w:rFonts w:eastAsia="Times New Roman"/>
          <w:b/>
          <w:color w:val="000000"/>
          <w:sz w:val="28"/>
          <w:szCs w:val="28"/>
        </w:rPr>
        <w:t>Degree</w:t>
      </w:r>
      <w:r>
        <w:t xml:space="preserve"> </w:t>
      </w:r>
    </w:p>
    <w:p w14:paraId="38992627" w14:textId="77777777" w:rsidR="0033629A" w:rsidRDefault="004409CB">
      <w:pPr>
        <w:pStyle w:val="BodyText"/>
        <w:pBdr>
          <w:top w:val="none" w:sz="0" w:space="0" w:color="000000"/>
          <w:left w:val="none" w:sz="0" w:space="0" w:color="000000"/>
          <w:bottom w:val="none" w:sz="0" w:space="0" w:color="000000"/>
          <w:right w:val="none" w:sz="0" w:space="0" w:color="000000"/>
        </w:pBdr>
        <w:spacing w:before="0" w:after="0" w:line="240" w:lineRule="auto"/>
        <w:ind w:firstLine="0"/>
        <w:jc w:val="center"/>
      </w:pPr>
      <w:r>
        <w:rPr>
          <w:rFonts w:eastAsia="Times New Roman"/>
          <w:b/>
          <w:color w:val="000000"/>
          <w:sz w:val="28"/>
          <w:szCs w:val="28"/>
        </w:rPr>
        <w:t>The University of Tennessee, Knoxville</w:t>
      </w:r>
      <w:r>
        <w:t xml:space="preserve"> </w:t>
      </w:r>
    </w:p>
    <w:p w14:paraId="66597956" w14:textId="77777777" w:rsidR="0033629A" w:rsidRDefault="004409CB">
      <w:pPr>
        <w:pStyle w:val="BodyText"/>
      </w:pPr>
      <w:r>
        <w:br/>
      </w:r>
    </w:p>
    <w:p w14:paraId="1190C9E9" w14:textId="77777777" w:rsidR="0033629A" w:rsidRDefault="004409CB">
      <w:pPr>
        <w:pStyle w:val="BodyText"/>
      </w:pPr>
      <w:r>
        <w:br/>
      </w:r>
    </w:p>
    <w:p w14:paraId="7A9EB82C" w14:textId="77777777" w:rsidR="0033629A" w:rsidRDefault="004409CB">
      <w:pPr>
        <w:pStyle w:val="BodyText"/>
      </w:pPr>
      <w:r>
        <w:br/>
      </w:r>
    </w:p>
    <w:p w14:paraId="360C6998" w14:textId="77777777" w:rsidR="0033629A" w:rsidRDefault="004409CB">
      <w:pPr>
        <w:pStyle w:val="BodyText"/>
        <w:pBdr>
          <w:top w:val="none" w:sz="0" w:space="0" w:color="000000"/>
          <w:left w:val="none" w:sz="0" w:space="0" w:color="000000"/>
          <w:bottom w:val="none" w:sz="0" w:space="0" w:color="000000"/>
          <w:right w:val="none" w:sz="0" w:space="0" w:color="000000"/>
        </w:pBdr>
        <w:spacing w:before="0" w:after="0" w:line="240" w:lineRule="auto"/>
        <w:ind w:firstLine="0"/>
        <w:jc w:val="center"/>
      </w:pPr>
      <w:r>
        <w:rPr>
          <w:rFonts w:eastAsia="Times New Roman"/>
          <w:b/>
          <w:color w:val="000000"/>
          <w:sz w:val="28"/>
          <w:szCs w:val="28"/>
        </w:rPr>
        <w:t>Anthony Schmidt</w:t>
      </w:r>
    </w:p>
    <w:p w14:paraId="153BBE91" w14:textId="003C452C" w:rsidR="0033629A" w:rsidRDefault="00B01696">
      <w:pPr>
        <w:pStyle w:val="BodyText"/>
        <w:pBdr>
          <w:top w:val="none" w:sz="0" w:space="0" w:color="000000"/>
          <w:left w:val="none" w:sz="0" w:space="0" w:color="000000"/>
          <w:bottom w:val="none" w:sz="0" w:space="0" w:color="000000"/>
          <w:right w:val="none" w:sz="0" w:space="0" w:color="000000"/>
        </w:pBdr>
        <w:spacing w:before="0" w:after="0" w:line="240" w:lineRule="auto"/>
        <w:ind w:firstLine="0"/>
        <w:jc w:val="center"/>
      </w:pPr>
      <w:r>
        <w:rPr>
          <w:rFonts w:eastAsia="Times New Roman"/>
          <w:b/>
          <w:color w:val="000000"/>
          <w:sz w:val="28"/>
          <w:szCs w:val="28"/>
        </w:rPr>
        <w:t>August</w:t>
      </w:r>
      <w:r w:rsidR="004409CB">
        <w:rPr>
          <w:rFonts w:eastAsia="Times New Roman"/>
          <w:b/>
          <w:color w:val="000000"/>
          <w:sz w:val="28"/>
          <w:szCs w:val="28"/>
        </w:rPr>
        <w:t xml:space="preserve"> 2022</w:t>
      </w:r>
    </w:p>
    <w:p w14:paraId="300A8C0E" w14:textId="77777777" w:rsidR="0033629A" w:rsidRDefault="004409CB">
      <w:pPr>
        <w:pStyle w:val="BodyText"/>
      </w:pPr>
      <w:r>
        <w:br w:type="page"/>
      </w:r>
    </w:p>
    <w:p w14:paraId="1FABC496" w14:textId="77777777" w:rsidR="0033629A" w:rsidRDefault="004409CB">
      <w:pPr>
        <w:pStyle w:val="BodyText"/>
        <w:pBdr>
          <w:top w:val="none" w:sz="0" w:space="0" w:color="000000"/>
          <w:left w:val="none" w:sz="0" w:space="0" w:color="000000"/>
          <w:bottom w:val="none" w:sz="0" w:space="0" w:color="000000"/>
          <w:right w:val="none" w:sz="0" w:space="0" w:color="000000"/>
        </w:pBdr>
        <w:spacing w:before="0" w:after="0" w:line="240" w:lineRule="auto"/>
        <w:ind w:firstLine="0"/>
        <w:jc w:val="center"/>
      </w:pPr>
      <w:r>
        <w:rPr>
          <w:rFonts w:eastAsia="Times New Roman"/>
          <w:b/>
          <w:color w:val="000000"/>
          <w:sz w:val="28"/>
          <w:szCs w:val="28"/>
        </w:rPr>
        <w:lastRenderedPageBreak/>
        <w:t>DEDICATION</w:t>
      </w:r>
      <w:r>
        <w:t xml:space="preserve"> </w:t>
      </w:r>
    </w:p>
    <w:p w14:paraId="1BA17D9E" w14:textId="77777777" w:rsidR="0033629A" w:rsidRDefault="004409CB" w:rsidP="003C442A">
      <w:pPr>
        <w:pStyle w:val="BodyText"/>
        <w:ind w:firstLine="0"/>
      </w:pPr>
      <w:r>
        <w:t xml:space="preserve">This work is dedicated to my wife, Arysteja, and my children, </w:t>
      </w:r>
      <w:proofErr w:type="gramStart"/>
      <w:r>
        <w:t>Molly</w:t>
      </w:r>
      <w:proofErr w:type="gramEnd"/>
      <w:r>
        <w:t xml:space="preserve"> and Lilly.</w:t>
      </w:r>
    </w:p>
    <w:p w14:paraId="5FAC3813" w14:textId="67DA45BE" w:rsidR="0033629A" w:rsidRDefault="004409CB" w:rsidP="00993683">
      <w:pPr>
        <w:pStyle w:val="BodyText"/>
        <w:ind w:firstLine="0"/>
      </w:pPr>
      <w:r>
        <w:br w:type="page"/>
      </w:r>
    </w:p>
    <w:p w14:paraId="00950B40" w14:textId="77777777" w:rsidR="0033629A" w:rsidRDefault="004409CB">
      <w:pPr>
        <w:pStyle w:val="BodyText"/>
        <w:pBdr>
          <w:top w:val="none" w:sz="0" w:space="0" w:color="000000"/>
          <w:left w:val="none" w:sz="0" w:space="0" w:color="000000"/>
          <w:bottom w:val="none" w:sz="0" w:space="0" w:color="000000"/>
          <w:right w:val="none" w:sz="0" w:space="0" w:color="000000"/>
        </w:pBdr>
        <w:spacing w:before="0" w:after="0" w:line="240" w:lineRule="auto"/>
        <w:ind w:firstLine="0"/>
        <w:jc w:val="center"/>
      </w:pPr>
      <w:r>
        <w:rPr>
          <w:rFonts w:eastAsia="Times New Roman"/>
          <w:b/>
          <w:color w:val="000000"/>
          <w:sz w:val="28"/>
          <w:szCs w:val="28"/>
        </w:rPr>
        <w:lastRenderedPageBreak/>
        <w:t>ABSTRACT</w:t>
      </w:r>
    </w:p>
    <w:p w14:paraId="70DD5556" w14:textId="391A023F" w:rsidR="0033629A" w:rsidRDefault="004409CB">
      <w:pPr>
        <w:pStyle w:val="BodyText"/>
      </w:pPr>
      <w:r>
        <w:t>Human activities have radically changed the climate, negatively impacting all life on earth. The technical means to address this climate crisis exist, but there are major social and political hurdles that stand in the way. Education has been touted as one possible means for helping to move forward necessary action on climate change. A hybrid model of planned behavior and human capital helps explain how education can affect climate change. The current dissertation sought to assess what relationship may exist between changes in per capita carbon emissions and science education as measured by the Programme for International Student Achievement (PISA).</w:t>
      </w:r>
    </w:p>
    <w:p w14:paraId="761FC232" w14:textId="77777777" w:rsidR="0033629A" w:rsidRDefault="004409CB">
      <w:pPr>
        <w:pStyle w:val="BodyText"/>
      </w:pPr>
      <w:r>
        <w:t>Results from multilevel growth models showed that countries with higher scientific literacy scores are significantly associated with higher CO</w:t>
      </w:r>
      <w:r>
        <w:rPr>
          <w:vertAlign w:val="subscript"/>
        </w:rPr>
        <w:t>2</w:t>
      </w:r>
      <w:r>
        <w:t xml:space="preserve"> per capita, though this is likely driven by economics and not directly by education. There were no significant relationships between changes in scientific literacy within a country and changes in that country’s emissions. This suggests evidence for the effect of science education is undetermined.</w:t>
      </w:r>
    </w:p>
    <w:p w14:paraId="3B69EA95" w14:textId="77777777" w:rsidR="0033629A" w:rsidRDefault="004409CB">
      <w:pPr>
        <w:pStyle w:val="BodyText"/>
      </w:pPr>
      <w:r>
        <w:t>Based on this research, it is suggested that shifts in educational policies and practices that emphasizes and integrates science and climate change education across the curricula may have a greater effect on emissions. In addition, science and climate education should be imbued with a focus on effective climate change actions that can foster the individual and systemic changes needed to avert a global catastrophe.</w:t>
      </w:r>
    </w:p>
    <w:p w14:paraId="695917B0" w14:textId="77777777" w:rsidR="0033629A" w:rsidRDefault="004409CB">
      <w:pPr>
        <w:pStyle w:val="BodyText"/>
      </w:pPr>
      <w:r>
        <w:br w:type="page"/>
      </w:r>
    </w:p>
    <w:p w14:paraId="19EEB8AB" w14:textId="77777777" w:rsidR="0033629A" w:rsidRDefault="004409CB">
      <w:pPr>
        <w:pStyle w:val="BodyText"/>
        <w:pBdr>
          <w:top w:val="none" w:sz="0" w:space="0" w:color="000000"/>
          <w:left w:val="none" w:sz="0" w:space="0" w:color="000000"/>
          <w:bottom w:val="none" w:sz="0" w:space="0" w:color="000000"/>
          <w:right w:val="none" w:sz="0" w:space="0" w:color="000000"/>
        </w:pBdr>
        <w:spacing w:before="0" w:after="0" w:line="240" w:lineRule="auto"/>
        <w:ind w:firstLine="0"/>
        <w:jc w:val="center"/>
      </w:pPr>
      <w:r>
        <w:rPr>
          <w:rFonts w:eastAsia="Times New Roman"/>
          <w:b/>
          <w:color w:val="000000"/>
          <w:sz w:val="28"/>
          <w:szCs w:val="28"/>
        </w:rPr>
        <w:lastRenderedPageBreak/>
        <w:t>TABLE OF CONTENTS</w:t>
      </w:r>
    </w:p>
    <w:p w14:paraId="01F0D856" w14:textId="47F52B3B" w:rsidR="003E1682" w:rsidRDefault="004409CB">
      <w:pPr>
        <w:pStyle w:val="TOC1"/>
        <w:tabs>
          <w:tab w:val="right" w:leader="dot" w:pos="9062"/>
        </w:tabs>
        <w:rPr>
          <w:rFonts w:asciiTheme="minorHAnsi" w:eastAsiaTheme="minorEastAsia" w:hAnsiTheme="minorHAnsi" w:cstheme="minorBidi"/>
          <w:noProof/>
          <w:sz w:val="22"/>
          <w:szCs w:val="22"/>
        </w:rPr>
      </w:pPr>
      <w:r>
        <w:fldChar w:fldCharType="begin"/>
      </w:r>
      <w:r>
        <w:instrText>TOC \o "1-3" \h \z \u</w:instrText>
      </w:r>
      <w:r>
        <w:fldChar w:fldCharType="separate"/>
      </w:r>
      <w:hyperlink w:anchor="_Toc107939092" w:history="1">
        <w:r w:rsidR="003E1682" w:rsidRPr="005F5D2F">
          <w:rPr>
            <w:rStyle w:val="Hyperlink"/>
          </w:rPr>
          <w:t>CHAPTER ONE: Introduction</w:t>
        </w:r>
        <w:r w:rsidR="003E1682">
          <w:rPr>
            <w:noProof/>
            <w:webHidden/>
          </w:rPr>
          <w:tab/>
        </w:r>
        <w:r w:rsidR="003E1682">
          <w:rPr>
            <w:noProof/>
            <w:webHidden/>
          </w:rPr>
          <w:fldChar w:fldCharType="begin"/>
        </w:r>
        <w:r w:rsidR="003E1682">
          <w:rPr>
            <w:noProof/>
            <w:webHidden/>
          </w:rPr>
          <w:instrText xml:space="preserve"> PAGEREF _Toc107939092 \h </w:instrText>
        </w:r>
        <w:r w:rsidR="003E1682">
          <w:rPr>
            <w:noProof/>
            <w:webHidden/>
          </w:rPr>
        </w:r>
        <w:r w:rsidR="003E1682">
          <w:rPr>
            <w:noProof/>
            <w:webHidden/>
          </w:rPr>
          <w:fldChar w:fldCharType="separate"/>
        </w:r>
        <w:r w:rsidR="00766923">
          <w:rPr>
            <w:noProof/>
            <w:webHidden/>
          </w:rPr>
          <w:t>1</w:t>
        </w:r>
        <w:r w:rsidR="003E1682">
          <w:rPr>
            <w:noProof/>
            <w:webHidden/>
          </w:rPr>
          <w:fldChar w:fldCharType="end"/>
        </w:r>
      </w:hyperlink>
    </w:p>
    <w:p w14:paraId="0FA8085A" w14:textId="22492813"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093" w:history="1">
        <w:r w:rsidR="003E1682" w:rsidRPr="005F5D2F">
          <w:rPr>
            <w:rStyle w:val="Hyperlink"/>
          </w:rPr>
          <w:t>Politics and Climate Change</w:t>
        </w:r>
        <w:r w:rsidR="003E1682">
          <w:rPr>
            <w:noProof/>
            <w:webHidden/>
          </w:rPr>
          <w:tab/>
        </w:r>
        <w:r w:rsidR="003E1682">
          <w:rPr>
            <w:noProof/>
            <w:webHidden/>
          </w:rPr>
          <w:fldChar w:fldCharType="begin"/>
        </w:r>
        <w:r w:rsidR="003E1682">
          <w:rPr>
            <w:noProof/>
            <w:webHidden/>
          </w:rPr>
          <w:instrText xml:space="preserve"> PAGEREF _Toc107939093 \h </w:instrText>
        </w:r>
        <w:r w:rsidR="003E1682">
          <w:rPr>
            <w:noProof/>
            <w:webHidden/>
          </w:rPr>
        </w:r>
        <w:r w:rsidR="003E1682">
          <w:rPr>
            <w:noProof/>
            <w:webHidden/>
          </w:rPr>
          <w:fldChar w:fldCharType="separate"/>
        </w:r>
        <w:r w:rsidR="00766923">
          <w:rPr>
            <w:noProof/>
            <w:webHidden/>
          </w:rPr>
          <w:t>4</w:t>
        </w:r>
        <w:r w:rsidR="003E1682">
          <w:rPr>
            <w:noProof/>
            <w:webHidden/>
          </w:rPr>
          <w:fldChar w:fldCharType="end"/>
        </w:r>
      </w:hyperlink>
    </w:p>
    <w:p w14:paraId="3C552583" w14:textId="060B6D32"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094" w:history="1">
        <w:r w:rsidR="003E1682" w:rsidRPr="005F5D2F">
          <w:rPr>
            <w:rStyle w:val="Hyperlink"/>
          </w:rPr>
          <w:t>The Role of Education</w:t>
        </w:r>
        <w:r w:rsidR="003E1682">
          <w:rPr>
            <w:noProof/>
            <w:webHidden/>
          </w:rPr>
          <w:tab/>
        </w:r>
        <w:r w:rsidR="003E1682">
          <w:rPr>
            <w:noProof/>
            <w:webHidden/>
          </w:rPr>
          <w:fldChar w:fldCharType="begin"/>
        </w:r>
        <w:r w:rsidR="003E1682">
          <w:rPr>
            <w:noProof/>
            <w:webHidden/>
          </w:rPr>
          <w:instrText xml:space="preserve"> PAGEREF _Toc107939094 \h </w:instrText>
        </w:r>
        <w:r w:rsidR="003E1682">
          <w:rPr>
            <w:noProof/>
            <w:webHidden/>
          </w:rPr>
        </w:r>
        <w:r w:rsidR="003E1682">
          <w:rPr>
            <w:noProof/>
            <w:webHidden/>
          </w:rPr>
          <w:fldChar w:fldCharType="separate"/>
        </w:r>
        <w:r w:rsidR="00766923">
          <w:rPr>
            <w:noProof/>
            <w:webHidden/>
          </w:rPr>
          <w:t>7</w:t>
        </w:r>
        <w:r w:rsidR="003E1682">
          <w:rPr>
            <w:noProof/>
            <w:webHidden/>
          </w:rPr>
          <w:fldChar w:fldCharType="end"/>
        </w:r>
      </w:hyperlink>
    </w:p>
    <w:p w14:paraId="298CE1A4" w14:textId="73C53524"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095" w:history="1">
        <w:r w:rsidR="003E1682" w:rsidRPr="005F5D2F">
          <w:rPr>
            <w:rStyle w:val="Hyperlink"/>
          </w:rPr>
          <w:t>Purpose of the Study</w:t>
        </w:r>
        <w:r w:rsidR="003E1682">
          <w:rPr>
            <w:noProof/>
            <w:webHidden/>
          </w:rPr>
          <w:tab/>
        </w:r>
        <w:r w:rsidR="003E1682">
          <w:rPr>
            <w:noProof/>
            <w:webHidden/>
          </w:rPr>
          <w:fldChar w:fldCharType="begin"/>
        </w:r>
        <w:r w:rsidR="003E1682">
          <w:rPr>
            <w:noProof/>
            <w:webHidden/>
          </w:rPr>
          <w:instrText xml:space="preserve"> PAGEREF _Toc107939095 \h </w:instrText>
        </w:r>
        <w:r w:rsidR="003E1682">
          <w:rPr>
            <w:noProof/>
            <w:webHidden/>
          </w:rPr>
        </w:r>
        <w:r w:rsidR="003E1682">
          <w:rPr>
            <w:noProof/>
            <w:webHidden/>
          </w:rPr>
          <w:fldChar w:fldCharType="separate"/>
        </w:r>
        <w:r w:rsidR="00766923">
          <w:rPr>
            <w:noProof/>
            <w:webHidden/>
          </w:rPr>
          <w:t>9</w:t>
        </w:r>
        <w:r w:rsidR="003E1682">
          <w:rPr>
            <w:noProof/>
            <w:webHidden/>
          </w:rPr>
          <w:fldChar w:fldCharType="end"/>
        </w:r>
      </w:hyperlink>
    </w:p>
    <w:p w14:paraId="1CB91C42" w14:textId="3476ED02" w:rsidR="003E1682" w:rsidRDefault="00710174">
      <w:pPr>
        <w:pStyle w:val="TOC1"/>
        <w:tabs>
          <w:tab w:val="right" w:leader="dot" w:pos="9062"/>
        </w:tabs>
        <w:rPr>
          <w:rFonts w:asciiTheme="minorHAnsi" w:eastAsiaTheme="minorEastAsia" w:hAnsiTheme="minorHAnsi" w:cstheme="minorBidi"/>
          <w:noProof/>
          <w:sz w:val="22"/>
          <w:szCs w:val="22"/>
        </w:rPr>
      </w:pPr>
      <w:hyperlink w:anchor="_Toc107939096" w:history="1">
        <w:r w:rsidR="003E1682" w:rsidRPr="005F5D2F">
          <w:rPr>
            <w:rStyle w:val="Hyperlink"/>
          </w:rPr>
          <w:t>CHAPTER TWO: Literature Review</w:t>
        </w:r>
        <w:r w:rsidR="003E1682">
          <w:rPr>
            <w:noProof/>
            <w:webHidden/>
          </w:rPr>
          <w:tab/>
        </w:r>
        <w:r w:rsidR="003E1682">
          <w:rPr>
            <w:noProof/>
            <w:webHidden/>
          </w:rPr>
          <w:fldChar w:fldCharType="begin"/>
        </w:r>
        <w:r w:rsidR="003E1682">
          <w:rPr>
            <w:noProof/>
            <w:webHidden/>
          </w:rPr>
          <w:instrText xml:space="preserve"> PAGEREF _Toc107939096 \h </w:instrText>
        </w:r>
        <w:r w:rsidR="003E1682">
          <w:rPr>
            <w:noProof/>
            <w:webHidden/>
          </w:rPr>
        </w:r>
        <w:r w:rsidR="003E1682">
          <w:rPr>
            <w:noProof/>
            <w:webHidden/>
          </w:rPr>
          <w:fldChar w:fldCharType="separate"/>
        </w:r>
        <w:r w:rsidR="00766923">
          <w:rPr>
            <w:noProof/>
            <w:webHidden/>
          </w:rPr>
          <w:t>11</w:t>
        </w:r>
        <w:r w:rsidR="003E1682">
          <w:rPr>
            <w:noProof/>
            <w:webHidden/>
          </w:rPr>
          <w:fldChar w:fldCharType="end"/>
        </w:r>
      </w:hyperlink>
    </w:p>
    <w:p w14:paraId="047DD4FD" w14:textId="32767FE7"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097" w:history="1">
        <w:r w:rsidR="003E1682" w:rsidRPr="005F5D2F">
          <w:rPr>
            <w:rStyle w:val="Hyperlink"/>
          </w:rPr>
          <w:t>Conceptual Framework</w:t>
        </w:r>
        <w:r w:rsidR="003E1682">
          <w:rPr>
            <w:noProof/>
            <w:webHidden/>
          </w:rPr>
          <w:tab/>
        </w:r>
        <w:r w:rsidR="003E1682">
          <w:rPr>
            <w:noProof/>
            <w:webHidden/>
          </w:rPr>
          <w:fldChar w:fldCharType="begin"/>
        </w:r>
        <w:r w:rsidR="003E1682">
          <w:rPr>
            <w:noProof/>
            <w:webHidden/>
          </w:rPr>
          <w:instrText xml:space="preserve"> PAGEREF _Toc107939097 \h </w:instrText>
        </w:r>
        <w:r w:rsidR="003E1682">
          <w:rPr>
            <w:noProof/>
            <w:webHidden/>
          </w:rPr>
        </w:r>
        <w:r w:rsidR="003E1682">
          <w:rPr>
            <w:noProof/>
            <w:webHidden/>
          </w:rPr>
          <w:fldChar w:fldCharType="separate"/>
        </w:r>
        <w:r w:rsidR="00766923">
          <w:rPr>
            <w:noProof/>
            <w:webHidden/>
          </w:rPr>
          <w:t>11</w:t>
        </w:r>
        <w:r w:rsidR="003E1682">
          <w:rPr>
            <w:noProof/>
            <w:webHidden/>
          </w:rPr>
          <w:fldChar w:fldCharType="end"/>
        </w:r>
      </w:hyperlink>
    </w:p>
    <w:p w14:paraId="6A60AC8C" w14:textId="615DA77A"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098" w:history="1">
        <w:r w:rsidR="003E1682" w:rsidRPr="005F5D2F">
          <w:rPr>
            <w:rStyle w:val="Hyperlink"/>
          </w:rPr>
          <w:t>Micro-Level Effects</w:t>
        </w:r>
        <w:r w:rsidR="003E1682">
          <w:rPr>
            <w:noProof/>
            <w:webHidden/>
          </w:rPr>
          <w:tab/>
        </w:r>
        <w:r w:rsidR="003E1682">
          <w:rPr>
            <w:noProof/>
            <w:webHidden/>
          </w:rPr>
          <w:fldChar w:fldCharType="begin"/>
        </w:r>
        <w:r w:rsidR="003E1682">
          <w:rPr>
            <w:noProof/>
            <w:webHidden/>
          </w:rPr>
          <w:instrText xml:space="preserve"> PAGEREF _Toc107939098 \h </w:instrText>
        </w:r>
        <w:r w:rsidR="003E1682">
          <w:rPr>
            <w:noProof/>
            <w:webHidden/>
          </w:rPr>
        </w:r>
        <w:r w:rsidR="003E1682">
          <w:rPr>
            <w:noProof/>
            <w:webHidden/>
          </w:rPr>
          <w:fldChar w:fldCharType="separate"/>
        </w:r>
        <w:r w:rsidR="00766923">
          <w:rPr>
            <w:noProof/>
            <w:webHidden/>
          </w:rPr>
          <w:t>17</w:t>
        </w:r>
        <w:r w:rsidR="003E1682">
          <w:rPr>
            <w:noProof/>
            <w:webHidden/>
          </w:rPr>
          <w:fldChar w:fldCharType="end"/>
        </w:r>
      </w:hyperlink>
    </w:p>
    <w:p w14:paraId="19C8715F" w14:textId="4674D638"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099" w:history="1">
        <w:r w:rsidR="003E1682" w:rsidRPr="005F5D2F">
          <w:rPr>
            <w:rStyle w:val="Hyperlink"/>
          </w:rPr>
          <w:t>What is the PISA?</w:t>
        </w:r>
        <w:r w:rsidR="003E1682">
          <w:rPr>
            <w:noProof/>
            <w:webHidden/>
          </w:rPr>
          <w:tab/>
        </w:r>
        <w:r w:rsidR="003E1682">
          <w:rPr>
            <w:noProof/>
            <w:webHidden/>
          </w:rPr>
          <w:fldChar w:fldCharType="begin"/>
        </w:r>
        <w:r w:rsidR="003E1682">
          <w:rPr>
            <w:noProof/>
            <w:webHidden/>
          </w:rPr>
          <w:instrText xml:space="preserve"> PAGEREF _Toc107939099 \h </w:instrText>
        </w:r>
        <w:r w:rsidR="003E1682">
          <w:rPr>
            <w:noProof/>
            <w:webHidden/>
          </w:rPr>
        </w:r>
        <w:r w:rsidR="003E1682">
          <w:rPr>
            <w:noProof/>
            <w:webHidden/>
          </w:rPr>
          <w:fldChar w:fldCharType="separate"/>
        </w:r>
        <w:r w:rsidR="00766923">
          <w:rPr>
            <w:noProof/>
            <w:webHidden/>
          </w:rPr>
          <w:t>19</w:t>
        </w:r>
        <w:r w:rsidR="003E1682">
          <w:rPr>
            <w:noProof/>
            <w:webHidden/>
          </w:rPr>
          <w:fldChar w:fldCharType="end"/>
        </w:r>
      </w:hyperlink>
    </w:p>
    <w:p w14:paraId="39B1FC50" w14:textId="5657AD24"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100" w:history="1">
        <w:r w:rsidR="003E1682" w:rsidRPr="005F5D2F">
          <w:rPr>
            <w:rStyle w:val="Hyperlink"/>
          </w:rPr>
          <w:t>What is Scientific Literacy?</w:t>
        </w:r>
        <w:r w:rsidR="003E1682">
          <w:rPr>
            <w:noProof/>
            <w:webHidden/>
          </w:rPr>
          <w:tab/>
        </w:r>
        <w:r w:rsidR="003E1682">
          <w:rPr>
            <w:noProof/>
            <w:webHidden/>
          </w:rPr>
          <w:fldChar w:fldCharType="begin"/>
        </w:r>
        <w:r w:rsidR="003E1682">
          <w:rPr>
            <w:noProof/>
            <w:webHidden/>
          </w:rPr>
          <w:instrText xml:space="preserve"> PAGEREF _Toc107939100 \h </w:instrText>
        </w:r>
        <w:r w:rsidR="003E1682">
          <w:rPr>
            <w:noProof/>
            <w:webHidden/>
          </w:rPr>
        </w:r>
        <w:r w:rsidR="003E1682">
          <w:rPr>
            <w:noProof/>
            <w:webHidden/>
          </w:rPr>
          <w:fldChar w:fldCharType="separate"/>
        </w:r>
        <w:r w:rsidR="00766923">
          <w:rPr>
            <w:noProof/>
            <w:webHidden/>
          </w:rPr>
          <w:t>20</w:t>
        </w:r>
        <w:r w:rsidR="003E1682">
          <w:rPr>
            <w:noProof/>
            <w:webHidden/>
          </w:rPr>
          <w:fldChar w:fldCharType="end"/>
        </w:r>
      </w:hyperlink>
    </w:p>
    <w:p w14:paraId="7C2968BE" w14:textId="424339A0"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101" w:history="1">
        <w:r w:rsidR="003E1682" w:rsidRPr="005F5D2F">
          <w:rPr>
            <w:rStyle w:val="Hyperlink"/>
          </w:rPr>
          <w:t>Research on PISA and the Environment</w:t>
        </w:r>
        <w:r w:rsidR="003E1682">
          <w:rPr>
            <w:noProof/>
            <w:webHidden/>
          </w:rPr>
          <w:tab/>
        </w:r>
        <w:r w:rsidR="003E1682">
          <w:rPr>
            <w:noProof/>
            <w:webHidden/>
          </w:rPr>
          <w:fldChar w:fldCharType="begin"/>
        </w:r>
        <w:r w:rsidR="003E1682">
          <w:rPr>
            <w:noProof/>
            <w:webHidden/>
          </w:rPr>
          <w:instrText xml:space="preserve"> PAGEREF _Toc107939101 \h </w:instrText>
        </w:r>
        <w:r w:rsidR="003E1682">
          <w:rPr>
            <w:noProof/>
            <w:webHidden/>
          </w:rPr>
        </w:r>
        <w:r w:rsidR="003E1682">
          <w:rPr>
            <w:noProof/>
            <w:webHidden/>
          </w:rPr>
          <w:fldChar w:fldCharType="separate"/>
        </w:r>
        <w:r w:rsidR="00766923">
          <w:rPr>
            <w:noProof/>
            <w:webHidden/>
          </w:rPr>
          <w:t>29</w:t>
        </w:r>
        <w:r w:rsidR="003E1682">
          <w:rPr>
            <w:noProof/>
            <w:webHidden/>
          </w:rPr>
          <w:fldChar w:fldCharType="end"/>
        </w:r>
      </w:hyperlink>
    </w:p>
    <w:p w14:paraId="5BA43F80" w14:textId="1C5CCD71"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102" w:history="1">
        <w:r w:rsidR="003E1682" w:rsidRPr="005F5D2F">
          <w:rPr>
            <w:rStyle w:val="Hyperlink"/>
          </w:rPr>
          <w:t>Education and Climate Change Beliefs</w:t>
        </w:r>
        <w:r w:rsidR="003E1682">
          <w:rPr>
            <w:noProof/>
            <w:webHidden/>
          </w:rPr>
          <w:tab/>
        </w:r>
        <w:r w:rsidR="003E1682">
          <w:rPr>
            <w:noProof/>
            <w:webHidden/>
          </w:rPr>
          <w:fldChar w:fldCharType="begin"/>
        </w:r>
        <w:r w:rsidR="003E1682">
          <w:rPr>
            <w:noProof/>
            <w:webHidden/>
          </w:rPr>
          <w:instrText xml:space="preserve"> PAGEREF _Toc107939102 \h </w:instrText>
        </w:r>
        <w:r w:rsidR="003E1682">
          <w:rPr>
            <w:noProof/>
            <w:webHidden/>
          </w:rPr>
        </w:r>
        <w:r w:rsidR="003E1682">
          <w:rPr>
            <w:noProof/>
            <w:webHidden/>
          </w:rPr>
          <w:fldChar w:fldCharType="separate"/>
        </w:r>
        <w:r w:rsidR="00766923">
          <w:rPr>
            <w:noProof/>
            <w:webHidden/>
          </w:rPr>
          <w:t>36</w:t>
        </w:r>
        <w:r w:rsidR="003E1682">
          <w:rPr>
            <w:noProof/>
            <w:webHidden/>
          </w:rPr>
          <w:fldChar w:fldCharType="end"/>
        </w:r>
      </w:hyperlink>
    </w:p>
    <w:p w14:paraId="472502B7" w14:textId="17ED0749"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103" w:history="1">
        <w:r w:rsidR="003E1682" w:rsidRPr="005F5D2F">
          <w:rPr>
            <w:rStyle w:val="Hyperlink"/>
          </w:rPr>
          <w:t>Education and Climate Change Beliefs Among Youth</w:t>
        </w:r>
        <w:r w:rsidR="003E1682">
          <w:rPr>
            <w:noProof/>
            <w:webHidden/>
          </w:rPr>
          <w:tab/>
        </w:r>
        <w:r w:rsidR="003E1682">
          <w:rPr>
            <w:noProof/>
            <w:webHidden/>
          </w:rPr>
          <w:fldChar w:fldCharType="begin"/>
        </w:r>
        <w:r w:rsidR="003E1682">
          <w:rPr>
            <w:noProof/>
            <w:webHidden/>
          </w:rPr>
          <w:instrText xml:space="preserve"> PAGEREF _Toc107939103 \h </w:instrText>
        </w:r>
        <w:r w:rsidR="003E1682">
          <w:rPr>
            <w:noProof/>
            <w:webHidden/>
          </w:rPr>
        </w:r>
        <w:r w:rsidR="003E1682">
          <w:rPr>
            <w:noProof/>
            <w:webHidden/>
          </w:rPr>
          <w:fldChar w:fldCharType="separate"/>
        </w:r>
        <w:r w:rsidR="00766923">
          <w:rPr>
            <w:noProof/>
            <w:webHidden/>
          </w:rPr>
          <w:t>44</w:t>
        </w:r>
        <w:r w:rsidR="003E1682">
          <w:rPr>
            <w:noProof/>
            <w:webHidden/>
          </w:rPr>
          <w:fldChar w:fldCharType="end"/>
        </w:r>
      </w:hyperlink>
    </w:p>
    <w:p w14:paraId="71E611ED" w14:textId="7557BD45"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104" w:history="1">
        <w:r w:rsidR="003E1682" w:rsidRPr="005F5D2F">
          <w:rPr>
            <w:rStyle w:val="Hyperlink"/>
          </w:rPr>
          <w:t>Family and Peer Influence on Climate Change Belief</w:t>
        </w:r>
        <w:r w:rsidR="003E1682">
          <w:rPr>
            <w:noProof/>
            <w:webHidden/>
          </w:rPr>
          <w:tab/>
        </w:r>
        <w:r w:rsidR="003E1682">
          <w:rPr>
            <w:noProof/>
            <w:webHidden/>
          </w:rPr>
          <w:fldChar w:fldCharType="begin"/>
        </w:r>
        <w:r w:rsidR="003E1682">
          <w:rPr>
            <w:noProof/>
            <w:webHidden/>
          </w:rPr>
          <w:instrText xml:space="preserve"> PAGEREF _Toc107939104 \h </w:instrText>
        </w:r>
        <w:r w:rsidR="003E1682">
          <w:rPr>
            <w:noProof/>
            <w:webHidden/>
          </w:rPr>
        </w:r>
        <w:r w:rsidR="003E1682">
          <w:rPr>
            <w:noProof/>
            <w:webHidden/>
          </w:rPr>
          <w:fldChar w:fldCharType="separate"/>
        </w:r>
        <w:r w:rsidR="00766923">
          <w:rPr>
            <w:noProof/>
            <w:webHidden/>
          </w:rPr>
          <w:t>49</w:t>
        </w:r>
        <w:r w:rsidR="003E1682">
          <w:rPr>
            <w:noProof/>
            <w:webHidden/>
          </w:rPr>
          <w:fldChar w:fldCharType="end"/>
        </w:r>
      </w:hyperlink>
    </w:p>
    <w:p w14:paraId="224A9D12" w14:textId="55ABA005"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105" w:history="1">
        <w:r w:rsidR="003E1682" w:rsidRPr="005F5D2F">
          <w:rPr>
            <w:rStyle w:val="Hyperlink"/>
          </w:rPr>
          <w:t>Intergenerational Learning</w:t>
        </w:r>
        <w:r w:rsidR="003E1682">
          <w:rPr>
            <w:noProof/>
            <w:webHidden/>
          </w:rPr>
          <w:tab/>
        </w:r>
        <w:r w:rsidR="003E1682">
          <w:rPr>
            <w:noProof/>
            <w:webHidden/>
          </w:rPr>
          <w:fldChar w:fldCharType="begin"/>
        </w:r>
        <w:r w:rsidR="003E1682">
          <w:rPr>
            <w:noProof/>
            <w:webHidden/>
          </w:rPr>
          <w:instrText xml:space="preserve"> PAGEREF _Toc107939105 \h </w:instrText>
        </w:r>
        <w:r w:rsidR="003E1682">
          <w:rPr>
            <w:noProof/>
            <w:webHidden/>
          </w:rPr>
        </w:r>
        <w:r w:rsidR="003E1682">
          <w:rPr>
            <w:noProof/>
            <w:webHidden/>
          </w:rPr>
          <w:fldChar w:fldCharType="separate"/>
        </w:r>
        <w:r w:rsidR="00766923">
          <w:rPr>
            <w:noProof/>
            <w:webHidden/>
          </w:rPr>
          <w:t>51</w:t>
        </w:r>
        <w:r w:rsidR="003E1682">
          <w:rPr>
            <w:noProof/>
            <w:webHidden/>
          </w:rPr>
          <w:fldChar w:fldCharType="end"/>
        </w:r>
      </w:hyperlink>
    </w:p>
    <w:p w14:paraId="23788BA4" w14:textId="4BE6DCA0"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106" w:history="1">
        <w:r w:rsidR="003E1682" w:rsidRPr="005F5D2F">
          <w:rPr>
            <w:rStyle w:val="Hyperlink"/>
          </w:rPr>
          <w:t>Education and Climate Change Behavior</w:t>
        </w:r>
        <w:r w:rsidR="003E1682">
          <w:rPr>
            <w:noProof/>
            <w:webHidden/>
          </w:rPr>
          <w:tab/>
        </w:r>
        <w:r w:rsidR="003E1682">
          <w:rPr>
            <w:noProof/>
            <w:webHidden/>
          </w:rPr>
          <w:fldChar w:fldCharType="begin"/>
        </w:r>
        <w:r w:rsidR="003E1682">
          <w:rPr>
            <w:noProof/>
            <w:webHidden/>
          </w:rPr>
          <w:instrText xml:space="preserve"> PAGEREF _Toc107939106 \h </w:instrText>
        </w:r>
        <w:r w:rsidR="003E1682">
          <w:rPr>
            <w:noProof/>
            <w:webHidden/>
          </w:rPr>
        </w:r>
        <w:r w:rsidR="003E1682">
          <w:rPr>
            <w:noProof/>
            <w:webHidden/>
          </w:rPr>
          <w:fldChar w:fldCharType="separate"/>
        </w:r>
        <w:r w:rsidR="00766923">
          <w:rPr>
            <w:noProof/>
            <w:webHidden/>
          </w:rPr>
          <w:t>55</w:t>
        </w:r>
        <w:r w:rsidR="003E1682">
          <w:rPr>
            <w:noProof/>
            <w:webHidden/>
          </w:rPr>
          <w:fldChar w:fldCharType="end"/>
        </w:r>
      </w:hyperlink>
    </w:p>
    <w:p w14:paraId="6291CCB8" w14:textId="1DE07DE5"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107" w:history="1">
        <w:r w:rsidR="003E1682" w:rsidRPr="005F5D2F">
          <w:rPr>
            <w:rStyle w:val="Hyperlink"/>
          </w:rPr>
          <w:t>Macro-Level Effects</w:t>
        </w:r>
        <w:r w:rsidR="003E1682">
          <w:rPr>
            <w:noProof/>
            <w:webHidden/>
          </w:rPr>
          <w:tab/>
        </w:r>
        <w:r w:rsidR="003E1682">
          <w:rPr>
            <w:noProof/>
            <w:webHidden/>
          </w:rPr>
          <w:fldChar w:fldCharType="begin"/>
        </w:r>
        <w:r w:rsidR="003E1682">
          <w:rPr>
            <w:noProof/>
            <w:webHidden/>
          </w:rPr>
          <w:instrText xml:space="preserve"> PAGEREF _Toc107939107 \h </w:instrText>
        </w:r>
        <w:r w:rsidR="003E1682">
          <w:rPr>
            <w:noProof/>
            <w:webHidden/>
          </w:rPr>
        </w:r>
        <w:r w:rsidR="003E1682">
          <w:rPr>
            <w:noProof/>
            <w:webHidden/>
          </w:rPr>
          <w:fldChar w:fldCharType="separate"/>
        </w:r>
        <w:r w:rsidR="00766923">
          <w:rPr>
            <w:noProof/>
            <w:webHidden/>
          </w:rPr>
          <w:t>61</w:t>
        </w:r>
        <w:r w:rsidR="003E1682">
          <w:rPr>
            <w:noProof/>
            <w:webHidden/>
          </w:rPr>
          <w:fldChar w:fldCharType="end"/>
        </w:r>
      </w:hyperlink>
    </w:p>
    <w:p w14:paraId="0E67AD40" w14:textId="6A300CDC"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108" w:history="1">
        <w:r w:rsidR="003E1682" w:rsidRPr="005F5D2F">
          <w:rPr>
            <w:rStyle w:val="Hyperlink"/>
          </w:rPr>
          <w:t>Carbon Intensity of Well-Being (CIWB)</w:t>
        </w:r>
        <w:r w:rsidR="003E1682">
          <w:rPr>
            <w:noProof/>
            <w:webHidden/>
          </w:rPr>
          <w:tab/>
        </w:r>
        <w:r w:rsidR="003E1682">
          <w:rPr>
            <w:noProof/>
            <w:webHidden/>
          </w:rPr>
          <w:fldChar w:fldCharType="begin"/>
        </w:r>
        <w:r w:rsidR="003E1682">
          <w:rPr>
            <w:noProof/>
            <w:webHidden/>
          </w:rPr>
          <w:instrText xml:space="preserve"> PAGEREF _Toc107939108 \h </w:instrText>
        </w:r>
        <w:r w:rsidR="003E1682">
          <w:rPr>
            <w:noProof/>
            <w:webHidden/>
          </w:rPr>
        </w:r>
        <w:r w:rsidR="003E1682">
          <w:rPr>
            <w:noProof/>
            <w:webHidden/>
          </w:rPr>
          <w:fldChar w:fldCharType="separate"/>
        </w:r>
        <w:r w:rsidR="00766923">
          <w:rPr>
            <w:noProof/>
            <w:webHidden/>
          </w:rPr>
          <w:t>61</w:t>
        </w:r>
        <w:r w:rsidR="003E1682">
          <w:rPr>
            <w:noProof/>
            <w:webHidden/>
          </w:rPr>
          <w:fldChar w:fldCharType="end"/>
        </w:r>
      </w:hyperlink>
    </w:p>
    <w:p w14:paraId="3A6E3423" w14:textId="187AF4B3"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109" w:history="1">
        <w:r w:rsidR="003E1682" w:rsidRPr="005F5D2F">
          <w:rPr>
            <w:rStyle w:val="Hyperlink"/>
          </w:rPr>
          <w:t>Sociodemographic Impacts on Climate Change</w:t>
        </w:r>
        <w:r w:rsidR="003E1682">
          <w:rPr>
            <w:noProof/>
            <w:webHidden/>
          </w:rPr>
          <w:tab/>
        </w:r>
        <w:r w:rsidR="003E1682">
          <w:rPr>
            <w:noProof/>
            <w:webHidden/>
          </w:rPr>
          <w:fldChar w:fldCharType="begin"/>
        </w:r>
        <w:r w:rsidR="003E1682">
          <w:rPr>
            <w:noProof/>
            <w:webHidden/>
          </w:rPr>
          <w:instrText xml:space="preserve"> PAGEREF _Toc107939109 \h </w:instrText>
        </w:r>
        <w:r w:rsidR="003E1682">
          <w:rPr>
            <w:noProof/>
            <w:webHidden/>
          </w:rPr>
        </w:r>
        <w:r w:rsidR="003E1682">
          <w:rPr>
            <w:noProof/>
            <w:webHidden/>
          </w:rPr>
          <w:fldChar w:fldCharType="separate"/>
        </w:r>
        <w:r w:rsidR="00766923">
          <w:rPr>
            <w:noProof/>
            <w:webHidden/>
          </w:rPr>
          <w:t>62</w:t>
        </w:r>
        <w:r w:rsidR="003E1682">
          <w:rPr>
            <w:noProof/>
            <w:webHidden/>
          </w:rPr>
          <w:fldChar w:fldCharType="end"/>
        </w:r>
      </w:hyperlink>
    </w:p>
    <w:p w14:paraId="30D2EBEC" w14:textId="61A2E1CF"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110" w:history="1">
        <w:r w:rsidR="003E1682" w:rsidRPr="005F5D2F">
          <w:rPr>
            <w:rStyle w:val="Hyperlink"/>
          </w:rPr>
          <w:t>Education and Climate Change</w:t>
        </w:r>
        <w:r w:rsidR="003E1682">
          <w:rPr>
            <w:noProof/>
            <w:webHidden/>
          </w:rPr>
          <w:tab/>
        </w:r>
        <w:r w:rsidR="003E1682">
          <w:rPr>
            <w:noProof/>
            <w:webHidden/>
          </w:rPr>
          <w:fldChar w:fldCharType="begin"/>
        </w:r>
        <w:r w:rsidR="003E1682">
          <w:rPr>
            <w:noProof/>
            <w:webHidden/>
          </w:rPr>
          <w:instrText xml:space="preserve"> PAGEREF _Toc107939110 \h </w:instrText>
        </w:r>
        <w:r w:rsidR="003E1682">
          <w:rPr>
            <w:noProof/>
            <w:webHidden/>
          </w:rPr>
        </w:r>
        <w:r w:rsidR="003E1682">
          <w:rPr>
            <w:noProof/>
            <w:webHidden/>
          </w:rPr>
          <w:fldChar w:fldCharType="separate"/>
        </w:r>
        <w:r w:rsidR="00766923">
          <w:rPr>
            <w:noProof/>
            <w:webHidden/>
          </w:rPr>
          <w:t>65</w:t>
        </w:r>
        <w:r w:rsidR="003E1682">
          <w:rPr>
            <w:noProof/>
            <w:webHidden/>
          </w:rPr>
          <w:fldChar w:fldCharType="end"/>
        </w:r>
      </w:hyperlink>
    </w:p>
    <w:p w14:paraId="26B181F8" w14:textId="476822AA"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111" w:history="1">
        <w:r w:rsidR="003E1682" w:rsidRPr="005F5D2F">
          <w:rPr>
            <w:rStyle w:val="Hyperlink"/>
          </w:rPr>
          <w:t>Research Questions</w:t>
        </w:r>
        <w:r w:rsidR="003E1682">
          <w:rPr>
            <w:noProof/>
            <w:webHidden/>
          </w:rPr>
          <w:tab/>
        </w:r>
        <w:r w:rsidR="003E1682">
          <w:rPr>
            <w:noProof/>
            <w:webHidden/>
          </w:rPr>
          <w:fldChar w:fldCharType="begin"/>
        </w:r>
        <w:r w:rsidR="003E1682">
          <w:rPr>
            <w:noProof/>
            <w:webHidden/>
          </w:rPr>
          <w:instrText xml:space="preserve"> PAGEREF _Toc107939111 \h </w:instrText>
        </w:r>
        <w:r w:rsidR="003E1682">
          <w:rPr>
            <w:noProof/>
            <w:webHidden/>
          </w:rPr>
        </w:r>
        <w:r w:rsidR="003E1682">
          <w:rPr>
            <w:noProof/>
            <w:webHidden/>
          </w:rPr>
          <w:fldChar w:fldCharType="separate"/>
        </w:r>
        <w:r w:rsidR="00766923">
          <w:rPr>
            <w:noProof/>
            <w:webHidden/>
          </w:rPr>
          <w:t>73</w:t>
        </w:r>
        <w:r w:rsidR="003E1682">
          <w:rPr>
            <w:noProof/>
            <w:webHidden/>
          </w:rPr>
          <w:fldChar w:fldCharType="end"/>
        </w:r>
      </w:hyperlink>
    </w:p>
    <w:p w14:paraId="02D3DAA5" w14:textId="776FA190" w:rsidR="003E1682" w:rsidRDefault="00710174">
      <w:pPr>
        <w:pStyle w:val="TOC1"/>
        <w:tabs>
          <w:tab w:val="right" w:leader="dot" w:pos="9062"/>
        </w:tabs>
        <w:rPr>
          <w:rFonts w:asciiTheme="minorHAnsi" w:eastAsiaTheme="minorEastAsia" w:hAnsiTheme="minorHAnsi" w:cstheme="minorBidi"/>
          <w:noProof/>
          <w:sz w:val="22"/>
          <w:szCs w:val="22"/>
        </w:rPr>
      </w:pPr>
      <w:hyperlink w:anchor="_Toc107939112" w:history="1">
        <w:r w:rsidR="003E1682" w:rsidRPr="005F5D2F">
          <w:rPr>
            <w:rStyle w:val="Hyperlink"/>
          </w:rPr>
          <w:t>CHAPTER THREE: Research Design and Methods</w:t>
        </w:r>
        <w:r w:rsidR="003E1682">
          <w:rPr>
            <w:noProof/>
            <w:webHidden/>
          </w:rPr>
          <w:tab/>
        </w:r>
        <w:r w:rsidR="003E1682">
          <w:rPr>
            <w:noProof/>
            <w:webHidden/>
          </w:rPr>
          <w:fldChar w:fldCharType="begin"/>
        </w:r>
        <w:r w:rsidR="003E1682">
          <w:rPr>
            <w:noProof/>
            <w:webHidden/>
          </w:rPr>
          <w:instrText xml:space="preserve"> PAGEREF _Toc107939112 \h </w:instrText>
        </w:r>
        <w:r w:rsidR="003E1682">
          <w:rPr>
            <w:noProof/>
            <w:webHidden/>
          </w:rPr>
        </w:r>
        <w:r w:rsidR="003E1682">
          <w:rPr>
            <w:noProof/>
            <w:webHidden/>
          </w:rPr>
          <w:fldChar w:fldCharType="separate"/>
        </w:r>
        <w:r w:rsidR="00766923">
          <w:rPr>
            <w:noProof/>
            <w:webHidden/>
          </w:rPr>
          <w:t>75</w:t>
        </w:r>
        <w:r w:rsidR="003E1682">
          <w:rPr>
            <w:noProof/>
            <w:webHidden/>
          </w:rPr>
          <w:fldChar w:fldCharType="end"/>
        </w:r>
      </w:hyperlink>
    </w:p>
    <w:p w14:paraId="14778D5D" w14:textId="6692A49A"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113" w:history="1">
        <w:r w:rsidR="003E1682" w:rsidRPr="005F5D2F">
          <w:rPr>
            <w:rStyle w:val="Hyperlink"/>
          </w:rPr>
          <w:t>Phase One: PISA Scientific Literacy Scores</w:t>
        </w:r>
        <w:r w:rsidR="003E1682">
          <w:rPr>
            <w:noProof/>
            <w:webHidden/>
          </w:rPr>
          <w:tab/>
        </w:r>
        <w:r w:rsidR="003E1682">
          <w:rPr>
            <w:noProof/>
            <w:webHidden/>
          </w:rPr>
          <w:fldChar w:fldCharType="begin"/>
        </w:r>
        <w:r w:rsidR="003E1682">
          <w:rPr>
            <w:noProof/>
            <w:webHidden/>
          </w:rPr>
          <w:instrText xml:space="preserve"> PAGEREF _Toc107939113 \h </w:instrText>
        </w:r>
        <w:r w:rsidR="003E1682">
          <w:rPr>
            <w:noProof/>
            <w:webHidden/>
          </w:rPr>
        </w:r>
        <w:r w:rsidR="003E1682">
          <w:rPr>
            <w:noProof/>
            <w:webHidden/>
          </w:rPr>
          <w:fldChar w:fldCharType="separate"/>
        </w:r>
        <w:r w:rsidR="00766923">
          <w:rPr>
            <w:noProof/>
            <w:webHidden/>
          </w:rPr>
          <w:t>75</w:t>
        </w:r>
        <w:r w:rsidR="003E1682">
          <w:rPr>
            <w:noProof/>
            <w:webHidden/>
          </w:rPr>
          <w:fldChar w:fldCharType="end"/>
        </w:r>
      </w:hyperlink>
    </w:p>
    <w:p w14:paraId="4976DCB6" w14:textId="76E4536F"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114" w:history="1">
        <w:r w:rsidR="003E1682" w:rsidRPr="005F5D2F">
          <w:rPr>
            <w:rStyle w:val="Hyperlink"/>
          </w:rPr>
          <w:t>Phase Two: PISA Scientific Literacy Scores and Emissions Over Time</w:t>
        </w:r>
        <w:r w:rsidR="003E1682">
          <w:rPr>
            <w:noProof/>
            <w:webHidden/>
          </w:rPr>
          <w:tab/>
        </w:r>
        <w:r w:rsidR="003E1682">
          <w:rPr>
            <w:noProof/>
            <w:webHidden/>
          </w:rPr>
          <w:fldChar w:fldCharType="begin"/>
        </w:r>
        <w:r w:rsidR="003E1682">
          <w:rPr>
            <w:noProof/>
            <w:webHidden/>
          </w:rPr>
          <w:instrText xml:space="preserve"> PAGEREF _Toc107939114 \h </w:instrText>
        </w:r>
        <w:r w:rsidR="003E1682">
          <w:rPr>
            <w:noProof/>
            <w:webHidden/>
          </w:rPr>
        </w:r>
        <w:r w:rsidR="003E1682">
          <w:rPr>
            <w:noProof/>
            <w:webHidden/>
          </w:rPr>
          <w:fldChar w:fldCharType="separate"/>
        </w:r>
        <w:r w:rsidR="00766923">
          <w:rPr>
            <w:noProof/>
            <w:webHidden/>
          </w:rPr>
          <w:t>78</w:t>
        </w:r>
        <w:r w:rsidR="003E1682">
          <w:rPr>
            <w:noProof/>
            <w:webHidden/>
          </w:rPr>
          <w:fldChar w:fldCharType="end"/>
        </w:r>
      </w:hyperlink>
    </w:p>
    <w:p w14:paraId="6FFE1E3C" w14:textId="338865B0"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115" w:history="1">
        <w:r w:rsidR="003E1682" w:rsidRPr="005F5D2F">
          <w:rPr>
            <w:rStyle w:val="Hyperlink"/>
          </w:rPr>
          <w:t>Key Variables</w:t>
        </w:r>
        <w:r w:rsidR="003E1682">
          <w:rPr>
            <w:noProof/>
            <w:webHidden/>
          </w:rPr>
          <w:tab/>
        </w:r>
        <w:r w:rsidR="003E1682">
          <w:rPr>
            <w:noProof/>
            <w:webHidden/>
          </w:rPr>
          <w:fldChar w:fldCharType="begin"/>
        </w:r>
        <w:r w:rsidR="003E1682">
          <w:rPr>
            <w:noProof/>
            <w:webHidden/>
          </w:rPr>
          <w:instrText xml:space="preserve"> PAGEREF _Toc107939115 \h </w:instrText>
        </w:r>
        <w:r w:rsidR="003E1682">
          <w:rPr>
            <w:noProof/>
            <w:webHidden/>
          </w:rPr>
        </w:r>
        <w:r w:rsidR="003E1682">
          <w:rPr>
            <w:noProof/>
            <w:webHidden/>
          </w:rPr>
          <w:fldChar w:fldCharType="separate"/>
        </w:r>
        <w:r w:rsidR="00766923">
          <w:rPr>
            <w:noProof/>
            <w:webHidden/>
          </w:rPr>
          <w:t>80</w:t>
        </w:r>
        <w:r w:rsidR="003E1682">
          <w:rPr>
            <w:noProof/>
            <w:webHidden/>
          </w:rPr>
          <w:fldChar w:fldCharType="end"/>
        </w:r>
      </w:hyperlink>
    </w:p>
    <w:p w14:paraId="02DAE820" w14:textId="4E85C618"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116" w:history="1">
        <w:r w:rsidR="003E1682" w:rsidRPr="005F5D2F">
          <w:rPr>
            <w:rStyle w:val="Hyperlink"/>
          </w:rPr>
          <w:t>Time-Varying (Level-1) Covariates</w:t>
        </w:r>
        <w:r w:rsidR="003E1682">
          <w:rPr>
            <w:noProof/>
            <w:webHidden/>
          </w:rPr>
          <w:tab/>
        </w:r>
        <w:r w:rsidR="003E1682">
          <w:rPr>
            <w:noProof/>
            <w:webHidden/>
          </w:rPr>
          <w:fldChar w:fldCharType="begin"/>
        </w:r>
        <w:r w:rsidR="003E1682">
          <w:rPr>
            <w:noProof/>
            <w:webHidden/>
          </w:rPr>
          <w:instrText xml:space="preserve"> PAGEREF _Toc107939116 \h </w:instrText>
        </w:r>
        <w:r w:rsidR="003E1682">
          <w:rPr>
            <w:noProof/>
            <w:webHidden/>
          </w:rPr>
        </w:r>
        <w:r w:rsidR="003E1682">
          <w:rPr>
            <w:noProof/>
            <w:webHidden/>
          </w:rPr>
          <w:fldChar w:fldCharType="separate"/>
        </w:r>
        <w:r w:rsidR="00766923">
          <w:rPr>
            <w:noProof/>
            <w:webHidden/>
          </w:rPr>
          <w:t>81</w:t>
        </w:r>
        <w:r w:rsidR="003E1682">
          <w:rPr>
            <w:noProof/>
            <w:webHidden/>
          </w:rPr>
          <w:fldChar w:fldCharType="end"/>
        </w:r>
      </w:hyperlink>
    </w:p>
    <w:p w14:paraId="2307BEB6" w14:textId="05CAF94A"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117" w:history="1">
        <w:r w:rsidR="003E1682" w:rsidRPr="005F5D2F">
          <w:rPr>
            <w:rStyle w:val="Hyperlink"/>
          </w:rPr>
          <w:t>Time-Invariant (Level-2) Variables</w:t>
        </w:r>
        <w:r w:rsidR="003E1682">
          <w:rPr>
            <w:noProof/>
            <w:webHidden/>
          </w:rPr>
          <w:tab/>
        </w:r>
        <w:r w:rsidR="003E1682">
          <w:rPr>
            <w:noProof/>
            <w:webHidden/>
          </w:rPr>
          <w:fldChar w:fldCharType="begin"/>
        </w:r>
        <w:r w:rsidR="003E1682">
          <w:rPr>
            <w:noProof/>
            <w:webHidden/>
          </w:rPr>
          <w:instrText xml:space="preserve"> PAGEREF _Toc107939117 \h </w:instrText>
        </w:r>
        <w:r w:rsidR="003E1682">
          <w:rPr>
            <w:noProof/>
            <w:webHidden/>
          </w:rPr>
        </w:r>
        <w:r w:rsidR="003E1682">
          <w:rPr>
            <w:noProof/>
            <w:webHidden/>
          </w:rPr>
          <w:fldChar w:fldCharType="separate"/>
        </w:r>
        <w:r w:rsidR="00766923">
          <w:rPr>
            <w:noProof/>
            <w:webHidden/>
          </w:rPr>
          <w:t>90</w:t>
        </w:r>
        <w:r w:rsidR="003E1682">
          <w:rPr>
            <w:noProof/>
            <w:webHidden/>
          </w:rPr>
          <w:fldChar w:fldCharType="end"/>
        </w:r>
      </w:hyperlink>
    </w:p>
    <w:p w14:paraId="7B2C109A" w14:textId="265B1034"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118" w:history="1">
        <w:r w:rsidR="003E1682" w:rsidRPr="005F5D2F">
          <w:rPr>
            <w:rStyle w:val="Hyperlink"/>
          </w:rPr>
          <w:t>Descriptive Statistics for Variables</w:t>
        </w:r>
        <w:r w:rsidR="003E1682">
          <w:rPr>
            <w:noProof/>
            <w:webHidden/>
          </w:rPr>
          <w:tab/>
        </w:r>
        <w:r w:rsidR="003E1682">
          <w:rPr>
            <w:noProof/>
            <w:webHidden/>
          </w:rPr>
          <w:fldChar w:fldCharType="begin"/>
        </w:r>
        <w:r w:rsidR="003E1682">
          <w:rPr>
            <w:noProof/>
            <w:webHidden/>
          </w:rPr>
          <w:instrText xml:space="preserve"> PAGEREF _Toc107939118 \h </w:instrText>
        </w:r>
        <w:r w:rsidR="003E1682">
          <w:rPr>
            <w:noProof/>
            <w:webHidden/>
          </w:rPr>
        </w:r>
        <w:r w:rsidR="003E1682">
          <w:rPr>
            <w:noProof/>
            <w:webHidden/>
          </w:rPr>
          <w:fldChar w:fldCharType="separate"/>
        </w:r>
        <w:r w:rsidR="00766923">
          <w:rPr>
            <w:noProof/>
            <w:webHidden/>
          </w:rPr>
          <w:t>95</w:t>
        </w:r>
        <w:r w:rsidR="003E1682">
          <w:rPr>
            <w:noProof/>
            <w:webHidden/>
          </w:rPr>
          <w:fldChar w:fldCharType="end"/>
        </w:r>
      </w:hyperlink>
    </w:p>
    <w:p w14:paraId="6485D589" w14:textId="44B87C02"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119" w:history="1">
        <w:r w:rsidR="003E1682" w:rsidRPr="005F5D2F">
          <w:rPr>
            <w:rStyle w:val="Hyperlink"/>
          </w:rPr>
          <w:t>Missing Data</w:t>
        </w:r>
        <w:r w:rsidR="003E1682">
          <w:rPr>
            <w:noProof/>
            <w:webHidden/>
          </w:rPr>
          <w:tab/>
        </w:r>
        <w:r w:rsidR="003E1682">
          <w:rPr>
            <w:noProof/>
            <w:webHidden/>
          </w:rPr>
          <w:fldChar w:fldCharType="begin"/>
        </w:r>
        <w:r w:rsidR="003E1682">
          <w:rPr>
            <w:noProof/>
            <w:webHidden/>
          </w:rPr>
          <w:instrText xml:space="preserve"> PAGEREF _Toc107939119 \h </w:instrText>
        </w:r>
        <w:r w:rsidR="003E1682">
          <w:rPr>
            <w:noProof/>
            <w:webHidden/>
          </w:rPr>
        </w:r>
        <w:r w:rsidR="003E1682">
          <w:rPr>
            <w:noProof/>
            <w:webHidden/>
          </w:rPr>
          <w:fldChar w:fldCharType="separate"/>
        </w:r>
        <w:r w:rsidR="00766923">
          <w:rPr>
            <w:noProof/>
            <w:webHidden/>
          </w:rPr>
          <w:t>95</w:t>
        </w:r>
        <w:r w:rsidR="003E1682">
          <w:rPr>
            <w:noProof/>
            <w:webHidden/>
          </w:rPr>
          <w:fldChar w:fldCharType="end"/>
        </w:r>
      </w:hyperlink>
    </w:p>
    <w:p w14:paraId="7D5DD0B1" w14:textId="11BB9647"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120" w:history="1">
        <w:r w:rsidR="003E1682" w:rsidRPr="005F5D2F">
          <w:rPr>
            <w:rStyle w:val="Hyperlink"/>
          </w:rPr>
          <w:t>Data Analysis and Model Building</w:t>
        </w:r>
        <w:r w:rsidR="003E1682">
          <w:rPr>
            <w:noProof/>
            <w:webHidden/>
          </w:rPr>
          <w:tab/>
        </w:r>
        <w:r w:rsidR="003E1682">
          <w:rPr>
            <w:noProof/>
            <w:webHidden/>
          </w:rPr>
          <w:fldChar w:fldCharType="begin"/>
        </w:r>
        <w:r w:rsidR="003E1682">
          <w:rPr>
            <w:noProof/>
            <w:webHidden/>
          </w:rPr>
          <w:instrText xml:space="preserve"> PAGEREF _Toc107939120 \h </w:instrText>
        </w:r>
        <w:r w:rsidR="003E1682">
          <w:rPr>
            <w:noProof/>
            <w:webHidden/>
          </w:rPr>
        </w:r>
        <w:r w:rsidR="003E1682">
          <w:rPr>
            <w:noProof/>
            <w:webHidden/>
          </w:rPr>
          <w:fldChar w:fldCharType="separate"/>
        </w:r>
        <w:r w:rsidR="00766923">
          <w:rPr>
            <w:noProof/>
            <w:webHidden/>
          </w:rPr>
          <w:t>101</w:t>
        </w:r>
        <w:r w:rsidR="003E1682">
          <w:rPr>
            <w:noProof/>
            <w:webHidden/>
          </w:rPr>
          <w:fldChar w:fldCharType="end"/>
        </w:r>
      </w:hyperlink>
    </w:p>
    <w:p w14:paraId="131C1409" w14:textId="3F87F276" w:rsidR="003E1682" w:rsidRDefault="00710174">
      <w:pPr>
        <w:pStyle w:val="TOC1"/>
        <w:tabs>
          <w:tab w:val="right" w:leader="dot" w:pos="9062"/>
        </w:tabs>
        <w:rPr>
          <w:rFonts w:asciiTheme="minorHAnsi" w:eastAsiaTheme="minorEastAsia" w:hAnsiTheme="minorHAnsi" w:cstheme="minorBidi"/>
          <w:noProof/>
          <w:sz w:val="22"/>
          <w:szCs w:val="22"/>
        </w:rPr>
      </w:pPr>
      <w:hyperlink w:anchor="_Toc107939121" w:history="1">
        <w:r w:rsidR="003E1682" w:rsidRPr="005F5D2F">
          <w:rPr>
            <w:rStyle w:val="Hyperlink"/>
          </w:rPr>
          <w:t>CHAPTER FOUR: Results</w:t>
        </w:r>
        <w:r w:rsidR="003E1682">
          <w:rPr>
            <w:noProof/>
            <w:webHidden/>
          </w:rPr>
          <w:tab/>
        </w:r>
        <w:r w:rsidR="003E1682">
          <w:rPr>
            <w:noProof/>
            <w:webHidden/>
          </w:rPr>
          <w:fldChar w:fldCharType="begin"/>
        </w:r>
        <w:r w:rsidR="003E1682">
          <w:rPr>
            <w:noProof/>
            <w:webHidden/>
          </w:rPr>
          <w:instrText xml:space="preserve"> PAGEREF _Toc107939121 \h </w:instrText>
        </w:r>
        <w:r w:rsidR="003E1682">
          <w:rPr>
            <w:noProof/>
            <w:webHidden/>
          </w:rPr>
        </w:r>
        <w:r w:rsidR="003E1682">
          <w:rPr>
            <w:noProof/>
            <w:webHidden/>
          </w:rPr>
          <w:fldChar w:fldCharType="separate"/>
        </w:r>
        <w:r w:rsidR="00766923">
          <w:rPr>
            <w:noProof/>
            <w:webHidden/>
          </w:rPr>
          <w:t>105</w:t>
        </w:r>
        <w:r w:rsidR="003E1682">
          <w:rPr>
            <w:noProof/>
            <w:webHidden/>
          </w:rPr>
          <w:fldChar w:fldCharType="end"/>
        </w:r>
      </w:hyperlink>
    </w:p>
    <w:p w14:paraId="373948F4" w14:textId="48D6B272"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122" w:history="1">
        <w:r w:rsidR="003E1682" w:rsidRPr="005F5D2F">
          <w:rPr>
            <w:rStyle w:val="Hyperlink"/>
          </w:rPr>
          <w:t>Results</w:t>
        </w:r>
        <w:r w:rsidR="003E1682">
          <w:rPr>
            <w:noProof/>
            <w:webHidden/>
          </w:rPr>
          <w:tab/>
        </w:r>
        <w:r w:rsidR="003E1682">
          <w:rPr>
            <w:noProof/>
            <w:webHidden/>
          </w:rPr>
          <w:fldChar w:fldCharType="begin"/>
        </w:r>
        <w:r w:rsidR="003E1682">
          <w:rPr>
            <w:noProof/>
            <w:webHidden/>
          </w:rPr>
          <w:instrText xml:space="preserve"> PAGEREF _Toc107939122 \h </w:instrText>
        </w:r>
        <w:r w:rsidR="003E1682">
          <w:rPr>
            <w:noProof/>
            <w:webHidden/>
          </w:rPr>
        </w:r>
        <w:r w:rsidR="003E1682">
          <w:rPr>
            <w:noProof/>
            <w:webHidden/>
          </w:rPr>
          <w:fldChar w:fldCharType="separate"/>
        </w:r>
        <w:r w:rsidR="00766923">
          <w:rPr>
            <w:noProof/>
            <w:webHidden/>
          </w:rPr>
          <w:t>105</w:t>
        </w:r>
        <w:r w:rsidR="003E1682">
          <w:rPr>
            <w:noProof/>
            <w:webHidden/>
          </w:rPr>
          <w:fldChar w:fldCharType="end"/>
        </w:r>
      </w:hyperlink>
    </w:p>
    <w:p w14:paraId="2BB08E83" w14:textId="670D1D0A"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123" w:history="1">
        <w:r w:rsidR="003E1682" w:rsidRPr="005F5D2F">
          <w:rPr>
            <w:rStyle w:val="Hyperlink"/>
          </w:rPr>
          <w:t>Variable Selection</w:t>
        </w:r>
        <w:r w:rsidR="003E1682">
          <w:rPr>
            <w:noProof/>
            <w:webHidden/>
          </w:rPr>
          <w:tab/>
        </w:r>
        <w:r w:rsidR="003E1682">
          <w:rPr>
            <w:noProof/>
            <w:webHidden/>
          </w:rPr>
          <w:fldChar w:fldCharType="begin"/>
        </w:r>
        <w:r w:rsidR="003E1682">
          <w:rPr>
            <w:noProof/>
            <w:webHidden/>
          </w:rPr>
          <w:instrText xml:space="preserve"> PAGEREF _Toc107939123 \h </w:instrText>
        </w:r>
        <w:r w:rsidR="003E1682">
          <w:rPr>
            <w:noProof/>
            <w:webHidden/>
          </w:rPr>
        </w:r>
        <w:r w:rsidR="003E1682">
          <w:rPr>
            <w:noProof/>
            <w:webHidden/>
          </w:rPr>
          <w:fldChar w:fldCharType="separate"/>
        </w:r>
        <w:r w:rsidR="00766923">
          <w:rPr>
            <w:noProof/>
            <w:webHidden/>
          </w:rPr>
          <w:t>105</w:t>
        </w:r>
        <w:r w:rsidR="003E1682">
          <w:rPr>
            <w:noProof/>
            <w:webHidden/>
          </w:rPr>
          <w:fldChar w:fldCharType="end"/>
        </w:r>
      </w:hyperlink>
    </w:p>
    <w:p w14:paraId="2F57F136" w14:textId="50DD4CF7"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124" w:history="1">
        <w:r w:rsidR="003E1682" w:rsidRPr="005F5D2F">
          <w:rPr>
            <w:rStyle w:val="Hyperlink"/>
          </w:rPr>
          <w:t>Models</w:t>
        </w:r>
        <w:r w:rsidR="003E1682">
          <w:rPr>
            <w:noProof/>
            <w:webHidden/>
          </w:rPr>
          <w:tab/>
        </w:r>
        <w:r w:rsidR="003E1682">
          <w:rPr>
            <w:noProof/>
            <w:webHidden/>
          </w:rPr>
          <w:fldChar w:fldCharType="begin"/>
        </w:r>
        <w:r w:rsidR="003E1682">
          <w:rPr>
            <w:noProof/>
            <w:webHidden/>
          </w:rPr>
          <w:instrText xml:space="preserve"> PAGEREF _Toc107939124 \h </w:instrText>
        </w:r>
        <w:r w:rsidR="003E1682">
          <w:rPr>
            <w:noProof/>
            <w:webHidden/>
          </w:rPr>
        </w:r>
        <w:r w:rsidR="003E1682">
          <w:rPr>
            <w:noProof/>
            <w:webHidden/>
          </w:rPr>
          <w:fldChar w:fldCharType="separate"/>
        </w:r>
        <w:r w:rsidR="00766923">
          <w:rPr>
            <w:noProof/>
            <w:webHidden/>
          </w:rPr>
          <w:t>106</w:t>
        </w:r>
        <w:r w:rsidR="003E1682">
          <w:rPr>
            <w:noProof/>
            <w:webHidden/>
          </w:rPr>
          <w:fldChar w:fldCharType="end"/>
        </w:r>
      </w:hyperlink>
    </w:p>
    <w:p w14:paraId="5BCD723E" w14:textId="77889516" w:rsidR="003E1682" w:rsidRDefault="00710174">
      <w:pPr>
        <w:pStyle w:val="TOC3"/>
        <w:tabs>
          <w:tab w:val="right" w:leader="dot" w:pos="9062"/>
        </w:tabs>
        <w:rPr>
          <w:rFonts w:asciiTheme="minorHAnsi" w:eastAsiaTheme="minorEastAsia" w:hAnsiTheme="minorHAnsi" w:cstheme="minorBidi"/>
          <w:noProof/>
          <w:sz w:val="22"/>
          <w:szCs w:val="22"/>
        </w:rPr>
      </w:pPr>
      <w:hyperlink w:anchor="_Toc107939125" w:history="1">
        <w:r w:rsidR="003E1682" w:rsidRPr="005F5D2F">
          <w:rPr>
            <w:rStyle w:val="Hyperlink"/>
          </w:rPr>
          <w:t>Male and Female Model Comparisons</w:t>
        </w:r>
        <w:r w:rsidR="003E1682">
          <w:rPr>
            <w:noProof/>
            <w:webHidden/>
          </w:rPr>
          <w:tab/>
        </w:r>
        <w:r w:rsidR="003E1682">
          <w:rPr>
            <w:noProof/>
            <w:webHidden/>
          </w:rPr>
          <w:fldChar w:fldCharType="begin"/>
        </w:r>
        <w:r w:rsidR="003E1682">
          <w:rPr>
            <w:noProof/>
            <w:webHidden/>
          </w:rPr>
          <w:instrText xml:space="preserve"> PAGEREF _Toc107939125 \h </w:instrText>
        </w:r>
        <w:r w:rsidR="003E1682">
          <w:rPr>
            <w:noProof/>
            <w:webHidden/>
          </w:rPr>
        </w:r>
        <w:r w:rsidR="003E1682">
          <w:rPr>
            <w:noProof/>
            <w:webHidden/>
          </w:rPr>
          <w:fldChar w:fldCharType="separate"/>
        </w:r>
        <w:r w:rsidR="00766923">
          <w:rPr>
            <w:noProof/>
            <w:webHidden/>
          </w:rPr>
          <w:t>121</w:t>
        </w:r>
        <w:r w:rsidR="003E1682">
          <w:rPr>
            <w:noProof/>
            <w:webHidden/>
          </w:rPr>
          <w:fldChar w:fldCharType="end"/>
        </w:r>
      </w:hyperlink>
    </w:p>
    <w:p w14:paraId="73A49541" w14:textId="33C2C8BA"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126" w:history="1">
        <w:r w:rsidR="003E1682" w:rsidRPr="005F5D2F">
          <w:rPr>
            <w:rStyle w:val="Hyperlink"/>
          </w:rPr>
          <w:t>Limitations</w:t>
        </w:r>
        <w:r w:rsidR="003E1682">
          <w:rPr>
            <w:noProof/>
            <w:webHidden/>
          </w:rPr>
          <w:tab/>
        </w:r>
        <w:r w:rsidR="003E1682">
          <w:rPr>
            <w:noProof/>
            <w:webHidden/>
          </w:rPr>
          <w:fldChar w:fldCharType="begin"/>
        </w:r>
        <w:r w:rsidR="003E1682">
          <w:rPr>
            <w:noProof/>
            <w:webHidden/>
          </w:rPr>
          <w:instrText xml:space="preserve"> PAGEREF _Toc107939126 \h </w:instrText>
        </w:r>
        <w:r w:rsidR="003E1682">
          <w:rPr>
            <w:noProof/>
            <w:webHidden/>
          </w:rPr>
        </w:r>
        <w:r w:rsidR="003E1682">
          <w:rPr>
            <w:noProof/>
            <w:webHidden/>
          </w:rPr>
          <w:fldChar w:fldCharType="separate"/>
        </w:r>
        <w:r w:rsidR="00766923">
          <w:rPr>
            <w:noProof/>
            <w:webHidden/>
          </w:rPr>
          <w:t>121</w:t>
        </w:r>
        <w:r w:rsidR="003E1682">
          <w:rPr>
            <w:noProof/>
            <w:webHidden/>
          </w:rPr>
          <w:fldChar w:fldCharType="end"/>
        </w:r>
      </w:hyperlink>
    </w:p>
    <w:p w14:paraId="0BFECB90" w14:textId="2BA1C597" w:rsidR="003E1682" w:rsidRDefault="00710174">
      <w:pPr>
        <w:pStyle w:val="TOC1"/>
        <w:tabs>
          <w:tab w:val="right" w:leader="dot" w:pos="9062"/>
        </w:tabs>
        <w:rPr>
          <w:rFonts w:asciiTheme="minorHAnsi" w:eastAsiaTheme="minorEastAsia" w:hAnsiTheme="minorHAnsi" w:cstheme="minorBidi"/>
          <w:noProof/>
          <w:sz w:val="22"/>
          <w:szCs w:val="22"/>
        </w:rPr>
      </w:pPr>
      <w:hyperlink w:anchor="_Toc107939127" w:history="1">
        <w:r w:rsidR="003E1682" w:rsidRPr="005F5D2F">
          <w:rPr>
            <w:rStyle w:val="Hyperlink"/>
          </w:rPr>
          <w:t>CHAPTER FIVE: Discussion and Conclusion</w:t>
        </w:r>
        <w:r w:rsidR="003E1682">
          <w:rPr>
            <w:noProof/>
            <w:webHidden/>
          </w:rPr>
          <w:tab/>
        </w:r>
        <w:r w:rsidR="003E1682">
          <w:rPr>
            <w:noProof/>
            <w:webHidden/>
          </w:rPr>
          <w:fldChar w:fldCharType="begin"/>
        </w:r>
        <w:r w:rsidR="003E1682">
          <w:rPr>
            <w:noProof/>
            <w:webHidden/>
          </w:rPr>
          <w:instrText xml:space="preserve"> PAGEREF _Toc107939127 \h </w:instrText>
        </w:r>
        <w:r w:rsidR="003E1682">
          <w:rPr>
            <w:noProof/>
            <w:webHidden/>
          </w:rPr>
        </w:r>
        <w:r w:rsidR="003E1682">
          <w:rPr>
            <w:noProof/>
            <w:webHidden/>
          </w:rPr>
          <w:fldChar w:fldCharType="separate"/>
        </w:r>
        <w:r w:rsidR="00766923">
          <w:rPr>
            <w:noProof/>
            <w:webHidden/>
          </w:rPr>
          <w:t>130</w:t>
        </w:r>
        <w:r w:rsidR="003E1682">
          <w:rPr>
            <w:noProof/>
            <w:webHidden/>
          </w:rPr>
          <w:fldChar w:fldCharType="end"/>
        </w:r>
      </w:hyperlink>
    </w:p>
    <w:p w14:paraId="48D40AFC" w14:textId="622650AD"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128" w:history="1">
        <w:r w:rsidR="003E1682" w:rsidRPr="005F5D2F">
          <w:rPr>
            <w:rStyle w:val="Hyperlink"/>
          </w:rPr>
          <w:t>Discussion</w:t>
        </w:r>
        <w:r w:rsidR="003E1682">
          <w:rPr>
            <w:noProof/>
            <w:webHidden/>
          </w:rPr>
          <w:tab/>
        </w:r>
        <w:r w:rsidR="003E1682">
          <w:rPr>
            <w:noProof/>
            <w:webHidden/>
          </w:rPr>
          <w:fldChar w:fldCharType="begin"/>
        </w:r>
        <w:r w:rsidR="003E1682">
          <w:rPr>
            <w:noProof/>
            <w:webHidden/>
          </w:rPr>
          <w:instrText xml:space="preserve"> PAGEREF _Toc107939128 \h </w:instrText>
        </w:r>
        <w:r w:rsidR="003E1682">
          <w:rPr>
            <w:noProof/>
            <w:webHidden/>
          </w:rPr>
        </w:r>
        <w:r w:rsidR="003E1682">
          <w:rPr>
            <w:noProof/>
            <w:webHidden/>
          </w:rPr>
          <w:fldChar w:fldCharType="separate"/>
        </w:r>
        <w:r w:rsidR="00766923">
          <w:rPr>
            <w:noProof/>
            <w:webHidden/>
          </w:rPr>
          <w:t>130</w:t>
        </w:r>
        <w:r w:rsidR="003E1682">
          <w:rPr>
            <w:noProof/>
            <w:webHidden/>
          </w:rPr>
          <w:fldChar w:fldCharType="end"/>
        </w:r>
      </w:hyperlink>
    </w:p>
    <w:p w14:paraId="09B63DD1" w14:textId="466F0573"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129" w:history="1">
        <w:r w:rsidR="003E1682" w:rsidRPr="005F5D2F">
          <w:rPr>
            <w:rStyle w:val="Hyperlink"/>
          </w:rPr>
          <w:t>Implications</w:t>
        </w:r>
        <w:r w:rsidR="003E1682">
          <w:rPr>
            <w:noProof/>
            <w:webHidden/>
          </w:rPr>
          <w:tab/>
        </w:r>
        <w:r w:rsidR="003E1682">
          <w:rPr>
            <w:noProof/>
            <w:webHidden/>
          </w:rPr>
          <w:fldChar w:fldCharType="begin"/>
        </w:r>
        <w:r w:rsidR="003E1682">
          <w:rPr>
            <w:noProof/>
            <w:webHidden/>
          </w:rPr>
          <w:instrText xml:space="preserve"> PAGEREF _Toc107939129 \h </w:instrText>
        </w:r>
        <w:r w:rsidR="003E1682">
          <w:rPr>
            <w:noProof/>
            <w:webHidden/>
          </w:rPr>
        </w:r>
        <w:r w:rsidR="003E1682">
          <w:rPr>
            <w:noProof/>
            <w:webHidden/>
          </w:rPr>
          <w:fldChar w:fldCharType="separate"/>
        </w:r>
        <w:r w:rsidR="00766923">
          <w:rPr>
            <w:noProof/>
            <w:webHidden/>
          </w:rPr>
          <w:t>139</w:t>
        </w:r>
        <w:r w:rsidR="003E1682">
          <w:rPr>
            <w:noProof/>
            <w:webHidden/>
          </w:rPr>
          <w:fldChar w:fldCharType="end"/>
        </w:r>
      </w:hyperlink>
    </w:p>
    <w:p w14:paraId="2F6E2D5B" w14:textId="6ADE0F23"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130" w:history="1">
        <w:r w:rsidR="003E1682" w:rsidRPr="005F5D2F">
          <w:rPr>
            <w:rStyle w:val="Hyperlink"/>
          </w:rPr>
          <w:t>Conclusion</w:t>
        </w:r>
        <w:r w:rsidR="003E1682">
          <w:rPr>
            <w:noProof/>
            <w:webHidden/>
          </w:rPr>
          <w:tab/>
        </w:r>
        <w:r w:rsidR="003E1682">
          <w:rPr>
            <w:noProof/>
            <w:webHidden/>
          </w:rPr>
          <w:fldChar w:fldCharType="begin"/>
        </w:r>
        <w:r w:rsidR="003E1682">
          <w:rPr>
            <w:noProof/>
            <w:webHidden/>
          </w:rPr>
          <w:instrText xml:space="preserve"> PAGEREF _Toc107939130 \h </w:instrText>
        </w:r>
        <w:r w:rsidR="003E1682">
          <w:rPr>
            <w:noProof/>
            <w:webHidden/>
          </w:rPr>
        </w:r>
        <w:r w:rsidR="003E1682">
          <w:rPr>
            <w:noProof/>
            <w:webHidden/>
          </w:rPr>
          <w:fldChar w:fldCharType="separate"/>
        </w:r>
        <w:r w:rsidR="00766923">
          <w:rPr>
            <w:noProof/>
            <w:webHidden/>
          </w:rPr>
          <w:t>142</w:t>
        </w:r>
        <w:r w:rsidR="003E1682">
          <w:rPr>
            <w:noProof/>
            <w:webHidden/>
          </w:rPr>
          <w:fldChar w:fldCharType="end"/>
        </w:r>
      </w:hyperlink>
    </w:p>
    <w:p w14:paraId="30CEB8E7" w14:textId="2EC22985" w:rsidR="003E1682" w:rsidRDefault="00710174">
      <w:pPr>
        <w:pStyle w:val="TOC1"/>
        <w:tabs>
          <w:tab w:val="right" w:leader="dot" w:pos="9062"/>
        </w:tabs>
        <w:rPr>
          <w:rFonts w:asciiTheme="minorHAnsi" w:eastAsiaTheme="minorEastAsia" w:hAnsiTheme="minorHAnsi" w:cstheme="minorBidi"/>
          <w:noProof/>
          <w:sz w:val="22"/>
          <w:szCs w:val="22"/>
        </w:rPr>
      </w:pPr>
      <w:hyperlink w:anchor="_Toc107939131" w:history="1">
        <w:r w:rsidR="003E1682" w:rsidRPr="005F5D2F">
          <w:rPr>
            <w:rStyle w:val="Hyperlink"/>
          </w:rPr>
          <w:t>REFERENCES</w:t>
        </w:r>
        <w:r w:rsidR="003E1682">
          <w:rPr>
            <w:noProof/>
            <w:webHidden/>
          </w:rPr>
          <w:tab/>
        </w:r>
        <w:r w:rsidR="003E1682">
          <w:rPr>
            <w:noProof/>
            <w:webHidden/>
          </w:rPr>
          <w:fldChar w:fldCharType="begin"/>
        </w:r>
        <w:r w:rsidR="003E1682">
          <w:rPr>
            <w:noProof/>
            <w:webHidden/>
          </w:rPr>
          <w:instrText xml:space="preserve"> PAGEREF _Toc107939131 \h </w:instrText>
        </w:r>
        <w:r w:rsidR="003E1682">
          <w:rPr>
            <w:noProof/>
            <w:webHidden/>
          </w:rPr>
        </w:r>
        <w:r w:rsidR="003E1682">
          <w:rPr>
            <w:noProof/>
            <w:webHidden/>
          </w:rPr>
          <w:fldChar w:fldCharType="separate"/>
        </w:r>
        <w:r w:rsidR="00766923">
          <w:rPr>
            <w:noProof/>
            <w:webHidden/>
          </w:rPr>
          <w:t>144</w:t>
        </w:r>
        <w:r w:rsidR="003E1682">
          <w:rPr>
            <w:noProof/>
            <w:webHidden/>
          </w:rPr>
          <w:fldChar w:fldCharType="end"/>
        </w:r>
      </w:hyperlink>
    </w:p>
    <w:p w14:paraId="05983C48" w14:textId="7543B8AA" w:rsidR="003E1682" w:rsidRDefault="00710174">
      <w:pPr>
        <w:pStyle w:val="TOC1"/>
        <w:tabs>
          <w:tab w:val="right" w:leader="dot" w:pos="9062"/>
        </w:tabs>
        <w:rPr>
          <w:rFonts w:asciiTheme="minorHAnsi" w:eastAsiaTheme="minorEastAsia" w:hAnsiTheme="minorHAnsi" w:cstheme="minorBidi"/>
          <w:noProof/>
          <w:sz w:val="22"/>
          <w:szCs w:val="22"/>
        </w:rPr>
      </w:pPr>
      <w:hyperlink w:anchor="_Toc107939132" w:history="1">
        <w:r w:rsidR="003E1682" w:rsidRPr="005F5D2F">
          <w:rPr>
            <w:rStyle w:val="Hyperlink"/>
          </w:rPr>
          <w:t>Appendices</w:t>
        </w:r>
        <w:r w:rsidR="003E1682">
          <w:rPr>
            <w:noProof/>
            <w:webHidden/>
          </w:rPr>
          <w:tab/>
        </w:r>
        <w:r w:rsidR="003E1682">
          <w:rPr>
            <w:noProof/>
            <w:webHidden/>
          </w:rPr>
          <w:fldChar w:fldCharType="begin"/>
        </w:r>
        <w:r w:rsidR="003E1682">
          <w:rPr>
            <w:noProof/>
            <w:webHidden/>
          </w:rPr>
          <w:instrText xml:space="preserve"> PAGEREF _Toc107939132 \h </w:instrText>
        </w:r>
        <w:r w:rsidR="003E1682">
          <w:rPr>
            <w:noProof/>
            <w:webHidden/>
          </w:rPr>
        </w:r>
        <w:r w:rsidR="003E1682">
          <w:rPr>
            <w:noProof/>
            <w:webHidden/>
          </w:rPr>
          <w:fldChar w:fldCharType="separate"/>
        </w:r>
        <w:r w:rsidR="00766923">
          <w:rPr>
            <w:noProof/>
            <w:webHidden/>
          </w:rPr>
          <w:t>180</w:t>
        </w:r>
        <w:r w:rsidR="003E1682">
          <w:rPr>
            <w:noProof/>
            <w:webHidden/>
          </w:rPr>
          <w:fldChar w:fldCharType="end"/>
        </w:r>
      </w:hyperlink>
    </w:p>
    <w:p w14:paraId="3C4D38C6" w14:textId="03C3E31F"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133" w:history="1">
        <w:r w:rsidR="003E1682" w:rsidRPr="005F5D2F">
          <w:rPr>
            <w:rStyle w:val="Hyperlink"/>
          </w:rPr>
          <w:t>Appendix A</w:t>
        </w:r>
        <w:r w:rsidR="003E1682">
          <w:rPr>
            <w:noProof/>
            <w:webHidden/>
          </w:rPr>
          <w:tab/>
        </w:r>
        <w:r w:rsidR="003E1682">
          <w:rPr>
            <w:noProof/>
            <w:webHidden/>
          </w:rPr>
          <w:fldChar w:fldCharType="begin"/>
        </w:r>
        <w:r w:rsidR="003E1682">
          <w:rPr>
            <w:noProof/>
            <w:webHidden/>
          </w:rPr>
          <w:instrText xml:space="preserve"> PAGEREF _Toc107939133 \h </w:instrText>
        </w:r>
        <w:r w:rsidR="003E1682">
          <w:rPr>
            <w:noProof/>
            <w:webHidden/>
          </w:rPr>
        </w:r>
        <w:r w:rsidR="003E1682">
          <w:rPr>
            <w:noProof/>
            <w:webHidden/>
          </w:rPr>
          <w:fldChar w:fldCharType="separate"/>
        </w:r>
        <w:r w:rsidR="00766923">
          <w:rPr>
            <w:noProof/>
            <w:webHidden/>
          </w:rPr>
          <w:t>180</w:t>
        </w:r>
        <w:r w:rsidR="003E1682">
          <w:rPr>
            <w:noProof/>
            <w:webHidden/>
          </w:rPr>
          <w:fldChar w:fldCharType="end"/>
        </w:r>
      </w:hyperlink>
    </w:p>
    <w:p w14:paraId="7987DA9E" w14:textId="721B8C27"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134" w:history="1">
        <w:r w:rsidR="003E1682" w:rsidRPr="005F5D2F">
          <w:rPr>
            <w:rStyle w:val="Hyperlink"/>
          </w:rPr>
          <w:t>Appendix B</w:t>
        </w:r>
        <w:r w:rsidR="003E1682">
          <w:rPr>
            <w:noProof/>
            <w:webHidden/>
          </w:rPr>
          <w:tab/>
        </w:r>
        <w:r w:rsidR="003E1682">
          <w:rPr>
            <w:noProof/>
            <w:webHidden/>
          </w:rPr>
          <w:fldChar w:fldCharType="begin"/>
        </w:r>
        <w:r w:rsidR="003E1682">
          <w:rPr>
            <w:noProof/>
            <w:webHidden/>
          </w:rPr>
          <w:instrText xml:space="preserve"> PAGEREF _Toc107939134 \h </w:instrText>
        </w:r>
        <w:r w:rsidR="003E1682">
          <w:rPr>
            <w:noProof/>
            <w:webHidden/>
          </w:rPr>
        </w:r>
        <w:r w:rsidR="003E1682">
          <w:rPr>
            <w:noProof/>
            <w:webHidden/>
          </w:rPr>
          <w:fldChar w:fldCharType="separate"/>
        </w:r>
        <w:r w:rsidR="00766923">
          <w:rPr>
            <w:noProof/>
            <w:webHidden/>
          </w:rPr>
          <w:t>189</w:t>
        </w:r>
        <w:r w:rsidR="003E1682">
          <w:rPr>
            <w:noProof/>
            <w:webHidden/>
          </w:rPr>
          <w:fldChar w:fldCharType="end"/>
        </w:r>
      </w:hyperlink>
    </w:p>
    <w:p w14:paraId="6BDAE5AB" w14:textId="1AE181A6"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135" w:history="1">
        <w:r w:rsidR="003E1682" w:rsidRPr="005F5D2F">
          <w:rPr>
            <w:rStyle w:val="Hyperlink"/>
          </w:rPr>
          <w:t>Appendix C</w:t>
        </w:r>
        <w:r w:rsidR="003E1682">
          <w:rPr>
            <w:noProof/>
            <w:webHidden/>
          </w:rPr>
          <w:tab/>
        </w:r>
        <w:r w:rsidR="003E1682">
          <w:rPr>
            <w:noProof/>
            <w:webHidden/>
          </w:rPr>
          <w:fldChar w:fldCharType="begin"/>
        </w:r>
        <w:r w:rsidR="003E1682">
          <w:rPr>
            <w:noProof/>
            <w:webHidden/>
          </w:rPr>
          <w:instrText xml:space="preserve"> PAGEREF _Toc107939135 \h </w:instrText>
        </w:r>
        <w:r w:rsidR="003E1682">
          <w:rPr>
            <w:noProof/>
            <w:webHidden/>
          </w:rPr>
        </w:r>
        <w:r w:rsidR="003E1682">
          <w:rPr>
            <w:noProof/>
            <w:webHidden/>
          </w:rPr>
          <w:fldChar w:fldCharType="separate"/>
        </w:r>
        <w:r w:rsidR="00766923">
          <w:rPr>
            <w:noProof/>
            <w:webHidden/>
          </w:rPr>
          <w:t>194</w:t>
        </w:r>
        <w:r w:rsidR="003E1682">
          <w:rPr>
            <w:noProof/>
            <w:webHidden/>
          </w:rPr>
          <w:fldChar w:fldCharType="end"/>
        </w:r>
      </w:hyperlink>
    </w:p>
    <w:p w14:paraId="47A9BE24" w14:textId="644CFF0A" w:rsidR="003E1682" w:rsidRDefault="00710174">
      <w:pPr>
        <w:pStyle w:val="TOC2"/>
        <w:tabs>
          <w:tab w:val="right" w:leader="dot" w:pos="9062"/>
        </w:tabs>
        <w:rPr>
          <w:rFonts w:asciiTheme="minorHAnsi" w:eastAsiaTheme="minorEastAsia" w:hAnsiTheme="minorHAnsi" w:cstheme="minorBidi"/>
          <w:noProof/>
          <w:sz w:val="22"/>
          <w:szCs w:val="22"/>
        </w:rPr>
      </w:pPr>
      <w:hyperlink w:anchor="_Toc107939136" w:history="1">
        <w:r w:rsidR="003E1682" w:rsidRPr="005F5D2F">
          <w:rPr>
            <w:rStyle w:val="Hyperlink"/>
          </w:rPr>
          <w:t>Appendix D</w:t>
        </w:r>
        <w:r w:rsidR="003E1682">
          <w:rPr>
            <w:noProof/>
            <w:webHidden/>
          </w:rPr>
          <w:tab/>
        </w:r>
        <w:r w:rsidR="003E1682">
          <w:rPr>
            <w:noProof/>
            <w:webHidden/>
          </w:rPr>
          <w:fldChar w:fldCharType="begin"/>
        </w:r>
        <w:r w:rsidR="003E1682">
          <w:rPr>
            <w:noProof/>
            <w:webHidden/>
          </w:rPr>
          <w:instrText xml:space="preserve"> PAGEREF _Toc107939136 \h </w:instrText>
        </w:r>
        <w:r w:rsidR="003E1682">
          <w:rPr>
            <w:noProof/>
            <w:webHidden/>
          </w:rPr>
        </w:r>
        <w:r w:rsidR="003E1682">
          <w:rPr>
            <w:noProof/>
            <w:webHidden/>
          </w:rPr>
          <w:fldChar w:fldCharType="separate"/>
        </w:r>
        <w:r w:rsidR="00766923">
          <w:rPr>
            <w:noProof/>
            <w:webHidden/>
          </w:rPr>
          <w:t>198</w:t>
        </w:r>
        <w:r w:rsidR="003E1682">
          <w:rPr>
            <w:noProof/>
            <w:webHidden/>
          </w:rPr>
          <w:fldChar w:fldCharType="end"/>
        </w:r>
      </w:hyperlink>
    </w:p>
    <w:p w14:paraId="55F05001" w14:textId="6C1CCA4A" w:rsidR="003E1682" w:rsidRDefault="00710174">
      <w:pPr>
        <w:pStyle w:val="TOC1"/>
        <w:tabs>
          <w:tab w:val="right" w:leader="dot" w:pos="9062"/>
        </w:tabs>
        <w:rPr>
          <w:rFonts w:asciiTheme="minorHAnsi" w:eastAsiaTheme="minorEastAsia" w:hAnsiTheme="minorHAnsi" w:cstheme="minorBidi"/>
          <w:noProof/>
          <w:sz w:val="22"/>
          <w:szCs w:val="22"/>
        </w:rPr>
      </w:pPr>
      <w:hyperlink w:anchor="_Toc107939137" w:history="1">
        <w:r w:rsidR="003E1682" w:rsidRPr="005F5D2F">
          <w:rPr>
            <w:rStyle w:val="Hyperlink"/>
          </w:rPr>
          <w:t>VITA</w:t>
        </w:r>
        <w:r w:rsidR="003E1682">
          <w:rPr>
            <w:noProof/>
            <w:webHidden/>
          </w:rPr>
          <w:tab/>
        </w:r>
        <w:r w:rsidR="003E1682">
          <w:rPr>
            <w:noProof/>
            <w:webHidden/>
          </w:rPr>
          <w:fldChar w:fldCharType="begin"/>
        </w:r>
        <w:r w:rsidR="003E1682">
          <w:rPr>
            <w:noProof/>
            <w:webHidden/>
          </w:rPr>
          <w:instrText xml:space="preserve"> PAGEREF _Toc107939137 \h </w:instrText>
        </w:r>
        <w:r w:rsidR="003E1682">
          <w:rPr>
            <w:noProof/>
            <w:webHidden/>
          </w:rPr>
        </w:r>
        <w:r w:rsidR="003E1682">
          <w:rPr>
            <w:noProof/>
            <w:webHidden/>
          </w:rPr>
          <w:fldChar w:fldCharType="separate"/>
        </w:r>
        <w:r w:rsidR="00766923">
          <w:rPr>
            <w:noProof/>
            <w:webHidden/>
          </w:rPr>
          <w:t>202</w:t>
        </w:r>
        <w:r w:rsidR="003E1682">
          <w:rPr>
            <w:noProof/>
            <w:webHidden/>
          </w:rPr>
          <w:fldChar w:fldCharType="end"/>
        </w:r>
      </w:hyperlink>
    </w:p>
    <w:p w14:paraId="364CF75D" w14:textId="7F3A29E6" w:rsidR="0033629A" w:rsidRDefault="004409CB">
      <w:r>
        <w:fldChar w:fldCharType="end"/>
      </w:r>
    </w:p>
    <w:p w14:paraId="41BA6CA6" w14:textId="77777777" w:rsidR="0033629A" w:rsidRDefault="004409CB">
      <w:pPr>
        <w:pStyle w:val="BodyText"/>
      </w:pPr>
      <w:r>
        <w:br w:type="page"/>
      </w:r>
    </w:p>
    <w:p w14:paraId="27E6E92F" w14:textId="77777777" w:rsidR="0033629A" w:rsidRDefault="004409CB">
      <w:pPr>
        <w:pStyle w:val="BodyText"/>
        <w:pBdr>
          <w:top w:val="none" w:sz="0" w:space="0" w:color="000000"/>
          <w:left w:val="none" w:sz="0" w:space="0" w:color="000000"/>
          <w:bottom w:val="none" w:sz="0" w:space="0" w:color="000000"/>
          <w:right w:val="none" w:sz="0" w:space="0" w:color="000000"/>
        </w:pBdr>
        <w:spacing w:before="0" w:after="0" w:line="240" w:lineRule="auto"/>
        <w:ind w:firstLine="0"/>
        <w:jc w:val="center"/>
      </w:pPr>
      <w:r>
        <w:rPr>
          <w:rFonts w:eastAsia="Times New Roman"/>
          <w:b/>
          <w:color w:val="000000"/>
          <w:sz w:val="28"/>
          <w:szCs w:val="28"/>
        </w:rPr>
        <w:lastRenderedPageBreak/>
        <w:t>LIST OF TABLES</w:t>
      </w:r>
    </w:p>
    <w:p w14:paraId="1F70BD9F" w14:textId="7FEFC8EA" w:rsidR="004C213E" w:rsidRDefault="00B8133B">
      <w:pPr>
        <w:pStyle w:val="TOC1"/>
        <w:tabs>
          <w:tab w:val="right" w:leader="dot" w:pos="9062"/>
        </w:tabs>
        <w:rPr>
          <w:rFonts w:asciiTheme="minorHAnsi" w:eastAsiaTheme="minorEastAsia" w:hAnsiTheme="minorHAnsi" w:cstheme="minorBidi"/>
          <w:noProof/>
          <w:sz w:val="22"/>
          <w:szCs w:val="22"/>
        </w:rPr>
      </w:pPr>
      <w:r>
        <w:fldChar w:fldCharType="begin"/>
      </w:r>
      <w:r>
        <w:instrText xml:space="preserve"> TOC \h \z \t "Table Caption,1" </w:instrText>
      </w:r>
      <w:r>
        <w:fldChar w:fldCharType="separate"/>
      </w:r>
      <w:hyperlink w:anchor="_Toc105675505" w:history="1">
        <w:r w:rsidR="004C213E" w:rsidRPr="00992231">
          <w:rPr>
            <w:rStyle w:val="Hyperlink"/>
            <w:b/>
          </w:rPr>
          <w:t>Table 1</w:t>
        </w:r>
        <w:r w:rsidR="004C213E" w:rsidRPr="00992231">
          <w:rPr>
            <w:rStyle w:val="Hyperlink"/>
          </w:rPr>
          <w:t>: Applications from the PISA scientific literacy assessment that are relevant to climate change.</w:t>
        </w:r>
        <w:r w:rsidR="004C213E">
          <w:rPr>
            <w:noProof/>
            <w:webHidden/>
          </w:rPr>
          <w:tab/>
        </w:r>
        <w:r w:rsidR="004C213E">
          <w:rPr>
            <w:noProof/>
            <w:webHidden/>
          </w:rPr>
          <w:fldChar w:fldCharType="begin"/>
        </w:r>
        <w:r w:rsidR="004C213E">
          <w:rPr>
            <w:noProof/>
            <w:webHidden/>
          </w:rPr>
          <w:instrText xml:space="preserve"> PAGEREF _Toc105675505 \h </w:instrText>
        </w:r>
        <w:r w:rsidR="004C213E">
          <w:rPr>
            <w:noProof/>
            <w:webHidden/>
          </w:rPr>
        </w:r>
        <w:r w:rsidR="004C213E">
          <w:rPr>
            <w:noProof/>
            <w:webHidden/>
          </w:rPr>
          <w:fldChar w:fldCharType="separate"/>
        </w:r>
        <w:r w:rsidR="00766923">
          <w:rPr>
            <w:noProof/>
            <w:webHidden/>
          </w:rPr>
          <w:t>24</w:t>
        </w:r>
        <w:r w:rsidR="004C213E">
          <w:rPr>
            <w:noProof/>
            <w:webHidden/>
          </w:rPr>
          <w:fldChar w:fldCharType="end"/>
        </w:r>
      </w:hyperlink>
    </w:p>
    <w:p w14:paraId="43274E35" w14:textId="51A3AB6D"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06" w:history="1">
        <w:r w:rsidR="004C213E" w:rsidRPr="00992231">
          <w:rPr>
            <w:rStyle w:val="Hyperlink"/>
            <w:b/>
          </w:rPr>
          <w:t>Table 2</w:t>
        </w:r>
        <w:r w:rsidR="004C213E" w:rsidRPr="00992231">
          <w:rPr>
            <w:rStyle w:val="Hyperlink"/>
          </w:rPr>
          <w:t>: Descriptive statistics for all data</w:t>
        </w:r>
        <w:r w:rsidR="004C213E">
          <w:rPr>
            <w:noProof/>
            <w:webHidden/>
          </w:rPr>
          <w:tab/>
        </w:r>
        <w:r w:rsidR="004C213E">
          <w:rPr>
            <w:noProof/>
            <w:webHidden/>
          </w:rPr>
          <w:fldChar w:fldCharType="begin"/>
        </w:r>
        <w:r w:rsidR="004C213E">
          <w:rPr>
            <w:noProof/>
            <w:webHidden/>
          </w:rPr>
          <w:instrText xml:space="preserve"> PAGEREF _Toc105675506 \h </w:instrText>
        </w:r>
        <w:r w:rsidR="004C213E">
          <w:rPr>
            <w:noProof/>
            <w:webHidden/>
          </w:rPr>
        </w:r>
        <w:r w:rsidR="004C213E">
          <w:rPr>
            <w:noProof/>
            <w:webHidden/>
          </w:rPr>
          <w:fldChar w:fldCharType="separate"/>
        </w:r>
        <w:r w:rsidR="00766923">
          <w:rPr>
            <w:noProof/>
            <w:webHidden/>
          </w:rPr>
          <w:t>98</w:t>
        </w:r>
        <w:r w:rsidR="004C213E">
          <w:rPr>
            <w:noProof/>
            <w:webHidden/>
          </w:rPr>
          <w:fldChar w:fldCharType="end"/>
        </w:r>
      </w:hyperlink>
    </w:p>
    <w:p w14:paraId="55F0321A" w14:textId="50AAEB3E"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07" w:history="1">
        <w:r w:rsidR="004C213E" w:rsidRPr="00992231">
          <w:rPr>
            <w:rStyle w:val="Hyperlink"/>
            <w:b/>
          </w:rPr>
          <w:t>Table 3</w:t>
        </w:r>
        <w:r w:rsidR="004C213E" w:rsidRPr="00992231">
          <w:rPr>
            <w:rStyle w:val="Hyperlink"/>
          </w:rPr>
          <w:t>: Variance inflation factors for independent variables.</w:t>
        </w:r>
        <w:r w:rsidR="004C213E">
          <w:rPr>
            <w:noProof/>
            <w:webHidden/>
          </w:rPr>
          <w:tab/>
        </w:r>
        <w:r w:rsidR="004C213E">
          <w:rPr>
            <w:noProof/>
            <w:webHidden/>
          </w:rPr>
          <w:fldChar w:fldCharType="begin"/>
        </w:r>
        <w:r w:rsidR="004C213E">
          <w:rPr>
            <w:noProof/>
            <w:webHidden/>
          </w:rPr>
          <w:instrText xml:space="preserve"> PAGEREF _Toc105675507 \h </w:instrText>
        </w:r>
        <w:r w:rsidR="004C213E">
          <w:rPr>
            <w:noProof/>
            <w:webHidden/>
          </w:rPr>
        </w:r>
        <w:r w:rsidR="004C213E">
          <w:rPr>
            <w:noProof/>
            <w:webHidden/>
          </w:rPr>
          <w:fldChar w:fldCharType="separate"/>
        </w:r>
        <w:r w:rsidR="00766923">
          <w:rPr>
            <w:noProof/>
            <w:webHidden/>
          </w:rPr>
          <w:t>108</w:t>
        </w:r>
        <w:r w:rsidR="004C213E">
          <w:rPr>
            <w:noProof/>
            <w:webHidden/>
          </w:rPr>
          <w:fldChar w:fldCharType="end"/>
        </w:r>
      </w:hyperlink>
    </w:p>
    <w:p w14:paraId="7ABEEA08" w14:textId="17182DFC"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08" w:history="1">
        <w:r w:rsidR="004C213E" w:rsidRPr="00992231">
          <w:rPr>
            <w:rStyle w:val="Hyperlink"/>
            <w:b/>
          </w:rPr>
          <w:t>Table 4</w:t>
        </w:r>
        <w:r w:rsidR="004C213E" w:rsidRPr="00992231">
          <w:rPr>
            <w:rStyle w:val="Hyperlink"/>
          </w:rPr>
          <w:t>: Fit statistics and likelihood ratio test results for Model 2.</w:t>
        </w:r>
        <w:r w:rsidR="004C213E">
          <w:rPr>
            <w:noProof/>
            <w:webHidden/>
          </w:rPr>
          <w:tab/>
        </w:r>
        <w:r w:rsidR="004C213E">
          <w:rPr>
            <w:noProof/>
            <w:webHidden/>
          </w:rPr>
          <w:fldChar w:fldCharType="begin"/>
        </w:r>
        <w:r w:rsidR="004C213E">
          <w:rPr>
            <w:noProof/>
            <w:webHidden/>
          </w:rPr>
          <w:instrText xml:space="preserve"> PAGEREF _Toc105675508 \h </w:instrText>
        </w:r>
        <w:r w:rsidR="004C213E">
          <w:rPr>
            <w:noProof/>
            <w:webHidden/>
          </w:rPr>
        </w:r>
        <w:r w:rsidR="004C213E">
          <w:rPr>
            <w:noProof/>
            <w:webHidden/>
          </w:rPr>
          <w:fldChar w:fldCharType="separate"/>
        </w:r>
        <w:r w:rsidR="00766923">
          <w:rPr>
            <w:noProof/>
            <w:webHidden/>
          </w:rPr>
          <w:t>111</w:t>
        </w:r>
        <w:r w:rsidR="004C213E">
          <w:rPr>
            <w:noProof/>
            <w:webHidden/>
          </w:rPr>
          <w:fldChar w:fldCharType="end"/>
        </w:r>
      </w:hyperlink>
    </w:p>
    <w:p w14:paraId="092525E7" w14:textId="09E7D4D8"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09" w:history="1">
        <w:r w:rsidR="004C213E" w:rsidRPr="00992231">
          <w:rPr>
            <w:rStyle w:val="Hyperlink"/>
            <w:b/>
          </w:rPr>
          <w:t>Table 5</w:t>
        </w:r>
        <w:r w:rsidR="004C213E" w:rsidRPr="00992231">
          <w:rPr>
            <w:rStyle w:val="Hyperlink"/>
          </w:rPr>
          <w:t>: Table of results for initial multilevel growth models.</w:t>
        </w:r>
        <w:r w:rsidR="004C213E">
          <w:rPr>
            <w:noProof/>
            <w:webHidden/>
          </w:rPr>
          <w:tab/>
        </w:r>
        <w:r w:rsidR="004C213E">
          <w:rPr>
            <w:noProof/>
            <w:webHidden/>
          </w:rPr>
          <w:fldChar w:fldCharType="begin"/>
        </w:r>
        <w:r w:rsidR="004C213E">
          <w:rPr>
            <w:noProof/>
            <w:webHidden/>
          </w:rPr>
          <w:instrText xml:space="preserve"> PAGEREF _Toc105675509 \h </w:instrText>
        </w:r>
        <w:r w:rsidR="004C213E">
          <w:rPr>
            <w:noProof/>
            <w:webHidden/>
          </w:rPr>
        </w:r>
        <w:r w:rsidR="004C213E">
          <w:rPr>
            <w:noProof/>
            <w:webHidden/>
          </w:rPr>
          <w:fldChar w:fldCharType="separate"/>
        </w:r>
        <w:r w:rsidR="00766923">
          <w:rPr>
            <w:noProof/>
            <w:webHidden/>
          </w:rPr>
          <w:t>112</w:t>
        </w:r>
        <w:r w:rsidR="004C213E">
          <w:rPr>
            <w:noProof/>
            <w:webHidden/>
          </w:rPr>
          <w:fldChar w:fldCharType="end"/>
        </w:r>
      </w:hyperlink>
    </w:p>
    <w:p w14:paraId="712BBF18" w14:textId="46C20986"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10" w:history="1">
        <w:r w:rsidR="004C213E" w:rsidRPr="00992231">
          <w:rPr>
            <w:rStyle w:val="Hyperlink"/>
            <w:b/>
          </w:rPr>
          <w:t>Table 6</w:t>
        </w:r>
        <w:r w:rsidR="004C213E" w:rsidRPr="00992231">
          <w:rPr>
            <w:rStyle w:val="Hyperlink"/>
          </w:rPr>
          <w:t>: Table of results for final multilevel growth models.</w:t>
        </w:r>
        <w:r w:rsidR="004C213E">
          <w:rPr>
            <w:noProof/>
            <w:webHidden/>
          </w:rPr>
          <w:tab/>
        </w:r>
        <w:r w:rsidR="004C213E">
          <w:rPr>
            <w:noProof/>
            <w:webHidden/>
          </w:rPr>
          <w:fldChar w:fldCharType="begin"/>
        </w:r>
        <w:r w:rsidR="004C213E">
          <w:rPr>
            <w:noProof/>
            <w:webHidden/>
          </w:rPr>
          <w:instrText xml:space="preserve"> PAGEREF _Toc105675510 \h </w:instrText>
        </w:r>
        <w:r w:rsidR="004C213E">
          <w:rPr>
            <w:noProof/>
            <w:webHidden/>
          </w:rPr>
        </w:r>
        <w:r w:rsidR="004C213E">
          <w:rPr>
            <w:noProof/>
            <w:webHidden/>
          </w:rPr>
          <w:fldChar w:fldCharType="separate"/>
        </w:r>
        <w:r w:rsidR="00766923">
          <w:rPr>
            <w:noProof/>
            <w:webHidden/>
          </w:rPr>
          <w:t>117</w:t>
        </w:r>
        <w:r w:rsidR="004C213E">
          <w:rPr>
            <w:noProof/>
            <w:webHidden/>
          </w:rPr>
          <w:fldChar w:fldCharType="end"/>
        </w:r>
      </w:hyperlink>
    </w:p>
    <w:p w14:paraId="364EF40E" w14:textId="60355DCE"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11" w:history="1">
        <w:r w:rsidR="004C213E" w:rsidRPr="00992231">
          <w:rPr>
            <w:rStyle w:val="Hyperlink"/>
            <w:b/>
          </w:rPr>
          <w:t>Table 7</w:t>
        </w:r>
        <w:r w:rsidR="004C213E" w:rsidRPr="00992231">
          <w:rPr>
            <w:rStyle w:val="Hyperlink"/>
          </w:rPr>
          <w:t>: Models for female and male scientific literacy scores.</w:t>
        </w:r>
        <w:r w:rsidR="004C213E">
          <w:rPr>
            <w:noProof/>
            <w:webHidden/>
          </w:rPr>
          <w:tab/>
        </w:r>
        <w:r w:rsidR="004C213E">
          <w:rPr>
            <w:noProof/>
            <w:webHidden/>
          </w:rPr>
          <w:fldChar w:fldCharType="begin"/>
        </w:r>
        <w:r w:rsidR="004C213E">
          <w:rPr>
            <w:noProof/>
            <w:webHidden/>
          </w:rPr>
          <w:instrText xml:space="preserve"> PAGEREF _Toc105675511 \h </w:instrText>
        </w:r>
        <w:r w:rsidR="004C213E">
          <w:rPr>
            <w:noProof/>
            <w:webHidden/>
          </w:rPr>
        </w:r>
        <w:r w:rsidR="004C213E">
          <w:rPr>
            <w:noProof/>
            <w:webHidden/>
          </w:rPr>
          <w:fldChar w:fldCharType="separate"/>
        </w:r>
        <w:r w:rsidR="00766923">
          <w:rPr>
            <w:noProof/>
            <w:webHidden/>
          </w:rPr>
          <w:t>122</w:t>
        </w:r>
        <w:r w:rsidR="004C213E">
          <w:rPr>
            <w:noProof/>
            <w:webHidden/>
          </w:rPr>
          <w:fldChar w:fldCharType="end"/>
        </w:r>
      </w:hyperlink>
    </w:p>
    <w:p w14:paraId="0DF58C23" w14:textId="4BFB6398"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12" w:history="1">
        <w:r w:rsidR="004C213E" w:rsidRPr="00992231">
          <w:rPr>
            <w:rStyle w:val="Hyperlink"/>
            <w:b/>
          </w:rPr>
          <w:t>Table 9</w:t>
        </w:r>
        <w:r w:rsidR="004C213E" w:rsidRPr="00992231">
          <w:rPr>
            <w:rStyle w:val="Hyperlink"/>
          </w:rPr>
          <w:t>: Integrated Values Survey Items Used in Factor Analysis</w:t>
        </w:r>
        <w:r w:rsidR="004C213E">
          <w:rPr>
            <w:noProof/>
            <w:webHidden/>
          </w:rPr>
          <w:tab/>
        </w:r>
        <w:r w:rsidR="004C213E">
          <w:rPr>
            <w:noProof/>
            <w:webHidden/>
          </w:rPr>
          <w:fldChar w:fldCharType="begin"/>
        </w:r>
        <w:r w:rsidR="004C213E">
          <w:rPr>
            <w:noProof/>
            <w:webHidden/>
          </w:rPr>
          <w:instrText xml:space="preserve"> PAGEREF _Toc105675512 \h </w:instrText>
        </w:r>
        <w:r w:rsidR="004C213E">
          <w:rPr>
            <w:noProof/>
            <w:webHidden/>
          </w:rPr>
        </w:r>
        <w:r w:rsidR="004C213E">
          <w:rPr>
            <w:noProof/>
            <w:webHidden/>
          </w:rPr>
          <w:fldChar w:fldCharType="separate"/>
        </w:r>
        <w:r w:rsidR="00766923">
          <w:rPr>
            <w:noProof/>
            <w:webHidden/>
          </w:rPr>
          <w:t>191</w:t>
        </w:r>
        <w:r w:rsidR="004C213E">
          <w:rPr>
            <w:noProof/>
            <w:webHidden/>
          </w:rPr>
          <w:fldChar w:fldCharType="end"/>
        </w:r>
      </w:hyperlink>
    </w:p>
    <w:p w14:paraId="200DE665" w14:textId="5F0AC15C"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13" w:history="1">
        <w:r w:rsidR="004C213E" w:rsidRPr="00992231">
          <w:rPr>
            <w:rStyle w:val="Hyperlink"/>
            <w:b/>
          </w:rPr>
          <w:t>Table 10</w:t>
        </w:r>
        <w:r w:rsidR="004C213E" w:rsidRPr="00992231">
          <w:rPr>
            <w:rStyle w:val="Hyperlink"/>
          </w:rPr>
          <w:t>: Initial 4-Factor Solution</w:t>
        </w:r>
        <w:r w:rsidR="004C213E">
          <w:rPr>
            <w:noProof/>
            <w:webHidden/>
          </w:rPr>
          <w:tab/>
        </w:r>
        <w:r w:rsidR="004C213E">
          <w:rPr>
            <w:noProof/>
            <w:webHidden/>
          </w:rPr>
          <w:fldChar w:fldCharType="begin"/>
        </w:r>
        <w:r w:rsidR="004C213E">
          <w:rPr>
            <w:noProof/>
            <w:webHidden/>
          </w:rPr>
          <w:instrText xml:space="preserve"> PAGEREF _Toc105675513 \h </w:instrText>
        </w:r>
        <w:r w:rsidR="004C213E">
          <w:rPr>
            <w:noProof/>
            <w:webHidden/>
          </w:rPr>
        </w:r>
        <w:r w:rsidR="004C213E">
          <w:rPr>
            <w:noProof/>
            <w:webHidden/>
          </w:rPr>
          <w:fldChar w:fldCharType="separate"/>
        </w:r>
        <w:r w:rsidR="00766923">
          <w:rPr>
            <w:noProof/>
            <w:webHidden/>
          </w:rPr>
          <w:t>192</w:t>
        </w:r>
        <w:r w:rsidR="004C213E">
          <w:rPr>
            <w:noProof/>
            <w:webHidden/>
          </w:rPr>
          <w:fldChar w:fldCharType="end"/>
        </w:r>
      </w:hyperlink>
    </w:p>
    <w:p w14:paraId="504C75B3" w14:textId="7A03B80E"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14" w:history="1">
        <w:r w:rsidR="004C213E" w:rsidRPr="00992231">
          <w:rPr>
            <w:rStyle w:val="Hyperlink"/>
            <w:b/>
          </w:rPr>
          <w:t>Table 11</w:t>
        </w:r>
        <w:r w:rsidR="004C213E" w:rsidRPr="00992231">
          <w:rPr>
            <w:rStyle w:val="Hyperlink"/>
          </w:rPr>
          <w:t>: Final 1-Factor Solution</w:t>
        </w:r>
        <w:r w:rsidR="004C213E">
          <w:rPr>
            <w:noProof/>
            <w:webHidden/>
          </w:rPr>
          <w:tab/>
        </w:r>
        <w:r w:rsidR="004C213E">
          <w:rPr>
            <w:noProof/>
            <w:webHidden/>
          </w:rPr>
          <w:fldChar w:fldCharType="begin"/>
        </w:r>
        <w:r w:rsidR="004C213E">
          <w:rPr>
            <w:noProof/>
            <w:webHidden/>
          </w:rPr>
          <w:instrText xml:space="preserve"> PAGEREF _Toc105675514 \h </w:instrText>
        </w:r>
        <w:r w:rsidR="004C213E">
          <w:rPr>
            <w:noProof/>
            <w:webHidden/>
          </w:rPr>
        </w:r>
        <w:r w:rsidR="004C213E">
          <w:rPr>
            <w:noProof/>
            <w:webHidden/>
          </w:rPr>
          <w:fldChar w:fldCharType="separate"/>
        </w:r>
        <w:r w:rsidR="00766923">
          <w:rPr>
            <w:noProof/>
            <w:webHidden/>
          </w:rPr>
          <w:t>193</w:t>
        </w:r>
        <w:r w:rsidR="004C213E">
          <w:rPr>
            <w:noProof/>
            <w:webHidden/>
          </w:rPr>
          <w:fldChar w:fldCharType="end"/>
        </w:r>
      </w:hyperlink>
    </w:p>
    <w:p w14:paraId="204C3908" w14:textId="01C56D5B"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15" w:history="1">
        <w:r w:rsidR="004C213E" w:rsidRPr="00992231">
          <w:rPr>
            <w:rStyle w:val="Hyperlink"/>
            <w:b/>
          </w:rPr>
          <w:t>Table 12</w:t>
        </w:r>
        <w:r w:rsidR="004C213E" w:rsidRPr="00992231">
          <w:rPr>
            <w:rStyle w:val="Hyperlink"/>
          </w:rPr>
          <w:t>: Gelman-Rubin Criterion for Convergence</w:t>
        </w:r>
        <w:r w:rsidR="004C213E">
          <w:rPr>
            <w:noProof/>
            <w:webHidden/>
          </w:rPr>
          <w:tab/>
        </w:r>
        <w:r w:rsidR="004C213E">
          <w:rPr>
            <w:noProof/>
            <w:webHidden/>
          </w:rPr>
          <w:fldChar w:fldCharType="begin"/>
        </w:r>
        <w:r w:rsidR="004C213E">
          <w:rPr>
            <w:noProof/>
            <w:webHidden/>
          </w:rPr>
          <w:instrText xml:space="preserve"> PAGEREF _Toc105675515 \h </w:instrText>
        </w:r>
        <w:r w:rsidR="004C213E">
          <w:rPr>
            <w:noProof/>
            <w:webHidden/>
          </w:rPr>
        </w:r>
        <w:r w:rsidR="004C213E">
          <w:rPr>
            <w:noProof/>
            <w:webHidden/>
          </w:rPr>
          <w:fldChar w:fldCharType="separate"/>
        </w:r>
        <w:r w:rsidR="00766923">
          <w:rPr>
            <w:noProof/>
            <w:webHidden/>
          </w:rPr>
          <w:t>196</w:t>
        </w:r>
        <w:r w:rsidR="004C213E">
          <w:rPr>
            <w:noProof/>
            <w:webHidden/>
          </w:rPr>
          <w:fldChar w:fldCharType="end"/>
        </w:r>
      </w:hyperlink>
    </w:p>
    <w:p w14:paraId="608C717C" w14:textId="2734BC0D" w:rsidR="0033629A" w:rsidRDefault="00B8133B">
      <w:r>
        <w:fldChar w:fldCharType="end"/>
      </w:r>
    </w:p>
    <w:p w14:paraId="06EA91D8" w14:textId="77777777" w:rsidR="0033629A" w:rsidRDefault="004409CB">
      <w:pPr>
        <w:pStyle w:val="BodyText"/>
      </w:pPr>
      <w:r>
        <w:br w:type="page"/>
      </w:r>
    </w:p>
    <w:p w14:paraId="6FE9BF3E" w14:textId="77777777" w:rsidR="0033629A" w:rsidRDefault="004409CB">
      <w:pPr>
        <w:pStyle w:val="BodyText"/>
        <w:pBdr>
          <w:top w:val="none" w:sz="0" w:space="0" w:color="000000"/>
          <w:left w:val="none" w:sz="0" w:space="0" w:color="000000"/>
          <w:bottom w:val="none" w:sz="0" w:space="0" w:color="000000"/>
          <w:right w:val="none" w:sz="0" w:space="0" w:color="000000"/>
        </w:pBdr>
        <w:spacing w:before="0" w:after="0" w:line="240" w:lineRule="auto"/>
        <w:ind w:firstLine="0"/>
        <w:jc w:val="center"/>
      </w:pPr>
      <w:r>
        <w:rPr>
          <w:rFonts w:eastAsia="Times New Roman"/>
          <w:b/>
          <w:color w:val="000000"/>
          <w:sz w:val="28"/>
          <w:szCs w:val="28"/>
        </w:rPr>
        <w:lastRenderedPageBreak/>
        <w:t>LIST OF FIGURES</w:t>
      </w:r>
    </w:p>
    <w:p w14:paraId="1E86BAFA" w14:textId="56A718C9" w:rsidR="004C213E" w:rsidRDefault="00B8133B">
      <w:pPr>
        <w:pStyle w:val="TOC1"/>
        <w:tabs>
          <w:tab w:val="right" w:leader="dot" w:pos="9062"/>
        </w:tabs>
        <w:rPr>
          <w:rFonts w:asciiTheme="minorHAnsi" w:eastAsiaTheme="minorEastAsia" w:hAnsiTheme="minorHAnsi" w:cstheme="minorBidi"/>
          <w:noProof/>
          <w:sz w:val="22"/>
          <w:szCs w:val="22"/>
        </w:rPr>
      </w:pPr>
      <w:r>
        <w:fldChar w:fldCharType="begin"/>
      </w:r>
      <w:r>
        <w:instrText xml:space="preserve"> TOC \h \z \t "Image Caption,1" </w:instrText>
      </w:r>
      <w:r>
        <w:fldChar w:fldCharType="separate"/>
      </w:r>
      <w:hyperlink w:anchor="_Toc105675516" w:history="1">
        <w:r w:rsidR="004C213E" w:rsidRPr="001260B4">
          <w:rPr>
            <w:rStyle w:val="Hyperlink"/>
            <w:b/>
          </w:rPr>
          <w:t>Figure 1</w:t>
        </w:r>
        <w:r w:rsidR="004C213E" w:rsidRPr="001260B4">
          <w:rPr>
            <w:rStyle w:val="Hyperlink"/>
          </w:rPr>
          <w:t>: The theory of planned behavior model</w:t>
        </w:r>
        <w:r w:rsidR="004C213E">
          <w:rPr>
            <w:noProof/>
            <w:webHidden/>
          </w:rPr>
          <w:tab/>
        </w:r>
        <w:r w:rsidR="004C213E">
          <w:rPr>
            <w:noProof/>
            <w:webHidden/>
          </w:rPr>
          <w:fldChar w:fldCharType="begin"/>
        </w:r>
        <w:r w:rsidR="004C213E">
          <w:rPr>
            <w:noProof/>
            <w:webHidden/>
          </w:rPr>
          <w:instrText xml:space="preserve"> PAGEREF _Toc105675516 \h </w:instrText>
        </w:r>
        <w:r w:rsidR="004C213E">
          <w:rPr>
            <w:noProof/>
            <w:webHidden/>
          </w:rPr>
        </w:r>
        <w:r w:rsidR="004C213E">
          <w:rPr>
            <w:noProof/>
            <w:webHidden/>
          </w:rPr>
          <w:fldChar w:fldCharType="separate"/>
        </w:r>
        <w:r w:rsidR="00766923">
          <w:rPr>
            <w:noProof/>
            <w:webHidden/>
          </w:rPr>
          <w:t>14</w:t>
        </w:r>
        <w:r w:rsidR="004C213E">
          <w:rPr>
            <w:noProof/>
            <w:webHidden/>
          </w:rPr>
          <w:fldChar w:fldCharType="end"/>
        </w:r>
      </w:hyperlink>
    </w:p>
    <w:p w14:paraId="31BFD4B9" w14:textId="2A020865"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17" w:history="1">
        <w:r w:rsidR="004C213E" w:rsidRPr="001260B4">
          <w:rPr>
            <w:rStyle w:val="Hyperlink"/>
            <w:b/>
          </w:rPr>
          <w:t>Figure 2</w:t>
        </w:r>
        <w:r w:rsidR="004C213E" w:rsidRPr="001260B4">
          <w:rPr>
            <w:rStyle w:val="Hyperlink"/>
          </w:rPr>
          <w:t>: The conceptual framework for the current dissertation research.</w:t>
        </w:r>
        <w:r w:rsidR="004C213E">
          <w:rPr>
            <w:noProof/>
            <w:webHidden/>
          </w:rPr>
          <w:tab/>
        </w:r>
        <w:r w:rsidR="004C213E">
          <w:rPr>
            <w:noProof/>
            <w:webHidden/>
          </w:rPr>
          <w:fldChar w:fldCharType="begin"/>
        </w:r>
        <w:r w:rsidR="004C213E">
          <w:rPr>
            <w:noProof/>
            <w:webHidden/>
          </w:rPr>
          <w:instrText xml:space="preserve"> PAGEREF _Toc105675517 \h </w:instrText>
        </w:r>
        <w:r w:rsidR="004C213E">
          <w:rPr>
            <w:noProof/>
            <w:webHidden/>
          </w:rPr>
        </w:r>
        <w:r w:rsidR="004C213E">
          <w:rPr>
            <w:noProof/>
            <w:webHidden/>
          </w:rPr>
          <w:fldChar w:fldCharType="separate"/>
        </w:r>
        <w:r w:rsidR="00766923">
          <w:rPr>
            <w:noProof/>
            <w:webHidden/>
          </w:rPr>
          <w:t>18</w:t>
        </w:r>
        <w:r w:rsidR="004C213E">
          <w:rPr>
            <w:noProof/>
            <w:webHidden/>
          </w:rPr>
          <w:fldChar w:fldCharType="end"/>
        </w:r>
      </w:hyperlink>
    </w:p>
    <w:p w14:paraId="2750971F" w14:textId="0D7C3ADE"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18" w:history="1">
        <w:r w:rsidR="004C213E" w:rsidRPr="001260B4">
          <w:rPr>
            <w:rStyle w:val="Hyperlink"/>
            <w:b/>
          </w:rPr>
          <w:t>Figure 3</w:t>
        </w:r>
        <w:r w:rsidR="004C213E" w:rsidRPr="001260B4">
          <w:rPr>
            <w:rStyle w:val="Hyperlink"/>
          </w:rPr>
          <w:t>: PISA Science Framework</w:t>
        </w:r>
        <w:r w:rsidR="004C213E">
          <w:rPr>
            <w:noProof/>
            <w:webHidden/>
          </w:rPr>
          <w:tab/>
        </w:r>
        <w:r w:rsidR="004C213E">
          <w:rPr>
            <w:noProof/>
            <w:webHidden/>
          </w:rPr>
          <w:fldChar w:fldCharType="begin"/>
        </w:r>
        <w:r w:rsidR="004C213E">
          <w:rPr>
            <w:noProof/>
            <w:webHidden/>
          </w:rPr>
          <w:instrText xml:space="preserve"> PAGEREF _Toc105675518 \h </w:instrText>
        </w:r>
        <w:r w:rsidR="004C213E">
          <w:rPr>
            <w:noProof/>
            <w:webHidden/>
          </w:rPr>
        </w:r>
        <w:r w:rsidR="004C213E">
          <w:rPr>
            <w:noProof/>
            <w:webHidden/>
          </w:rPr>
          <w:fldChar w:fldCharType="separate"/>
        </w:r>
        <w:r w:rsidR="00766923">
          <w:rPr>
            <w:noProof/>
            <w:webHidden/>
          </w:rPr>
          <w:t>23</w:t>
        </w:r>
        <w:r w:rsidR="004C213E">
          <w:rPr>
            <w:noProof/>
            <w:webHidden/>
          </w:rPr>
          <w:fldChar w:fldCharType="end"/>
        </w:r>
      </w:hyperlink>
    </w:p>
    <w:p w14:paraId="59C258E7" w14:textId="6360033B"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19" w:history="1">
        <w:r w:rsidR="004C213E" w:rsidRPr="001260B4">
          <w:rPr>
            <w:rStyle w:val="Hyperlink"/>
            <w:b/>
          </w:rPr>
          <w:t>Figure 4</w:t>
        </w:r>
        <w:r w:rsidR="004C213E" w:rsidRPr="001260B4">
          <w:rPr>
            <w:rStyle w:val="Hyperlink"/>
          </w:rPr>
          <w:t>: An example item from the PISA Scientific Literacy assessment</w:t>
        </w:r>
        <w:r w:rsidR="004C213E">
          <w:rPr>
            <w:noProof/>
            <w:webHidden/>
          </w:rPr>
          <w:tab/>
        </w:r>
        <w:r w:rsidR="004C213E">
          <w:rPr>
            <w:noProof/>
            <w:webHidden/>
          </w:rPr>
          <w:fldChar w:fldCharType="begin"/>
        </w:r>
        <w:r w:rsidR="004C213E">
          <w:rPr>
            <w:noProof/>
            <w:webHidden/>
          </w:rPr>
          <w:instrText xml:space="preserve"> PAGEREF _Toc105675519 \h </w:instrText>
        </w:r>
        <w:r w:rsidR="004C213E">
          <w:rPr>
            <w:noProof/>
            <w:webHidden/>
          </w:rPr>
        </w:r>
        <w:r w:rsidR="004C213E">
          <w:rPr>
            <w:noProof/>
            <w:webHidden/>
          </w:rPr>
          <w:fldChar w:fldCharType="separate"/>
        </w:r>
        <w:r w:rsidR="00766923">
          <w:rPr>
            <w:noProof/>
            <w:webHidden/>
          </w:rPr>
          <w:t>25</w:t>
        </w:r>
        <w:r w:rsidR="004C213E">
          <w:rPr>
            <w:noProof/>
            <w:webHidden/>
          </w:rPr>
          <w:fldChar w:fldCharType="end"/>
        </w:r>
      </w:hyperlink>
    </w:p>
    <w:p w14:paraId="0FD96B31" w14:textId="53C04A18"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20" w:history="1">
        <w:r w:rsidR="004C213E" w:rsidRPr="001260B4">
          <w:rPr>
            <w:rStyle w:val="Hyperlink"/>
            <w:b/>
          </w:rPr>
          <w:t>Figure 5</w:t>
        </w:r>
        <w:r w:rsidR="004C213E" w:rsidRPr="001260B4">
          <w:rPr>
            <w:rStyle w:val="Hyperlink"/>
          </w:rPr>
          <w:t>: CO</w:t>
        </w:r>
        <w:r w:rsidR="004C213E" w:rsidRPr="001260B4">
          <w:rPr>
            <w:rStyle w:val="Hyperlink"/>
            <w:vertAlign w:val="subscript"/>
          </w:rPr>
          <w:t>2</w:t>
        </w:r>
        <w:r w:rsidR="004C213E" w:rsidRPr="001260B4">
          <w:rPr>
            <w:rStyle w:val="Hyperlink"/>
          </w:rPr>
          <w:t xml:space="preserve"> emissions per capita over time by region.</w:t>
        </w:r>
        <w:r w:rsidR="004C213E">
          <w:rPr>
            <w:noProof/>
            <w:webHidden/>
          </w:rPr>
          <w:tab/>
        </w:r>
        <w:r w:rsidR="004C213E">
          <w:rPr>
            <w:noProof/>
            <w:webHidden/>
          </w:rPr>
          <w:fldChar w:fldCharType="begin"/>
        </w:r>
        <w:r w:rsidR="004C213E">
          <w:rPr>
            <w:noProof/>
            <w:webHidden/>
          </w:rPr>
          <w:instrText xml:space="preserve"> PAGEREF _Toc105675520 \h </w:instrText>
        </w:r>
        <w:r w:rsidR="004C213E">
          <w:rPr>
            <w:noProof/>
            <w:webHidden/>
          </w:rPr>
        </w:r>
        <w:r w:rsidR="004C213E">
          <w:rPr>
            <w:noProof/>
            <w:webHidden/>
          </w:rPr>
          <w:fldChar w:fldCharType="separate"/>
        </w:r>
        <w:r w:rsidR="00766923">
          <w:rPr>
            <w:noProof/>
            <w:webHidden/>
          </w:rPr>
          <w:t>82</w:t>
        </w:r>
        <w:r w:rsidR="004C213E">
          <w:rPr>
            <w:noProof/>
            <w:webHidden/>
          </w:rPr>
          <w:fldChar w:fldCharType="end"/>
        </w:r>
      </w:hyperlink>
    </w:p>
    <w:p w14:paraId="22F1DF0A" w14:textId="53249B45"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21" w:history="1">
        <w:r w:rsidR="004C213E" w:rsidRPr="001260B4">
          <w:rPr>
            <w:rStyle w:val="Hyperlink"/>
            <w:b/>
          </w:rPr>
          <w:t>Figure 6</w:t>
        </w:r>
        <w:r w:rsidR="004C213E" w:rsidRPr="001260B4">
          <w:rPr>
            <w:rStyle w:val="Hyperlink"/>
          </w:rPr>
          <w:t>: Overall Scientific Literacy score by country</w:t>
        </w:r>
        <w:r w:rsidR="00CD0910">
          <w:rPr>
            <w:rStyle w:val="Hyperlink"/>
          </w:rPr>
          <w:tab/>
        </w:r>
        <w:r w:rsidR="004C213E">
          <w:rPr>
            <w:noProof/>
            <w:webHidden/>
          </w:rPr>
          <w:fldChar w:fldCharType="begin"/>
        </w:r>
        <w:r w:rsidR="004C213E">
          <w:rPr>
            <w:noProof/>
            <w:webHidden/>
          </w:rPr>
          <w:instrText xml:space="preserve"> PAGEREF _Toc105675521 \h </w:instrText>
        </w:r>
        <w:r w:rsidR="004C213E">
          <w:rPr>
            <w:noProof/>
            <w:webHidden/>
          </w:rPr>
        </w:r>
        <w:r w:rsidR="004C213E">
          <w:rPr>
            <w:noProof/>
            <w:webHidden/>
          </w:rPr>
          <w:fldChar w:fldCharType="separate"/>
        </w:r>
        <w:r w:rsidR="00766923">
          <w:rPr>
            <w:noProof/>
            <w:webHidden/>
          </w:rPr>
          <w:t>83</w:t>
        </w:r>
        <w:r w:rsidR="004C213E">
          <w:rPr>
            <w:noProof/>
            <w:webHidden/>
          </w:rPr>
          <w:fldChar w:fldCharType="end"/>
        </w:r>
      </w:hyperlink>
    </w:p>
    <w:p w14:paraId="34064ADD" w14:textId="59A059A8"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22" w:history="1">
        <w:r w:rsidR="004C213E" w:rsidRPr="001260B4">
          <w:rPr>
            <w:rStyle w:val="Hyperlink"/>
            <w:b/>
          </w:rPr>
          <w:t>Figure 7</w:t>
        </w:r>
        <w:r w:rsidR="004C213E" w:rsidRPr="001260B4">
          <w:rPr>
            <w:rStyle w:val="Hyperlink"/>
          </w:rPr>
          <w:t>: A scatterplot of CO</w:t>
        </w:r>
        <w:r w:rsidR="004C213E" w:rsidRPr="001260B4">
          <w:rPr>
            <w:rStyle w:val="Hyperlink"/>
            <w:vertAlign w:val="subscript"/>
          </w:rPr>
          <w:t>2</w:t>
        </w:r>
        <w:r w:rsidR="004C213E" w:rsidRPr="001260B4">
          <w:rPr>
            <w:rStyle w:val="Hyperlink"/>
          </w:rPr>
          <w:t xml:space="preserve"> emissions per capita and population</w:t>
        </w:r>
        <w:r w:rsidR="004C213E">
          <w:rPr>
            <w:noProof/>
            <w:webHidden/>
          </w:rPr>
          <w:tab/>
        </w:r>
        <w:r w:rsidR="004C213E">
          <w:rPr>
            <w:noProof/>
            <w:webHidden/>
          </w:rPr>
          <w:fldChar w:fldCharType="begin"/>
        </w:r>
        <w:r w:rsidR="004C213E">
          <w:rPr>
            <w:noProof/>
            <w:webHidden/>
          </w:rPr>
          <w:instrText xml:space="preserve"> PAGEREF _Toc105675522 \h </w:instrText>
        </w:r>
        <w:r w:rsidR="004C213E">
          <w:rPr>
            <w:noProof/>
            <w:webHidden/>
          </w:rPr>
        </w:r>
        <w:r w:rsidR="004C213E">
          <w:rPr>
            <w:noProof/>
            <w:webHidden/>
          </w:rPr>
          <w:fldChar w:fldCharType="separate"/>
        </w:r>
        <w:r w:rsidR="00766923">
          <w:rPr>
            <w:noProof/>
            <w:webHidden/>
          </w:rPr>
          <w:t>85</w:t>
        </w:r>
        <w:r w:rsidR="004C213E">
          <w:rPr>
            <w:noProof/>
            <w:webHidden/>
          </w:rPr>
          <w:fldChar w:fldCharType="end"/>
        </w:r>
      </w:hyperlink>
    </w:p>
    <w:p w14:paraId="7072DE05" w14:textId="4471CC33"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23" w:history="1">
        <w:r w:rsidR="004C213E" w:rsidRPr="001260B4">
          <w:rPr>
            <w:rStyle w:val="Hyperlink"/>
            <w:b/>
          </w:rPr>
          <w:t>Figure 8</w:t>
        </w:r>
        <w:r w:rsidR="004C213E" w:rsidRPr="001260B4">
          <w:rPr>
            <w:rStyle w:val="Hyperlink"/>
          </w:rPr>
          <w:t>: A scatterplot of CO</w:t>
        </w:r>
        <w:r w:rsidR="004C213E" w:rsidRPr="001260B4">
          <w:rPr>
            <w:rStyle w:val="Hyperlink"/>
            <w:vertAlign w:val="subscript"/>
          </w:rPr>
          <w:t>2</w:t>
        </w:r>
        <w:r w:rsidR="004C213E" w:rsidRPr="001260B4">
          <w:rPr>
            <w:rStyle w:val="Hyperlink"/>
          </w:rPr>
          <w:t xml:space="preserve"> emissions per capita and GDP per capita</w:t>
        </w:r>
        <w:r w:rsidR="00CD0910">
          <w:rPr>
            <w:rStyle w:val="Hyperlink"/>
          </w:rPr>
          <w:tab/>
        </w:r>
        <w:r w:rsidR="004C213E">
          <w:rPr>
            <w:noProof/>
            <w:webHidden/>
          </w:rPr>
          <w:fldChar w:fldCharType="begin"/>
        </w:r>
        <w:r w:rsidR="004C213E">
          <w:rPr>
            <w:noProof/>
            <w:webHidden/>
          </w:rPr>
          <w:instrText xml:space="preserve"> PAGEREF _Toc105675523 \h </w:instrText>
        </w:r>
        <w:r w:rsidR="004C213E">
          <w:rPr>
            <w:noProof/>
            <w:webHidden/>
          </w:rPr>
        </w:r>
        <w:r w:rsidR="004C213E">
          <w:rPr>
            <w:noProof/>
            <w:webHidden/>
          </w:rPr>
          <w:fldChar w:fldCharType="separate"/>
        </w:r>
        <w:r w:rsidR="00766923">
          <w:rPr>
            <w:noProof/>
            <w:webHidden/>
          </w:rPr>
          <w:t>85</w:t>
        </w:r>
        <w:r w:rsidR="004C213E">
          <w:rPr>
            <w:noProof/>
            <w:webHidden/>
          </w:rPr>
          <w:fldChar w:fldCharType="end"/>
        </w:r>
      </w:hyperlink>
    </w:p>
    <w:p w14:paraId="01BC4893" w14:textId="73A2BDE2"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24" w:history="1">
        <w:r w:rsidR="004C213E" w:rsidRPr="001260B4">
          <w:rPr>
            <w:rStyle w:val="Hyperlink"/>
            <w:b/>
          </w:rPr>
          <w:t>Figure 9</w:t>
        </w:r>
        <w:r w:rsidR="004C213E" w:rsidRPr="001260B4">
          <w:rPr>
            <w:rStyle w:val="Hyperlink"/>
          </w:rPr>
          <w:t>: A scatterplot of CO</w:t>
        </w:r>
        <w:r w:rsidR="004C213E" w:rsidRPr="001260B4">
          <w:rPr>
            <w:rStyle w:val="Hyperlink"/>
            <w:vertAlign w:val="subscript"/>
          </w:rPr>
          <w:t>2</w:t>
        </w:r>
        <w:r w:rsidR="004C213E" w:rsidRPr="001260B4">
          <w:rPr>
            <w:rStyle w:val="Hyperlink"/>
          </w:rPr>
          <w:t xml:space="preserve"> emissions per capita and exports/manufacturing as a percentage of GDP.</w:t>
        </w:r>
        <w:r w:rsidR="004C213E">
          <w:rPr>
            <w:noProof/>
            <w:webHidden/>
          </w:rPr>
          <w:tab/>
        </w:r>
        <w:r w:rsidR="004C213E">
          <w:rPr>
            <w:noProof/>
            <w:webHidden/>
          </w:rPr>
          <w:fldChar w:fldCharType="begin"/>
        </w:r>
        <w:r w:rsidR="004C213E">
          <w:rPr>
            <w:noProof/>
            <w:webHidden/>
          </w:rPr>
          <w:instrText xml:space="preserve"> PAGEREF _Toc105675524 \h </w:instrText>
        </w:r>
        <w:r w:rsidR="004C213E">
          <w:rPr>
            <w:noProof/>
            <w:webHidden/>
          </w:rPr>
        </w:r>
        <w:r w:rsidR="004C213E">
          <w:rPr>
            <w:noProof/>
            <w:webHidden/>
          </w:rPr>
          <w:fldChar w:fldCharType="separate"/>
        </w:r>
        <w:r w:rsidR="00766923">
          <w:rPr>
            <w:noProof/>
            <w:webHidden/>
          </w:rPr>
          <w:t>87</w:t>
        </w:r>
        <w:r w:rsidR="004C213E">
          <w:rPr>
            <w:noProof/>
            <w:webHidden/>
          </w:rPr>
          <w:fldChar w:fldCharType="end"/>
        </w:r>
      </w:hyperlink>
    </w:p>
    <w:p w14:paraId="2F38F277" w14:textId="62265B4F"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25" w:history="1">
        <w:r w:rsidR="004C213E" w:rsidRPr="001260B4">
          <w:rPr>
            <w:rStyle w:val="Hyperlink"/>
            <w:b/>
          </w:rPr>
          <w:t>Figure 10</w:t>
        </w:r>
        <w:r w:rsidR="004C213E" w:rsidRPr="001260B4">
          <w:rPr>
            <w:rStyle w:val="Hyperlink"/>
          </w:rPr>
          <w:t>: A scatterplot of CO</w:t>
        </w:r>
        <w:r w:rsidR="004C213E" w:rsidRPr="001260B4">
          <w:rPr>
            <w:rStyle w:val="Hyperlink"/>
            <w:vertAlign w:val="subscript"/>
          </w:rPr>
          <w:t>2</w:t>
        </w:r>
        <w:r w:rsidR="004C213E" w:rsidRPr="001260B4">
          <w:rPr>
            <w:rStyle w:val="Hyperlink"/>
          </w:rPr>
          <w:t xml:space="preserve"> emissions per capita and Gini coefficients</w:t>
        </w:r>
        <w:r w:rsidR="004C213E">
          <w:rPr>
            <w:noProof/>
            <w:webHidden/>
          </w:rPr>
          <w:tab/>
        </w:r>
        <w:r w:rsidR="004C213E">
          <w:rPr>
            <w:noProof/>
            <w:webHidden/>
          </w:rPr>
          <w:fldChar w:fldCharType="begin"/>
        </w:r>
        <w:r w:rsidR="004C213E">
          <w:rPr>
            <w:noProof/>
            <w:webHidden/>
          </w:rPr>
          <w:instrText xml:space="preserve"> PAGEREF _Toc105675525 \h </w:instrText>
        </w:r>
        <w:r w:rsidR="004C213E">
          <w:rPr>
            <w:noProof/>
            <w:webHidden/>
          </w:rPr>
        </w:r>
        <w:r w:rsidR="004C213E">
          <w:rPr>
            <w:noProof/>
            <w:webHidden/>
          </w:rPr>
          <w:fldChar w:fldCharType="separate"/>
        </w:r>
        <w:r w:rsidR="00766923">
          <w:rPr>
            <w:noProof/>
            <w:webHidden/>
          </w:rPr>
          <w:t>87</w:t>
        </w:r>
        <w:r w:rsidR="004C213E">
          <w:rPr>
            <w:noProof/>
            <w:webHidden/>
          </w:rPr>
          <w:fldChar w:fldCharType="end"/>
        </w:r>
      </w:hyperlink>
    </w:p>
    <w:p w14:paraId="36BA8883" w14:textId="6371C3B5"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26" w:history="1">
        <w:r w:rsidR="004C213E" w:rsidRPr="001260B4">
          <w:rPr>
            <w:rStyle w:val="Hyperlink"/>
            <w:b/>
          </w:rPr>
          <w:t>Figure 11</w:t>
        </w:r>
        <w:r w:rsidR="004C213E" w:rsidRPr="001260B4">
          <w:rPr>
            <w:rStyle w:val="Hyperlink"/>
          </w:rPr>
          <w:t>: A scatterplot of CO</w:t>
        </w:r>
        <w:r w:rsidR="004C213E" w:rsidRPr="001260B4">
          <w:rPr>
            <w:rStyle w:val="Hyperlink"/>
            <w:vertAlign w:val="subscript"/>
          </w:rPr>
          <w:t>2</w:t>
        </w:r>
        <w:r w:rsidR="004C213E" w:rsidRPr="001260B4">
          <w:rPr>
            <w:rStyle w:val="Hyperlink"/>
          </w:rPr>
          <w:t xml:space="preserve"> emissions per capita and Left-Right Orientation</w:t>
        </w:r>
        <w:r w:rsidR="004C213E">
          <w:rPr>
            <w:noProof/>
            <w:webHidden/>
          </w:rPr>
          <w:tab/>
        </w:r>
        <w:r w:rsidR="004C213E">
          <w:rPr>
            <w:noProof/>
            <w:webHidden/>
          </w:rPr>
          <w:fldChar w:fldCharType="begin"/>
        </w:r>
        <w:r w:rsidR="004C213E">
          <w:rPr>
            <w:noProof/>
            <w:webHidden/>
          </w:rPr>
          <w:instrText xml:space="preserve"> PAGEREF _Toc105675526 \h </w:instrText>
        </w:r>
        <w:r w:rsidR="004C213E">
          <w:rPr>
            <w:noProof/>
            <w:webHidden/>
          </w:rPr>
        </w:r>
        <w:r w:rsidR="004C213E">
          <w:rPr>
            <w:noProof/>
            <w:webHidden/>
          </w:rPr>
          <w:fldChar w:fldCharType="separate"/>
        </w:r>
        <w:r w:rsidR="00766923">
          <w:rPr>
            <w:noProof/>
            <w:webHidden/>
          </w:rPr>
          <w:t>91</w:t>
        </w:r>
        <w:r w:rsidR="004C213E">
          <w:rPr>
            <w:noProof/>
            <w:webHidden/>
          </w:rPr>
          <w:fldChar w:fldCharType="end"/>
        </w:r>
      </w:hyperlink>
    </w:p>
    <w:p w14:paraId="2D13ECCC" w14:textId="7A2C77BE"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27" w:history="1">
        <w:r w:rsidR="004C213E" w:rsidRPr="001260B4">
          <w:rPr>
            <w:rStyle w:val="Hyperlink"/>
            <w:b/>
          </w:rPr>
          <w:t>Figure 12</w:t>
        </w:r>
        <w:r w:rsidR="004C213E" w:rsidRPr="001260B4">
          <w:rPr>
            <w:rStyle w:val="Hyperlink"/>
          </w:rPr>
          <w:t>: A scatterplot of CO</w:t>
        </w:r>
        <w:r w:rsidR="004C213E" w:rsidRPr="001260B4">
          <w:rPr>
            <w:rStyle w:val="Hyperlink"/>
            <w:vertAlign w:val="subscript"/>
          </w:rPr>
          <w:t>2</w:t>
        </w:r>
        <w:r w:rsidR="004C213E" w:rsidRPr="001260B4">
          <w:rPr>
            <w:rStyle w:val="Hyperlink"/>
          </w:rPr>
          <w:t xml:space="preserve"> emissions per capita and Democracy Index,</w:t>
        </w:r>
        <w:r w:rsidR="004C213E">
          <w:rPr>
            <w:noProof/>
            <w:webHidden/>
          </w:rPr>
          <w:tab/>
        </w:r>
        <w:r w:rsidR="004C213E">
          <w:rPr>
            <w:noProof/>
            <w:webHidden/>
          </w:rPr>
          <w:fldChar w:fldCharType="begin"/>
        </w:r>
        <w:r w:rsidR="004C213E">
          <w:rPr>
            <w:noProof/>
            <w:webHidden/>
          </w:rPr>
          <w:instrText xml:space="preserve"> PAGEREF _Toc105675527 \h </w:instrText>
        </w:r>
        <w:r w:rsidR="004C213E">
          <w:rPr>
            <w:noProof/>
            <w:webHidden/>
          </w:rPr>
        </w:r>
        <w:r w:rsidR="004C213E">
          <w:rPr>
            <w:noProof/>
            <w:webHidden/>
          </w:rPr>
          <w:fldChar w:fldCharType="separate"/>
        </w:r>
        <w:r w:rsidR="00766923">
          <w:rPr>
            <w:noProof/>
            <w:webHidden/>
          </w:rPr>
          <w:t>92</w:t>
        </w:r>
        <w:r w:rsidR="004C213E">
          <w:rPr>
            <w:noProof/>
            <w:webHidden/>
          </w:rPr>
          <w:fldChar w:fldCharType="end"/>
        </w:r>
      </w:hyperlink>
    </w:p>
    <w:p w14:paraId="70701477" w14:textId="2BD81BB2"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28" w:history="1">
        <w:r w:rsidR="004C213E" w:rsidRPr="001260B4">
          <w:rPr>
            <w:rStyle w:val="Hyperlink"/>
            <w:b/>
          </w:rPr>
          <w:t>Figure 13</w:t>
        </w:r>
        <w:r w:rsidR="004C213E" w:rsidRPr="001260B4">
          <w:rPr>
            <w:rStyle w:val="Hyperlink"/>
          </w:rPr>
          <w:t>: A scatterplot of CO</w:t>
        </w:r>
        <w:r w:rsidR="004C213E" w:rsidRPr="001260B4">
          <w:rPr>
            <w:rStyle w:val="Hyperlink"/>
            <w:vertAlign w:val="subscript"/>
          </w:rPr>
          <w:t>2</w:t>
        </w:r>
        <w:r w:rsidR="004C213E" w:rsidRPr="001260B4">
          <w:rPr>
            <w:rStyle w:val="Hyperlink"/>
          </w:rPr>
          <w:t xml:space="preserve"> emissions per capita and Political Corruption Index</w:t>
        </w:r>
        <w:r w:rsidR="004C213E">
          <w:rPr>
            <w:noProof/>
            <w:webHidden/>
          </w:rPr>
          <w:tab/>
        </w:r>
        <w:r w:rsidR="004C213E">
          <w:rPr>
            <w:noProof/>
            <w:webHidden/>
          </w:rPr>
          <w:fldChar w:fldCharType="begin"/>
        </w:r>
        <w:r w:rsidR="004C213E">
          <w:rPr>
            <w:noProof/>
            <w:webHidden/>
          </w:rPr>
          <w:instrText xml:space="preserve"> PAGEREF _Toc105675528 \h </w:instrText>
        </w:r>
        <w:r w:rsidR="004C213E">
          <w:rPr>
            <w:noProof/>
            <w:webHidden/>
          </w:rPr>
        </w:r>
        <w:r w:rsidR="004C213E">
          <w:rPr>
            <w:noProof/>
            <w:webHidden/>
          </w:rPr>
          <w:fldChar w:fldCharType="separate"/>
        </w:r>
        <w:r w:rsidR="00766923">
          <w:rPr>
            <w:noProof/>
            <w:webHidden/>
          </w:rPr>
          <w:t>93</w:t>
        </w:r>
        <w:r w:rsidR="004C213E">
          <w:rPr>
            <w:noProof/>
            <w:webHidden/>
          </w:rPr>
          <w:fldChar w:fldCharType="end"/>
        </w:r>
      </w:hyperlink>
    </w:p>
    <w:p w14:paraId="16CE0894" w14:textId="73976C0F"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29" w:history="1">
        <w:r w:rsidR="004C213E" w:rsidRPr="001260B4">
          <w:rPr>
            <w:rStyle w:val="Hyperlink"/>
            <w:b/>
          </w:rPr>
          <w:t>Figure 14</w:t>
        </w:r>
        <w:r w:rsidR="004C213E" w:rsidRPr="001260B4">
          <w:rPr>
            <w:rStyle w:val="Hyperlink"/>
          </w:rPr>
          <w:t>: A scatterplot of CO</w:t>
        </w:r>
        <w:r w:rsidR="004C213E" w:rsidRPr="001260B4">
          <w:rPr>
            <w:rStyle w:val="Hyperlink"/>
            <w:vertAlign w:val="subscript"/>
          </w:rPr>
          <w:t>2</w:t>
        </w:r>
        <w:r w:rsidR="004C213E" w:rsidRPr="001260B4">
          <w:rPr>
            <w:rStyle w:val="Hyperlink"/>
          </w:rPr>
          <w:t xml:space="preserve"> emissions per capita and net enrollment in secondary education</w:t>
        </w:r>
        <w:r w:rsidR="004C213E">
          <w:rPr>
            <w:noProof/>
            <w:webHidden/>
          </w:rPr>
          <w:tab/>
        </w:r>
        <w:r w:rsidR="004C213E">
          <w:rPr>
            <w:noProof/>
            <w:webHidden/>
          </w:rPr>
          <w:fldChar w:fldCharType="begin"/>
        </w:r>
        <w:r w:rsidR="004C213E">
          <w:rPr>
            <w:noProof/>
            <w:webHidden/>
          </w:rPr>
          <w:instrText xml:space="preserve"> PAGEREF _Toc105675529 \h </w:instrText>
        </w:r>
        <w:r w:rsidR="004C213E">
          <w:rPr>
            <w:noProof/>
            <w:webHidden/>
          </w:rPr>
        </w:r>
        <w:r w:rsidR="004C213E">
          <w:rPr>
            <w:noProof/>
            <w:webHidden/>
          </w:rPr>
          <w:fldChar w:fldCharType="separate"/>
        </w:r>
        <w:r w:rsidR="00766923">
          <w:rPr>
            <w:noProof/>
            <w:webHidden/>
          </w:rPr>
          <w:t>93</w:t>
        </w:r>
        <w:r w:rsidR="004C213E">
          <w:rPr>
            <w:noProof/>
            <w:webHidden/>
          </w:rPr>
          <w:fldChar w:fldCharType="end"/>
        </w:r>
      </w:hyperlink>
    </w:p>
    <w:p w14:paraId="792BC63E" w14:textId="5236B82C"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30" w:history="1">
        <w:r w:rsidR="004C213E" w:rsidRPr="001260B4">
          <w:rPr>
            <w:rStyle w:val="Hyperlink"/>
            <w:b/>
          </w:rPr>
          <w:t>Figure 15</w:t>
        </w:r>
        <w:r w:rsidR="004C213E" w:rsidRPr="001260B4">
          <w:rPr>
            <w:rStyle w:val="Hyperlink"/>
          </w:rPr>
          <w:t>: A scatterplot of CO</w:t>
        </w:r>
        <w:r w:rsidR="004C213E" w:rsidRPr="001260B4">
          <w:rPr>
            <w:rStyle w:val="Hyperlink"/>
            <w:vertAlign w:val="subscript"/>
          </w:rPr>
          <w:t>2</w:t>
        </w:r>
        <w:r w:rsidR="004C213E" w:rsidRPr="001260B4">
          <w:rPr>
            <w:rStyle w:val="Hyperlink"/>
          </w:rPr>
          <w:t xml:space="preserve"> emissions per capita and collectivism-individualism</w:t>
        </w:r>
        <w:r w:rsidR="004C213E">
          <w:rPr>
            <w:noProof/>
            <w:webHidden/>
          </w:rPr>
          <w:tab/>
        </w:r>
        <w:r w:rsidR="004C213E">
          <w:rPr>
            <w:noProof/>
            <w:webHidden/>
          </w:rPr>
          <w:fldChar w:fldCharType="begin"/>
        </w:r>
        <w:r w:rsidR="004C213E">
          <w:rPr>
            <w:noProof/>
            <w:webHidden/>
          </w:rPr>
          <w:instrText xml:space="preserve"> PAGEREF _Toc105675530 \h </w:instrText>
        </w:r>
        <w:r w:rsidR="004C213E">
          <w:rPr>
            <w:noProof/>
            <w:webHidden/>
          </w:rPr>
        </w:r>
        <w:r w:rsidR="004C213E">
          <w:rPr>
            <w:noProof/>
            <w:webHidden/>
          </w:rPr>
          <w:fldChar w:fldCharType="separate"/>
        </w:r>
        <w:r w:rsidR="00766923">
          <w:rPr>
            <w:noProof/>
            <w:webHidden/>
          </w:rPr>
          <w:t>96</w:t>
        </w:r>
        <w:r w:rsidR="004C213E">
          <w:rPr>
            <w:noProof/>
            <w:webHidden/>
          </w:rPr>
          <w:fldChar w:fldCharType="end"/>
        </w:r>
      </w:hyperlink>
    </w:p>
    <w:p w14:paraId="1F61265F" w14:textId="1004877D"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31" w:history="1">
        <w:r w:rsidR="004C213E" w:rsidRPr="001260B4">
          <w:rPr>
            <w:rStyle w:val="Hyperlink"/>
            <w:b/>
          </w:rPr>
          <w:t>Figure 16</w:t>
        </w:r>
        <w:r w:rsidR="004C213E" w:rsidRPr="001260B4">
          <w:rPr>
            <w:rStyle w:val="Hyperlink"/>
          </w:rPr>
          <w:t>: A correlation table and correlation plot of all continuous variables</w:t>
        </w:r>
        <w:r w:rsidR="004C213E">
          <w:rPr>
            <w:noProof/>
            <w:webHidden/>
          </w:rPr>
          <w:tab/>
        </w:r>
        <w:r w:rsidR="004C213E">
          <w:rPr>
            <w:noProof/>
            <w:webHidden/>
          </w:rPr>
          <w:fldChar w:fldCharType="begin"/>
        </w:r>
        <w:r w:rsidR="004C213E">
          <w:rPr>
            <w:noProof/>
            <w:webHidden/>
          </w:rPr>
          <w:instrText xml:space="preserve"> PAGEREF _Toc105675531 \h </w:instrText>
        </w:r>
        <w:r w:rsidR="004C213E">
          <w:rPr>
            <w:noProof/>
            <w:webHidden/>
          </w:rPr>
        </w:r>
        <w:r w:rsidR="004C213E">
          <w:rPr>
            <w:noProof/>
            <w:webHidden/>
          </w:rPr>
          <w:fldChar w:fldCharType="separate"/>
        </w:r>
        <w:r w:rsidR="00766923">
          <w:rPr>
            <w:noProof/>
            <w:webHidden/>
          </w:rPr>
          <w:t>99</w:t>
        </w:r>
        <w:r w:rsidR="004C213E">
          <w:rPr>
            <w:noProof/>
            <w:webHidden/>
          </w:rPr>
          <w:fldChar w:fldCharType="end"/>
        </w:r>
      </w:hyperlink>
    </w:p>
    <w:p w14:paraId="6D09C913" w14:textId="46FE0A6B"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32" w:history="1">
        <w:r w:rsidR="004C213E" w:rsidRPr="001260B4">
          <w:rPr>
            <w:rStyle w:val="Hyperlink"/>
            <w:b/>
          </w:rPr>
          <w:t>Figure 17</w:t>
        </w:r>
        <w:r w:rsidR="004C213E" w:rsidRPr="001260B4">
          <w:rPr>
            <w:rStyle w:val="Hyperlink"/>
          </w:rPr>
          <w:t>: A missing values pairs plot showing complete and missingdata for each combination of variables.</w:t>
        </w:r>
        <w:r w:rsidR="004C213E">
          <w:rPr>
            <w:noProof/>
            <w:webHidden/>
          </w:rPr>
          <w:tab/>
        </w:r>
        <w:r w:rsidR="004C213E">
          <w:rPr>
            <w:noProof/>
            <w:webHidden/>
          </w:rPr>
          <w:fldChar w:fldCharType="begin"/>
        </w:r>
        <w:r w:rsidR="004C213E">
          <w:rPr>
            <w:noProof/>
            <w:webHidden/>
          </w:rPr>
          <w:instrText xml:space="preserve"> PAGEREF _Toc105675532 \h </w:instrText>
        </w:r>
        <w:r w:rsidR="004C213E">
          <w:rPr>
            <w:noProof/>
            <w:webHidden/>
          </w:rPr>
        </w:r>
        <w:r w:rsidR="004C213E">
          <w:rPr>
            <w:noProof/>
            <w:webHidden/>
          </w:rPr>
          <w:fldChar w:fldCharType="separate"/>
        </w:r>
        <w:r w:rsidR="00766923">
          <w:rPr>
            <w:noProof/>
            <w:webHidden/>
          </w:rPr>
          <w:t>102</w:t>
        </w:r>
        <w:r w:rsidR="004C213E">
          <w:rPr>
            <w:noProof/>
            <w:webHidden/>
          </w:rPr>
          <w:fldChar w:fldCharType="end"/>
        </w:r>
      </w:hyperlink>
    </w:p>
    <w:p w14:paraId="2B73D172" w14:textId="7DF33855"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33" w:history="1">
        <w:r w:rsidR="004C213E" w:rsidRPr="001260B4">
          <w:rPr>
            <w:rStyle w:val="Hyperlink"/>
            <w:b/>
          </w:rPr>
          <w:t>Figure 18</w:t>
        </w:r>
        <w:r w:rsidR="004C213E" w:rsidRPr="001260B4">
          <w:rPr>
            <w:rStyle w:val="Hyperlink"/>
          </w:rPr>
          <w:t xml:space="preserve">: Visual diagnostics to assess heterogeneity of variance and normality of residuals </w:t>
        </w:r>
        <w:r w:rsidR="00CD0910">
          <w:rPr>
            <w:rStyle w:val="Hyperlink"/>
          </w:rPr>
          <w:t>in</w:t>
        </w:r>
        <w:r w:rsidR="004C213E" w:rsidRPr="001260B4">
          <w:rPr>
            <w:rStyle w:val="Hyperlink"/>
          </w:rPr>
          <w:t xml:space="preserve"> Models 1 and 2.</w:t>
        </w:r>
        <w:r w:rsidR="004C213E">
          <w:rPr>
            <w:noProof/>
            <w:webHidden/>
          </w:rPr>
          <w:tab/>
        </w:r>
        <w:r w:rsidR="004C213E">
          <w:rPr>
            <w:noProof/>
            <w:webHidden/>
          </w:rPr>
          <w:fldChar w:fldCharType="begin"/>
        </w:r>
        <w:r w:rsidR="004C213E">
          <w:rPr>
            <w:noProof/>
            <w:webHidden/>
          </w:rPr>
          <w:instrText xml:space="preserve"> PAGEREF _Toc105675533 \h </w:instrText>
        </w:r>
        <w:r w:rsidR="004C213E">
          <w:rPr>
            <w:noProof/>
            <w:webHidden/>
          </w:rPr>
        </w:r>
        <w:r w:rsidR="004C213E">
          <w:rPr>
            <w:noProof/>
            <w:webHidden/>
          </w:rPr>
          <w:fldChar w:fldCharType="separate"/>
        </w:r>
        <w:r w:rsidR="00766923">
          <w:rPr>
            <w:noProof/>
            <w:webHidden/>
          </w:rPr>
          <w:t>111</w:t>
        </w:r>
        <w:r w:rsidR="004C213E">
          <w:rPr>
            <w:noProof/>
            <w:webHidden/>
          </w:rPr>
          <w:fldChar w:fldCharType="end"/>
        </w:r>
      </w:hyperlink>
    </w:p>
    <w:p w14:paraId="1536B97D" w14:textId="7E5F9F7C"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34" w:history="1">
        <w:r w:rsidR="004C213E" w:rsidRPr="001260B4">
          <w:rPr>
            <w:rStyle w:val="Hyperlink"/>
            <w:b/>
          </w:rPr>
          <w:t>Figure 19</w:t>
        </w:r>
        <w:r w:rsidR="004C213E" w:rsidRPr="001260B4">
          <w:rPr>
            <w:rStyle w:val="Hyperlink"/>
          </w:rPr>
          <w:t>: Residuals plotted against fitted values to assess linearity and heterogeneity of variance for Model 3 and alternative models.</w:t>
        </w:r>
        <w:r w:rsidR="004C213E">
          <w:rPr>
            <w:noProof/>
            <w:webHidden/>
          </w:rPr>
          <w:tab/>
        </w:r>
        <w:r w:rsidR="004C213E">
          <w:rPr>
            <w:noProof/>
            <w:webHidden/>
          </w:rPr>
          <w:fldChar w:fldCharType="begin"/>
        </w:r>
        <w:r w:rsidR="004C213E">
          <w:rPr>
            <w:noProof/>
            <w:webHidden/>
          </w:rPr>
          <w:instrText xml:space="preserve"> PAGEREF _Toc105675534 \h </w:instrText>
        </w:r>
        <w:r w:rsidR="004C213E">
          <w:rPr>
            <w:noProof/>
            <w:webHidden/>
          </w:rPr>
        </w:r>
        <w:r w:rsidR="004C213E">
          <w:rPr>
            <w:noProof/>
            <w:webHidden/>
          </w:rPr>
          <w:fldChar w:fldCharType="separate"/>
        </w:r>
        <w:r w:rsidR="00766923">
          <w:rPr>
            <w:noProof/>
            <w:webHidden/>
          </w:rPr>
          <w:t>116</w:t>
        </w:r>
        <w:r w:rsidR="004C213E">
          <w:rPr>
            <w:noProof/>
            <w:webHidden/>
          </w:rPr>
          <w:fldChar w:fldCharType="end"/>
        </w:r>
      </w:hyperlink>
    </w:p>
    <w:p w14:paraId="6F76B74A" w14:textId="157DFF85"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35" w:history="1">
        <w:r w:rsidR="004C213E" w:rsidRPr="001260B4">
          <w:rPr>
            <w:rStyle w:val="Hyperlink"/>
            <w:b/>
          </w:rPr>
          <w:t>Figure 20</w:t>
        </w:r>
        <w:r w:rsidR="004C213E" w:rsidRPr="001260B4">
          <w:rPr>
            <w:rStyle w:val="Hyperlink"/>
          </w:rPr>
          <w:t>: QQ plots for Model 3 and alternatives.</w:t>
        </w:r>
        <w:r w:rsidR="004C213E">
          <w:rPr>
            <w:noProof/>
            <w:webHidden/>
          </w:rPr>
          <w:tab/>
        </w:r>
        <w:r w:rsidR="004C213E">
          <w:rPr>
            <w:noProof/>
            <w:webHidden/>
          </w:rPr>
          <w:fldChar w:fldCharType="begin"/>
        </w:r>
        <w:r w:rsidR="004C213E">
          <w:rPr>
            <w:noProof/>
            <w:webHidden/>
          </w:rPr>
          <w:instrText xml:space="preserve"> PAGEREF _Toc105675535 \h </w:instrText>
        </w:r>
        <w:r w:rsidR="004C213E">
          <w:rPr>
            <w:noProof/>
            <w:webHidden/>
          </w:rPr>
        </w:r>
        <w:r w:rsidR="004C213E">
          <w:rPr>
            <w:noProof/>
            <w:webHidden/>
          </w:rPr>
          <w:fldChar w:fldCharType="separate"/>
        </w:r>
        <w:r w:rsidR="00766923">
          <w:rPr>
            <w:noProof/>
            <w:webHidden/>
          </w:rPr>
          <w:t>116</w:t>
        </w:r>
        <w:r w:rsidR="004C213E">
          <w:rPr>
            <w:noProof/>
            <w:webHidden/>
          </w:rPr>
          <w:fldChar w:fldCharType="end"/>
        </w:r>
      </w:hyperlink>
    </w:p>
    <w:p w14:paraId="38628BA4" w14:textId="771B6EE3"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36" w:history="1">
        <w:r w:rsidR="004C213E" w:rsidRPr="001260B4">
          <w:rPr>
            <w:rStyle w:val="Hyperlink"/>
            <w:b/>
          </w:rPr>
          <w:t>Figure 21</w:t>
        </w:r>
        <w:r w:rsidR="004C213E" w:rsidRPr="001260B4">
          <w:rPr>
            <w:rStyle w:val="Hyperlink"/>
          </w:rPr>
          <w:t>: Multilevel regression diagnostics for Model 4</w:t>
        </w:r>
        <w:r w:rsidR="004C213E">
          <w:rPr>
            <w:noProof/>
            <w:webHidden/>
          </w:rPr>
          <w:tab/>
        </w:r>
        <w:r w:rsidR="004C213E">
          <w:rPr>
            <w:noProof/>
            <w:webHidden/>
          </w:rPr>
          <w:fldChar w:fldCharType="begin"/>
        </w:r>
        <w:r w:rsidR="004C213E">
          <w:rPr>
            <w:noProof/>
            <w:webHidden/>
          </w:rPr>
          <w:instrText xml:space="preserve"> PAGEREF _Toc105675536 \h </w:instrText>
        </w:r>
        <w:r w:rsidR="004C213E">
          <w:rPr>
            <w:noProof/>
            <w:webHidden/>
          </w:rPr>
        </w:r>
        <w:r w:rsidR="004C213E">
          <w:rPr>
            <w:noProof/>
            <w:webHidden/>
          </w:rPr>
          <w:fldChar w:fldCharType="separate"/>
        </w:r>
        <w:r w:rsidR="00766923">
          <w:rPr>
            <w:noProof/>
            <w:webHidden/>
          </w:rPr>
          <w:t>120</w:t>
        </w:r>
        <w:r w:rsidR="004C213E">
          <w:rPr>
            <w:noProof/>
            <w:webHidden/>
          </w:rPr>
          <w:fldChar w:fldCharType="end"/>
        </w:r>
      </w:hyperlink>
    </w:p>
    <w:p w14:paraId="3793F2DD" w14:textId="4895D1B4"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37" w:history="1">
        <w:r w:rsidR="004C213E" w:rsidRPr="001260B4">
          <w:rPr>
            <w:rStyle w:val="Hyperlink"/>
            <w:b/>
          </w:rPr>
          <w:t>Figure 22</w:t>
        </w:r>
        <w:r w:rsidR="004C213E" w:rsidRPr="001260B4">
          <w:rPr>
            <w:rStyle w:val="Hyperlink"/>
          </w:rPr>
          <w:t>: Map of countries included in sample</w:t>
        </w:r>
        <w:r w:rsidR="004C213E">
          <w:rPr>
            <w:noProof/>
            <w:webHidden/>
          </w:rPr>
          <w:tab/>
        </w:r>
        <w:r w:rsidR="004C213E">
          <w:rPr>
            <w:noProof/>
            <w:webHidden/>
          </w:rPr>
          <w:fldChar w:fldCharType="begin"/>
        </w:r>
        <w:r w:rsidR="004C213E">
          <w:rPr>
            <w:noProof/>
            <w:webHidden/>
          </w:rPr>
          <w:instrText xml:space="preserve"> PAGEREF _Toc105675537 \h </w:instrText>
        </w:r>
        <w:r w:rsidR="004C213E">
          <w:rPr>
            <w:noProof/>
            <w:webHidden/>
          </w:rPr>
        </w:r>
        <w:r w:rsidR="004C213E">
          <w:rPr>
            <w:noProof/>
            <w:webHidden/>
          </w:rPr>
          <w:fldChar w:fldCharType="separate"/>
        </w:r>
        <w:r w:rsidR="00766923">
          <w:rPr>
            <w:noProof/>
            <w:webHidden/>
          </w:rPr>
          <w:t>129</w:t>
        </w:r>
        <w:r w:rsidR="004C213E">
          <w:rPr>
            <w:noProof/>
            <w:webHidden/>
          </w:rPr>
          <w:fldChar w:fldCharType="end"/>
        </w:r>
      </w:hyperlink>
    </w:p>
    <w:p w14:paraId="41D8CB6C" w14:textId="6A8560D4"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38" w:history="1">
        <w:r w:rsidR="004C213E" w:rsidRPr="001260B4">
          <w:rPr>
            <w:rStyle w:val="Hyperlink"/>
            <w:b/>
          </w:rPr>
          <w:t>Figure 23</w:t>
        </w:r>
        <w:r w:rsidR="004C213E" w:rsidRPr="001260B4">
          <w:rPr>
            <w:rStyle w:val="Hyperlink"/>
          </w:rPr>
          <w:t>: Number of countries by number of times they participated in the PISA</w:t>
        </w:r>
        <w:r w:rsidR="004C213E">
          <w:rPr>
            <w:noProof/>
            <w:webHidden/>
          </w:rPr>
          <w:tab/>
        </w:r>
        <w:r w:rsidR="004C213E">
          <w:rPr>
            <w:noProof/>
            <w:webHidden/>
          </w:rPr>
          <w:fldChar w:fldCharType="begin"/>
        </w:r>
        <w:r w:rsidR="004C213E">
          <w:rPr>
            <w:noProof/>
            <w:webHidden/>
          </w:rPr>
          <w:instrText xml:space="preserve"> PAGEREF _Toc105675538 \h </w:instrText>
        </w:r>
        <w:r w:rsidR="004C213E">
          <w:rPr>
            <w:noProof/>
            <w:webHidden/>
          </w:rPr>
        </w:r>
        <w:r w:rsidR="004C213E">
          <w:rPr>
            <w:noProof/>
            <w:webHidden/>
          </w:rPr>
          <w:fldChar w:fldCharType="separate"/>
        </w:r>
        <w:r w:rsidR="00766923">
          <w:rPr>
            <w:noProof/>
            <w:webHidden/>
          </w:rPr>
          <w:t>129</w:t>
        </w:r>
        <w:r w:rsidR="004C213E">
          <w:rPr>
            <w:noProof/>
            <w:webHidden/>
          </w:rPr>
          <w:fldChar w:fldCharType="end"/>
        </w:r>
      </w:hyperlink>
    </w:p>
    <w:p w14:paraId="3500BE7C" w14:textId="551621BB"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39" w:history="1">
        <w:r w:rsidR="004C213E" w:rsidRPr="001260B4">
          <w:rPr>
            <w:rStyle w:val="Hyperlink"/>
            <w:b/>
          </w:rPr>
          <w:t>Figure 24</w:t>
        </w:r>
        <w:r w:rsidR="004C213E" w:rsidRPr="001260B4">
          <w:rPr>
            <w:rStyle w:val="Hyperlink"/>
          </w:rPr>
          <w:t>: Within and between effects of scientific literacy on CO</w:t>
        </w:r>
        <w:r w:rsidR="004C213E" w:rsidRPr="001260B4">
          <w:rPr>
            <w:rStyle w:val="Hyperlink"/>
            <w:vertAlign w:val="subscript"/>
          </w:rPr>
          <w:t>2</w:t>
        </w:r>
        <w:r w:rsidR="004C213E">
          <w:rPr>
            <w:noProof/>
            <w:webHidden/>
          </w:rPr>
          <w:tab/>
        </w:r>
        <w:r w:rsidR="004C213E">
          <w:rPr>
            <w:noProof/>
            <w:webHidden/>
          </w:rPr>
          <w:fldChar w:fldCharType="begin"/>
        </w:r>
        <w:r w:rsidR="004C213E">
          <w:rPr>
            <w:noProof/>
            <w:webHidden/>
          </w:rPr>
          <w:instrText xml:space="preserve"> PAGEREF _Toc105675539 \h </w:instrText>
        </w:r>
        <w:r w:rsidR="004C213E">
          <w:rPr>
            <w:noProof/>
            <w:webHidden/>
          </w:rPr>
        </w:r>
        <w:r w:rsidR="004C213E">
          <w:rPr>
            <w:noProof/>
            <w:webHidden/>
          </w:rPr>
          <w:fldChar w:fldCharType="separate"/>
        </w:r>
        <w:r w:rsidR="00766923">
          <w:rPr>
            <w:noProof/>
            <w:webHidden/>
          </w:rPr>
          <w:t>135</w:t>
        </w:r>
        <w:r w:rsidR="004C213E">
          <w:rPr>
            <w:noProof/>
            <w:webHidden/>
          </w:rPr>
          <w:fldChar w:fldCharType="end"/>
        </w:r>
      </w:hyperlink>
    </w:p>
    <w:p w14:paraId="78986320" w14:textId="4C75F9A3"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40" w:history="1">
        <w:r w:rsidR="004C213E" w:rsidRPr="001260B4">
          <w:rPr>
            <w:rStyle w:val="Hyperlink"/>
            <w:b/>
          </w:rPr>
          <w:t>Figure 25</w:t>
        </w:r>
        <w:r w:rsidR="004C213E" w:rsidRPr="001260B4">
          <w:rPr>
            <w:rStyle w:val="Hyperlink"/>
          </w:rPr>
          <w:t>: The relationships between CO</w:t>
        </w:r>
        <w:r w:rsidR="004C213E" w:rsidRPr="001260B4">
          <w:rPr>
            <w:rStyle w:val="Hyperlink"/>
            <w:vertAlign w:val="subscript"/>
          </w:rPr>
          <w:t>2</w:t>
        </w:r>
        <w:r w:rsidR="004C213E" w:rsidRPr="001260B4">
          <w:rPr>
            <w:rStyle w:val="Hyperlink"/>
          </w:rPr>
          <w:t>, GDP, and scientific literacy.</w:t>
        </w:r>
        <w:r w:rsidR="004C213E">
          <w:rPr>
            <w:noProof/>
            <w:webHidden/>
          </w:rPr>
          <w:tab/>
        </w:r>
        <w:r w:rsidR="004C213E">
          <w:rPr>
            <w:noProof/>
            <w:webHidden/>
          </w:rPr>
          <w:fldChar w:fldCharType="begin"/>
        </w:r>
        <w:r w:rsidR="004C213E">
          <w:rPr>
            <w:noProof/>
            <w:webHidden/>
          </w:rPr>
          <w:instrText xml:space="preserve"> PAGEREF _Toc105675540 \h </w:instrText>
        </w:r>
        <w:r w:rsidR="004C213E">
          <w:rPr>
            <w:noProof/>
            <w:webHidden/>
          </w:rPr>
        </w:r>
        <w:r w:rsidR="004C213E">
          <w:rPr>
            <w:noProof/>
            <w:webHidden/>
          </w:rPr>
          <w:fldChar w:fldCharType="separate"/>
        </w:r>
        <w:r w:rsidR="00766923">
          <w:rPr>
            <w:noProof/>
            <w:webHidden/>
          </w:rPr>
          <w:t>136</w:t>
        </w:r>
        <w:r w:rsidR="004C213E">
          <w:rPr>
            <w:noProof/>
            <w:webHidden/>
          </w:rPr>
          <w:fldChar w:fldCharType="end"/>
        </w:r>
      </w:hyperlink>
    </w:p>
    <w:p w14:paraId="091FB8CA" w14:textId="6A5F6252"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41" w:history="1">
        <w:r w:rsidR="004C213E" w:rsidRPr="001260B4">
          <w:rPr>
            <w:rStyle w:val="Hyperlink"/>
            <w:b/>
          </w:rPr>
          <w:t>Figure 26</w:t>
        </w:r>
        <w:r w:rsidR="004C213E" w:rsidRPr="001260B4">
          <w:rPr>
            <w:rStyle w:val="Hyperlink"/>
          </w:rPr>
          <w:t>: Change in scientific literacy over time by region.</w:t>
        </w:r>
        <w:r w:rsidR="004C213E">
          <w:rPr>
            <w:noProof/>
            <w:webHidden/>
          </w:rPr>
          <w:tab/>
        </w:r>
        <w:r w:rsidR="004C213E">
          <w:rPr>
            <w:noProof/>
            <w:webHidden/>
          </w:rPr>
          <w:fldChar w:fldCharType="begin"/>
        </w:r>
        <w:r w:rsidR="004C213E">
          <w:rPr>
            <w:noProof/>
            <w:webHidden/>
          </w:rPr>
          <w:instrText xml:space="preserve"> PAGEREF _Toc105675541 \h </w:instrText>
        </w:r>
        <w:r w:rsidR="004C213E">
          <w:rPr>
            <w:noProof/>
            <w:webHidden/>
          </w:rPr>
        </w:r>
        <w:r w:rsidR="004C213E">
          <w:rPr>
            <w:noProof/>
            <w:webHidden/>
          </w:rPr>
          <w:fldChar w:fldCharType="separate"/>
        </w:r>
        <w:r w:rsidR="00766923">
          <w:rPr>
            <w:noProof/>
            <w:webHidden/>
          </w:rPr>
          <w:t>138</w:t>
        </w:r>
        <w:r w:rsidR="004C213E">
          <w:rPr>
            <w:noProof/>
            <w:webHidden/>
          </w:rPr>
          <w:fldChar w:fldCharType="end"/>
        </w:r>
      </w:hyperlink>
    </w:p>
    <w:p w14:paraId="2100E218" w14:textId="428D57E9"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42" w:history="1">
        <w:r w:rsidR="004C213E" w:rsidRPr="001260B4">
          <w:rPr>
            <w:rStyle w:val="Hyperlink"/>
            <w:b/>
          </w:rPr>
          <w:t>Figure 27</w:t>
        </w:r>
        <w:r w:rsidR="004C213E" w:rsidRPr="001260B4">
          <w:rPr>
            <w:rStyle w:val="Hyperlink"/>
          </w:rPr>
          <w:t>: Percentage of climate change content in curricula by region</w:t>
        </w:r>
        <w:r w:rsidR="004C213E">
          <w:rPr>
            <w:noProof/>
            <w:webHidden/>
          </w:rPr>
          <w:tab/>
        </w:r>
        <w:r w:rsidR="004C213E">
          <w:rPr>
            <w:noProof/>
            <w:webHidden/>
          </w:rPr>
          <w:fldChar w:fldCharType="begin"/>
        </w:r>
        <w:r w:rsidR="004C213E">
          <w:rPr>
            <w:noProof/>
            <w:webHidden/>
          </w:rPr>
          <w:instrText xml:space="preserve"> PAGEREF _Toc105675542 \h </w:instrText>
        </w:r>
        <w:r w:rsidR="004C213E">
          <w:rPr>
            <w:noProof/>
            <w:webHidden/>
          </w:rPr>
        </w:r>
        <w:r w:rsidR="004C213E">
          <w:rPr>
            <w:noProof/>
            <w:webHidden/>
          </w:rPr>
          <w:fldChar w:fldCharType="separate"/>
        </w:r>
        <w:r w:rsidR="00766923">
          <w:rPr>
            <w:noProof/>
            <w:webHidden/>
          </w:rPr>
          <w:t>138</w:t>
        </w:r>
        <w:r w:rsidR="004C213E">
          <w:rPr>
            <w:noProof/>
            <w:webHidden/>
          </w:rPr>
          <w:fldChar w:fldCharType="end"/>
        </w:r>
      </w:hyperlink>
    </w:p>
    <w:p w14:paraId="39EE7BD9" w14:textId="1683A130"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43" w:history="1">
        <w:r w:rsidR="004C213E" w:rsidRPr="001260B4">
          <w:rPr>
            <w:rStyle w:val="Hyperlink"/>
            <w:b/>
          </w:rPr>
          <w:t>Figure 28</w:t>
        </w:r>
        <w:r w:rsidR="004C213E" w:rsidRPr="001260B4">
          <w:rPr>
            <w:rStyle w:val="Hyperlink"/>
          </w:rPr>
          <w:t xml:space="preserve">: Traceplot of MCMC </w:t>
        </w:r>
        <w:r w:rsidR="00D70E49">
          <w:rPr>
            <w:rStyle w:val="Hyperlink"/>
          </w:rPr>
          <w:t>c</w:t>
        </w:r>
        <w:r w:rsidR="004C213E" w:rsidRPr="001260B4">
          <w:rPr>
            <w:rStyle w:val="Hyperlink"/>
          </w:rPr>
          <w:t xml:space="preserve">hains </w:t>
        </w:r>
        <w:r w:rsidR="00D70E49">
          <w:rPr>
            <w:rStyle w:val="Hyperlink"/>
          </w:rPr>
          <w:t>o</w:t>
        </w:r>
        <w:r w:rsidR="004C213E" w:rsidRPr="001260B4">
          <w:rPr>
            <w:rStyle w:val="Hyperlink"/>
          </w:rPr>
          <w:t xml:space="preserve">ver 10,000 </w:t>
        </w:r>
        <w:r w:rsidR="00D70E49">
          <w:rPr>
            <w:rStyle w:val="Hyperlink"/>
          </w:rPr>
          <w:t>i</w:t>
        </w:r>
        <w:r w:rsidR="004C213E" w:rsidRPr="001260B4">
          <w:rPr>
            <w:rStyle w:val="Hyperlink"/>
          </w:rPr>
          <w:t>terations</w:t>
        </w:r>
        <w:r w:rsidR="004C213E">
          <w:rPr>
            <w:noProof/>
            <w:webHidden/>
          </w:rPr>
          <w:tab/>
        </w:r>
        <w:r w:rsidR="004C213E">
          <w:rPr>
            <w:noProof/>
            <w:webHidden/>
          </w:rPr>
          <w:fldChar w:fldCharType="begin"/>
        </w:r>
        <w:r w:rsidR="004C213E">
          <w:rPr>
            <w:noProof/>
            <w:webHidden/>
          </w:rPr>
          <w:instrText xml:space="preserve"> PAGEREF _Toc105675543 \h </w:instrText>
        </w:r>
        <w:r w:rsidR="004C213E">
          <w:rPr>
            <w:noProof/>
            <w:webHidden/>
          </w:rPr>
        </w:r>
        <w:r w:rsidR="004C213E">
          <w:rPr>
            <w:noProof/>
            <w:webHidden/>
          </w:rPr>
          <w:fldChar w:fldCharType="separate"/>
        </w:r>
        <w:r w:rsidR="00766923">
          <w:rPr>
            <w:noProof/>
            <w:webHidden/>
          </w:rPr>
          <w:t>195</w:t>
        </w:r>
        <w:r w:rsidR="004C213E">
          <w:rPr>
            <w:noProof/>
            <w:webHidden/>
          </w:rPr>
          <w:fldChar w:fldCharType="end"/>
        </w:r>
      </w:hyperlink>
    </w:p>
    <w:p w14:paraId="0D121877" w14:textId="5EE2A667"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44" w:history="1">
        <w:r w:rsidR="004C213E" w:rsidRPr="001260B4">
          <w:rPr>
            <w:rStyle w:val="Hyperlink"/>
            <w:b/>
          </w:rPr>
          <w:t>Figure 29</w:t>
        </w:r>
        <w:r w:rsidR="004C213E" w:rsidRPr="001260B4">
          <w:rPr>
            <w:rStyle w:val="Hyperlink"/>
          </w:rPr>
          <w:t xml:space="preserve">: Plot of Monte Carlo </w:t>
        </w:r>
        <w:r w:rsidR="00D70E49">
          <w:rPr>
            <w:rStyle w:val="Hyperlink"/>
          </w:rPr>
          <w:t>s</w:t>
        </w:r>
        <w:r w:rsidR="004C213E" w:rsidRPr="001260B4">
          <w:rPr>
            <w:rStyle w:val="Hyperlink"/>
          </w:rPr>
          <w:t xml:space="preserve">ampling </w:t>
        </w:r>
        <w:r w:rsidR="00D70E49">
          <w:rPr>
            <w:rStyle w:val="Hyperlink"/>
          </w:rPr>
          <w:t>e</w:t>
        </w:r>
        <w:r w:rsidR="004C213E" w:rsidRPr="001260B4">
          <w:rPr>
            <w:rStyle w:val="Hyperlink"/>
          </w:rPr>
          <w:t>rrors</w:t>
        </w:r>
        <w:r w:rsidR="004C213E">
          <w:rPr>
            <w:noProof/>
            <w:webHidden/>
          </w:rPr>
          <w:tab/>
        </w:r>
        <w:r w:rsidR="004C213E">
          <w:rPr>
            <w:noProof/>
            <w:webHidden/>
          </w:rPr>
          <w:fldChar w:fldCharType="begin"/>
        </w:r>
        <w:r w:rsidR="004C213E">
          <w:rPr>
            <w:noProof/>
            <w:webHidden/>
          </w:rPr>
          <w:instrText xml:space="preserve"> PAGEREF _Toc105675544 \h </w:instrText>
        </w:r>
        <w:r w:rsidR="004C213E">
          <w:rPr>
            <w:noProof/>
            <w:webHidden/>
          </w:rPr>
        </w:r>
        <w:r w:rsidR="004C213E">
          <w:rPr>
            <w:noProof/>
            <w:webHidden/>
          </w:rPr>
          <w:fldChar w:fldCharType="separate"/>
        </w:r>
        <w:r w:rsidR="00766923">
          <w:rPr>
            <w:noProof/>
            <w:webHidden/>
          </w:rPr>
          <w:t>197</w:t>
        </w:r>
        <w:r w:rsidR="004C213E">
          <w:rPr>
            <w:noProof/>
            <w:webHidden/>
          </w:rPr>
          <w:fldChar w:fldCharType="end"/>
        </w:r>
      </w:hyperlink>
    </w:p>
    <w:p w14:paraId="0A413E89" w14:textId="5902AAA0" w:rsidR="004C213E" w:rsidRDefault="00710174">
      <w:pPr>
        <w:pStyle w:val="TOC1"/>
        <w:tabs>
          <w:tab w:val="right" w:leader="dot" w:pos="9062"/>
        </w:tabs>
        <w:rPr>
          <w:rFonts w:asciiTheme="minorHAnsi" w:eastAsiaTheme="minorEastAsia" w:hAnsiTheme="minorHAnsi" w:cstheme="minorBidi"/>
          <w:noProof/>
          <w:sz w:val="22"/>
          <w:szCs w:val="22"/>
        </w:rPr>
      </w:pPr>
      <w:hyperlink w:anchor="_Toc105675545" w:history="1">
        <w:r w:rsidR="004C213E" w:rsidRPr="001260B4">
          <w:rPr>
            <w:rStyle w:val="Hyperlink"/>
            <w:b/>
          </w:rPr>
          <w:t>Figure 30</w:t>
        </w:r>
        <w:r w:rsidR="004C213E" w:rsidRPr="001260B4">
          <w:rPr>
            <w:rStyle w:val="Hyperlink"/>
          </w:rPr>
          <w:t xml:space="preserve">: Plot of </w:t>
        </w:r>
        <w:r w:rsidR="00D70E49">
          <w:rPr>
            <w:rStyle w:val="Hyperlink"/>
          </w:rPr>
          <w:t>p</w:t>
        </w:r>
        <w:r w:rsidR="004C213E" w:rsidRPr="001260B4">
          <w:rPr>
            <w:rStyle w:val="Hyperlink"/>
          </w:rPr>
          <w:t xml:space="preserve">osterior </w:t>
        </w:r>
        <w:r w:rsidR="00D70E49">
          <w:rPr>
            <w:rStyle w:val="Hyperlink"/>
          </w:rPr>
          <w:t>d</w:t>
        </w:r>
        <w:r w:rsidR="004C213E" w:rsidRPr="001260B4">
          <w:rPr>
            <w:rStyle w:val="Hyperlink"/>
          </w:rPr>
          <w:t>ensitites</w:t>
        </w:r>
        <w:r w:rsidR="004C213E">
          <w:rPr>
            <w:noProof/>
            <w:webHidden/>
          </w:rPr>
          <w:tab/>
        </w:r>
        <w:r w:rsidR="004C213E">
          <w:rPr>
            <w:noProof/>
            <w:webHidden/>
          </w:rPr>
          <w:fldChar w:fldCharType="begin"/>
        </w:r>
        <w:r w:rsidR="004C213E">
          <w:rPr>
            <w:noProof/>
            <w:webHidden/>
          </w:rPr>
          <w:instrText xml:space="preserve"> PAGEREF _Toc105675545 \h </w:instrText>
        </w:r>
        <w:r w:rsidR="004C213E">
          <w:rPr>
            <w:noProof/>
            <w:webHidden/>
          </w:rPr>
        </w:r>
        <w:r w:rsidR="004C213E">
          <w:rPr>
            <w:noProof/>
            <w:webHidden/>
          </w:rPr>
          <w:fldChar w:fldCharType="separate"/>
        </w:r>
        <w:r w:rsidR="00766923">
          <w:rPr>
            <w:noProof/>
            <w:webHidden/>
          </w:rPr>
          <w:t>197</w:t>
        </w:r>
        <w:r w:rsidR="004C213E">
          <w:rPr>
            <w:noProof/>
            <w:webHidden/>
          </w:rPr>
          <w:fldChar w:fldCharType="end"/>
        </w:r>
      </w:hyperlink>
    </w:p>
    <w:p w14:paraId="755A9B11" w14:textId="0408D52E" w:rsidR="0033629A" w:rsidRDefault="00B8133B">
      <w:r>
        <w:fldChar w:fldCharType="end"/>
      </w:r>
    </w:p>
    <w:p w14:paraId="2FFBCA98" w14:textId="77777777" w:rsidR="0033629A" w:rsidRDefault="004409CB">
      <w:pPr>
        <w:pStyle w:val="BodyText"/>
      </w:pPr>
      <w:r>
        <w:br w:type="page"/>
      </w:r>
    </w:p>
    <w:p w14:paraId="699806F4" w14:textId="77777777" w:rsidR="0033629A" w:rsidRDefault="004409CB">
      <w:pPr>
        <w:pStyle w:val="BodyText"/>
        <w:pBdr>
          <w:top w:val="none" w:sz="0" w:space="0" w:color="000000"/>
          <w:left w:val="none" w:sz="0" w:space="0" w:color="000000"/>
          <w:bottom w:val="none" w:sz="0" w:space="0" w:color="000000"/>
          <w:right w:val="none" w:sz="0" w:space="0" w:color="000000"/>
        </w:pBdr>
        <w:spacing w:before="0" w:after="0" w:line="240" w:lineRule="auto"/>
        <w:ind w:firstLine="0"/>
        <w:jc w:val="center"/>
      </w:pPr>
      <w:r>
        <w:rPr>
          <w:rFonts w:eastAsia="Times New Roman"/>
          <w:b/>
          <w:color w:val="000000"/>
          <w:sz w:val="28"/>
          <w:szCs w:val="28"/>
        </w:rPr>
        <w:lastRenderedPageBreak/>
        <w:t>LIST OF ABBREVIATIONS</w:t>
      </w:r>
    </w:p>
    <w:tbl>
      <w:tblPr>
        <w:tblW w:w="0" w:type="auto"/>
        <w:jc w:val="center"/>
        <w:tblLook w:val="0420" w:firstRow="1" w:lastRow="0" w:firstColumn="0" w:lastColumn="0" w:noHBand="0" w:noVBand="1"/>
      </w:tblPr>
      <w:tblGrid>
        <w:gridCol w:w="1447"/>
        <w:gridCol w:w="7625"/>
      </w:tblGrid>
      <w:tr w:rsidR="0033629A" w14:paraId="0D664D71" w14:textId="77777777">
        <w:trPr>
          <w:cantSplit/>
          <w:tblHeader/>
          <w:jc w:val="center"/>
        </w:trPr>
        <w:tc>
          <w:tcPr>
            <w:tcW w:w="0" w:type="auto"/>
            <w:shd w:val="clear" w:color="auto" w:fill="FFFFFF"/>
            <w:tcMar>
              <w:top w:w="0" w:type="dxa"/>
              <w:left w:w="0" w:type="dxa"/>
              <w:bottom w:w="0" w:type="dxa"/>
              <w:right w:w="0" w:type="dxa"/>
            </w:tcMar>
            <w:vAlign w:val="center"/>
          </w:tcPr>
          <w:p w14:paraId="084FA166" w14:textId="77777777" w:rsidR="0033629A" w:rsidRDefault="004409CB">
            <w:pPr>
              <w:keepNext/>
              <w:spacing w:before="100" w:after="100" w:line="240" w:lineRule="auto"/>
              <w:ind w:left="100" w:right="100" w:firstLine="0"/>
            </w:pPr>
            <w:r>
              <w:rPr>
                <w:rFonts w:eastAsia="Times New Roman"/>
                <w:b/>
                <w:color w:val="000000"/>
                <w:sz w:val="22"/>
                <w:szCs w:val="22"/>
              </w:rPr>
              <w:t>Abbreviation</w:t>
            </w:r>
          </w:p>
        </w:tc>
        <w:tc>
          <w:tcPr>
            <w:tcW w:w="0" w:type="auto"/>
            <w:shd w:val="clear" w:color="auto" w:fill="FFFFFF"/>
            <w:tcMar>
              <w:top w:w="0" w:type="dxa"/>
              <w:left w:w="0" w:type="dxa"/>
              <w:bottom w:w="0" w:type="dxa"/>
              <w:right w:w="0" w:type="dxa"/>
            </w:tcMar>
            <w:vAlign w:val="center"/>
          </w:tcPr>
          <w:p w14:paraId="71EF88F7" w14:textId="77777777" w:rsidR="0033629A" w:rsidRDefault="004409CB">
            <w:pPr>
              <w:keepNext/>
              <w:spacing w:before="100" w:after="100" w:line="240" w:lineRule="auto"/>
              <w:ind w:left="100" w:right="100" w:firstLine="0"/>
            </w:pPr>
            <w:r>
              <w:rPr>
                <w:rFonts w:eastAsia="Times New Roman"/>
                <w:b/>
                <w:color w:val="000000"/>
                <w:sz w:val="22"/>
                <w:szCs w:val="22"/>
              </w:rPr>
              <w:t>Definition</w:t>
            </w:r>
          </w:p>
        </w:tc>
      </w:tr>
      <w:tr w:rsidR="0033629A" w14:paraId="09298CBF" w14:textId="77777777">
        <w:trPr>
          <w:cantSplit/>
          <w:jc w:val="center"/>
        </w:trPr>
        <w:tc>
          <w:tcPr>
            <w:tcW w:w="0" w:type="auto"/>
            <w:shd w:val="clear" w:color="auto" w:fill="FFFFFF"/>
            <w:tcMar>
              <w:top w:w="0" w:type="dxa"/>
              <w:left w:w="0" w:type="dxa"/>
              <w:bottom w:w="0" w:type="dxa"/>
              <w:right w:w="0" w:type="dxa"/>
            </w:tcMar>
            <w:vAlign w:val="center"/>
          </w:tcPr>
          <w:p w14:paraId="28B59622" w14:textId="77777777" w:rsidR="0033629A" w:rsidRDefault="004409CB">
            <w:pPr>
              <w:keepNext/>
              <w:spacing w:before="100" w:after="100" w:line="240" w:lineRule="auto"/>
              <w:ind w:left="100" w:right="100" w:firstLine="0"/>
            </w:pPr>
            <w:r>
              <w:rPr>
                <w:rFonts w:eastAsia="Times New Roman"/>
                <w:color w:val="000000"/>
                <w:sz w:val="22"/>
                <w:szCs w:val="22"/>
              </w:rPr>
              <w:t>CO</w:t>
            </w:r>
            <w:r>
              <w:rPr>
                <w:rFonts w:eastAsia="Times New Roman"/>
                <w:color w:val="000000"/>
                <w:sz w:val="22"/>
                <w:szCs w:val="22"/>
                <w:vertAlign w:val="subscript"/>
              </w:rPr>
              <w:t>2</w:t>
            </w:r>
          </w:p>
        </w:tc>
        <w:tc>
          <w:tcPr>
            <w:tcW w:w="0" w:type="auto"/>
            <w:shd w:val="clear" w:color="auto" w:fill="FFFFFF"/>
            <w:tcMar>
              <w:top w:w="0" w:type="dxa"/>
              <w:left w:w="0" w:type="dxa"/>
              <w:bottom w:w="0" w:type="dxa"/>
              <w:right w:w="0" w:type="dxa"/>
            </w:tcMar>
            <w:vAlign w:val="center"/>
          </w:tcPr>
          <w:p w14:paraId="594D6506" w14:textId="77777777" w:rsidR="0033629A" w:rsidRDefault="004409CB">
            <w:pPr>
              <w:keepNext/>
              <w:spacing w:before="100" w:after="100" w:line="240" w:lineRule="auto"/>
              <w:ind w:left="100" w:right="100" w:firstLine="0"/>
            </w:pPr>
            <w:r>
              <w:rPr>
                <w:rFonts w:eastAsia="Times New Roman"/>
                <w:color w:val="000000"/>
                <w:sz w:val="22"/>
                <w:szCs w:val="22"/>
              </w:rPr>
              <w:t>carbon dioxide</w:t>
            </w:r>
          </w:p>
        </w:tc>
      </w:tr>
      <w:tr w:rsidR="0033629A" w14:paraId="0BB343BA" w14:textId="77777777">
        <w:trPr>
          <w:cantSplit/>
          <w:jc w:val="center"/>
        </w:trPr>
        <w:tc>
          <w:tcPr>
            <w:tcW w:w="0" w:type="auto"/>
            <w:shd w:val="clear" w:color="auto" w:fill="FFFFFF"/>
            <w:tcMar>
              <w:top w:w="0" w:type="dxa"/>
              <w:left w:w="0" w:type="dxa"/>
              <w:bottom w:w="0" w:type="dxa"/>
              <w:right w:w="0" w:type="dxa"/>
            </w:tcMar>
            <w:vAlign w:val="center"/>
          </w:tcPr>
          <w:p w14:paraId="1A092EA4" w14:textId="77777777" w:rsidR="0033629A" w:rsidRDefault="004409CB">
            <w:pPr>
              <w:keepNext/>
              <w:spacing w:before="100" w:after="100" w:line="240" w:lineRule="auto"/>
              <w:ind w:left="100" w:right="100" w:firstLine="0"/>
            </w:pPr>
            <w:r>
              <w:rPr>
                <w:rFonts w:eastAsia="Times New Roman"/>
                <w:color w:val="000000"/>
                <w:sz w:val="22"/>
                <w:szCs w:val="22"/>
              </w:rPr>
              <w:t>CO</w:t>
            </w:r>
            <w:r>
              <w:rPr>
                <w:rFonts w:eastAsia="Times New Roman"/>
                <w:color w:val="000000"/>
                <w:sz w:val="22"/>
                <w:szCs w:val="22"/>
                <w:vertAlign w:val="subscript"/>
              </w:rPr>
              <w:t>2</w:t>
            </w:r>
            <w:r>
              <w:rPr>
                <w:rFonts w:eastAsia="Times New Roman"/>
                <w:color w:val="000000"/>
                <w:sz w:val="22"/>
                <w:szCs w:val="22"/>
              </w:rPr>
              <w:t>e</w:t>
            </w:r>
          </w:p>
        </w:tc>
        <w:tc>
          <w:tcPr>
            <w:tcW w:w="0" w:type="auto"/>
            <w:shd w:val="clear" w:color="auto" w:fill="FFFFFF"/>
            <w:tcMar>
              <w:top w:w="0" w:type="dxa"/>
              <w:left w:w="0" w:type="dxa"/>
              <w:bottom w:w="0" w:type="dxa"/>
              <w:right w:w="0" w:type="dxa"/>
            </w:tcMar>
            <w:vAlign w:val="center"/>
          </w:tcPr>
          <w:p w14:paraId="6D4F0658" w14:textId="77777777" w:rsidR="0033629A" w:rsidRDefault="004409CB">
            <w:pPr>
              <w:keepNext/>
              <w:spacing w:before="100" w:after="100" w:line="240" w:lineRule="auto"/>
              <w:ind w:left="100" w:right="100" w:firstLine="0"/>
            </w:pPr>
            <w:r>
              <w:rPr>
                <w:rFonts w:eastAsia="Times New Roman"/>
                <w:color w:val="000000"/>
                <w:sz w:val="22"/>
                <w:szCs w:val="22"/>
              </w:rPr>
              <w:t>carbon dioxide equivalent, a measure of greenhouse gases on a common scale (Gohar &amp; Shine, 2007)</w:t>
            </w:r>
          </w:p>
        </w:tc>
      </w:tr>
      <w:tr w:rsidR="0033629A" w14:paraId="30D6AED1" w14:textId="77777777">
        <w:trPr>
          <w:cantSplit/>
          <w:jc w:val="center"/>
        </w:trPr>
        <w:tc>
          <w:tcPr>
            <w:tcW w:w="0" w:type="auto"/>
            <w:shd w:val="clear" w:color="auto" w:fill="FFFFFF"/>
            <w:tcMar>
              <w:top w:w="0" w:type="dxa"/>
              <w:left w:w="0" w:type="dxa"/>
              <w:bottom w:w="0" w:type="dxa"/>
              <w:right w:w="0" w:type="dxa"/>
            </w:tcMar>
            <w:vAlign w:val="center"/>
          </w:tcPr>
          <w:p w14:paraId="7739DD74" w14:textId="77777777" w:rsidR="0033629A" w:rsidRDefault="004409CB">
            <w:pPr>
              <w:keepNext/>
              <w:spacing w:before="100" w:after="100" w:line="240" w:lineRule="auto"/>
              <w:ind w:left="100" w:right="100" w:firstLine="0"/>
            </w:pPr>
            <w:r>
              <w:rPr>
                <w:rFonts w:eastAsia="Times New Roman"/>
                <w:color w:val="000000"/>
                <w:sz w:val="22"/>
                <w:szCs w:val="22"/>
              </w:rPr>
              <w:t>EKC</w:t>
            </w:r>
          </w:p>
        </w:tc>
        <w:tc>
          <w:tcPr>
            <w:tcW w:w="0" w:type="auto"/>
            <w:shd w:val="clear" w:color="auto" w:fill="FFFFFF"/>
            <w:tcMar>
              <w:top w:w="0" w:type="dxa"/>
              <w:left w:w="0" w:type="dxa"/>
              <w:bottom w:w="0" w:type="dxa"/>
              <w:right w:w="0" w:type="dxa"/>
            </w:tcMar>
            <w:vAlign w:val="center"/>
          </w:tcPr>
          <w:p w14:paraId="01F1B5C3" w14:textId="77777777" w:rsidR="0033629A" w:rsidRDefault="004409CB">
            <w:pPr>
              <w:keepNext/>
              <w:spacing w:before="100" w:after="100" w:line="240" w:lineRule="auto"/>
              <w:ind w:left="100" w:right="100" w:firstLine="0"/>
            </w:pPr>
            <w:r>
              <w:rPr>
                <w:rFonts w:eastAsia="Times New Roman"/>
                <w:color w:val="000000"/>
                <w:sz w:val="22"/>
                <w:szCs w:val="22"/>
              </w:rPr>
              <w:t>environmental Kuznet’s curve</w:t>
            </w:r>
          </w:p>
        </w:tc>
      </w:tr>
      <w:tr w:rsidR="0033629A" w14:paraId="0537CE46" w14:textId="77777777">
        <w:trPr>
          <w:cantSplit/>
          <w:jc w:val="center"/>
        </w:trPr>
        <w:tc>
          <w:tcPr>
            <w:tcW w:w="0" w:type="auto"/>
            <w:shd w:val="clear" w:color="auto" w:fill="FFFFFF"/>
            <w:tcMar>
              <w:top w:w="0" w:type="dxa"/>
              <w:left w:w="0" w:type="dxa"/>
              <w:bottom w:w="0" w:type="dxa"/>
              <w:right w:w="0" w:type="dxa"/>
            </w:tcMar>
            <w:vAlign w:val="center"/>
          </w:tcPr>
          <w:p w14:paraId="0CF534A5" w14:textId="77777777" w:rsidR="0033629A" w:rsidRDefault="004409CB">
            <w:pPr>
              <w:keepNext/>
              <w:spacing w:before="100" w:after="100" w:line="240" w:lineRule="auto"/>
              <w:ind w:left="100" w:right="100" w:firstLine="0"/>
            </w:pPr>
            <w:r>
              <w:rPr>
                <w:rFonts w:eastAsia="Times New Roman"/>
                <w:color w:val="000000"/>
                <w:sz w:val="22"/>
                <w:szCs w:val="22"/>
              </w:rPr>
              <w:t>GDP</w:t>
            </w:r>
          </w:p>
        </w:tc>
        <w:tc>
          <w:tcPr>
            <w:tcW w:w="0" w:type="auto"/>
            <w:shd w:val="clear" w:color="auto" w:fill="FFFFFF"/>
            <w:tcMar>
              <w:top w:w="0" w:type="dxa"/>
              <w:left w:w="0" w:type="dxa"/>
              <w:bottom w:w="0" w:type="dxa"/>
              <w:right w:w="0" w:type="dxa"/>
            </w:tcMar>
            <w:vAlign w:val="center"/>
          </w:tcPr>
          <w:p w14:paraId="35F14D86" w14:textId="77777777" w:rsidR="0033629A" w:rsidRDefault="004409CB">
            <w:pPr>
              <w:keepNext/>
              <w:spacing w:before="100" w:after="100" w:line="240" w:lineRule="auto"/>
              <w:ind w:left="100" w:right="100" w:firstLine="0"/>
            </w:pPr>
            <w:r>
              <w:rPr>
                <w:rFonts w:eastAsia="Times New Roman"/>
                <w:color w:val="000000"/>
                <w:sz w:val="22"/>
                <w:szCs w:val="22"/>
              </w:rPr>
              <w:t>Gross Domestic Product</w:t>
            </w:r>
          </w:p>
        </w:tc>
      </w:tr>
      <w:tr w:rsidR="0033629A" w14:paraId="544E14DD" w14:textId="77777777">
        <w:trPr>
          <w:cantSplit/>
          <w:jc w:val="center"/>
        </w:trPr>
        <w:tc>
          <w:tcPr>
            <w:tcW w:w="0" w:type="auto"/>
            <w:shd w:val="clear" w:color="auto" w:fill="FFFFFF"/>
            <w:tcMar>
              <w:top w:w="0" w:type="dxa"/>
              <w:left w:w="0" w:type="dxa"/>
              <w:bottom w:w="0" w:type="dxa"/>
              <w:right w:w="0" w:type="dxa"/>
            </w:tcMar>
            <w:vAlign w:val="center"/>
          </w:tcPr>
          <w:p w14:paraId="48F0F692" w14:textId="77777777" w:rsidR="0033629A" w:rsidRDefault="004409CB">
            <w:pPr>
              <w:keepNext/>
              <w:spacing w:before="100" w:after="100" w:line="240" w:lineRule="auto"/>
              <w:ind w:left="100" w:right="100" w:firstLine="0"/>
            </w:pPr>
            <w:r>
              <w:rPr>
                <w:rFonts w:eastAsia="Times New Roman"/>
                <w:color w:val="000000"/>
                <w:sz w:val="22"/>
                <w:szCs w:val="22"/>
              </w:rPr>
              <w:t>GDP-PPP</w:t>
            </w:r>
          </w:p>
        </w:tc>
        <w:tc>
          <w:tcPr>
            <w:tcW w:w="0" w:type="auto"/>
            <w:shd w:val="clear" w:color="auto" w:fill="FFFFFF"/>
            <w:tcMar>
              <w:top w:w="0" w:type="dxa"/>
              <w:left w:w="0" w:type="dxa"/>
              <w:bottom w:w="0" w:type="dxa"/>
              <w:right w:w="0" w:type="dxa"/>
            </w:tcMar>
            <w:vAlign w:val="center"/>
          </w:tcPr>
          <w:p w14:paraId="5F302025" w14:textId="77777777" w:rsidR="0033629A" w:rsidRDefault="004409CB">
            <w:pPr>
              <w:keepNext/>
              <w:spacing w:before="100" w:after="100" w:line="240" w:lineRule="auto"/>
              <w:ind w:left="100" w:right="100" w:firstLine="0"/>
            </w:pPr>
            <w:r>
              <w:rPr>
                <w:rFonts w:eastAsia="Times New Roman"/>
                <w:color w:val="000000"/>
                <w:sz w:val="22"/>
                <w:szCs w:val="22"/>
              </w:rPr>
              <w:t>Gross Domestic Product-Purchasing Power Parity</w:t>
            </w:r>
          </w:p>
        </w:tc>
      </w:tr>
      <w:tr w:rsidR="0033629A" w14:paraId="582CC02E" w14:textId="77777777">
        <w:trPr>
          <w:cantSplit/>
          <w:jc w:val="center"/>
        </w:trPr>
        <w:tc>
          <w:tcPr>
            <w:tcW w:w="0" w:type="auto"/>
            <w:shd w:val="clear" w:color="auto" w:fill="FFFFFF"/>
            <w:tcMar>
              <w:top w:w="0" w:type="dxa"/>
              <w:left w:w="0" w:type="dxa"/>
              <w:bottom w:w="0" w:type="dxa"/>
              <w:right w:w="0" w:type="dxa"/>
            </w:tcMar>
            <w:vAlign w:val="center"/>
          </w:tcPr>
          <w:p w14:paraId="528351ED" w14:textId="77777777" w:rsidR="0033629A" w:rsidRDefault="004409CB">
            <w:pPr>
              <w:keepNext/>
              <w:spacing w:before="100" w:after="100" w:line="240" w:lineRule="auto"/>
              <w:ind w:left="100" w:right="100" w:firstLine="0"/>
            </w:pPr>
            <w:r>
              <w:rPr>
                <w:rFonts w:eastAsia="Times New Roman"/>
                <w:color w:val="000000"/>
                <w:sz w:val="22"/>
                <w:szCs w:val="22"/>
              </w:rPr>
              <w:t>GHG</w:t>
            </w:r>
          </w:p>
        </w:tc>
        <w:tc>
          <w:tcPr>
            <w:tcW w:w="0" w:type="auto"/>
            <w:shd w:val="clear" w:color="auto" w:fill="FFFFFF"/>
            <w:tcMar>
              <w:top w:w="0" w:type="dxa"/>
              <w:left w:w="0" w:type="dxa"/>
              <w:bottom w:w="0" w:type="dxa"/>
              <w:right w:w="0" w:type="dxa"/>
            </w:tcMar>
            <w:vAlign w:val="center"/>
          </w:tcPr>
          <w:p w14:paraId="12EAE3AB" w14:textId="77777777" w:rsidR="0033629A" w:rsidRDefault="004409CB">
            <w:pPr>
              <w:keepNext/>
              <w:spacing w:before="100" w:after="100" w:line="240" w:lineRule="auto"/>
              <w:ind w:left="100" w:right="100" w:firstLine="0"/>
            </w:pPr>
            <w:r>
              <w:rPr>
                <w:rFonts w:eastAsia="Times New Roman"/>
                <w:color w:val="000000"/>
                <w:sz w:val="22"/>
                <w:szCs w:val="22"/>
              </w:rPr>
              <w:t>green house gases such as CO</w:t>
            </w:r>
            <w:r>
              <w:rPr>
                <w:rFonts w:eastAsia="Times New Roman"/>
                <w:color w:val="000000"/>
                <w:sz w:val="22"/>
                <w:szCs w:val="22"/>
                <w:vertAlign w:val="subscript"/>
              </w:rPr>
              <w:t>2</w:t>
            </w:r>
            <w:r>
              <w:rPr>
                <w:rFonts w:eastAsia="Times New Roman"/>
                <w:color w:val="000000"/>
                <w:sz w:val="22"/>
                <w:szCs w:val="22"/>
              </w:rPr>
              <w:t>, CH</w:t>
            </w:r>
            <w:r>
              <w:rPr>
                <w:rFonts w:eastAsia="Times New Roman"/>
                <w:color w:val="000000"/>
                <w:sz w:val="22"/>
                <w:szCs w:val="22"/>
                <w:vertAlign w:val="subscript"/>
              </w:rPr>
              <w:t>4</w:t>
            </w:r>
            <w:r>
              <w:rPr>
                <w:rFonts w:eastAsia="Times New Roman"/>
                <w:color w:val="000000"/>
                <w:sz w:val="22"/>
                <w:szCs w:val="22"/>
              </w:rPr>
              <w:t xml:space="preserve"> (methane), N</w:t>
            </w:r>
            <w:r>
              <w:rPr>
                <w:rFonts w:eastAsia="Times New Roman"/>
                <w:color w:val="000000"/>
                <w:sz w:val="22"/>
                <w:szCs w:val="22"/>
                <w:vertAlign w:val="subscript"/>
              </w:rPr>
              <w:t>2</w:t>
            </w:r>
            <w:r>
              <w:rPr>
                <w:rFonts w:eastAsia="Times New Roman"/>
                <w:color w:val="000000"/>
                <w:sz w:val="22"/>
                <w:szCs w:val="22"/>
              </w:rPr>
              <w:t>O (nitrous oxide), and water vapor</w:t>
            </w:r>
          </w:p>
        </w:tc>
      </w:tr>
      <w:tr w:rsidR="0033629A" w14:paraId="6B002C67" w14:textId="77777777">
        <w:trPr>
          <w:cantSplit/>
          <w:jc w:val="center"/>
        </w:trPr>
        <w:tc>
          <w:tcPr>
            <w:tcW w:w="0" w:type="auto"/>
            <w:shd w:val="clear" w:color="auto" w:fill="FFFFFF"/>
            <w:tcMar>
              <w:top w:w="0" w:type="dxa"/>
              <w:left w:w="0" w:type="dxa"/>
              <w:bottom w:w="0" w:type="dxa"/>
              <w:right w:w="0" w:type="dxa"/>
            </w:tcMar>
            <w:vAlign w:val="center"/>
          </w:tcPr>
          <w:p w14:paraId="47D5933B" w14:textId="77777777" w:rsidR="0033629A" w:rsidRDefault="004409CB">
            <w:pPr>
              <w:keepNext/>
              <w:spacing w:before="100" w:after="100" w:line="240" w:lineRule="auto"/>
              <w:ind w:left="100" w:right="100" w:firstLine="0"/>
            </w:pPr>
            <w:r>
              <w:rPr>
                <w:rFonts w:eastAsia="Times New Roman"/>
                <w:color w:val="000000"/>
                <w:sz w:val="22"/>
                <w:szCs w:val="22"/>
              </w:rPr>
              <w:t>HCT</w:t>
            </w:r>
          </w:p>
        </w:tc>
        <w:tc>
          <w:tcPr>
            <w:tcW w:w="0" w:type="auto"/>
            <w:shd w:val="clear" w:color="auto" w:fill="FFFFFF"/>
            <w:tcMar>
              <w:top w:w="0" w:type="dxa"/>
              <w:left w:w="0" w:type="dxa"/>
              <w:bottom w:w="0" w:type="dxa"/>
              <w:right w:w="0" w:type="dxa"/>
            </w:tcMar>
            <w:vAlign w:val="center"/>
          </w:tcPr>
          <w:p w14:paraId="677E1533" w14:textId="77777777" w:rsidR="0033629A" w:rsidRDefault="004409CB">
            <w:pPr>
              <w:keepNext/>
              <w:spacing w:before="100" w:after="100" w:line="240" w:lineRule="auto"/>
              <w:ind w:left="100" w:right="100" w:firstLine="0"/>
            </w:pPr>
            <w:r>
              <w:rPr>
                <w:rFonts w:eastAsia="Times New Roman"/>
                <w:color w:val="000000"/>
                <w:sz w:val="22"/>
                <w:szCs w:val="22"/>
              </w:rPr>
              <w:t>Human Capital Theory</w:t>
            </w:r>
          </w:p>
        </w:tc>
      </w:tr>
      <w:tr w:rsidR="0033629A" w14:paraId="337B918E" w14:textId="77777777">
        <w:trPr>
          <w:cantSplit/>
          <w:jc w:val="center"/>
        </w:trPr>
        <w:tc>
          <w:tcPr>
            <w:tcW w:w="0" w:type="auto"/>
            <w:shd w:val="clear" w:color="auto" w:fill="FFFFFF"/>
            <w:tcMar>
              <w:top w:w="0" w:type="dxa"/>
              <w:left w:w="0" w:type="dxa"/>
              <w:bottom w:w="0" w:type="dxa"/>
              <w:right w:w="0" w:type="dxa"/>
            </w:tcMar>
            <w:vAlign w:val="center"/>
          </w:tcPr>
          <w:p w14:paraId="741F2A25" w14:textId="77777777" w:rsidR="0033629A" w:rsidRDefault="004409CB">
            <w:pPr>
              <w:keepNext/>
              <w:spacing w:before="100" w:after="100" w:line="240" w:lineRule="auto"/>
              <w:ind w:left="100" w:right="100" w:firstLine="0"/>
            </w:pPr>
            <w:r>
              <w:rPr>
                <w:rFonts w:eastAsia="Times New Roman"/>
                <w:color w:val="000000"/>
                <w:sz w:val="22"/>
                <w:szCs w:val="22"/>
              </w:rPr>
              <w:t>IPAT</w:t>
            </w:r>
          </w:p>
        </w:tc>
        <w:tc>
          <w:tcPr>
            <w:tcW w:w="0" w:type="auto"/>
            <w:shd w:val="clear" w:color="auto" w:fill="FFFFFF"/>
            <w:tcMar>
              <w:top w:w="0" w:type="dxa"/>
              <w:left w:w="0" w:type="dxa"/>
              <w:bottom w:w="0" w:type="dxa"/>
              <w:right w:w="0" w:type="dxa"/>
            </w:tcMar>
            <w:vAlign w:val="center"/>
          </w:tcPr>
          <w:p w14:paraId="6AA0BCE5" w14:textId="77777777" w:rsidR="0033629A" w:rsidRDefault="004409CB">
            <w:pPr>
              <w:keepNext/>
              <w:spacing w:before="100" w:after="100" w:line="240" w:lineRule="auto"/>
              <w:ind w:left="100" w:right="100" w:firstLine="0"/>
            </w:pPr>
            <w:r>
              <w:rPr>
                <w:rFonts w:eastAsia="Times New Roman"/>
                <w:color w:val="000000"/>
                <w:sz w:val="22"/>
                <w:szCs w:val="22"/>
              </w:rPr>
              <w:t>A conceptual equation that estimates the human impact on the environment, Impact = Population x Affluence x Technology</w:t>
            </w:r>
          </w:p>
        </w:tc>
      </w:tr>
      <w:tr w:rsidR="0033629A" w14:paraId="57B3B689" w14:textId="77777777">
        <w:trPr>
          <w:cantSplit/>
          <w:jc w:val="center"/>
        </w:trPr>
        <w:tc>
          <w:tcPr>
            <w:tcW w:w="0" w:type="auto"/>
            <w:shd w:val="clear" w:color="auto" w:fill="FFFFFF"/>
            <w:tcMar>
              <w:top w:w="0" w:type="dxa"/>
              <w:left w:w="0" w:type="dxa"/>
              <w:bottom w:w="0" w:type="dxa"/>
              <w:right w:w="0" w:type="dxa"/>
            </w:tcMar>
            <w:vAlign w:val="center"/>
          </w:tcPr>
          <w:p w14:paraId="268BD1CC" w14:textId="77777777" w:rsidR="0033629A" w:rsidRDefault="004409CB">
            <w:pPr>
              <w:keepNext/>
              <w:spacing w:before="100" w:after="100" w:line="240" w:lineRule="auto"/>
              <w:ind w:left="100" w:right="100" w:firstLine="0"/>
            </w:pPr>
            <w:r>
              <w:rPr>
                <w:rFonts w:eastAsia="Times New Roman"/>
                <w:color w:val="000000"/>
                <w:sz w:val="22"/>
                <w:szCs w:val="22"/>
              </w:rPr>
              <w:t>IPCC</w:t>
            </w:r>
          </w:p>
        </w:tc>
        <w:tc>
          <w:tcPr>
            <w:tcW w:w="0" w:type="auto"/>
            <w:shd w:val="clear" w:color="auto" w:fill="FFFFFF"/>
            <w:tcMar>
              <w:top w:w="0" w:type="dxa"/>
              <w:left w:w="0" w:type="dxa"/>
              <w:bottom w:w="0" w:type="dxa"/>
              <w:right w:w="0" w:type="dxa"/>
            </w:tcMar>
            <w:vAlign w:val="center"/>
          </w:tcPr>
          <w:p w14:paraId="5CFC5773" w14:textId="77777777" w:rsidR="0033629A" w:rsidRDefault="004409CB">
            <w:pPr>
              <w:keepNext/>
              <w:spacing w:before="100" w:after="100" w:line="240" w:lineRule="auto"/>
              <w:ind w:left="100" w:right="100" w:firstLine="0"/>
            </w:pPr>
            <w:r>
              <w:rPr>
                <w:rFonts w:eastAsia="Times New Roman"/>
                <w:color w:val="000000"/>
                <w:sz w:val="22"/>
                <w:szCs w:val="22"/>
              </w:rPr>
              <w:t>Intergovernmental Panel on Climate Change</w:t>
            </w:r>
          </w:p>
        </w:tc>
      </w:tr>
      <w:tr w:rsidR="0033629A" w14:paraId="6D71DEB4" w14:textId="77777777">
        <w:trPr>
          <w:cantSplit/>
          <w:jc w:val="center"/>
        </w:trPr>
        <w:tc>
          <w:tcPr>
            <w:tcW w:w="0" w:type="auto"/>
            <w:shd w:val="clear" w:color="auto" w:fill="FFFFFF"/>
            <w:tcMar>
              <w:top w:w="0" w:type="dxa"/>
              <w:left w:w="0" w:type="dxa"/>
              <w:bottom w:w="0" w:type="dxa"/>
              <w:right w:w="0" w:type="dxa"/>
            </w:tcMar>
            <w:vAlign w:val="center"/>
          </w:tcPr>
          <w:p w14:paraId="246E84DB" w14:textId="77777777" w:rsidR="0033629A" w:rsidRDefault="004409CB">
            <w:pPr>
              <w:keepNext/>
              <w:spacing w:before="100" w:after="100" w:line="240" w:lineRule="auto"/>
              <w:ind w:left="100" w:right="100" w:firstLine="0"/>
            </w:pPr>
            <w:r>
              <w:rPr>
                <w:rFonts w:eastAsia="Times New Roman"/>
                <w:color w:val="000000"/>
                <w:sz w:val="22"/>
                <w:szCs w:val="22"/>
              </w:rPr>
              <w:t>IRT</w:t>
            </w:r>
          </w:p>
        </w:tc>
        <w:tc>
          <w:tcPr>
            <w:tcW w:w="0" w:type="auto"/>
            <w:shd w:val="clear" w:color="auto" w:fill="FFFFFF"/>
            <w:tcMar>
              <w:top w:w="0" w:type="dxa"/>
              <w:left w:w="0" w:type="dxa"/>
              <w:bottom w:w="0" w:type="dxa"/>
              <w:right w:w="0" w:type="dxa"/>
            </w:tcMar>
            <w:vAlign w:val="center"/>
          </w:tcPr>
          <w:p w14:paraId="3EEB8C4B" w14:textId="77777777" w:rsidR="0033629A" w:rsidRDefault="004409CB">
            <w:pPr>
              <w:keepNext/>
              <w:spacing w:before="100" w:after="100" w:line="240" w:lineRule="auto"/>
              <w:ind w:left="100" w:right="100" w:firstLine="0"/>
            </w:pPr>
            <w:r>
              <w:rPr>
                <w:rFonts w:eastAsia="Times New Roman"/>
                <w:color w:val="000000"/>
                <w:sz w:val="22"/>
                <w:szCs w:val="22"/>
              </w:rPr>
              <w:t>Item Response Theory</w:t>
            </w:r>
          </w:p>
        </w:tc>
      </w:tr>
      <w:tr w:rsidR="0033629A" w14:paraId="6162B39E" w14:textId="77777777">
        <w:trPr>
          <w:cantSplit/>
          <w:jc w:val="center"/>
        </w:trPr>
        <w:tc>
          <w:tcPr>
            <w:tcW w:w="0" w:type="auto"/>
            <w:shd w:val="clear" w:color="auto" w:fill="FFFFFF"/>
            <w:tcMar>
              <w:top w:w="0" w:type="dxa"/>
              <w:left w:w="0" w:type="dxa"/>
              <w:bottom w:w="0" w:type="dxa"/>
              <w:right w:w="0" w:type="dxa"/>
            </w:tcMar>
            <w:vAlign w:val="center"/>
          </w:tcPr>
          <w:p w14:paraId="447987D7" w14:textId="77777777" w:rsidR="0033629A" w:rsidRDefault="004409CB">
            <w:pPr>
              <w:keepNext/>
              <w:spacing w:before="100" w:after="100" w:line="240" w:lineRule="auto"/>
              <w:ind w:left="100" w:right="100" w:firstLine="0"/>
            </w:pPr>
            <w:r>
              <w:rPr>
                <w:rFonts w:eastAsia="Times New Roman"/>
                <w:color w:val="000000"/>
                <w:sz w:val="22"/>
                <w:szCs w:val="22"/>
              </w:rPr>
              <w:t>OECD</w:t>
            </w:r>
          </w:p>
        </w:tc>
        <w:tc>
          <w:tcPr>
            <w:tcW w:w="0" w:type="auto"/>
            <w:shd w:val="clear" w:color="auto" w:fill="FFFFFF"/>
            <w:tcMar>
              <w:top w:w="0" w:type="dxa"/>
              <w:left w:w="0" w:type="dxa"/>
              <w:bottom w:w="0" w:type="dxa"/>
              <w:right w:w="0" w:type="dxa"/>
            </w:tcMar>
            <w:vAlign w:val="center"/>
          </w:tcPr>
          <w:p w14:paraId="055D250A" w14:textId="77777777" w:rsidR="0033629A" w:rsidRDefault="004409CB">
            <w:pPr>
              <w:keepNext/>
              <w:spacing w:before="100" w:after="100" w:line="240" w:lineRule="auto"/>
              <w:ind w:left="100" w:right="100" w:firstLine="0"/>
            </w:pPr>
            <w:r>
              <w:rPr>
                <w:rFonts w:eastAsia="Times New Roman"/>
                <w:color w:val="000000"/>
                <w:sz w:val="22"/>
                <w:szCs w:val="22"/>
              </w:rPr>
              <w:t>Organisation for Economic Co-operation and Development</w:t>
            </w:r>
          </w:p>
        </w:tc>
      </w:tr>
      <w:tr w:rsidR="0033629A" w14:paraId="0B192A20" w14:textId="77777777">
        <w:trPr>
          <w:cantSplit/>
          <w:jc w:val="center"/>
        </w:trPr>
        <w:tc>
          <w:tcPr>
            <w:tcW w:w="0" w:type="auto"/>
            <w:shd w:val="clear" w:color="auto" w:fill="FFFFFF"/>
            <w:tcMar>
              <w:top w:w="0" w:type="dxa"/>
              <w:left w:w="0" w:type="dxa"/>
              <w:bottom w:w="0" w:type="dxa"/>
              <w:right w:w="0" w:type="dxa"/>
            </w:tcMar>
            <w:vAlign w:val="center"/>
          </w:tcPr>
          <w:p w14:paraId="22919D13" w14:textId="77777777" w:rsidR="0033629A" w:rsidRDefault="004409CB">
            <w:pPr>
              <w:keepNext/>
              <w:spacing w:before="100" w:after="100" w:line="240" w:lineRule="auto"/>
              <w:ind w:left="100" w:right="100" w:firstLine="0"/>
            </w:pPr>
            <w:r>
              <w:rPr>
                <w:rFonts w:eastAsia="Times New Roman"/>
                <w:color w:val="000000"/>
                <w:sz w:val="22"/>
                <w:szCs w:val="22"/>
              </w:rPr>
              <w:t>PISA</w:t>
            </w:r>
          </w:p>
        </w:tc>
        <w:tc>
          <w:tcPr>
            <w:tcW w:w="0" w:type="auto"/>
            <w:shd w:val="clear" w:color="auto" w:fill="FFFFFF"/>
            <w:tcMar>
              <w:top w:w="0" w:type="dxa"/>
              <w:left w:w="0" w:type="dxa"/>
              <w:bottom w:w="0" w:type="dxa"/>
              <w:right w:w="0" w:type="dxa"/>
            </w:tcMar>
            <w:vAlign w:val="center"/>
          </w:tcPr>
          <w:p w14:paraId="4743B23A" w14:textId="77777777" w:rsidR="0033629A" w:rsidRDefault="004409CB">
            <w:pPr>
              <w:keepNext/>
              <w:spacing w:before="100" w:after="100" w:line="240" w:lineRule="auto"/>
              <w:ind w:left="100" w:right="100" w:firstLine="0"/>
            </w:pPr>
            <w:r>
              <w:rPr>
                <w:rFonts w:eastAsia="Times New Roman"/>
                <w:color w:val="000000"/>
                <w:sz w:val="22"/>
                <w:szCs w:val="22"/>
              </w:rPr>
              <w:t>Programme for International Student Assessment</w:t>
            </w:r>
          </w:p>
        </w:tc>
      </w:tr>
      <w:tr w:rsidR="0033629A" w14:paraId="6C1F2EF3" w14:textId="77777777">
        <w:trPr>
          <w:cantSplit/>
          <w:jc w:val="center"/>
        </w:trPr>
        <w:tc>
          <w:tcPr>
            <w:tcW w:w="0" w:type="auto"/>
            <w:shd w:val="clear" w:color="auto" w:fill="FFFFFF"/>
            <w:tcMar>
              <w:top w:w="0" w:type="dxa"/>
              <w:left w:w="0" w:type="dxa"/>
              <w:bottom w:w="0" w:type="dxa"/>
              <w:right w:w="0" w:type="dxa"/>
            </w:tcMar>
            <w:vAlign w:val="center"/>
          </w:tcPr>
          <w:p w14:paraId="5F71B2F0" w14:textId="77777777" w:rsidR="0033629A" w:rsidRDefault="004409CB">
            <w:pPr>
              <w:keepNext/>
              <w:spacing w:before="100" w:after="100" w:line="240" w:lineRule="auto"/>
              <w:ind w:left="100" w:right="100" w:firstLine="0"/>
            </w:pPr>
            <w:r>
              <w:rPr>
                <w:rFonts w:eastAsia="Times New Roman"/>
                <w:color w:val="000000"/>
                <w:sz w:val="22"/>
                <w:szCs w:val="22"/>
              </w:rPr>
              <w:t>SDG</w:t>
            </w:r>
          </w:p>
        </w:tc>
        <w:tc>
          <w:tcPr>
            <w:tcW w:w="0" w:type="auto"/>
            <w:shd w:val="clear" w:color="auto" w:fill="FFFFFF"/>
            <w:tcMar>
              <w:top w:w="0" w:type="dxa"/>
              <w:left w:w="0" w:type="dxa"/>
              <w:bottom w:w="0" w:type="dxa"/>
              <w:right w:w="0" w:type="dxa"/>
            </w:tcMar>
            <w:vAlign w:val="center"/>
          </w:tcPr>
          <w:p w14:paraId="27EA8C90" w14:textId="77777777" w:rsidR="0033629A" w:rsidRDefault="004409CB">
            <w:pPr>
              <w:keepNext/>
              <w:spacing w:before="100" w:after="100" w:line="240" w:lineRule="auto"/>
              <w:ind w:left="100" w:right="100" w:firstLine="0"/>
            </w:pPr>
            <w:r>
              <w:rPr>
                <w:rFonts w:eastAsia="Times New Roman"/>
                <w:color w:val="000000"/>
                <w:sz w:val="22"/>
                <w:szCs w:val="22"/>
              </w:rPr>
              <w:t>The United Nations’ Sustainable Development Goals</w:t>
            </w:r>
          </w:p>
        </w:tc>
      </w:tr>
      <w:tr w:rsidR="0033629A" w14:paraId="29AA4CA1" w14:textId="77777777">
        <w:trPr>
          <w:cantSplit/>
          <w:jc w:val="center"/>
        </w:trPr>
        <w:tc>
          <w:tcPr>
            <w:tcW w:w="0" w:type="auto"/>
            <w:shd w:val="clear" w:color="auto" w:fill="FFFFFF"/>
            <w:tcMar>
              <w:top w:w="0" w:type="dxa"/>
              <w:left w:w="0" w:type="dxa"/>
              <w:bottom w:w="0" w:type="dxa"/>
              <w:right w:w="0" w:type="dxa"/>
            </w:tcMar>
            <w:vAlign w:val="center"/>
          </w:tcPr>
          <w:p w14:paraId="03591ACA" w14:textId="77777777" w:rsidR="0033629A" w:rsidRDefault="004409CB">
            <w:pPr>
              <w:keepNext/>
              <w:spacing w:before="100" w:after="100" w:line="240" w:lineRule="auto"/>
              <w:ind w:left="100" w:right="100" w:firstLine="0"/>
            </w:pPr>
            <w:r>
              <w:rPr>
                <w:rFonts w:eastAsia="Times New Roman"/>
                <w:color w:val="000000"/>
                <w:sz w:val="22"/>
                <w:szCs w:val="22"/>
              </w:rPr>
              <w:t>tCO</w:t>
            </w:r>
            <w:r>
              <w:rPr>
                <w:rFonts w:eastAsia="Times New Roman"/>
                <w:color w:val="000000"/>
                <w:sz w:val="22"/>
                <w:szCs w:val="22"/>
                <w:vertAlign w:val="subscript"/>
              </w:rPr>
              <w:t>2</w:t>
            </w:r>
          </w:p>
        </w:tc>
        <w:tc>
          <w:tcPr>
            <w:tcW w:w="0" w:type="auto"/>
            <w:shd w:val="clear" w:color="auto" w:fill="FFFFFF"/>
            <w:tcMar>
              <w:top w:w="0" w:type="dxa"/>
              <w:left w:w="0" w:type="dxa"/>
              <w:bottom w:w="0" w:type="dxa"/>
              <w:right w:w="0" w:type="dxa"/>
            </w:tcMar>
            <w:vAlign w:val="center"/>
          </w:tcPr>
          <w:p w14:paraId="0C656A43" w14:textId="77777777" w:rsidR="0033629A" w:rsidRDefault="004409CB">
            <w:pPr>
              <w:keepNext/>
              <w:spacing w:before="100" w:after="100" w:line="240" w:lineRule="auto"/>
              <w:ind w:left="100" w:right="100" w:firstLine="0"/>
            </w:pPr>
            <w:r>
              <w:rPr>
                <w:rFonts w:eastAsia="Times New Roman"/>
                <w:color w:val="000000"/>
                <w:sz w:val="22"/>
                <w:szCs w:val="22"/>
              </w:rPr>
              <w:t>metric tons of carbon dioxide</w:t>
            </w:r>
          </w:p>
        </w:tc>
      </w:tr>
      <w:tr w:rsidR="0033629A" w14:paraId="4198555B" w14:textId="77777777">
        <w:trPr>
          <w:cantSplit/>
          <w:jc w:val="center"/>
        </w:trPr>
        <w:tc>
          <w:tcPr>
            <w:tcW w:w="0" w:type="auto"/>
            <w:shd w:val="clear" w:color="auto" w:fill="FFFFFF"/>
            <w:tcMar>
              <w:top w:w="0" w:type="dxa"/>
              <w:left w:w="0" w:type="dxa"/>
              <w:bottom w:w="0" w:type="dxa"/>
              <w:right w:w="0" w:type="dxa"/>
            </w:tcMar>
            <w:vAlign w:val="center"/>
          </w:tcPr>
          <w:p w14:paraId="054A907D" w14:textId="77777777" w:rsidR="0033629A" w:rsidRDefault="004409CB">
            <w:pPr>
              <w:keepNext/>
              <w:spacing w:before="100" w:after="100" w:line="240" w:lineRule="auto"/>
              <w:ind w:left="100" w:right="100" w:firstLine="0"/>
            </w:pPr>
            <w:r>
              <w:rPr>
                <w:rFonts w:eastAsia="Times New Roman"/>
                <w:color w:val="000000"/>
                <w:sz w:val="22"/>
                <w:szCs w:val="22"/>
              </w:rPr>
              <w:t>TPB</w:t>
            </w:r>
          </w:p>
        </w:tc>
        <w:tc>
          <w:tcPr>
            <w:tcW w:w="0" w:type="auto"/>
            <w:shd w:val="clear" w:color="auto" w:fill="FFFFFF"/>
            <w:tcMar>
              <w:top w:w="0" w:type="dxa"/>
              <w:left w:w="0" w:type="dxa"/>
              <w:bottom w:w="0" w:type="dxa"/>
              <w:right w:w="0" w:type="dxa"/>
            </w:tcMar>
            <w:vAlign w:val="center"/>
          </w:tcPr>
          <w:p w14:paraId="1895B047" w14:textId="77777777" w:rsidR="0033629A" w:rsidRDefault="004409CB">
            <w:pPr>
              <w:keepNext/>
              <w:spacing w:before="100" w:after="100" w:line="240" w:lineRule="auto"/>
              <w:ind w:left="100" w:right="100" w:firstLine="0"/>
            </w:pPr>
            <w:r>
              <w:rPr>
                <w:rFonts w:eastAsia="Times New Roman"/>
                <w:color w:val="000000"/>
                <w:sz w:val="22"/>
                <w:szCs w:val="22"/>
              </w:rPr>
              <w:t>Theory of Planned Behavior</w:t>
            </w:r>
          </w:p>
        </w:tc>
      </w:tr>
    </w:tbl>
    <w:p w14:paraId="0C0F5B6E" w14:textId="77777777" w:rsidR="0033629A" w:rsidRDefault="0033629A">
      <w:pPr>
        <w:sectPr w:rsidR="0033629A" w:rsidSect="00B8133B">
          <w:headerReference w:type="even" r:id="rId9"/>
          <w:headerReference w:type="default" r:id="rId10"/>
          <w:footerReference w:type="even" r:id="rId11"/>
          <w:footerReference w:type="default" r:id="rId12"/>
          <w:headerReference w:type="first" r:id="rId13"/>
          <w:footerReference w:type="first" r:id="rId14"/>
          <w:type w:val="continuous"/>
          <w:pgSz w:w="11952" w:h="16848"/>
          <w:pgMar w:top="1440" w:right="1440" w:bottom="1440" w:left="1440" w:header="720" w:footer="720" w:gutter="0"/>
          <w:pgNumType w:fmt="lowerRoman"/>
          <w:cols w:space="720"/>
        </w:sectPr>
      </w:pPr>
    </w:p>
    <w:p w14:paraId="4433367F" w14:textId="77777777" w:rsidR="0033629A" w:rsidRDefault="004409CB">
      <w:pPr>
        <w:pStyle w:val="BodyText"/>
      </w:pPr>
      <w:r>
        <w:br w:type="page"/>
      </w:r>
    </w:p>
    <w:p w14:paraId="7BBE6E11" w14:textId="77777777" w:rsidR="0033629A" w:rsidRDefault="004409CB">
      <w:pPr>
        <w:pStyle w:val="Heading1"/>
      </w:pPr>
      <w:bookmarkStart w:id="0" w:name="_Toc107939092"/>
      <w:bookmarkStart w:id="1" w:name="chapter-one-introduction"/>
      <w:r>
        <w:lastRenderedPageBreak/>
        <w:t>CHAPTER ONE: Introduction</w:t>
      </w:r>
      <w:bookmarkEnd w:id="0"/>
    </w:p>
    <w:p w14:paraId="53916A66" w14:textId="77777777" w:rsidR="0033629A" w:rsidRDefault="004409CB">
      <w:pPr>
        <w:pStyle w:val="FirstParagraph"/>
      </w:pPr>
      <w:r>
        <w:t xml:space="preserve">When Swedish climate activist Greta Thunberg was sixteen years old, she addressed a TED Talk crowd with a phrase that poignantly summarizes the state of the current world amidst global climate change: “The climate crisis has already been solved. We already have all the facts and solutions. All we </w:t>
      </w:r>
      <w:proofErr w:type="gramStart"/>
      <w:r>
        <w:t>have to</w:t>
      </w:r>
      <w:proofErr w:type="gramEnd"/>
      <w:r>
        <w:t xml:space="preserve"> do is to wake up and change” (</w:t>
      </w:r>
      <w:hyperlink w:anchor="ref-thunberg2018">
        <w:r>
          <w:rPr>
            <w:rStyle w:val="Hyperlink"/>
          </w:rPr>
          <w:t>Thunberg, 2018, November</w:t>
        </w:r>
      </w:hyperlink>
      <w:r>
        <w:t>). Science has demonstrated that climate change exists, how humans contribute to it, and its serious impacts (</w:t>
      </w:r>
      <w:hyperlink w:anchor="ref-ipcc2014">
        <w:r>
          <w:rPr>
            <w:rStyle w:val="Hyperlink"/>
          </w:rPr>
          <w:t>IPCC, 2014</w:t>
        </w:r>
      </w:hyperlink>
      <w:r>
        <w:t xml:space="preserve">; </w:t>
      </w:r>
      <w:hyperlink w:anchor="ref-schmittner2018">
        <w:r>
          <w:rPr>
            <w:rStyle w:val="Hyperlink"/>
          </w:rPr>
          <w:t>Schmittner, 2018</w:t>
        </w:r>
      </w:hyperlink>
      <w:r>
        <w:t>). We also know the solution to climate change is to stop emitting carbon dioxide (CO</w:t>
      </w:r>
      <w:r>
        <w:rPr>
          <w:vertAlign w:val="subscript"/>
        </w:rPr>
        <w:t>2</w:t>
      </w:r>
      <w:r>
        <w:t xml:space="preserve">) and other greenhouse gases (GHGs). </w:t>
      </w:r>
      <w:proofErr w:type="gramStart"/>
      <w:r>
        <w:t>And,</w:t>
      </w:r>
      <w:proofErr w:type="gramEnd"/>
      <w:r>
        <w:t xml:space="preserve"> we possess the technical means to achieve this now through available solar, wind, and hydroelectric technologies (</w:t>
      </w:r>
      <w:hyperlink w:anchor="ref-jacobson2017">
        <w:r>
          <w:rPr>
            <w:rStyle w:val="Hyperlink"/>
          </w:rPr>
          <w:t>Jacobson et al., 2017</w:t>
        </w:r>
      </w:hyperlink>
      <w:r>
        <w:t xml:space="preserve">). What is stopping us from solving the climate crisis is neither scientific nor technical but social in nature. </w:t>
      </w:r>
      <w:hyperlink w:anchor="ref-ehrhardtmartinez2015">
        <w:r>
          <w:rPr>
            <w:rStyle w:val="Hyperlink"/>
          </w:rPr>
          <w:t>Ehrhardt-Martinez et al.</w:t>
        </w:r>
      </w:hyperlink>
      <w:r>
        <w:t xml:space="preserve"> (</w:t>
      </w:r>
      <w:hyperlink w:anchor="ref-ehrhardtmartinez2015">
        <w:r>
          <w:rPr>
            <w:rStyle w:val="Hyperlink"/>
          </w:rPr>
          <w:t>2015</w:t>
        </w:r>
      </w:hyperlink>
      <w:r>
        <w:t>) argue that “GHG emissions are firmly rooted in the current organization of economic and social systems” (p. 199). It is mostly political and ideological barriers that stand in the way of solutions. Climate change skepticism, which often falls along ideological divides, is known to be a major barrier that underlines the economic and social policies needed to successfully address climate change (</w:t>
      </w:r>
      <w:hyperlink w:anchor="Xc0bc36d94989ebac6d66c41886548cec14dd8ac">
        <w:r>
          <w:rPr>
            <w:rStyle w:val="Hyperlink"/>
          </w:rPr>
          <w:t>Engels et al., 2013</w:t>
        </w:r>
      </w:hyperlink>
      <w:r>
        <w:t xml:space="preserve">; </w:t>
      </w:r>
      <w:hyperlink w:anchor="ref-guy2014">
        <w:r>
          <w:rPr>
            <w:rStyle w:val="Hyperlink"/>
          </w:rPr>
          <w:t>Guy et al., 2014</w:t>
        </w:r>
      </w:hyperlink>
      <w:r>
        <w:t xml:space="preserve">; </w:t>
      </w:r>
      <w:hyperlink w:anchor="ref-hornsey2016">
        <w:r>
          <w:rPr>
            <w:rStyle w:val="Hyperlink"/>
          </w:rPr>
          <w:t>Hornsey et al., 2016</w:t>
        </w:r>
      </w:hyperlink>
      <w:r>
        <w:t>). Hence, Thunberg’s statement that society needs to “wake up and change.”</w:t>
      </w:r>
    </w:p>
    <w:p w14:paraId="0CABBE5F" w14:textId="77777777" w:rsidR="0033629A" w:rsidRDefault="004409CB">
      <w:pPr>
        <w:pStyle w:val="BodyText"/>
      </w:pPr>
      <w:r>
        <w:t>Society must address climate change now, not later. There is a broad scientific consensus that anthropogenic (human-caused) climate change poses a serious threat to human and ecological stability (</w:t>
      </w:r>
      <w:hyperlink w:anchor="ref-harper2020">
        <w:r>
          <w:rPr>
            <w:rStyle w:val="Hyperlink"/>
          </w:rPr>
          <w:t>Harper &amp; Vinke, 2020, November</w:t>
        </w:r>
      </w:hyperlink>
      <w:r>
        <w:t xml:space="preserve">; </w:t>
      </w:r>
      <w:hyperlink w:anchor="ref-oreskes2004">
        <w:r>
          <w:rPr>
            <w:rStyle w:val="Hyperlink"/>
          </w:rPr>
          <w:t>Oreskes, 2004</w:t>
        </w:r>
      </w:hyperlink>
      <w:r>
        <w:t xml:space="preserve">; </w:t>
      </w:r>
      <w:hyperlink w:anchor="ref-schmittner2018">
        <w:r>
          <w:rPr>
            <w:rStyle w:val="Hyperlink"/>
          </w:rPr>
          <w:t>Schmittner, 2018</w:t>
        </w:r>
      </w:hyperlink>
      <w:r>
        <w:t>). Some of these risks include species extinctions and ecosystem loss; increased extreme weather events; food and water insecurity; decreases in quality of life; increases in illness and disease; and other societal disruptions (</w:t>
      </w:r>
      <w:hyperlink w:anchor="ref-ipcc2014">
        <w:r>
          <w:rPr>
            <w:rStyle w:val="Hyperlink"/>
          </w:rPr>
          <w:t>IPCC, 2014, p. 65</w:t>
        </w:r>
      </w:hyperlink>
      <w:r>
        <w:t xml:space="preserve">). These effects are occurring even now, at 1°C (Celsius) of global warming above pre-industrial levels. These impacts are only predicted to increase at 1.5°C of global warming above pre-industrial levels. This is the </w:t>
      </w:r>
      <w:r>
        <w:lastRenderedPageBreak/>
        <w:t>temperature goal the Intergovernmental Panel on Climate Change (IPCC) and other scientific bodies have determined global temperature increases need to be limited to. The effects of climate change intensify at higher levels of warming (</w:t>
      </w:r>
      <w:hyperlink w:anchor="ref-carbonbrief2018">
        <w:r>
          <w:rPr>
            <w:rStyle w:val="Hyperlink"/>
          </w:rPr>
          <w:t>Carbon Brief, 2018</w:t>
        </w:r>
      </w:hyperlink>
      <w:r>
        <w:t>).</w:t>
      </w:r>
    </w:p>
    <w:p w14:paraId="33B30AE5" w14:textId="77777777" w:rsidR="0033629A" w:rsidRDefault="004409CB">
      <w:pPr>
        <w:pStyle w:val="BodyText"/>
      </w:pPr>
      <w:r>
        <w:t>The primary cause of global warming is the emission of greenhouse gases, namely CO</w:t>
      </w:r>
      <w:r>
        <w:rPr>
          <w:vertAlign w:val="subscript"/>
        </w:rPr>
        <w:t>2</w:t>
      </w:r>
      <w:r>
        <w:t>, due to the burning of fossil fuels (e.g., coal, oil, natural gas). This matter-of-fact explanation belies the huge economic, political, and social drivers that underlie climate change (</w:t>
      </w:r>
      <w:hyperlink w:anchor="ref-dietz2007">
        <w:r>
          <w:rPr>
            <w:rStyle w:val="Hyperlink"/>
          </w:rPr>
          <w:t>Dietz, Rosa, et al., 2007</w:t>
        </w:r>
      </w:hyperlink>
      <w:r>
        <w:t xml:space="preserve">; </w:t>
      </w:r>
      <w:hyperlink w:anchor="ref-rosa2015">
        <w:r>
          <w:rPr>
            <w:rStyle w:val="Hyperlink"/>
          </w:rPr>
          <w:t>Rosa et al., 2015</w:t>
        </w:r>
      </w:hyperlink>
      <w:r>
        <w:t xml:space="preserve">). According to </w:t>
      </w:r>
      <w:hyperlink w:anchor="ref-rosa2015">
        <w:r>
          <w:rPr>
            <w:rStyle w:val="Hyperlink"/>
          </w:rPr>
          <w:t>Rosa et al.</w:t>
        </w:r>
      </w:hyperlink>
      <w:r>
        <w:t xml:space="preserve"> (</w:t>
      </w:r>
      <w:hyperlink w:anchor="ref-rosa2015">
        <w:r>
          <w:rPr>
            <w:rStyle w:val="Hyperlink"/>
          </w:rPr>
          <w:t>2015</w:t>
        </w:r>
      </w:hyperlink>
      <w:r>
        <w:t xml:space="preserve">), human impact on climate change is driven by a complex interaction between population, affluence, and technology, the latter term referring to “all other things, such as culture, institutional practices, and political processes” (p. 37). </w:t>
      </w:r>
      <w:hyperlink w:anchor="ref-rosa2015">
        <w:r>
          <w:rPr>
            <w:rStyle w:val="Hyperlink"/>
          </w:rPr>
          <w:t>Rosa et al.</w:t>
        </w:r>
      </w:hyperlink>
      <w:r>
        <w:t xml:space="preserve"> (</w:t>
      </w:r>
      <w:hyperlink w:anchor="ref-rosa2015">
        <w:r>
          <w:rPr>
            <w:rStyle w:val="Hyperlink"/>
          </w:rPr>
          <w:t>2015</w:t>
        </w:r>
      </w:hyperlink>
      <w:r>
        <w:t xml:space="preserve">) summarize climate change using the </w:t>
      </w:r>
      <w:r>
        <w:rPr>
          <w:i/>
          <w:iCs/>
        </w:rPr>
        <w:t>IPAT</w:t>
      </w:r>
      <w:r>
        <w:t xml:space="preserve"> equation:</w:t>
      </w:r>
    </w:p>
    <w:p w14:paraId="76B5B87F" w14:textId="77777777" w:rsidR="0033629A" w:rsidRDefault="00710174">
      <w:pPr>
        <w:pStyle w:val="Equation"/>
      </w:pPr>
      <m:oMath>
        <m:sSub>
          <m:sSubPr>
            <m:ctrlPr/>
          </m:sSubPr>
          <m:e>
            <m:r>
              <m:t>I</m:t>
            </m:r>
          </m:e>
          <m:sub>
            <m:r>
              <m:t>mpact</m:t>
            </m:r>
          </m:sub>
        </m:sSub>
        <m:r>
          <m:t>=</m:t>
        </m:r>
        <m:sSub>
          <m:sSubPr>
            <m:ctrlPr/>
          </m:sSubPr>
          <m:e>
            <m:r>
              <m:t>P</m:t>
            </m:r>
          </m:e>
          <m:sub>
            <m:r>
              <m:t>opulation</m:t>
            </m:r>
          </m:sub>
        </m:sSub>
        <m:r>
          <m:t>×</m:t>
        </m:r>
        <m:sSub>
          <m:sSubPr>
            <m:ctrlPr/>
          </m:sSubPr>
          <m:e>
            <m:r>
              <m:t>A</m:t>
            </m:r>
          </m:e>
          <m:sub>
            <m:r>
              <m:t>ffluence</m:t>
            </m:r>
          </m:sub>
        </m:sSub>
        <m:r>
          <m:t>×</m:t>
        </m:r>
        <m:sSub>
          <m:sSubPr>
            <m:ctrlPr/>
          </m:sSubPr>
          <m:e>
            <m:r>
              <m:t>T</m:t>
            </m:r>
          </m:e>
          <m:sub>
            <m:r>
              <m:t>echnology</m:t>
            </m:r>
          </m:sub>
        </m:sSub>
      </m:oMath>
      <w:r w:rsidR="004409CB">
        <w:t>.</w:t>
      </w:r>
    </w:p>
    <w:p w14:paraId="3473E104" w14:textId="77777777" w:rsidR="0033629A" w:rsidRDefault="004409CB">
      <w:pPr>
        <w:pStyle w:val="BodyText"/>
      </w:pPr>
      <w:r>
        <w:t>Population and affluence have been identified as the greatest contributors to climate change, namely through increased production and consumption (</w:t>
      </w:r>
      <w:hyperlink w:anchor="ref-jorgenson2010">
        <w:r>
          <w:rPr>
            <w:rStyle w:val="Hyperlink"/>
          </w:rPr>
          <w:t>Jorgenson &amp; Birkholz, 2010</w:t>
        </w:r>
      </w:hyperlink>
      <w:r>
        <w:t xml:space="preserve">; </w:t>
      </w:r>
      <w:hyperlink w:anchor="ref-jorgenson2010a">
        <w:r>
          <w:rPr>
            <w:rStyle w:val="Hyperlink"/>
          </w:rPr>
          <w:t>Jorgenson &amp; Clark, 2010</w:t>
        </w:r>
      </w:hyperlink>
      <w:r>
        <w:t xml:space="preserve">; </w:t>
      </w:r>
      <w:hyperlink w:anchor="ref-yorkSTIRPATIPATImPACT2003">
        <w:r>
          <w:rPr>
            <w:rStyle w:val="Hyperlink"/>
          </w:rPr>
          <w:t>York et al., 2003</w:t>
        </w:r>
      </w:hyperlink>
      <w:r>
        <w:t>). There is not always a one-to-one relationship between the population, affluence, and emissions. Nations that experience rapid population growth without similar increases in affluence (i.e., the Global South) typically have lower GHG emissions. Western nations, on the other hand, with lower rates of population growth but massive amounts of consumption via affluence have largely driven global climate change due to their massive emissions.</w:t>
      </w:r>
    </w:p>
    <w:p w14:paraId="5C8C1A1D" w14:textId="77777777" w:rsidR="0033629A" w:rsidRDefault="004409CB">
      <w:pPr>
        <w:pStyle w:val="BodyText"/>
      </w:pPr>
      <w:r>
        <w:t xml:space="preserve">While </w:t>
      </w:r>
      <w:hyperlink w:anchor="ref-rosa2015">
        <w:r>
          <w:rPr>
            <w:rStyle w:val="Hyperlink"/>
          </w:rPr>
          <w:t>Rosa et al.</w:t>
        </w:r>
      </w:hyperlink>
      <w:r>
        <w:t xml:space="preserve"> (</w:t>
      </w:r>
      <w:hyperlink w:anchor="ref-rosa2015">
        <w:r>
          <w:rPr>
            <w:rStyle w:val="Hyperlink"/>
          </w:rPr>
          <w:t>2015</w:t>
        </w:r>
      </w:hyperlink>
      <w:r>
        <w:t>) include “technology” as a catch-all term to represent political forces and economic dispositions, as well as individual attitudes and behaviors, it is worth mentioning that the term has most often referred to literal technology, specifically “technology used to make the consumption possible” (</w:t>
      </w:r>
      <w:hyperlink w:anchor="ref-chertow2000">
        <w:r>
          <w:rPr>
            <w:rStyle w:val="Hyperlink"/>
          </w:rPr>
          <w:t>Chertow, 2000, p. 16</w:t>
        </w:r>
      </w:hyperlink>
      <w:r>
        <w:t xml:space="preserve">). It is possible </w:t>
      </w:r>
      <w:r>
        <w:lastRenderedPageBreak/>
        <w:t xml:space="preserve">that the social, cultural, political, and economic aspects of society make up an addition variable in the </w:t>
      </w:r>
      <w:r>
        <w:rPr>
          <w:i/>
          <w:iCs/>
        </w:rPr>
        <w:t>IPAT</w:t>
      </w:r>
      <w:r>
        <w:t xml:space="preserve"> concept, as they certainly have a moderating effect on population and affluence (</w:t>
      </w:r>
      <w:hyperlink w:anchor="ref-rosa2015">
        <w:r>
          <w:rPr>
            <w:rStyle w:val="Hyperlink"/>
          </w:rPr>
          <w:t>Rosa et al., 2015</w:t>
        </w:r>
      </w:hyperlink>
      <w:r>
        <w:t>). For example, climate change research suggests that national political orientation and level of corruption have a relationship to emissions levels. Democratic societies with low levels of corruption emit fewer GHGs due to adoption and adherence to environmental policies when compared to democratic societies with high levels of corruption or authoritarian societies (</w:t>
      </w:r>
      <w:hyperlink w:anchor="ref-povitkina2018">
        <w:r>
          <w:rPr>
            <w:rStyle w:val="Hyperlink"/>
          </w:rPr>
          <w:t>Povitkina, 2018</w:t>
        </w:r>
      </w:hyperlink>
      <w:r>
        <w:t>). This example highlights the moderating effect of non-corrupt social institutions.</w:t>
      </w:r>
    </w:p>
    <w:p w14:paraId="05D2A534" w14:textId="77777777" w:rsidR="0033629A" w:rsidRDefault="004409CB">
      <w:pPr>
        <w:pStyle w:val="BodyText"/>
      </w:pPr>
      <w:r>
        <w:t xml:space="preserve">In fact, </w:t>
      </w:r>
      <w:hyperlink w:anchor="ref-sharma2012">
        <w:r>
          <w:rPr>
            <w:rStyle w:val="Hyperlink"/>
          </w:rPr>
          <w:t>A. Sharma</w:t>
        </w:r>
      </w:hyperlink>
      <w:r>
        <w:t xml:space="preserve"> (</w:t>
      </w:r>
      <w:hyperlink w:anchor="ref-sharma2012">
        <w:r>
          <w:rPr>
            <w:rStyle w:val="Hyperlink"/>
          </w:rPr>
          <w:t>2012</w:t>
        </w:r>
      </w:hyperlink>
      <w:r>
        <w:t xml:space="preserve">) argues that because “the fundamental causes of global climate change are social in nature…the most effective ways to counter the effects of global climate change would be social as well” (p. 35). To avoid the impacts of climate change, there is a serious need for action now </w:t>
      </w:r>
      <w:proofErr w:type="gramStart"/>
      <w:r>
        <w:t>in order to</w:t>
      </w:r>
      <w:proofErr w:type="gramEnd"/>
      <w:r>
        <w:t xml:space="preserve"> limit our warming to 1.5°C by 2050 (</w:t>
      </w:r>
      <w:hyperlink w:anchor="ref-ipcc2018a">
        <w:r>
          <w:rPr>
            <w:rStyle w:val="Hyperlink"/>
          </w:rPr>
          <w:t>IPCC, 2018</w:t>
        </w:r>
      </w:hyperlink>
      <w:r>
        <w:t xml:space="preserve">). Direct effects on population and affluence are rather difficult to equitably achieve and can be on a generational time scale too slow for the change that is required of humanity. As a result, more effort has been focused on the </w:t>
      </w:r>
      <w:r>
        <w:rPr>
          <w:i/>
          <w:iCs/>
        </w:rPr>
        <w:t>T</w:t>
      </w:r>
      <w:r>
        <w:t xml:space="preserve"> of </w:t>
      </w:r>
      <w:r>
        <w:rPr>
          <w:i/>
          <w:iCs/>
        </w:rPr>
        <w:t>IPAT</w:t>
      </w:r>
      <w:r>
        <w:t xml:space="preserve">. Some of these solutions represent the literal interpretation of </w:t>
      </w:r>
      <w:r>
        <w:rPr>
          <w:i/>
          <w:iCs/>
        </w:rPr>
        <w:t>T</w:t>
      </w:r>
      <w:r>
        <w:t xml:space="preserve"> for </w:t>
      </w:r>
      <w:r>
        <w:rPr>
          <w:i/>
          <w:iCs/>
        </w:rPr>
        <w:t>technology</w:t>
      </w:r>
      <w:r>
        <w:t>. Some propose geoengineering or carbon capture technologies as a solution to climate change. These technologies, however, are untested, expensive, and improbable on the timeline or scale needed to make a meaningful impact (</w:t>
      </w:r>
      <w:hyperlink w:anchor="ref-ipcc2014">
        <w:r>
          <w:rPr>
            <w:rStyle w:val="Hyperlink"/>
          </w:rPr>
          <w:t>IPCC, 2014, p. 89</w:t>
        </w:r>
      </w:hyperlink>
      <w:r>
        <w:t xml:space="preserve">; </w:t>
      </w:r>
      <w:hyperlink w:anchor="ref-mann2021">
        <w:r>
          <w:rPr>
            <w:rStyle w:val="Hyperlink"/>
          </w:rPr>
          <w:t>Mann, 2021, pp. 150–164</w:t>
        </w:r>
      </w:hyperlink>
      <w:r>
        <w:t>). In the case of geoengineering (injecting particles into the atmosphere to reflect the sun away from the Earth), the technology itself may put humanity in continued danger (</w:t>
      </w:r>
      <w:hyperlink w:anchor="ref-sovacool2021">
        <w:r>
          <w:rPr>
            <w:rStyle w:val="Hyperlink"/>
          </w:rPr>
          <w:t>Sovacool, 2021</w:t>
        </w:r>
      </w:hyperlink>
      <w:r>
        <w:t xml:space="preserve">). Nevertheless, there are technologically feasible solutions. </w:t>
      </w:r>
      <w:hyperlink w:anchor="ref-jacobson2017">
        <w:r>
          <w:rPr>
            <w:rStyle w:val="Hyperlink"/>
          </w:rPr>
          <w:t>Jacobson et al.</w:t>
        </w:r>
      </w:hyperlink>
      <w:r>
        <w:t xml:space="preserve"> (</w:t>
      </w:r>
      <w:hyperlink w:anchor="ref-jacobson2017">
        <w:r>
          <w:rPr>
            <w:rStyle w:val="Hyperlink"/>
          </w:rPr>
          <w:t>2017</w:t>
        </w:r>
      </w:hyperlink>
      <w:r>
        <w:t xml:space="preserve">, see also </w:t>
      </w:r>
      <w:hyperlink w:anchor="ref-jacobson2015">
        <w:r>
          <w:rPr>
            <w:rStyle w:val="Hyperlink"/>
          </w:rPr>
          <w:t>2015</w:t>
        </w:r>
      </w:hyperlink>
      <w:r>
        <w:t xml:space="preserve">) argue that we currently have the ability to meet all our energy needs with extant wind, water, and solar technologies, and could do so in an economically feasible way. Other proposed solutions of a non-technical nature have included the introduction of carbon pricing to facilitate a shift from </w:t>
      </w:r>
      <w:r>
        <w:lastRenderedPageBreak/>
        <w:t>fossil fuels (</w:t>
      </w:r>
      <w:hyperlink w:anchor="ref-green2021">
        <w:r>
          <w:rPr>
            <w:rStyle w:val="Hyperlink"/>
          </w:rPr>
          <w:t>Green, 2021</w:t>
        </w:r>
      </w:hyperlink>
      <w:r>
        <w:t>), ecological restoration (</w:t>
      </w:r>
      <w:hyperlink w:anchor="ref-bustamante2019">
        <w:r>
          <w:rPr>
            <w:rStyle w:val="Hyperlink"/>
          </w:rPr>
          <w:t>Bustamante et al., 2019</w:t>
        </w:r>
      </w:hyperlink>
      <w:r>
        <w:t>), political reform toward more democratic leadership (</w:t>
      </w:r>
      <w:hyperlink w:anchor="ref-wynes2021">
        <w:r>
          <w:rPr>
            <w:rStyle w:val="Hyperlink"/>
          </w:rPr>
          <w:t>Wynes et al., 2021</w:t>
        </w:r>
      </w:hyperlink>
      <w:r>
        <w:t>), and changes in individual behaviors (</w:t>
      </w:r>
      <w:hyperlink w:anchor="ref-sparkman2021">
        <w:r>
          <w:rPr>
            <w:rStyle w:val="Hyperlink"/>
          </w:rPr>
          <w:t>Sparkman et al., 2021</w:t>
        </w:r>
      </w:hyperlink>
      <w:r>
        <w:t xml:space="preserve">; </w:t>
      </w:r>
      <w:hyperlink w:anchor="ref-wynes2018">
        <w:r>
          <w:rPr>
            <w:rStyle w:val="Hyperlink"/>
          </w:rPr>
          <w:t>Wynes et al., 2018</w:t>
        </w:r>
      </w:hyperlink>
      <w:r>
        <w:t xml:space="preserve">; see also </w:t>
      </w:r>
      <w:hyperlink w:anchor="ref-ehrhardtmartinez2015">
        <w:r>
          <w:rPr>
            <w:rStyle w:val="Hyperlink"/>
          </w:rPr>
          <w:t>Ehrhardt-Martinez et al., 2015</w:t>
        </w:r>
      </w:hyperlink>
      <w:r>
        <w:t xml:space="preserve">; </w:t>
      </w:r>
      <w:hyperlink w:anchor="ref-nielsen2021">
        <w:r>
          <w:rPr>
            <w:rStyle w:val="Hyperlink"/>
          </w:rPr>
          <w:t>Nielsen et al., 2021</w:t>
        </w:r>
      </w:hyperlink>
      <w:r>
        <w:t xml:space="preserve">; </w:t>
      </w:r>
      <w:hyperlink w:anchor="X81cc3ecac12a22ffafe5a6c86cf380f61016181">
        <w:r>
          <w:rPr>
            <w:rStyle w:val="Hyperlink"/>
          </w:rPr>
          <w:t>United Nations Environment Programme, 2020</w:t>
        </w:r>
      </w:hyperlink>
      <w:r>
        <w:t>).</w:t>
      </w:r>
    </w:p>
    <w:p w14:paraId="7D18671F" w14:textId="77777777" w:rsidR="0033629A" w:rsidRDefault="004409CB">
      <w:pPr>
        <w:pStyle w:val="BodyText"/>
      </w:pPr>
      <w:r>
        <w:t>Another way for society to address climate change is through education, which is at the crux of this dissertation. Education may be a powerful tool through which individuals, communities, and nations can move society toward the changes needed to thwart 1.5°C of warming or worse. The vital role of education has been recognized by many. The United Nations Education, Scientific, and Cultural Organization (</w:t>
      </w:r>
      <w:hyperlink w:anchor="ref-unesco2015">
        <w:r>
          <w:rPr>
            <w:rStyle w:val="Hyperlink"/>
          </w:rPr>
          <w:t>UNESCO, 2015</w:t>
        </w:r>
      </w:hyperlink>
      <w:r>
        <w:t xml:space="preserve">) states: “Education plays a paramount role in raising awareness and promoting behavioural change for climate change mitigation and adaption. It helps increase the climate change mitigation and adaptation capacity of communities by enabling individuals to make informed decisions” (p. 2). In considering the massive challenge that climate change poses, </w:t>
      </w:r>
      <w:hyperlink w:anchor="ref-kagawa2010a">
        <w:r>
          <w:rPr>
            <w:rStyle w:val="Hyperlink"/>
          </w:rPr>
          <w:t>Kagawa &amp; Selby</w:t>
        </w:r>
      </w:hyperlink>
      <w:r>
        <w:t xml:space="preserve"> (</w:t>
      </w:r>
      <w:hyperlink w:anchor="ref-kagawa2010a">
        <w:r>
          <w:rPr>
            <w:rStyle w:val="Hyperlink"/>
          </w:rPr>
          <w:t>2010</w:t>
        </w:r>
      </w:hyperlink>
      <w:r>
        <w:t>) suggests that education can have a major role to play in deciding what direction human society moves:</w:t>
      </w:r>
    </w:p>
    <w:p w14:paraId="2C39090C" w14:textId="77777777" w:rsidR="0033629A" w:rsidRDefault="004409CB">
      <w:pPr>
        <w:pStyle w:val="BlockText"/>
      </w:pPr>
      <w:r>
        <w:t>At such a moment of enormous human challenge, formal, nonformal, and informal education have a potentially crucial role to play. In both school age and adult learning communities, learners of all ages can be invited to take up the challenge of understanding and rethinking the world, of shattering assumptions, shibboleths and the taken-for-granted, of deliberating where to go at this critical fork in the road. (p. 5)</w:t>
      </w:r>
    </w:p>
    <w:p w14:paraId="231CE3B5" w14:textId="77777777" w:rsidR="0033629A" w:rsidRDefault="004409CB">
      <w:pPr>
        <w:pStyle w:val="Heading2"/>
      </w:pPr>
      <w:bookmarkStart w:id="2" w:name="_Toc107939093"/>
      <w:bookmarkStart w:id="3" w:name="politics-and-climate-change"/>
      <w:r>
        <w:t>Politics and Climate Change</w:t>
      </w:r>
      <w:bookmarkEnd w:id="2"/>
    </w:p>
    <w:p w14:paraId="26586222" w14:textId="77777777" w:rsidR="0033629A" w:rsidRDefault="00710174">
      <w:pPr>
        <w:pStyle w:val="FirstParagraph"/>
      </w:pPr>
      <w:hyperlink w:anchor="ref-kagawa2010a">
        <w:r w:rsidR="004409CB">
          <w:rPr>
            <w:rStyle w:val="Hyperlink"/>
          </w:rPr>
          <w:t>Kagawa &amp; Selby</w:t>
        </w:r>
      </w:hyperlink>
      <w:r w:rsidR="004409CB">
        <w:t xml:space="preserve"> (</w:t>
      </w:r>
      <w:hyperlink w:anchor="ref-kagawa2010a">
        <w:r w:rsidR="004409CB">
          <w:rPr>
            <w:rStyle w:val="Hyperlink"/>
          </w:rPr>
          <w:t>2010</w:t>
        </w:r>
      </w:hyperlink>
      <w:r w:rsidR="004409CB">
        <w:t xml:space="preserve">) recognize that mitigating climate disaster requires a shift in knowledge and perspective. This also suggests there is something to shift away from and that education may be one way to do it. This closely echoes Thunberg’s (2018) statement that the </w:t>
      </w:r>
      <w:r w:rsidR="004409CB">
        <w:lastRenderedPageBreak/>
        <w:t>primary solution to climate change is to “wake up and change.” This implies something fundamental to the way one views the world needs to change. And, indeed, despite the overwhelming urgency for society to address climate change, it is the ideology that underlies society’s economic, political, and cultural institutions that remains a key impediment to effective mitigation.</w:t>
      </w:r>
    </w:p>
    <w:p w14:paraId="27B981DA" w14:textId="77777777" w:rsidR="0033629A" w:rsidRDefault="004409CB">
      <w:pPr>
        <w:pStyle w:val="BodyText"/>
      </w:pPr>
      <w:r>
        <w:t xml:space="preserve">Capitalist ideologies are deeply embedded in most modern societies. There are </w:t>
      </w:r>
      <w:proofErr w:type="gramStart"/>
      <w:r>
        <w:t>a number of</w:t>
      </w:r>
      <w:proofErr w:type="gramEnd"/>
      <w:r>
        <w:t xml:space="preserve"> socioeconomic concepts that explain how capitalism drives climate change. For example, the </w:t>
      </w:r>
      <w:r>
        <w:rPr>
          <w:i/>
          <w:iCs/>
        </w:rPr>
        <w:t>ecological treadmill of production</w:t>
      </w:r>
      <w:r>
        <w:t xml:space="preserve"> (</w:t>
      </w:r>
      <w:hyperlink w:anchor="ref-rosa2015">
        <w:r>
          <w:rPr>
            <w:rStyle w:val="Hyperlink"/>
          </w:rPr>
          <w:t>Rosa et al., 2015</w:t>
        </w:r>
      </w:hyperlink>
      <w:r>
        <w:t xml:space="preserve">; </w:t>
      </w:r>
      <w:hyperlink w:anchor="ref-schnaiberg2002a">
        <w:r>
          <w:rPr>
            <w:rStyle w:val="Hyperlink"/>
          </w:rPr>
          <w:t>Schnaiberg et al., 2002</w:t>
        </w:r>
      </w:hyperlink>
      <w:r>
        <w:t>) posits that capitalism creates a cycle of ever-increasing production and consumption, and, thus, ever-increasing ecological exploitation. Natural resources serve as inputs and pollution in the form of GHG emissions, air and water contaminants, and waste, often toxic, serve as outputs. As the treadmill, driven primarily by the need for growth, increases in speed, so too does the need for ecological inputs and destructive outputs (</w:t>
      </w:r>
      <w:hyperlink w:anchor="ref-schnaiberg2002a">
        <w:r>
          <w:rPr>
            <w:rStyle w:val="Hyperlink"/>
          </w:rPr>
          <w:t>Schnaiberg et al., 2002</w:t>
        </w:r>
      </w:hyperlink>
      <w:r>
        <w:t>).</w:t>
      </w:r>
    </w:p>
    <w:p w14:paraId="12B75753" w14:textId="77777777" w:rsidR="0033629A" w:rsidRDefault="004409CB">
      <w:pPr>
        <w:pStyle w:val="BodyText"/>
      </w:pPr>
      <w:r>
        <w:t>Research indicates that economic growth is a key economic factor driving climate change (</w:t>
      </w:r>
      <w:hyperlink w:anchor="ref-greiner2020a">
        <w:r>
          <w:rPr>
            <w:rStyle w:val="Hyperlink"/>
          </w:rPr>
          <w:t>Greiner &amp; McGee, 2020</w:t>
        </w:r>
      </w:hyperlink>
      <w:r>
        <w:t xml:space="preserve">; </w:t>
      </w:r>
      <w:hyperlink w:anchor="ref-jorgenson2014">
        <w:r>
          <w:rPr>
            <w:rStyle w:val="Hyperlink"/>
          </w:rPr>
          <w:t>Jorgenson, 2014</w:t>
        </w:r>
      </w:hyperlink>
      <w:r>
        <w:t>). While economic growth is often taken as a given, some research shows that at high levels, growth is associated with lower need satisfaction and higher energy usage (</w:t>
      </w:r>
      <w:hyperlink w:anchor="ref-vogel2021a">
        <w:r>
          <w:rPr>
            <w:rStyle w:val="Hyperlink"/>
          </w:rPr>
          <w:t>Vogel et al., 2021</w:t>
        </w:r>
      </w:hyperlink>
      <w:r>
        <w:t>). Environmental justice movements have sprung up around the globe, specifically addressing economic growth and environmental destruction (</w:t>
      </w:r>
      <w:hyperlink w:anchor="ref-demaria2013">
        <w:r>
          <w:rPr>
            <w:rStyle w:val="Hyperlink"/>
          </w:rPr>
          <w:t>Demaria et al., 2013</w:t>
        </w:r>
      </w:hyperlink>
      <w:r>
        <w:t xml:space="preserve">; </w:t>
      </w:r>
      <w:hyperlink w:anchor="ref-martinezalier2012">
        <w:r>
          <w:rPr>
            <w:rStyle w:val="Hyperlink"/>
          </w:rPr>
          <w:t>Martínez-Alier, 2012</w:t>
        </w:r>
      </w:hyperlink>
      <w:r>
        <w:t xml:space="preserve">). These movements question the ideology of capitalism and its fixation on economic growth (see also </w:t>
      </w:r>
      <w:hyperlink w:anchor="ref-kallis2020">
        <w:r>
          <w:rPr>
            <w:rStyle w:val="Hyperlink"/>
          </w:rPr>
          <w:t>Kallis, 2020</w:t>
        </w:r>
      </w:hyperlink>
      <w:r>
        <w:t xml:space="preserve">). These movements see capitalism and unfettered growth as antithetical to a sustainable future. </w:t>
      </w:r>
      <w:hyperlink w:anchor="X0f625f3c7954e6cbffe4373b223aecc1a6d9d9d">
        <w:r>
          <w:rPr>
            <w:rStyle w:val="Hyperlink"/>
          </w:rPr>
          <w:t>McCright</w:t>
        </w:r>
      </w:hyperlink>
      <w:r>
        <w:t xml:space="preserve"> (</w:t>
      </w:r>
      <w:hyperlink w:anchor="X0f625f3c7954e6cbffe4373b223aecc1a6d9d9d">
        <w:r>
          <w:rPr>
            <w:rStyle w:val="Hyperlink"/>
          </w:rPr>
          <w:t>2011</w:t>
        </w:r>
      </w:hyperlink>
      <w:r>
        <w:t>) argues that “dealing with climate change, even acknowledging its reality, poses a fundamental critique of our current industrial capitalist economic system still driven by fossil fuels” (p. 244). It is easy to see how addressing climate change threatens the ideology at the core of much of humanity.</w:t>
      </w:r>
    </w:p>
    <w:p w14:paraId="1E9DB770" w14:textId="77777777" w:rsidR="0033629A" w:rsidRDefault="004409CB">
      <w:pPr>
        <w:pStyle w:val="BodyText"/>
      </w:pPr>
      <w:r>
        <w:lastRenderedPageBreak/>
        <w:t xml:space="preserve">Though capitalism is a pervasive ideology, it does not often manifest itself as what one would consider a personal worldview or set of values. Instead, it appears rather strongly through various similar mechanisms that all underlie what can be referred to as </w:t>
      </w:r>
      <w:r>
        <w:rPr>
          <w:i/>
          <w:iCs/>
        </w:rPr>
        <w:t>political conservatism</w:t>
      </w:r>
      <w:r>
        <w:t>. For example, political conservatives have proclivities toward system justification, which is a view that the current system is legitimate and should be preserved (</w:t>
      </w:r>
      <w:hyperlink w:anchor="ref-vainio2011">
        <w:r>
          <w:rPr>
            <w:rStyle w:val="Hyperlink"/>
          </w:rPr>
          <w:t>Vainio &amp; Paloniemi, 2011</w:t>
        </w:r>
      </w:hyperlink>
      <w:r>
        <w:t>). This has also been referred to as a tendency to defend the “dominant social paradigm” and along with it “science and technology, support for economic growth, and faith in material abundance and future prosperity” (</w:t>
      </w:r>
      <w:hyperlink w:anchor="ref-mccright2010">
        <w:r>
          <w:rPr>
            <w:rStyle w:val="Hyperlink"/>
          </w:rPr>
          <w:t>McCright &amp; Dunlap, 2010, p. 107</w:t>
        </w:r>
      </w:hyperlink>
      <w:r>
        <w:t xml:space="preserve">). </w:t>
      </w:r>
      <w:proofErr w:type="gramStart"/>
      <w:r>
        <w:t>Both of these</w:t>
      </w:r>
      <w:proofErr w:type="gramEnd"/>
      <w:r>
        <w:t xml:space="preserve"> mechanisms inextricably support a capitalist economic system.</w:t>
      </w:r>
    </w:p>
    <w:p w14:paraId="23930494" w14:textId="77777777" w:rsidR="0033629A" w:rsidRDefault="004409CB">
      <w:pPr>
        <w:pStyle w:val="BodyText"/>
      </w:pPr>
      <w:r>
        <w:t>Political conservatism has been indicted as one of the major barriers to instituting effective climate change policies and changes (</w:t>
      </w:r>
      <w:hyperlink w:anchor="ref-hornsey2016">
        <w:r>
          <w:rPr>
            <w:rStyle w:val="Hyperlink"/>
          </w:rPr>
          <w:t>Hornsey et al., 2016</w:t>
        </w:r>
      </w:hyperlink>
      <w:r>
        <w:t xml:space="preserve">). </w:t>
      </w:r>
      <w:hyperlink w:anchor="X0f625f3c7954e6cbffe4373b223aecc1a6d9d9d">
        <w:r>
          <w:rPr>
            <w:rStyle w:val="Hyperlink"/>
          </w:rPr>
          <w:t>McCright</w:t>
        </w:r>
      </w:hyperlink>
      <w:r>
        <w:t xml:space="preserve"> (</w:t>
      </w:r>
      <w:hyperlink w:anchor="X0f625f3c7954e6cbffe4373b223aecc1a6d9d9d">
        <w:r>
          <w:rPr>
            <w:rStyle w:val="Hyperlink"/>
          </w:rPr>
          <w:t>2011</w:t>
        </w:r>
      </w:hyperlink>
      <w:r>
        <w:t>) argues that conservative ideology generally serves to protect the status quo and defend capitalism. Since climate change is a major consequence of capitalist activity, conservative ideology naturally opposes climate science and its solutions, either through denial, skepticism, or inactivism (</w:t>
      </w:r>
      <w:hyperlink w:anchor="ref-mann2021">
        <w:r>
          <w:rPr>
            <w:rStyle w:val="Hyperlink"/>
          </w:rPr>
          <w:t>Mann, 2021</w:t>
        </w:r>
      </w:hyperlink>
      <w:r>
        <w:t>). This leads to greater polarization of politicians and greater bias in the news media (</w:t>
      </w:r>
      <w:hyperlink w:anchor="ref-mccright2010">
        <w:r>
          <w:rPr>
            <w:rStyle w:val="Hyperlink"/>
          </w:rPr>
          <w:t>McCright &amp; Dunlap, 2010</w:t>
        </w:r>
      </w:hyperlink>
      <w:r>
        <w:t>), which in turn, solidifies political ideology. According to McCright (2011), such ideological divisions have “serious ramifications for our society’s collective definition of reality” (p. 246).</w:t>
      </w:r>
    </w:p>
    <w:p w14:paraId="5A2360C7" w14:textId="77777777" w:rsidR="0033629A" w:rsidRDefault="004409CB">
      <w:pPr>
        <w:pStyle w:val="BodyText"/>
      </w:pPr>
      <w:r>
        <w:t xml:space="preserve">Ideological divisions and polarization of politicians can lead to the stifling of mitigation efforts. Research by </w:t>
      </w:r>
      <w:hyperlink w:anchor="ref-fairbrother2019">
        <w:r>
          <w:rPr>
            <w:rStyle w:val="Hyperlink"/>
          </w:rPr>
          <w:t>Fairbrother et al.</w:t>
        </w:r>
      </w:hyperlink>
      <w:r>
        <w:t xml:space="preserve"> (</w:t>
      </w:r>
      <w:hyperlink w:anchor="ref-fairbrother2019">
        <w:r>
          <w:rPr>
            <w:rStyle w:val="Hyperlink"/>
          </w:rPr>
          <w:t>2019</w:t>
        </w:r>
      </w:hyperlink>
      <w:r>
        <w:t xml:space="preserve">) on European support for carbon taxes found that support was tied to political ideology and trust in one’s politicians. More conservative individuals were less likely to support carbon taxes. Likewise, those with lower trust in politicians or their government were also less likely to support carbon taxes. Political ideology can have a measured influence on the environment, as well. For example, states with </w:t>
      </w:r>
      <w:r>
        <w:lastRenderedPageBreak/>
        <w:t>strong environmentalism, as measured by state legislatures’ support of environmental legislation, emit fewer greenhouse gases (</w:t>
      </w:r>
      <w:hyperlink w:anchor="ref-dietz2015">
        <w:r>
          <w:rPr>
            <w:rStyle w:val="Hyperlink"/>
          </w:rPr>
          <w:t>Dietz et al., 2015</w:t>
        </w:r>
      </w:hyperlink>
      <w:r>
        <w:t>).</w:t>
      </w:r>
    </w:p>
    <w:p w14:paraId="1A44A948" w14:textId="77777777" w:rsidR="0033629A" w:rsidRDefault="004409CB">
      <w:pPr>
        <w:pStyle w:val="BodyText"/>
      </w:pPr>
      <w:r>
        <w:t>While skepticism about climate change is decreasing (</w:t>
      </w:r>
      <w:hyperlink w:anchor="ref-fairbrother2019">
        <w:r>
          <w:rPr>
            <w:rStyle w:val="Hyperlink"/>
          </w:rPr>
          <w:t>Fairbrother et al., 2019</w:t>
        </w:r>
      </w:hyperlink>
      <w:r>
        <w:t xml:space="preserve">; </w:t>
      </w:r>
      <w:hyperlink w:anchor="ref-hamilton2015">
        <w:r>
          <w:rPr>
            <w:rStyle w:val="Hyperlink"/>
          </w:rPr>
          <w:t>Hamilton et al., 2015</w:t>
        </w:r>
      </w:hyperlink>
      <w:r>
        <w:t xml:space="preserve">; </w:t>
      </w:r>
      <w:hyperlink w:anchor="ref-howe2015">
        <w:r>
          <w:rPr>
            <w:rStyle w:val="Hyperlink"/>
          </w:rPr>
          <w:t>Howe et al., 2015</w:t>
        </w:r>
      </w:hyperlink>
      <w:r>
        <w:t>), there is still a concerted effort to treat climate change as a partisan issue in need of discussion rather than action (</w:t>
      </w:r>
      <w:hyperlink w:anchor="ref-mann2021">
        <w:r>
          <w:rPr>
            <w:rStyle w:val="Hyperlink"/>
          </w:rPr>
          <w:t>Mann, 2021</w:t>
        </w:r>
      </w:hyperlink>
      <w:r>
        <w:t>). Although there is a strong scientific consensus regarding climate change (</w:t>
      </w:r>
      <w:hyperlink w:anchor="ref-lynas2021">
        <w:r>
          <w:rPr>
            <w:rStyle w:val="Hyperlink"/>
          </w:rPr>
          <w:t>Lynas et al., 2021</w:t>
        </w:r>
      </w:hyperlink>
      <w:r>
        <w:t xml:space="preserve">), </w:t>
      </w:r>
      <w:hyperlink w:anchor="X0f625f3c7954e6cbffe4373b223aecc1a6d9d9d">
        <w:r>
          <w:rPr>
            <w:rStyle w:val="Hyperlink"/>
          </w:rPr>
          <w:t>McCright</w:t>
        </w:r>
      </w:hyperlink>
      <w:r>
        <w:t xml:space="preserve"> (</w:t>
      </w:r>
      <w:hyperlink w:anchor="X0f625f3c7954e6cbffe4373b223aecc1a6d9d9d">
        <w:r>
          <w:rPr>
            <w:rStyle w:val="Hyperlink"/>
          </w:rPr>
          <w:t>2011</w:t>
        </w:r>
      </w:hyperlink>
      <w:r>
        <w:t>) points out that climate change is often treated as a debate in political and media arenas, and that this “represents a major victory by forces of [conservative ideology] in their efforts to prevent a regulatory policy to deal with climate change” (p. 245-246).</w:t>
      </w:r>
    </w:p>
    <w:p w14:paraId="571EF3B7" w14:textId="77777777" w:rsidR="0033629A" w:rsidRDefault="004409CB">
      <w:pPr>
        <w:pStyle w:val="Heading2"/>
      </w:pPr>
      <w:bookmarkStart w:id="4" w:name="_Toc107939094"/>
      <w:bookmarkStart w:id="5" w:name="the-role-of-education"/>
      <w:bookmarkEnd w:id="3"/>
      <w:r>
        <w:t>The Role of Education</w:t>
      </w:r>
      <w:bookmarkEnd w:id="4"/>
    </w:p>
    <w:p w14:paraId="59789509" w14:textId="77777777" w:rsidR="0033629A" w:rsidRDefault="004409CB">
      <w:pPr>
        <w:pStyle w:val="FirstParagraph"/>
      </w:pPr>
      <w:r>
        <w:t xml:space="preserve">The ideological dimensions of climate change discussed above imply what society needs to wake up from and change. Education can help facilitate this. Indeed </w:t>
      </w:r>
      <w:hyperlink w:anchor="ref-lambeir2008">
        <w:r>
          <w:rPr>
            <w:rStyle w:val="Hyperlink"/>
          </w:rPr>
          <w:t>Lambeir &amp; Ramaekers</w:t>
        </w:r>
      </w:hyperlink>
      <w:r>
        <w:t xml:space="preserve"> (</w:t>
      </w:r>
      <w:hyperlink w:anchor="ref-lambeir2008">
        <w:r>
          <w:rPr>
            <w:rStyle w:val="Hyperlink"/>
          </w:rPr>
          <w:t>2008</w:t>
        </w:r>
      </w:hyperlink>
      <w:r>
        <w:t xml:space="preserve">) argue that it is not possible to discuss a social problem without connecting it to education: “The very understanding of something as a social problem already implies the intention to solve it, and this solution already also implies, in the current climate, some kind of learning” (p. 445). </w:t>
      </w:r>
      <w:hyperlink w:anchor="ref-bridges2008">
        <w:r>
          <w:rPr>
            <w:rStyle w:val="Hyperlink"/>
          </w:rPr>
          <w:t>Bridges</w:t>
        </w:r>
      </w:hyperlink>
      <w:r>
        <w:t xml:space="preserve"> (</w:t>
      </w:r>
      <w:hyperlink w:anchor="ref-bridges2008">
        <w:r>
          <w:rPr>
            <w:rStyle w:val="Hyperlink"/>
          </w:rPr>
          <w:t>2008</w:t>
        </w:r>
      </w:hyperlink>
      <w:r>
        <w:t>) writes that “It is difficult to conceive of educational interventions disconnected from some sort of hope for social improvement” (p. 467). In fact, education has long been seen as an “effective instrument of social progress” (</w:t>
      </w:r>
      <w:hyperlink w:anchor="ref-dewey1897">
        <w:r>
          <w:rPr>
            <w:rStyle w:val="Hyperlink"/>
          </w:rPr>
          <w:t>Dewey, 1897</w:t>
        </w:r>
      </w:hyperlink>
      <w:r>
        <w:t xml:space="preserve">). As early as the 1900s, education had come to be conceived of </w:t>
      </w:r>
      <w:proofErr w:type="gramStart"/>
      <w:r>
        <w:t>as a way to</w:t>
      </w:r>
      <w:proofErr w:type="gramEnd"/>
      <w:r>
        <w:t xml:space="preserve"> “develop individuals for effectiveness in a social world” (</w:t>
      </w:r>
      <w:hyperlink w:anchor="ref-deboer1991">
        <w:r>
          <w:rPr>
            <w:rStyle w:val="Hyperlink"/>
          </w:rPr>
          <w:t>DeBoer, 1991, p. 67</w:t>
        </w:r>
      </w:hyperlink>
      <w:r>
        <w:t xml:space="preserve">). For instance, science education was thought of as invaluable </w:t>
      </w:r>
      <w:proofErr w:type="gramStart"/>
      <w:r>
        <w:t>in order to</w:t>
      </w:r>
      <w:proofErr w:type="gramEnd"/>
      <w:r>
        <w:t xml:space="preserve"> protect public health through sanitation and hygiene. Science education was later promoted </w:t>
      </w:r>
      <w:proofErr w:type="gramStart"/>
      <w:r>
        <w:t>as a means to</w:t>
      </w:r>
      <w:proofErr w:type="gramEnd"/>
      <w:r>
        <w:t xml:space="preserve"> boost national security and economic success (</w:t>
      </w:r>
      <w:hyperlink w:anchor="ref-deboer1991">
        <w:r>
          <w:rPr>
            <w:rStyle w:val="Hyperlink"/>
          </w:rPr>
          <w:t>DeBoer, 1991</w:t>
        </w:r>
      </w:hyperlink>
      <w:r>
        <w:t xml:space="preserve">; </w:t>
      </w:r>
      <w:hyperlink w:anchor="ref-sharma2012">
        <w:r>
          <w:rPr>
            <w:rStyle w:val="Hyperlink"/>
          </w:rPr>
          <w:t>A. Sharma, 2012</w:t>
        </w:r>
      </w:hyperlink>
      <w:r>
        <w:t>). Today, education among women is seen as a vital means to help slow population growth and improve life expectancy for themselves and their children (</w:t>
      </w:r>
      <w:hyperlink w:anchor="ref-baker2011">
        <w:r>
          <w:rPr>
            <w:rStyle w:val="Hyperlink"/>
          </w:rPr>
          <w:t>Baker et al., 2011</w:t>
        </w:r>
      </w:hyperlink>
      <w:r>
        <w:t xml:space="preserve">; </w:t>
      </w:r>
      <w:hyperlink w:anchor="ref-liu2020">
        <w:r>
          <w:rPr>
            <w:rStyle w:val="Hyperlink"/>
          </w:rPr>
          <w:t>Liu &amp; Raftery, 2020</w:t>
        </w:r>
      </w:hyperlink>
      <w:r>
        <w:t>).</w:t>
      </w:r>
    </w:p>
    <w:p w14:paraId="01FA6725" w14:textId="77777777" w:rsidR="0033629A" w:rsidRDefault="004409CB">
      <w:pPr>
        <w:pStyle w:val="BodyText"/>
      </w:pPr>
      <w:r>
        <w:lastRenderedPageBreak/>
        <w:t xml:space="preserve">As a social institution with the potential to address social issues, it should come as no surprise that education should play an important role in lessening the effects of the climate crisis by fostering change at individual, community, and national levels. This is why </w:t>
      </w:r>
      <w:hyperlink w:anchor="ref-unesco2015">
        <w:r>
          <w:rPr>
            <w:rStyle w:val="Hyperlink"/>
          </w:rPr>
          <w:t>UNESCO</w:t>
        </w:r>
      </w:hyperlink>
      <w:r>
        <w:t xml:space="preserve"> (</w:t>
      </w:r>
      <w:hyperlink w:anchor="ref-unesco2015">
        <w:r>
          <w:rPr>
            <w:rStyle w:val="Hyperlink"/>
          </w:rPr>
          <w:t>2015</w:t>
        </w:r>
      </w:hyperlink>
      <w:r>
        <w:t>) considers education “paramount” in fighting climate change and why it is included in numerous United Nations agreements, including the Paris Agreement (</w:t>
      </w:r>
      <w:hyperlink w:anchor="ref-reid2019">
        <w:r>
          <w:rPr>
            <w:rStyle w:val="Hyperlink"/>
          </w:rPr>
          <w:t>Reid, 2019</w:t>
        </w:r>
      </w:hyperlink>
      <w:r>
        <w:t>). Education among adolescents may be especially poignant because their worldviews have not yet solidified, they can influence household behavior and values (</w:t>
      </w:r>
      <w:hyperlink w:anchor="ref-ballantyne1998">
        <w:r>
          <w:rPr>
            <w:rStyle w:val="Hyperlink"/>
          </w:rPr>
          <w:t>Ballantyne et al., 1998</w:t>
        </w:r>
      </w:hyperlink>
      <w:r>
        <w:t xml:space="preserve">; </w:t>
      </w:r>
      <w:hyperlink w:anchor="ref-lawsonChildrenCanFoster2019">
        <w:r>
          <w:rPr>
            <w:rStyle w:val="Hyperlink"/>
          </w:rPr>
          <w:t>Lawson et al., 2019</w:t>
        </w:r>
      </w:hyperlink>
      <w:r>
        <w:t xml:space="preserve">, </w:t>
      </w:r>
      <w:hyperlink w:anchor="ref-lawson2018">
        <w:r>
          <w:rPr>
            <w:rStyle w:val="Hyperlink"/>
          </w:rPr>
          <w:t>2018</w:t>
        </w:r>
      </w:hyperlink>
      <w:r>
        <w:t xml:space="preserve">; </w:t>
      </w:r>
      <w:hyperlink w:anchor="ref-maddox2011">
        <w:r>
          <w:rPr>
            <w:rStyle w:val="Hyperlink"/>
          </w:rPr>
          <w:t>Maddox et al., 2011</w:t>
        </w:r>
      </w:hyperlink>
      <w:r>
        <w:t>), and they will make “behavioural choices that will structure the rest of their lives, and must grow up accustomed to a lifestyle” which aims to meet proposed climate targets (</w:t>
      </w:r>
      <w:hyperlink w:anchor="ref-wynes2017">
        <w:r>
          <w:rPr>
            <w:rStyle w:val="Hyperlink"/>
          </w:rPr>
          <w:t>Wynes &amp; Nicholas, 2017, p. 2</w:t>
        </w:r>
      </w:hyperlink>
      <w:r>
        <w:t>).</w:t>
      </w:r>
    </w:p>
    <w:p w14:paraId="7E53A6FE" w14:textId="77777777" w:rsidR="0033629A" w:rsidRDefault="004409CB">
      <w:pPr>
        <w:pStyle w:val="BodyText"/>
      </w:pPr>
      <w:r>
        <w:t xml:space="preserve">Science education </w:t>
      </w:r>
      <w:proofErr w:type="gramStart"/>
      <w:r>
        <w:t>in particular will</w:t>
      </w:r>
      <w:proofErr w:type="gramEnd"/>
      <w:r>
        <w:t xml:space="preserve"> be important in advancing these changes. According to </w:t>
      </w:r>
      <w:hyperlink w:anchor="ref-sharma2012">
        <w:r>
          <w:rPr>
            <w:rStyle w:val="Hyperlink"/>
          </w:rPr>
          <w:t>A. Sharma</w:t>
        </w:r>
      </w:hyperlink>
      <w:r>
        <w:t xml:space="preserve"> (</w:t>
      </w:r>
      <w:hyperlink w:anchor="ref-sharma2012">
        <w:r>
          <w:rPr>
            <w:rStyle w:val="Hyperlink"/>
          </w:rPr>
          <w:t>2012</w:t>
        </w:r>
      </w:hyperlink>
      <w:r>
        <w:t>), science education “should prepare students to play an active role as citizens in making the state as well as the society responsive to the issue in ways that are sustainable and evidence-based” (p. 48). Scientific literacy, which is the outcome of science education, therefore, gives humanity the tools it needs for understanding climate change and its solutions (</w:t>
      </w:r>
      <w:hyperlink w:anchor="ref-mccaffrey2012">
        <w:r>
          <w:rPr>
            <w:rStyle w:val="Hyperlink"/>
          </w:rPr>
          <w:t>McCaffrey &amp; Rosenau, 2012</w:t>
        </w:r>
      </w:hyperlink>
      <w:r>
        <w:t>).</w:t>
      </w:r>
    </w:p>
    <w:p w14:paraId="6A3A5316" w14:textId="77777777" w:rsidR="0033629A" w:rsidRDefault="004409CB">
      <w:pPr>
        <w:pStyle w:val="BodyText"/>
      </w:pPr>
      <w:r>
        <w:t>Science education can make important shifts in knowledge. However, it can also cause important shifts in values, beliefs, and behavior. For example, science education has been found to positively influence climate change attitudes, even protecting against the effects of political orientation (</w:t>
      </w:r>
      <w:hyperlink w:anchor="ref-list2020">
        <w:r>
          <w:rPr>
            <w:rStyle w:val="Hyperlink"/>
          </w:rPr>
          <w:t>List et al., 2020</w:t>
        </w:r>
      </w:hyperlink>
      <w:r>
        <w:t xml:space="preserve">; </w:t>
      </w:r>
      <w:hyperlink w:anchor="ref-stevenson2014">
        <w:r>
          <w:rPr>
            <w:rStyle w:val="Hyperlink"/>
          </w:rPr>
          <w:t>K. T. Stevenson et al., 2014</w:t>
        </w:r>
      </w:hyperlink>
      <w:r>
        <w:t xml:space="preserve">; </w:t>
      </w:r>
      <w:hyperlink w:anchor="ref-vanderlinden2018">
        <w:r>
          <w:rPr>
            <w:rStyle w:val="Hyperlink"/>
          </w:rPr>
          <w:t>van der Linden et al., 2018</w:t>
        </w:r>
      </w:hyperlink>
      <w:r>
        <w:t>). Research has shown that science education can also promote positive environmental behaviors among adolescents (</w:t>
      </w:r>
      <w:hyperlink w:anchor="ref-list2020">
        <w:r>
          <w:rPr>
            <w:rStyle w:val="Hyperlink"/>
          </w:rPr>
          <w:t>List et al., 2020</w:t>
        </w:r>
      </w:hyperlink>
      <w:r>
        <w:t xml:space="preserve">; </w:t>
      </w:r>
      <w:hyperlink w:anchor="ref-stevenson2018">
        <w:r>
          <w:rPr>
            <w:rStyle w:val="Hyperlink"/>
          </w:rPr>
          <w:t>K. T. Stevenson et al., 2018</w:t>
        </w:r>
      </w:hyperlink>
      <w:r>
        <w:t>). Education of youth can also affect parents’ climate change beliefs through intergenerational learning (</w:t>
      </w:r>
      <w:hyperlink w:anchor="ref-lawsonChildrenCanFoster2019">
        <w:r>
          <w:rPr>
            <w:rStyle w:val="Hyperlink"/>
          </w:rPr>
          <w:t>Lawson et al., 2019</w:t>
        </w:r>
      </w:hyperlink>
      <w:r>
        <w:t xml:space="preserve">, </w:t>
      </w:r>
      <w:hyperlink w:anchor="ref-lawson2018">
        <w:r>
          <w:rPr>
            <w:rStyle w:val="Hyperlink"/>
          </w:rPr>
          <w:t>2018</w:t>
        </w:r>
      </w:hyperlink>
      <w:r>
        <w:t xml:space="preserve">). Micro-level changes such as these have been pointed to as </w:t>
      </w:r>
      <w:r>
        <w:lastRenderedPageBreak/>
        <w:t>potential catalysts of broader, macro-level changes needed to address a global issue (</w:t>
      </w:r>
      <w:hyperlink w:anchor="ref-ehrhardtmartinez2015">
        <w:r>
          <w:rPr>
            <w:rStyle w:val="Hyperlink"/>
          </w:rPr>
          <w:t>Ehrhardt-Martinez et al., 2015</w:t>
        </w:r>
      </w:hyperlink>
      <w:r>
        <w:t xml:space="preserve">; </w:t>
      </w:r>
      <w:hyperlink w:anchor="X81cc3ecac12a22ffafe5a6c86cf380f61016181">
        <w:r>
          <w:rPr>
            <w:rStyle w:val="Hyperlink"/>
          </w:rPr>
          <w:t>United Nations Environment Programme, 2020, pp. 62–75</w:t>
        </w:r>
      </w:hyperlink>
      <w:r>
        <w:t>).</w:t>
      </w:r>
    </w:p>
    <w:p w14:paraId="5A926AA7" w14:textId="77777777" w:rsidR="0033629A" w:rsidRDefault="004409CB">
      <w:pPr>
        <w:pStyle w:val="BodyText"/>
      </w:pPr>
      <w:r>
        <w:t>The United Nations identified education as a key strategy for climate action many decades ago in 1992 (</w:t>
      </w:r>
      <w:hyperlink w:anchor="ref-reid2019">
        <w:r>
          <w:rPr>
            <w:rStyle w:val="Hyperlink"/>
          </w:rPr>
          <w:t>Reid, 2019</w:t>
        </w:r>
      </w:hyperlink>
      <w:r>
        <w:t>). It is now 2021. Climate change education has been integrated into science curricula internationally for quite some time, heralded by such efforts as the UN’s Education for Sustainable Development program, among others. With all this effort and the urgency of the climate crisis itself, there needs to be some assessment of education’s effect on climate change. Only a handful of studies, however, have assessed the impact of education on climate change. The scant literature on this topic has considered education in terms of adult literacy (</w:t>
      </w:r>
      <w:hyperlink w:anchor="ref-jorgenson2003">
        <w:r>
          <w:rPr>
            <w:rStyle w:val="Hyperlink"/>
          </w:rPr>
          <w:t>Jorgenson, 2003</w:t>
        </w:r>
      </w:hyperlink>
      <w:r>
        <w:t>), secondary school enrollment (</w:t>
      </w:r>
      <w:hyperlink w:anchor="ref-jorgenson2005">
        <w:r>
          <w:rPr>
            <w:rStyle w:val="Hyperlink"/>
          </w:rPr>
          <w:t>Jorgenson, 2005</w:t>
        </w:r>
      </w:hyperlink>
      <w:r>
        <w:t>), educational spending (</w:t>
      </w:r>
      <w:hyperlink w:anchor="ref-mayer2013">
        <w:r>
          <w:rPr>
            <w:rStyle w:val="Hyperlink"/>
          </w:rPr>
          <w:t>Mayer, 2013</w:t>
        </w:r>
      </w:hyperlink>
      <w:r>
        <w:t>), college education levels (</w:t>
      </w:r>
      <w:hyperlink w:anchor="ref-jorgenson2018">
        <w:r>
          <w:rPr>
            <w:rStyle w:val="Hyperlink"/>
          </w:rPr>
          <w:t>Jorgenson et al., 2018</w:t>
        </w:r>
      </w:hyperlink>
      <w:r>
        <w:t>), and years of schooling (</w:t>
      </w:r>
      <w:hyperlink w:anchor="ref-ergas2021">
        <w:r>
          <w:rPr>
            <w:rStyle w:val="Hyperlink"/>
          </w:rPr>
          <w:t>Ergas et al., 2021</w:t>
        </w:r>
      </w:hyperlink>
      <w:r>
        <w:t xml:space="preserve">; </w:t>
      </w:r>
      <w:hyperlink w:anchor="ref-kelly2020">
        <w:r>
          <w:rPr>
            <w:rStyle w:val="Hyperlink"/>
          </w:rPr>
          <w:t>Kelly, 2020</w:t>
        </w:r>
      </w:hyperlink>
      <w:r>
        <w:t>). No prior research exists that examines educational performance, especially in science, and its possible broader impact on GHG emissions.</w:t>
      </w:r>
    </w:p>
    <w:p w14:paraId="3E126594" w14:textId="77777777" w:rsidR="0033629A" w:rsidRDefault="004409CB">
      <w:pPr>
        <w:pStyle w:val="Heading2"/>
      </w:pPr>
      <w:bookmarkStart w:id="6" w:name="_Toc107939095"/>
      <w:bookmarkStart w:id="7" w:name="purpose-of-the-study"/>
      <w:bookmarkEnd w:id="5"/>
      <w:r>
        <w:t>Purpose of the Study</w:t>
      </w:r>
      <w:bookmarkEnd w:id="6"/>
    </w:p>
    <w:p w14:paraId="62CFC198" w14:textId="77777777" w:rsidR="0033629A" w:rsidRDefault="004409CB">
      <w:pPr>
        <w:pStyle w:val="FirstParagraph"/>
      </w:pPr>
      <w:r>
        <w:t xml:space="preserve">The purpose of this dissertation is to assess the extent to which scientific literacy, as the primary outcome of science education, may have a measurable effect on a nation’s carbon emissions. This research would be the first to link trends in scientific literacy with such macro-level environmental impacts. The following research questions will be addressed: 1) what </w:t>
      </w:r>
      <w:proofErr w:type="gramStart"/>
      <w:r>
        <w:t>is the relationship between changes in scientific literacy and per-capita CO</w:t>
      </w:r>
      <w:r>
        <w:rPr>
          <w:vertAlign w:val="subscript"/>
        </w:rPr>
        <w:t>2</w:t>
      </w:r>
      <w:r>
        <w:t xml:space="preserve"> emissions</w:t>
      </w:r>
      <w:proofErr w:type="gramEnd"/>
      <w:r>
        <w:t xml:space="preserve">; 2) does the relationship differ when examining changes in male and female scientific literacy; and 3) do these relationships vary for developed and less-developed countries. To answer these questions, the research will analyze scientific literacy scores as measured by the Programme for International Student Assessment (PISA) and national carbon emissions over a twelve-year period. These findings will address a large gap in the research on climate </w:t>
      </w:r>
      <w:r>
        <w:lastRenderedPageBreak/>
        <w:t>change impacts of education. More importantly, this dissertation may bolster support of science education as an effective means of mitigating climate change. This increased focus on fostering scientific literacy in adolescents can shift national attitudes, behaviors, and policy support, necessary for furthering societal change to help mitigate climate change.</w:t>
      </w:r>
    </w:p>
    <w:p w14:paraId="5742D476" w14:textId="77777777" w:rsidR="0033629A" w:rsidRDefault="004409CB">
      <w:pPr>
        <w:pStyle w:val="BodyText"/>
      </w:pPr>
      <w:r>
        <w:br w:type="page"/>
      </w:r>
    </w:p>
    <w:p w14:paraId="39DD9074" w14:textId="77777777" w:rsidR="0033629A" w:rsidRDefault="004409CB">
      <w:pPr>
        <w:pStyle w:val="Heading1"/>
      </w:pPr>
      <w:bookmarkStart w:id="8" w:name="_Toc107939096"/>
      <w:bookmarkStart w:id="9" w:name="chapter-two-literature-review"/>
      <w:bookmarkEnd w:id="1"/>
      <w:bookmarkEnd w:id="7"/>
      <w:r>
        <w:lastRenderedPageBreak/>
        <w:t>CHAPTER TWO: Literature Review</w:t>
      </w:r>
      <w:bookmarkEnd w:id="8"/>
    </w:p>
    <w:p w14:paraId="03FB86F7" w14:textId="77777777" w:rsidR="0033629A" w:rsidRDefault="004409CB">
      <w:pPr>
        <w:pStyle w:val="FirstParagraph"/>
      </w:pPr>
      <w:r>
        <w:t>Education has long been considered a crucial element of social transformation (</w:t>
      </w:r>
      <w:hyperlink w:anchor="ref-desjardins2015a">
        <w:r>
          <w:rPr>
            <w:rStyle w:val="Hyperlink"/>
          </w:rPr>
          <w:t>R. Desjardins, 2015</w:t>
        </w:r>
      </w:hyperlink>
      <w:r>
        <w:t>), whether that be as part of the modernization process or more acutely as a way to ameliorate social issues (</w:t>
      </w:r>
      <w:hyperlink w:anchor="ref-deboer1991">
        <w:r>
          <w:rPr>
            <w:rStyle w:val="Hyperlink"/>
          </w:rPr>
          <w:t>DeBoer, 1991</w:t>
        </w:r>
      </w:hyperlink>
      <w:r>
        <w:t xml:space="preserve">; </w:t>
      </w:r>
      <w:hyperlink w:anchor="ref-liu2020">
        <w:r>
          <w:rPr>
            <w:rStyle w:val="Hyperlink"/>
          </w:rPr>
          <w:t>Liu &amp; Raftery, 2020</w:t>
        </w:r>
      </w:hyperlink>
      <w:r>
        <w:t xml:space="preserve">). The following literature review first presents a conceptual framework that outlines how science </w:t>
      </w:r>
      <w:proofErr w:type="gramStart"/>
      <w:r>
        <w:t>education</w:t>
      </w:r>
      <w:proofErr w:type="gramEnd"/>
      <w:r>
        <w:t xml:space="preserve"> and its derivatives may promote enough change at micro- and macro-levels to have a tangible impact on national carbon emissions.</w:t>
      </w:r>
    </w:p>
    <w:p w14:paraId="63755685" w14:textId="77777777" w:rsidR="0033629A" w:rsidRDefault="004409CB">
      <w:pPr>
        <w:pStyle w:val="BodyText"/>
      </w:pPr>
      <w:r>
        <w:t>Following the presentation of a conceptual model, the review summarizes interrelated yet distinct areas of literature relevant to the present research. It is divided into two broad sections, reflective of the conceptual mechanisms that drive this research: micro-level effects and macro-level effects. Because climate change and education are both social phenomena arising from complex relationships that span individuals, communities, nations, and the entire globe, these sections are organized to reflect these phenomena’s nested natures (</w:t>
      </w:r>
      <w:hyperlink w:anchor="ref-ehrhardtmartinez2015">
        <w:r>
          <w:rPr>
            <w:rStyle w:val="Hyperlink"/>
          </w:rPr>
          <w:t>Ehrhardt-Martinez et al., 2015</w:t>
        </w:r>
      </w:hyperlink>
      <w:r>
        <w:t>). Research is first examined at the individual, or micro, level, drawing heavily on research in education and psychology. This section begins by discussing the PISA exam, science education, and the role education plays in affecting students’ environmental awareness and attitudes. It then further examines education and pro-environmental behavior. The second section focuses on the macro-level, reviewing literature related to the broader national or cross-national impacts of education, with literature coming mostly from sociology.</w:t>
      </w:r>
    </w:p>
    <w:p w14:paraId="27850D47" w14:textId="77777777" w:rsidR="0033629A" w:rsidRDefault="004409CB">
      <w:pPr>
        <w:pStyle w:val="Heading2"/>
      </w:pPr>
      <w:bookmarkStart w:id="10" w:name="_Toc107939097"/>
      <w:bookmarkStart w:id="11" w:name="conceptual-framework"/>
      <w:r>
        <w:t>Conceptual Framework</w:t>
      </w:r>
      <w:bookmarkEnd w:id="10"/>
    </w:p>
    <w:p w14:paraId="365B11EB" w14:textId="77777777" w:rsidR="0033629A" w:rsidRDefault="004409CB">
      <w:pPr>
        <w:pStyle w:val="FirstParagraph"/>
      </w:pPr>
      <w:r>
        <w:t xml:space="preserve">The conceptual framework for explaining science education’s impact on climate change is primarily driven by human capital theory (HCT) and the theory of planned behavior (TPB). HCT views individuals as sources of “capital,” particularly their knowledge and skills. Within an HCT framework, this capital is seen as the “key means by which both the </w:t>
      </w:r>
      <w:r>
        <w:lastRenderedPageBreak/>
        <w:t>individual accrues material advantage and by which the economy as a whole progresses” (</w:t>
      </w:r>
      <w:hyperlink w:anchor="ref-gillies2017">
        <w:r>
          <w:rPr>
            <w:rStyle w:val="Hyperlink"/>
          </w:rPr>
          <w:t>Gillies, 2017, p. 1053</w:t>
        </w:r>
      </w:hyperlink>
      <w:r>
        <w:t>). Thus, HCT places great emphasis on education.</w:t>
      </w:r>
    </w:p>
    <w:p w14:paraId="5ECB35E4" w14:textId="77777777" w:rsidR="0033629A" w:rsidRDefault="004409CB">
      <w:pPr>
        <w:pStyle w:val="BodyText"/>
      </w:pPr>
      <w:r>
        <w:t>HCT posits that educational achievement leads to improved economic and social outcomes. It views education as instrumental and linear, with investments in learning made and social transformation returned (</w:t>
      </w:r>
      <w:hyperlink w:anchor="ref-gillies2017">
        <w:r>
          <w:rPr>
            <w:rStyle w:val="Hyperlink"/>
          </w:rPr>
          <w:t>Gillies, 2017</w:t>
        </w:r>
      </w:hyperlink>
      <w:r>
        <w:t xml:space="preserve">). The evidence for this model is strong. Historically, increases in education have been connected to </w:t>
      </w:r>
      <w:proofErr w:type="gramStart"/>
      <w:r>
        <w:t>a number of</w:t>
      </w:r>
      <w:proofErr w:type="gramEnd"/>
      <w:r>
        <w:t xml:space="preserve"> positive societal changes. These include increased economic growth (</w:t>
      </w:r>
      <w:hyperlink w:anchor="ref-hanushek2010">
        <w:r>
          <w:rPr>
            <w:rStyle w:val="Hyperlink"/>
          </w:rPr>
          <w:t>Hanushek, 2010</w:t>
        </w:r>
      </w:hyperlink>
      <w:r>
        <w:t>), improved population health outcomes (</w:t>
      </w:r>
      <w:hyperlink w:anchor="ref-baker2011">
        <w:r>
          <w:rPr>
            <w:rStyle w:val="Hyperlink"/>
          </w:rPr>
          <w:t>Baker et al., 2011</w:t>
        </w:r>
      </w:hyperlink>
      <w:r>
        <w:t>), and increased democracy (</w:t>
      </w:r>
      <w:hyperlink w:anchor="ref-aleman2015">
        <w:r>
          <w:rPr>
            <w:rStyle w:val="Hyperlink"/>
          </w:rPr>
          <w:t>Aleman &amp; Kim, 2015</w:t>
        </w:r>
      </w:hyperlink>
      <w:r>
        <w:t>), among others.</w:t>
      </w:r>
    </w:p>
    <w:p w14:paraId="34DF5DA5" w14:textId="77777777" w:rsidR="0033629A" w:rsidRDefault="004409CB">
      <w:pPr>
        <w:pStyle w:val="BodyText"/>
      </w:pPr>
      <w:r>
        <w:t>It is possible to view climate change through an HCT lens and see numerous avenues for mitigation. For example, there has been research that finds human capital is linked to renewable energy consumption and reduced carbon emissions (</w:t>
      </w:r>
      <w:hyperlink w:anchor="ref-bano2018">
        <w:r>
          <w:rPr>
            <w:rStyle w:val="Hyperlink"/>
          </w:rPr>
          <w:t>Bano et al., 2018</w:t>
        </w:r>
      </w:hyperlink>
      <w:r>
        <w:t>). The World Bank explicitly recognizes education’s potential impact on the climate crisis via a human capital framework, arguing not only that education in general is important, but also science education:</w:t>
      </w:r>
    </w:p>
    <w:p w14:paraId="78185968" w14:textId="77777777" w:rsidR="0033629A" w:rsidRDefault="004409CB">
      <w:pPr>
        <w:pStyle w:val="BlockText"/>
      </w:pPr>
      <w:r>
        <w:t>Education is an essential element of the global response to climate change. It can help people understand and address the impact of global warming; it also boosts their adaptive capacity and thus reduces vulnerability. STEM subjects in secondary education can help arm students with the skills to tackle climate change issues both now and in the future, while cutting-edge research in universities will be critical in delivering the climate-smart solutions of tomorrow. (</w:t>
      </w:r>
      <w:hyperlink w:anchor="ref-monslave2020">
        <w:r>
          <w:rPr>
            <w:rStyle w:val="Hyperlink"/>
          </w:rPr>
          <w:t>Monslave &amp; Watsa, 2020, May 12</w:t>
        </w:r>
      </w:hyperlink>
      <w:r>
        <w:t>)</w:t>
      </w:r>
    </w:p>
    <w:p w14:paraId="592ADC26" w14:textId="77777777" w:rsidR="0033629A" w:rsidRDefault="004409CB">
      <w:pPr>
        <w:pStyle w:val="FirstParagraph"/>
      </w:pPr>
      <w:r>
        <w:t xml:space="preserve">While HCT is a useful explanatory framework for understanding the macro-level effects on society, it is not without its criticisms. HCT is seen as reductionist in nature, </w:t>
      </w:r>
      <w:r>
        <w:lastRenderedPageBreak/>
        <w:t xml:space="preserve">reducing education to only its economic worth, and humans to only what they </w:t>
      </w:r>
      <w:proofErr w:type="gramStart"/>
      <w:r>
        <w:t>are able to</w:t>
      </w:r>
      <w:proofErr w:type="gramEnd"/>
      <w:r>
        <w:t xml:space="preserve"> achieve for the economy through this education (</w:t>
      </w:r>
      <w:hyperlink w:anchor="ref-gillies2017">
        <w:r>
          <w:rPr>
            <w:rStyle w:val="Hyperlink"/>
          </w:rPr>
          <w:t>Gillies, 2017</w:t>
        </w:r>
      </w:hyperlink>
      <w:r>
        <w:t>). Such views are certainly myopic. Furthermore, a focus on economic growth may not be in line with climate change mitigation. As discussed in Chapter 1, unfettered economic growth wrought by capitalism onto the natural environment is a major driver of climate change. Therefore, education in the present research is recognized as a diverse human experience influenced by varied social, economic, cultural, and political contexts. And, rather than seeing education as an economic input, it is acknowledged that education can exist separate from economics, with learning occurring from interactions with teachers, family, peers, and media.</w:t>
      </w:r>
    </w:p>
    <w:p w14:paraId="5C4C70E6" w14:textId="77777777" w:rsidR="0033629A" w:rsidRDefault="004409CB">
      <w:pPr>
        <w:pStyle w:val="BodyText"/>
      </w:pPr>
      <w:r>
        <w:t>Additionally, while the benefits of education are interpreted through a traditional HCT lens as a “public good,” this good is not necessarily seen in economic terms. Rather it is recast in terms of the fostering of sustainable living conditions at the societal level, with an emphasis on reducing greenhouse gas emissions. This falls in line with the notion that “returns on education investment are both personal and social,” (</w:t>
      </w:r>
      <w:hyperlink w:anchor="ref-gillies2017">
        <w:r>
          <w:rPr>
            <w:rStyle w:val="Hyperlink"/>
          </w:rPr>
          <w:t>Gillies, 2017, p. 1055</w:t>
        </w:r>
      </w:hyperlink>
      <w:r>
        <w:t>), as sustainable outcomes that mitigate climate change affect both.</w:t>
      </w:r>
    </w:p>
    <w:p w14:paraId="7B941240" w14:textId="77777777" w:rsidR="0033629A" w:rsidRDefault="004409CB">
      <w:pPr>
        <w:pStyle w:val="BodyText"/>
      </w:pPr>
      <w:r>
        <w:t>An additional criticism is that the model of social change HCT offers is too simplistic. HCT presents a linear path from individual educational attainment to macro-level societal effects without a satisfactory mechanism that explains how such change occurs. However, since its inception, HCT has been associated with rational choice theory (</w:t>
      </w:r>
      <w:hyperlink w:anchor="ref-becker1993">
        <w:r>
          <w:rPr>
            <w:rStyle w:val="Hyperlink"/>
          </w:rPr>
          <w:t>Becker, 1993</w:t>
        </w:r>
      </w:hyperlink>
      <w:r>
        <w:t xml:space="preserve">; </w:t>
      </w:r>
      <w:hyperlink w:anchor="ref-gillies2017">
        <w:r>
          <w:rPr>
            <w:rStyle w:val="Hyperlink"/>
          </w:rPr>
          <w:t>Gillies, 2017</w:t>
        </w:r>
      </w:hyperlink>
      <w:r>
        <w:t>). Rational choice theory essentially states that an individual makes decisions based on their preferences and beliefs (</w:t>
      </w:r>
      <w:hyperlink w:anchor="ref-satz1994">
        <w:r>
          <w:rPr>
            <w:rStyle w:val="Hyperlink"/>
          </w:rPr>
          <w:t>Satz &amp; Ferejohn, 1994</w:t>
        </w:r>
      </w:hyperlink>
      <w:r>
        <w:t>). A more modern version of this idea is the theory of planned action, which offers a robust explanatory mechanism to describe how micro-level changes have macro-level effects.</w:t>
      </w:r>
    </w:p>
    <w:p w14:paraId="7A8D1443" w14:textId="77777777" w:rsidR="0033629A" w:rsidRDefault="004409CB">
      <w:r>
        <w:br w:type="page"/>
      </w:r>
    </w:p>
    <w:p w14:paraId="114F47A7" w14:textId="77777777" w:rsidR="0033629A" w:rsidRDefault="004409CB" w:rsidP="008333B2">
      <w:pPr>
        <w:pStyle w:val="Figure"/>
        <w:ind w:firstLine="720"/>
        <w:jc w:val="center"/>
      </w:pPr>
      <w:r>
        <w:rPr>
          <w:noProof/>
        </w:rPr>
        <w:lastRenderedPageBreak/>
        <w:drawing>
          <wp:inline distT="0" distB="0" distL="0" distR="0" wp14:anchorId="0B719352" wp14:editId="580B0F98">
            <wp:extent cx="5664461" cy="37734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5"/>
                    <a:srcRect/>
                    <a:stretch>
                      <a:fillRect/>
                    </a:stretch>
                  </pic:blipFill>
                  <pic:spPr bwMode="auto">
                    <a:xfrm>
                      <a:off x="0" y="0"/>
                      <a:ext cx="78796" cy="52490"/>
                    </a:xfrm>
                    <a:prstGeom prst="rect">
                      <a:avLst/>
                    </a:prstGeom>
                    <a:noFill/>
                  </pic:spPr>
                </pic:pic>
              </a:graphicData>
            </a:graphic>
          </wp:inline>
        </w:drawing>
      </w:r>
    </w:p>
    <w:p w14:paraId="297C8824" w14:textId="2FE580A9" w:rsidR="0033629A" w:rsidRDefault="004409CB">
      <w:pPr>
        <w:pStyle w:val="ImageCaption"/>
      </w:pPr>
      <w:bookmarkStart w:id="12" w:name="_Toc105675516"/>
      <w:r>
        <w:rPr>
          <w:b/>
        </w:rPr>
        <w:t xml:space="preserve">Figure </w:t>
      </w:r>
      <w:bookmarkStart w:id="13" w:name="tpd"/>
      <w:r>
        <w:rPr>
          <w:b/>
        </w:rPr>
        <w:fldChar w:fldCharType="begin"/>
      </w:r>
      <w:r>
        <w:rPr>
          <w:b/>
        </w:rPr>
        <w:instrText>SEQ Figure \* Arabic</w:instrText>
      </w:r>
      <w:r>
        <w:rPr>
          <w:b/>
        </w:rPr>
        <w:fldChar w:fldCharType="separate"/>
      </w:r>
      <w:r w:rsidR="00766923">
        <w:rPr>
          <w:b/>
          <w:noProof/>
        </w:rPr>
        <w:t>1</w:t>
      </w:r>
      <w:r>
        <w:rPr>
          <w:b/>
        </w:rPr>
        <w:fldChar w:fldCharType="end"/>
      </w:r>
      <w:bookmarkEnd w:id="13"/>
      <w:r>
        <w:t xml:space="preserve">: The theory of planned behavior model. Reproduced from </w:t>
      </w:r>
      <w:r w:rsidR="009E3272">
        <w:t>d</w:t>
      </w:r>
      <w:r>
        <w:t>e</w:t>
      </w:r>
      <w:r w:rsidR="009E3272">
        <w:t xml:space="preserve"> L</w:t>
      </w:r>
      <w:r>
        <w:t>eeuw</w:t>
      </w:r>
      <w:r w:rsidR="009E3272">
        <w:t xml:space="preserve"> et al.</w:t>
      </w:r>
      <w:r w:rsidR="00BD3973">
        <w:t xml:space="preserve">, </w:t>
      </w:r>
      <w:r>
        <w:t>2015, p. 130.</w:t>
      </w:r>
      <w:bookmarkEnd w:id="12"/>
    </w:p>
    <w:p w14:paraId="297FA8F1" w14:textId="77777777" w:rsidR="0033629A" w:rsidRDefault="004409CB">
      <w:r>
        <w:br w:type="page"/>
      </w:r>
    </w:p>
    <w:p w14:paraId="2180F38E" w14:textId="59329A27" w:rsidR="0033629A" w:rsidRDefault="004409CB">
      <w:pPr>
        <w:pStyle w:val="BodyText"/>
      </w:pPr>
      <w:r>
        <w:lastRenderedPageBreak/>
        <w:t xml:space="preserve">The theory of planned behavior (TPB) proposes a complex causal chain of psychosocial factors that results in a particular behavior (see Figure </w:t>
      </w:r>
      <w:hyperlink w:anchor="tpd">
        <w:r>
          <w:fldChar w:fldCharType="begin"/>
        </w:r>
        <w:r>
          <w:instrText xml:space="preserve"> REF tpd \h</w:instrText>
        </w:r>
        <w:r>
          <w:fldChar w:fldCharType="separate"/>
        </w:r>
        <w:r w:rsidR="00766923">
          <w:rPr>
            <w:b/>
            <w:noProof/>
          </w:rPr>
          <w:t>1</w:t>
        </w:r>
        <w:r>
          <w:fldChar w:fldCharType="end"/>
        </w:r>
      </w:hyperlink>
      <w:r>
        <w:t>). Behavior is most directly driven by behavioral intention and perceived behavioral control. Perceived behavioral control reflects the extent to which one believes they can control a behavior. When this corresponds closely with actual control over a behavior, it has a direct influence on behavior. However, when it does not reflect actual control, it is considered more of a motivational mechanism that has an indirect effect on behavior through intention to act (</w:t>
      </w:r>
      <w:hyperlink w:anchor="ref-madden1992">
        <w:r>
          <w:rPr>
            <w:rStyle w:val="Hyperlink"/>
          </w:rPr>
          <w:t>Madden et al., 1992</w:t>
        </w:r>
      </w:hyperlink>
      <w:r>
        <w:t>).</w:t>
      </w:r>
    </w:p>
    <w:p w14:paraId="6B0C456E" w14:textId="77777777" w:rsidR="0033629A" w:rsidRDefault="004409CB">
      <w:pPr>
        <w:pStyle w:val="BodyText"/>
      </w:pPr>
      <w:r>
        <w:t>Intention to act is subsequently influenced by injunctive norms, descriptive norms, and attitude towards behavior. Both injunctive and descriptive norms refer to beliefs about others and can be construed as perceived social pressure to act (</w:t>
      </w:r>
      <w:hyperlink w:anchor="ref-newman2016">
        <w:r>
          <w:rPr>
            <w:rStyle w:val="Hyperlink"/>
          </w:rPr>
          <w:t>Newman &amp; Fernandes, 2016</w:t>
        </w:r>
      </w:hyperlink>
      <w:r>
        <w:t>). Injunctive norms concern approval - perceptions of how others may judge one’s behavior. Descriptive norms refer to the perception of others’ behavior. Each of these factors that lead to intention to act are themselves linked back to related sets of beliefs. Importantly, attitude towards behavior is linked to beliefs about the outcome of behavior (</w:t>
      </w:r>
      <w:hyperlink w:anchor="ref-deleeuw2015">
        <w:r>
          <w:rPr>
            <w:rStyle w:val="Hyperlink"/>
          </w:rPr>
          <w:t>de Leeuw et al., 2015</w:t>
        </w:r>
      </w:hyperlink>
      <w:r>
        <w:t>).</w:t>
      </w:r>
    </w:p>
    <w:p w14:paraId="50D08BAA" w14:textId="38B6EB15" w:rsidR="0033629A" w:rsidRDefault="004409CB">
      <w:pPr>
        <w:pStyle w:val="BodyText"/>
      </w:pPr>
      <w:r>
        <w:t>This entire system is influenced by numerous background factors that include education, gender, beliefs, attitudes, and concerns. TPB has been used as an explanatory framework in research on pro-environmental behaviors, with a special focus on beliefs, attitudes, and concerns and how they can drive action (</w:t>
      </w:r>
      <w:hyperlink w:anchor="ref-yuriev2020">
        <w:r>
          <w:rPr>
            <w:rStyle w:val="Hyperlink"/>
          </w:rPr>
          <w:t>Yuriev et al., 2020</w:t>
        </w:r>
      </w:hyperlink>
      <w:r>
        <w:t xml:space="preserve">). While the effect of beliefs may arise earlier on the causal change toward behavior (see Figure </w:t>
      </w:r>
      <w:hyperlink w:anchor="tpd">
        <w:r>
          <w:fldChar w:fldCharType="begin"/>
        </w:r>
        <w:r>
          <w:instrText xml:space="preserve"> REF tpd \h</w:instrText>
        </w:r>
        <w:r>
          <w:fldChar w:fldCharType="separate"/>
        </w:r>
        <w:r w:rsidR="00766923">
          <w:rPr>
            <w:b/>
            <w:noProof/>
          </w:rPr>
          <w:t>1</w:t>
        </w:r>
        <w:r>
          <w:fldChar w:fldCharType="end"/>
        </w:r>
      </w:hyperlink>
      <w:r>
        <w:t>), that does not diminish their impact. In fact, a parallel theory to TPD, the Value-Beliefs-Norm (VBN) theory also places great emphasis on beliefs as a driver of behavior (</w:t>
      </w:r>
      <w:hyperlink w:anchor="ref-dietz2005">
        <w:r>
          <w:rPr>
            <w:rStyle w:val="Hyperlink"/>
          </w:rPr>
          <w:t>Dietz et al., 2005</w:t>
        </w:r>
      </w:hyperlink>
      <w:r>
        <w:t xml:space="preserve">; </w:t>
      </w:r>
      <w:hyperlink w:anchor="ref-newman2016">
        <w:r>
          <w:rPr>
            <w:rStyle w:val="Hyperlink"/>
          </w:rPr>
          <w:t>Newman &amp; Fernandes, 2016</w:t>
        </w:r>
      </w:hyperlink>
      <w:r>
        <w:t xml:space="preserve">; </w:t>
      </w:r>
      <w:hyperlink w:anchor="ref-stern1999">
        <w:r>
          <w:rPr>
            <w:rStyle w:val="Hyperlink"/>
          </w:rPr>
          <w:t>P. C. Stern et al., 1999</w:t>
        </w:r>
      </w:hyperlink>
      <w:r>
        <w:t>). Beliefs operate by guiding what actions we are willing to take and help us judge the outcomes of those actions.</w:t>
      </w:r>
    </w:p>
    <w:p w14:paraId="6B8AD897" w14:textId="77777777" w:rsidR="0033629A" w:rsidRDefault="004409CB">
      <w:pPr>
        <w:pStyle w:val="BodyText"/>
      </w:pPr>
      <w:r>
        <w:lastRenderedPageBreak/>
        <w:t>In terms of climate change, numerous studies have identified climate change beliefs, especially concern about climate change, as an important predictor of climate change-related behaviors (</w:t>
      </w:r>
      <w:hyperlink w:anchor="ref-hornsey2016">
        <w:r>
          <w:rPr>
            <w:rStyle w:val="Hyperlink"/>
          </w:rPr>
          <w:t>Hornsey et al., 2016</w:t>
        </w:r>
      </w:hyperlink>
      <w:r>
        <w:t xml:space="preserve">). In developing a model of climate change behavior among adolescents, </w:t>
      </w:r>
      <w:hyperlink w:anchor="ref-stevenson2018">
        <w:r>
          <w:rPr>
            <w:rStyle w:val="Hyperlink"/>
          </w:rPr>
          <w:t>K. T. Stevenson et al.</w:t>
        </w:r>
      </w:hyperlink>
      <w:r>
        <w:t xml:space="preserve"> (</w:t>
      </w:r>
      <w:hyperlink w:anchor="ref-stevenson2018">
        <w:r>
          <w:rPr>
            <w:rStyle w:val="Hyperlink"/>
          </w:rPr>
          <w:t>2018</w:t>
        </w:r>
      </w:hyperlink>
      <w:r>
        <w:t>) demonstrate that climate change concern and hope influence behavior. In their model, climate change knowledge had an indirect effect on behavior, operating strongly through concern.</w:t>
      </w:r>
    </w:p>
    <w:p w14:paraId="48A3FEE8" w14:textId="77777777" w:rsidR="0033629A" w:rsidRDefault="004409CB">
      <w:pPr>
        <w:pStyle w:val="BodyText"/>
      </w:pPr>
      <w:r>
        <w:t>Given the background factors that influence behavior (</w:t>
      </w:r>
      <w:hyperlink w:anchor="ref-deleeuw2015">
        <w:r>
          <w:rPr>
            <w:rStyle w:val="Hyperlink"/>
          </w:rPr>
          <w:t>de Leeuw et al., 2015</w:t>
        </w:r>
      </w:hyperlink>
      <w:r>
        <w:t xml:space="preserve">), education plays an important role in TPD. As will be explained in detail below (see </w:t>
      </w:r>
      <w:hyperlink w:anchor="micro-level-effects">
        <w:r>
          <w:rPr>
            <w:rStyle w:val="Hyperlink"/>
          </w:rPr>
          <w:t>Micro-Level Effects</w:t>
        </w:r>
      </w:hyperlink>
      <w:r>
        <w:t>), science education (including environmental and climate change education) has strong influences on beliefs, attitudes, concern, and risk perceptions. Likewise, science education can also have an influence on pro-environmental and climate change behavior (</w:t>
      </w:r>
      <w:hyperlink w:anchor="ref-busch2019">
        <w:r>
          <w:rPr>
            <w:rStyle w:val="Hyperlink"/>
          </w:rPr>
          <w:t>Busch et al., 2019</w:t>
        </w:r>
      </w:hyperlink>
      <w:r>
        <w:t xml:space="preserve">; </w:t>
      </w:r>
      <w:hyperlink w:anchor="ref-cordero2020">
        <w:r>
          <w:rPr>
            <w:rStyle w:val="Hyperlink"/>
          </w:rPr>
          <w:t>E. C. Cordero et al., 2020</w:t>
        </w:r>
      </w:hyperlink>
      <w:r>
        <w:t xml:space="preserve">; </w:t>
      </w:r>
      <w:hyperlink w:anchor="ref-geiger2019">
        <w:r>
          <w:rPr>
            <w:rStyle w:val="Hyperlink"/>
          </w:rPr>
          <w:t>Geiger et al., 2019</w:t>
        </w:r>
      </w:hyperlink>
      <w:r>
        <w:t xml:space="preserve">; </w:t>
      </w:r>
      <w:hyperlink w:anchor="ref-list2020">
        <w:r>
          <w:rPr>
            <w:rStyle w:val="Hyperlink"/>
          </w:rPr>
          <w:t>List et al., 2020</w:t>
        </w:r>
      </w:hyperlink>
      <w:r>
        <w:t>). These behaviors may be lifestyle changes, such as choosing alternative travel, flying less, purchasing green energy, or eating a plant-based diet (</w:t>
      </w:r>
      <w:hyperlink w:anchor="ref-wynes2018">
        <w:r>
          <w:rPr>
            <w:rStyle w:val="Hyperlink"/>
          </w:rPr>
          <w:t>Wynes et al., 2018</w:t>
        </w:r>
      </w:hyperlink>
      <w:r>
        <w:t>). They may also be behaviors that promote systemic change through support of policies and voting (</w:t>
      </w:r>
      <w:hyperlink w:anchor="X81cc3ecac12a22ffafe5a6c86cf380f61016181">
        <w:r>
          <w:rPr>
            <w:rStyle w:val="Hyperlink"/>
          </w:rPr>
          <w:t>United Nations Environment Programme, 2020</w:t>
        </w:r>
      </w:hyperlink>
      <w:r>
        <w:t xml:space="preserve">; </w:t>
      </w:r>
      <w:hyperlink w:anchor="ref-wynes2021">
        <w:r>
          <w:rPr>
            <w:rStyle w:val="Hyperlink"/>
          </w:rPr>
          <w:t>Wynes et al., 2021</w:t>
        </w:r>
      </w:hyperlink>
      <w:r>
        <w:t>).</w:t>
      </w:r>
    </w:p>
    <w:p w14:paraId="5676F368" w14:textId="77777777" w:rsidR="0033629A" w:rsidRDefault="004409CB">
      <w:pPr>
        <w:pStyle w:val="BodyText"/>
      </w:pPr>
      <w:r>
        <w:t>Education’s effects do not stop at the individual. Increasing climate change concern via education is connected to both individual and collective action (</w:t>
      </w:r>
      <w:hyperlink w:anchor="ref-stevenson2019">
        <w:r>
          <w:rPr>
            <w:rStyle w:val="Hyperlink"/>
          </w:rPr>
          <w:t>K. T. Stevenson et al., 2019</w:t>
        </w:r>
      </w:hyperlink>
      <w:r>
        <w:t xml:space="preserve">). There is evidence that science education can influence peer and family member beliefs and actions as well (e.g., </w:t>
      </w:r>
      <w:hyperlink w:anchor="ref-lawsonChildrenCanFoster2019">
        <w:r>
          <w:rPr>
            <w:rStyle w:val="Hyperlink"/>
          </w:rPr>
          <w:t>Lawson et al., 2019</w:t>
        </w:r>
      </w:hyperlink>
      <w:r>
        <w:t xml:space="preserve">; </w:t>
      </w:r>
      <w:hyperlink w:anchor="ref-spiteri2020">
        <w:r>
          <w:rPr>
            <w:rStyle w:val="Hyperlink"/>
          </w:rPr>
          <w:t>Spiteri, 2020</w:t>
        </w:r>
      </w:hyperlink>
      <w:r>
        <w:t>). This moves the effects of knowledge and belief on behavior from the individual to the family, peer group, and beyond. Shifting behaviors and norms can act as a catalyst for wider change that influences the community (</w:t>
      </w:r>
      <w:hyperlink w:anchor="ref-bollinger2012">
        <w:r>
          <w:rPr>
            <w:rStyle w:val="Hyperlink"/>
          </w:rPr>
          <w:t>Bollinger &amp; Gillingham, 2012</w:t>
        </w:r>
      </w:hyperlink>
      <w:r>
        <w:t xml:space="preserve">; </w:t>
      </w:r>
      <w:hyperlink w:anchor="ref-carrico2021">
        <w:r>
          <w:rPr>
            <w:rStyle w:val="Hyperlink"/>
          </w:rPr>
          <w:t>Carrico, 2021</w:t>
        </w:r>
      </w:hyperlink>
      <w:r>
        <w:t xml:space="preserve">; </w:t>
      </w:r>
      <w:hyperlink w:anchor="ref-jachimowicz2018">
        <w:r>
          <w:rPr>
            <w:rStyle w:val="Hyperlink"/>
          </w:rPr>
          <w:t>Jachimowicz et al., 2018</w:t>
        </w:r>
      </w:hyperlink>
      <w:r>
        <w:t>) and broader aspects of society, such as business and politics (</w:t>
      </w:r>
      <w:hyperlink w:anchor="ref-collins1988">
        <w:r>
          <w:rPr>
            <w:rStyle w:val="Hyperlink"/>
          </w:rPr>
          <w:t>Collins, 1988</w:t>
        </w:r>
      </w:hyperlink>
      <w:r>
        <w:t xml:space="preserve">; </w:t>
      </w:r>
      <w:hyperlink w:anchor="ref-ehrhardtmartinez2015">
        <w:r>
          <w:rPr>
            <w:rStyle w:val="Hyperlink"/>
          </w:rPr>
          <w:t>Ehrhardt-Martinez et al., 2015</w:t>
        </w:r>
      </w:hyperlink>
      <w:r>
        <w:t xml:space="preserve">; </w:t>
      </w:r>
      <w:hyperlink w:anchor="X81cc3ecac12a22ffafe5a6c86cf380f61016181">
        <w:r>
          <w:rPr>
            <w:rStyle w:val="Hyperlink"/>
          </w:rPr>
          <w:t>United Nations Environment Programme, 2020, p. 72</w:t>
        </w:r>
      </w:hyperlink>
      <w:r>
        <w:t xml:space="preserve">). These wider shifts can feed </w:t>
      </w:r>
      <w:r>
        <w:lastRenderedPageBreak/>
        <w:t>back into the TPD model, strongly increasing normative tendencies toward climate action. This explains why education is deemed a necessary step in averting the climate crisis (</w:t>
      </w:r>
      <w:hyperlink w:anchor="ref-reid2019">
        <w:r>
          <w:rPr>
            <w:rStyle w:val="Hyperlink"/>
          </w:rPr>
          <w:t>Reid, 2019</w:t>
        </w:r>
      </w:hyperlink>
      <w:r>
        <w:t>). This also intimates what is required to “wake up and change.”</w:t>
      </w:r>
    </w:p>
    <w:p w14:paraId="2C64B08D" w14:textId="68C34C5A" w:rsidR="0033629A" w:rsidRDefault="004409CB">
      <w:pPr>
        <w:pStyle w:val="BodyText"/>
      </w:pPr>
      <w:r>
        <w:t xml:space="preserve">To summarize the conceptual framework underlying the present dissertation (see Figure </w:t>
      </w:r>
      <w:hyperlink w:anchor="conceptual">
        <w:r>
          <w:fldChar w:fldCharType="begin"/>
        </w:r>
        <w:r>
          <w:instrText xml:space="preserve"> REF conceptual \h</w:instrText>
        </w:r>
        <w:r>
          <w:fldChar w:fldCharType="separate"/>
        </w:r>
        <w:r w:rsidR="00766923">
          <w:rPr>
            <w:b/>
            <w:noProof/>
          </w:rPr>
          <w:t>2</w:t>
        </w:r>
        <w:r>
          <w:fldChar w:fldCharType="end"/>
        </w:r>
      </w:hyperlink>
      <w:r>
        <w:t>), this research draws on HCT to explain how, at the macro-level, scientific literacy may be associated with changes in national GHG emissions, namely CO</w:t>
      </w:r>
      <w:r>
        <w:rPr>
          <w:vertAlign w:val="subscript"/>
        </w:rPr>
        <w:t>2</w:t>
      </w:r>
      <w:r>
        <w:t>. To explain how such a link is plausible, and provide a micro-to-macro mechanism, the research also draws upon TPD, which offers a causal chain of explanations through which increased science education may influence positive climate change behaviors. Understanding that CO</w:t>
      </w:r>
      <w:r>
        <w:rPr>
          <w:vertAlign w:val="subscript"/>
        </w:rPr>
        <w:t>2</w:t>
      </w:r>
      <w:r>
        <w:t xml:space="preserve"> emissions are affected by much more than education, the HCT framework also incorporates the </w:t>
      </w:r>
      <w:r>
        <w:rPr>
          <w:i/>
          <w:iCs/>
        </w:rPr>
        <w:t>IPAT</w:t>
      </w:r>
      <w:r>
        <w:t xml:space="preserve"> equation to consider other factors of influence (</w:t>
      </w:r>
      <w:hyperlink w:anchor="ref-yao2020">
        <w:r>
          <w:rPr>
            <w:rStyle w:val="Hyperlink"/>
          </w:rPr>
          <w:t>Yao et al., 2020</w:t>
        </w:r>
      </w:hyperlink>
      <w:r>
        <w:t>). This conceptual model does not portend to suggest science education can solve the climate crisis or generate an impact greater than other social phenomena. Rather, the model considers science education a necessary but not sufficient factor on the path toward social climate change solutions.</w:t>
      </w:r>
    </w:p>
    <w:p w14:paraId="32DE323E" w14:textId="77777777" w:rsidR="005F48D4" w:rsidRDefault="005F48D4" w:rsidP="005F48D4">
      <w:pPr>
        <w:pStyle w:val="Heading2"/>
      </w:pPr>
      <w:bookmarkStart w:id="14" w:name="_Toc107939098"/>
      <w:r>
        <w:t>Micro-Level Effects</w:t>
      </w:r>
      <w:bookmarkEnd w:id="14"/>
    </w:p>
    <w:p w14:paraId="1992E169" w14:textId="4829CE2F" w:rsidR="005F48D4" w:rsidRDefault="005F48D4" w:rsidP="005F48D4">
      <w:pPr>
        <w:pStyle w:val="BodyText"/>
      </w:pPr>
      <w:r>
        <w:t xml:space="preserve">According to </w:t>
      </w:r>
      <w:hyperlink w:anchor="ref-collins1988">
        <w:r>
          <w:rPr>
            <w:rStyle w:val="Hyperlink"/>
          </w:rPr>
          <w:t>Collins</w:t>
        </w:r>
      </w:hyperlink>
      <w:r>
        <w:t xml:space="preserve"> (</w:t>
      </w:r>
      <w:hyperlink w:anchor="ref-collins1988">
        <w:r>
          <w:rPr>
            <w:rStyle w:val="Hyperlink"/>
          </w:rPr>
          <w:t>1988</w:t>
        </w:r>
      </w:hyperlink>
      <w:r>
        <w:t xml:space="preserve">), micro-level analyses are concerned with “how people interact as human bodies in sight, sound and smell of each other…[and how]…we understand the larger and more long-term patterns when we see how they are composed of such micro-situations” (p. 242). Learning, whether informally at home or formally in school, is a fundamental human activity that takes place in the context of interaction. Education informs individual and household decision-making, which can come to have a real bearing on the larger world. For example, </w:t>
      </w:r>
      <w:hyperlink w:anchor="ref-ehrhardtmartinez2015">
        <w:r>
          <w:rPr>
            <w:rStyle w:val="Hyperlink"/>
          </w:rPr>
          <w:t>Ehrhardt-Martinez et al.</w:t>
        </w:r>
      </w:hyperlink>
      <w:r>
        <w:t xml:space="preserve"> (</w:t>
      </w:r>
      <w:hyperlink w:anchor="ref-ehrhardtmartinez2015">
        <w:r>
          <w:rPr>
            <w:rStyle w:val="Hyperlink"/>
          </w:rPr>
          <w:t>2015</w:t>
        </w:r>
      </w:hyperlink>
      <w:r>
        <w:t xml:space="preserve">) point out that decisions regarding fertility made at this level “add up, producing large aggregate impacts on national and global climate emissions” (p. 208). They argue that the micro-level agents play some role in </w:t>
      </w:r>
    </w:p>
    <w:p w14:paraId="0314D193" w14:textId="77777777" w:rsidR="0033629A" w:rsidRDefault="004409CB" w:rsidP="008333B2">
      <w:pPr>
        <w:pStyle w:val="Figure"/>
        <w:ind w:left="0"/>
        <w:jc w:val="center"/>
      </w:pPr>
      <w:r>
        <w:rPr>
          <w:noProof/>
        </w:rPr>
        <w:lastRenderedPageBreak/>
        <w:drawing>
          <wp:inline distT="0" distB="0" distL="0" distR="0" wp14:anchorId="2C94690E" wp14:editId="1B5DA9AB">
            <wp:extent cx="5706314" cy="3801283"/>
            <wp:effectExtent l="0" t="0" r="889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a:picLocks noChangeAspect="1" noChangeArrowheads="1"/>
                    </pic:cNvPicPr>
                  </pic:nvPicPr>
                  <pic:blipFill>
                    <a:blip r:embed="rId16"/>
                    <a:srcRect/>
                    <a:stretch>
                      <a:fillRect/>
                    </a:stretch>
                  </pic:blipFill>
                  <pic:spPr bwMode="auto">
                    <a:xfrm>
                      <a:off x="0" y="0"/>
                      <a:ext cx="79307" cy="52830"/>
                    </a:xfrm>
                    <a:prstGeom prst="rect">
                      <a:avLst/>
                    </a:prstGeom>
                    <a:noFill/>
                  </pic:spPr>
                </pic:pic>
              </a:graphicData>
            </a:graphic>
          </wp:inline>
        </w:drawing>
      </w:r>
    </w:p>
    <w:p w14:paraId="50B8A448" w14:textId="44975BFB" w:rsidR="0033629A" w:rsidRDefault="004409CB">
      <w:pPr>
        <w:pStyle w:val="ImageCaption"/>
      </w:pPr>
      <w:bookmarkStart w:id="15" w:name="_Toc105675517"/>
      <w:r>
        <w:rPr>
          <w:b/>
        </w:rPr>
        <w:t xml:space="preserve">Figure </w:t>
      </w:r>
      <w:bookmarkStart w:id="16" w:name="conceptual"/>
      <w:r>
        <w:rPr>
          <w:b/>
        </w:rPr>
        <w:fldChar w:fldCharType="begin"/>
      </w:r>
      <w:r>
        <w:rPr>
          <w:b/>
        </w:rPr>
        <w:instrText>SEQ Figure \* Arabic</w:instrText>
      </w:r>
      <w:r>
        <w:rPr>
          <w:b/>
        </w:rPr>
        <w:fldChar w:fldCharType="separate"/>
      </w:r>
      <w:r w:rsidR="00766923">
        <w:rPr>
          <w:b/>
          <w:noProof/>
        </w:rPr>
        <w:t>2</w:t>
      </w:r>
      <w:r>
        <w:rPr>
          <w:b/>
        </w:rPr>
        <w:fldChar w:fldCharType="end"/>
      </w:r>
      <w:bookmarkEnd w:id="16"/>
      <w:r>
        <w:t>: The conceptual framework for the current dissertation research.</w:t>
      </w:r>
      <w:bookmarkEnd w:id="15"/>
    </w:p>
    <w:p w14:paraId="56833A9E" w14:textId="77777777" w:rsidR="0033629A" w:rsidRDefault="0033629A">
      <w:pPr>
        <w:pStyle w:val="BodyText"/>
      </w:pPr>
    </w:p>
    <w:p w14:paraId="36051367" w14:textId="77777777" w:rsidR="005F48D4" w:rsidRDefault="005F48D4">
      <w:pPr>
        <w:spacing w:before="0" w:after="200" w:line="240" w:lineRule="auto"/>
        <w:ind w:firstLine="0"/>
      </w:pPr>
      <w:bookmarkStart w:id="17" w:name="micro-level-effects"/>
      <w:bookmarkEnd w:id="11"/>
      <w:r>
        <w:br w:type="page"/>
      </w:r>
    </w:p>
    <w:p w14:paraId="7C86B98E" w14:textId="4073D026" w:rsidR="0033629A" w:rsidRDefault="005F48D4" w:rsidP="005F48D4">
      <w:pPr>
        <w:pStyle w:val="BodyText"/>
        <w:ind w:firstLine="0"/>
      </w:pPr>
      <w:r>
        <w:lastRenderedPageBreak/>
        <w:t xml:space="preserve">determining their emissions and “can be mobilized in a variety of ways to leverage lower emissions” (p. 204). Decision-making such as this is done using the knowledge, beliefs, and </w:t>
      </w:r>
      <w:r w:rsidR="004409CB">
        <w:t>attitudes (i.e., education) at one’s disposal. Thus, education forms the perfect context to begin examining micro-level effects on climate change.</w:t>
      </w:r>
    </w:p>
    <w:p w14:paraId="57897F1C" w14:textId="77777777" w:rsidR="0033629A" w:rsidRDefault="004409CB">
      <w:pPr>
        <w:pStyle w:val="Heading3"/>
      </w:pPr>
      <w:bookmarkStart w:id="18" w:name="_Toc107939099"/>
      <w:bookmarkStart w:id="19" w:name="what-is-the-pisa"/>
      <w:r>
        <w:t>What is the PISA?</w:t>
      </w:r>
      <w:bookmarkEnd w:id="18"/>
    </w:p>
    <w:p w14:paraId="50DE3F32" w14:textId="77777777" w:rsidR="0033629A" w:rsidRDefault="004409CB">
      <w:pPr>
        <w:pStyle w:val="FirstParagraph"/>
      </w:pPr>
      <w:r>
        <w:t>The Programme for International Student Assessment (PISA) is an examination sponsored by the Organisation for Economic Cooperation and Development (OECD) that is designed “to measure how well 15-year-old students approaching the end of compulsory schooling are prepared to meet the challenges of today’s knowledge societies” (</w:t>
      </w:r>
      <w:hyperlink w:anchor="ref-oecd2012">
        <w:r>
          <w:rPr>
            <w:rStyle w:val="Hyperlink"/>
          </w:rPr>
          <w:t>OECD, 2012, p. 16</w:t>
        </w:r>
      </w:hyperlink>
      <w:r>
        <w:t>). It has been administered every three years since 2000. In 2000, 28 OECD countries and 4 non-OECD countries participated (</w:t>
      </w:r>
      <w:hyperlink w:anchor="ref-oecd2001a">
        <w:r>
          <w:rPr>
            <w:rStyle w:val="Hyperlink"/>
          </w:rPr>
          <w:t>OECD, 2001</w:t>
        </w:r>
      </w:hyperlink>
      <w:r>
        <w:t>). In 2018, the last cycle that was administered, 37 OECD countries and 42 non-OECD countries participated (</w:t>
      </w:r>
      <w:hyperlink w:anchor="ref-oecd2019a">
        <w:r>
          <w:rPr>
            <w:rStyle w:val="Hyperlink"/>
          </w:rPr>
          <w:t>OECD, 2019b</w:t>
        </w:r>
      </w:hyperlink>
      <w:r>
        <w:t>).</w:t>
      </w:r>
    </w:p>
    <w:p w14:paraId="792B3BD3" w14:textId="77777777" w:rsidR="0033629A" w:rsidRDefault="004409CB">
      <w:pPr>
        <w:pStyle w:val="BodyText"/>
      </w:pPr>
      <w:r>
        <w:t xml:space="preserve">The PISA focuses on three core domains: reading literacy, mathematical literacy, and scientific literacy. For each test administration cycle, one of these domains is presented as the major domain on which </w:t>
      </w:r>
      <w:proofErr w:type="gramStart"/>
      <w:r>
        <w:t>the majority of</w:t>
      </w:r>
      <w:proofErr w:type="gramEnd"/>
      <w:r>
        <w:t xml:space="preserve"> questions are based. The other two domains are presented as minor domains, garnering fewer questions and less test time. Science literacy was a major domain in 2006 and 2015. It was a minor domain in 2000, 2003, 2009, 2012, and 2018.</w:t>
      </w:r>
    </w:p>
    <w:p w14:paraId="0AA3059E" w14:textId="77777777" w:rsidR="0033629A" w:rsidRDefault="004409CB">
      <w:pPr>
        <w:pStyle w:val="BodyText"/>
      </w:pPr>
      <w:r>
        <w:t xml:space="preserve">What makes the PISA distinct from other exams is that it is not a measure of skills learned in a specific amount of time or outlined in a specific curriculum (local, national, or otherwise). Instead, it is an examination that measures cumulative learning over students’ lifetimes by asking them to apply their knowledge to personal, social, and global contexts. This learning is influenced not only by the formal and informal contexts a student has learned in but the education of previous generations as well as the socio-cultural-economic </w:t>
      </w:r>
      <w:r>
        <w:lastRenderedPageBreak/>
        <w:t>environments in which the students are raised (</w:t>
      </w:r>
      <w:hyperlink w:anchor="ref-oecd2019a">
        <w:r>
          <w:rPr>
            <w:rStyle w:val="Hyperlink"/>
          </w:rPr>
          <w:t>OECD, 2019b</w:t>
        </w:r>
      </w:hyperlink>
      <w:r>
        <w:t>). Therefore, PISA results reflect the cumulative learning of a student and serve as a reflection of the society in which this learning has occurred.</w:t>
      </w:r>
    </w:p>
    <w:p w14:paraId="2B1B2A88" w14:textId="77777777" w:rsidR="0033629A" w:rsidRDefault="004409CB">
      <w:pPr>
        <w:pStyle w:val="BodyText"/>
      </w:pPr>
      <w:r>
        <w:t xml:space="preserve">To assess this learning, the PISA focuses on a continuum of </w:t>
      </w:r>
      <w:r>
        <w:rPr>
          <w:i/>
          <w:iCs/>
        </w:rPr>
        <w:t>literacy</w:t>
      </w:r>
      <w:r>
        <w:t xml:space="preserve"> in the three broad domains mentioned above. Literacy is defined as “the knowledge, understanding and skills required for effective functioning in everyday life” (</w:t>
      </w:r>
      <w:hyperlink w:anchor="X0c204b4e703cc2aa0ab9c8c72f9611653360ab8">
        <w:r>
          <w:rPr>
            <w:rStyle w:val="Hyperlink"/>
          </w:rPr>
          <w:t>Organisation for Economic Co-operation and Development, 2000, p. 9</w:t>
        </w:r>
      </w:hyperlink>
      <w:r>
        <w:t>). This literacy is seen as vital for full participation in society and reflects what students will do as future citizens (</w:t>
      </w:r>
      <w:hyperlink w:anchor="ref-bybee2008">
        <w:r>
          <w:rPr>
            <w:rStyle w:val="Hyperlink"/>
          </w:rPr>
          <w:t>Bybee, 2008</w:t>
        </w:r>
      </w:hyperlink>
      <w:r>
        <w:t>).</w:t>
      </w:r>
    </w:p>
    <w:p w14:paraId="4C3B7CB8" w14:textId="77777777" w:rsidR="0033629A" w:rsidRDefault="004409CB">
      <w:pPr>
        <w:pStyle w:val="Heading3"/>
      </w:pPr>
      <w:bookmarkStart w:id="20" w:name="_Toc107939100"/>
      <w:bookmarkStart w:id="21" w:name="what-is-scientific-literacy"/>
      <w:bookmarkEnd w:id="19"/>
      <w:r>
        <w:t>What is Scientific Literacy?</w:t>
      </w:r>
      <w:bookmarkEnd w:id="20"/>
    </w:p>
    <w:p w14:paraId="212C8C77" w14:textId="77777777" w:rsidR="0033629A" w:rsidRDefault="004409CB">
      <w:pPr>
        <w:pStyle w:val="FirstParagraph"/>
      </w:pPr>
      <w:r>
        <w:t>Scientific literacy is developed through science education. This type of literacy refers to the ability “to engage with science-related issues, and with the ideas of science, as a reflective citizen” (</w:t>
      </w:r>
      <w:hyperlink w:anchor="ref-oecd2019">
        <w:r>
          <w:rPr>
            <w:rStyle w:val="Hyperlink"/>
          </w:rPr>
          <w:t>OECD, 2019a, p. 102</w:t>
        </w:r>
      </w:hyperlink>
      <w:r>
        <w:t xml:space="preserve">). </w:t>
      </w:r>
      <w:hyperlink w:anchor="ref-bybee2008">
        <w:r>
          <w:rPr>
            <w:rStyle w:val="Hyperlink"/>
          </w:rPr>
          <w:t>Bybee</w:t>
        </w:r>
      </w:hyperlink>
      <w:r>
        <w:t xml:space="preserve"> (</w:t>
      </w:r>
      <w:hyperlink w:anchor="ref-bybee2008">
        <w:r>
          <w:rPr>
            <w:rStyle w:val="Hyperlink"/>
          </w:rPr>
          <w:t>2008</w:t>
        </w:r>
      </w:hyperlink>
      <w:r>
        <w:t xml:space="preserve">) argues that “the understandings and abilities associated with scientific literacy empower citizens to make personal decisions and appropriately participate in the formulation of public policies that impact their lives” (p. 567). Scientific literacy is so important that </w:t>
      </w:r>
      <w:hyperlink w:anchor="ref-bybee2008">
        <w:r>
          <w:rPr>
            <w:rStyle w:val="Hyperlink"/>
          </w:rPr>
          <w:t>Bybee</w:t>
        </w:r>
      </w:hyperlink>
      <w:r>
        <w:t xml:space="preserve"> (</w:t>
      </w:r>
      <w:hyperlink w:anchor="ref-bybee2008">
        <w:r>
          <w:rPr>
            <w:rStyle w:val="Hyperlink"/>
          </w:rPr>
          <w:t>2008</w:t>
        </w:r>
      </w:hyperlink>
      <w:r>
        <w:t>) goes on to argue that understanding science-related issues such as “ecological scarcity directly influences economic stability and social progress” (p. 568). The OECD itself establishes scientific literacy as extremely important, stating that “Scientific literacy matters at both the national and international levels as humanity faces major challenges in providing sufficient water and food, controlling diseases, generating sufficient energy and adapting to climate change” (</w:t>
      </w:r>
      <w:hyperlink w:anchor="ref-oecd2017">
        <w:r>
          <w:rPr>
            <w:rStyle w:val="Hyperlink"/>
          </w:rPr>
          <w:t>OECD, 2017a, p. 20</w:t>
        </w:r>
      </w:hyperlink>
      <w:r>
        <w:t>).</w:t>
      </w:r>
    </w:p>
    <w:p w14:paraId="4515811B" w14:textId="77777777" w:rsidR="0033629A" w:rsidRDefault="004409CB">
      <w:pPr>
        <w:pStyle w:val="BodyText"/>
      </w:pPr>
      <w:r>
        <w:t>The PISA measures key cognitive abilities required to make informed decisions for interaction with science-related issues and for everyday life. According to the PISA science framework (</w:t>
      </w:r>
      <w:hyperlink w:anchor="ref-oecd2019">
        <w:r>
          <w:rPr>
            <w:rStyle w:val="Hyperlink"/>
          </w:rPr>
          <w:t>OECD, 2019a</w:t>
        </w:r>
      </w:hyperlink>
      <w:r>
        <w:t xml:space="preserve">, </w:t>
      </w:r>
      <w:hyperlink w:anchor="ref-oecd2017">
        <w:r>
          <w:rPr>
            <w:rStyle w:val="Hyperlink"/>
          </w:rPr>
          <w:t>2017a</w:t>
        </w:r>
      </w:hyperlink>
      <w:r>
        <w:t xml:space="preserve">, </w:t>
      </w:r>
      <w:hyperlink w:anchor="ref-pisa2006">
        <w:r>
          <w:rPr>
            <w:rStyle w:val="Hyperlink"/>
          </w:rPr>
          <w:t>2006</w:t>
        </w:r>
      </w:hyperlink>
      <w:r>
        <w:t xml:space="preserve">), scientific literacy is defined by three core competencies: explaining phenomena scientifically, developing questions that can be </w:t>
      </w:r>
      <w:r>
        <w:lastRenderedPageBreak/>
        <w:t>answered through science, and drawing conclusions from data and evidence. Each of these competencies requires the use of different forms of knowledge. Content knowledge refers to students’ understanding of ideas and information related to science and technology. Procedural knowledge refers to understanding the methods one would use to design enquiry and to obtain and analyze data. Epistemic knowledge involves the justification of scientific enquiry (including hypothesis building, advancing an argument) and judgment of evidence and conclusions.</w:t>
      </w:r>
    </w:p>
    <w:p w14:paraId="6506B469" w14:textId="77777777" w:rsidR="0033629A" w:rsidRDefault="004409CB">
      <w:pPr>
        <w:pStyle w:val="BodyText"/>
      </w:pPr>
      <w:r>
        <w:t>These building blocks of scientific literacy are seen as crucial for making informed decisions that have local, national, and international consequences (</w:t>
      </w:r>
      <w:hyperlink w:anchor="ref-oecd2017">
        <w:r>
          <w:rPr>
            <w:rStyle w:val="Hyperlink"/>
          </w:rPr>
          <w:t>OECD, 2017a</w:t>
        </w:r>
      </w:hyperlink>
      <w:r>
        <w:t xml:space="preserve">). In fact, the PISA utilizes topics and issues at these levels to form assessment tasks. While the PISA includes climate change, sustainability, renewable energy, and similar topics on the exam, it does not necessarily measure knowledge of these directly. Rather, such topics are set within </w:t>
      </w:r>
      <w:r>
        <w:rPr>
          <w:i/>
          <w:iCs/>
        </w:rPr>
        <w:t>applications</w:t>
      </w:r>
      <w:r>
        <w:t xml:space="preserve">, five real-world areas which call for the application of scientific literacy: health and disease, natural resources, environmental quality, hazards, frontiers of science and technology. These applications are situated within three different </w:t>
      </w:r>
      <w:r>
        <w:rPr>
          <w:i/>
          <w:iCs/>
        </w:rPr>
        <w:t>contexts</w:t>
      </w:r>
      <w:r>
        <w:t>: personal, local/national, and global. These contexts represent “areas in which scientific literacy has particular value in enhancing and sustaining quality of life and in the development of public policy” (</w:t>
      </w:r>
      <w:hyperlink w:anchor="ref-oecd2019a">
        <w:r>
          <w:rPr>
            <w:rStyle w:val="Hyperlink"/>
          </w:rPr>
          <w:t>OECD, 2019b, p. 105</w:t>
        </w:r>
      </w:hyperlink>
      <w:r>
        <w:t>). The combination of applications and contexts ensures items are relevant to students and capture the goal of the PISA’s science assessment, which is using scientific literacy to address real-world science issues.</w:t>
      </w:r>
    </w:p>
    <w:p w14:paraId="4D44048C" w14:textId="7194C156" w:rsidR="0033629A" w:rsidRDefault="004409CB">
      <w:pPr>
        <w:pStyle w:val="BodyText"/>
      </w:pPr>
      <w:r>
        <w:t xml:space="preserve">PISA’s framework of scientific literacy and the relationships between competencies, knowledge, applications, and contexts are depicted in Figure </w:t>
      </w:r>
      <w:hyperlink w:anchor="pisaframework">
        <w:r>
          <w:fldChar w:fldCharType="begin"/>
        </w:r>
        <w:r>
          <w:instrText xml:space="preserve"> REF pisaframework \h</w:instrText>
        </w:r>
        <w:r>
          <w:fldChar w:fldCharType="separate"/>
        </w:r>
        <w:r w:rsidR="00766923">
          <w:rPr>
            <w:b/>
            <w:noProof/>
          </w:rPr>
          <w:t>3</w:t>
        </w:r>
        <w:r>
          <w:fldChar w:fldCharType="end"/>
        </w:r>
      </w:hyperlink>
      <w:r>
        <w:t xml:space="preserve">. </w:t>
      </w:r>
      <w:hyperlink w:anchor="pisacontexts">
        <w:r>
          <w:fldChar w:fldCharType="begin"/>
        </w:r>
        <w:r>
          <w:instrText xml:space="preserve"> REF pisacontexts \h</w:instrText>
        </w:r>
        <w:r>
          <w:fldChar w:fldCharType="separate"/>
        </w:r>
        <w:r w:rsidR="00766923">
          <w:rPr>
            <w:b/>
            <w:noProof/>
          </w:rPr>
          <w:t>1</w:t>
        </w:r>
        <w:r>
          <w:fldChar w:fldCharType="end"/>
        </w:r>
      </w:hyperlink>
      <w:r>
        <w:t xml:space="preserve"> depicts examples of contexts and applications that are specifically relevant to climate change. Finally, Figure </w:t>
      </w:r>
      <w:hyperlink w:anchor="pisaexample">
        <w:r>
          <w:fldChar w:fldCharType="begin"/>
        </w:r>
        <w:r>
          <w:instrText xml:space="preserve"> REF pisaexample \h</w:instrText>
        </w:r>
        <w:r>
          <w:fldChar w:fldCharType="separate"/>
        </w:r>
        <w:r w:rsidR="00766923">
          <w:rPr>
            <w:b/>
            <w:noProof/>
          </w:rPr>
          <w:t>4</w:t>
        </w:r>
        <w:r>
          <w:fldChar w:fldCharType="end"/>
        </w:r>
      </w:hyperlink>
      <w:r>
        <w:t xml:space="preserve"> shows an example item from the PISA to illustrate the scientific literacy framework in action. This item assesses epistemic knowledge and requires the test-taker to demonstrate the competency of </w:t>
      </w:r>
      <w:r>
        <w:lastRenderedPageBreak/>
        <w:t>explaining phenomena scientifically. It is written at the global context level and requires application of scientific literacy to environmental quality.</w:t>
      </w:r>
    </w:p>
    <w:p w14:paraId="456F57FC" w14:textId="0B469786" w:rsidR="0033629A" w:rsidRDefault="004409CB">
      <w:pPr>
        <w:pStyle w:val="BodyText"/>
      </w:pPr>
      <w:r>
        <w:t xml:space="preserve">Climate change is an important concept relevant to real-life at local, national, and global levels. It fits within </w:t>
      </w:r>
      <w:proofErr w:type="gramStart"/>
      <w:r>
        <w:t>a number of</w:t>
      </w:r>
      <w:proofErr w:type="gramEnd"/>
      <w:r>
        <w:t xml:space="preserve"> PISA applications and has been included in assessment items on the PISA. It is no leap of the imagination to see how </w:t>
      </w:r>
      <w:proofErr w:type="gramStart"/>
      <w:r>
        <w:t>having scientifically literate youth</w:t>
      </w:r>
      <w:proofErr w:type="gramEnd"/>
      <w:r>
        <w:t xml:space="preserve"> who can explain, interpret, and judge the science that informs climate change may have a bearing on the future of society. Furthermore, such an understanding is directly related to the original purpose of the PISA: “to measure how well 15-year-old students approaching the end of compulsory schooling are prepared to meet the challenges of today’s knowledge societies” (</w:t>
      </w:r>
      <w:hyperlink w:anchor="ref-oecd2012">
        <w:r>
          <w:rPr>
            <w:rStyle w:val="Hyperlink"/>
          </w:rPr>
          <w:t>OECD, 2012, p. 16</w:t>
        </w:r>
      </w:hyperlink>
      <w:r>
        <w:t>). There is arguably no greater societal challenge than climate change (</w:t>
      </w:r>
      <w:hyperlink w:anchor="ref-un2015">
        <w:r>
          <w:rPr>
            <w:rStyle w:val="Hyperlink"/>
          </w:rPr>
          <w:t>UN, 2015, May</w:t>
        </w:r>
      </w:hyperlink>
      <w:r>
        <w:t>). Therefore, scientific literacy may serve as an important measure of society’s ability to meet that challenge.</w:t>
      </w:r>
    </w:p>
    <w:p w14:paraId="73A751CE" w14:textId="195B7E0B" w:rsidR="00993683" w:rsidRDefault="00993683" w:rsidP="00993683">
      <w:pPr>
        <w:pStyle w:val="BodyText"/>
      </w:pPr>
      <w:r>
        <w:rPr>
          <w:b/>
          <w:bCs/>
          <w:i/>
          <w:iCs/>
        </w:rPr>
        <w:t>What is Environmental Literacy?</w:t>
      </w:r>
      <w:r>
        <w:t xml:space="preserve"> At this point, it is important to briefly distinguish between scientific literacy, environmental literacy, and climate literacy. These three forms of literacy are not mutually exclusive and all of them may be borne from the broad field of science education or the related fields of environmental education and climate education. Environmental education is sometimes considered a subfield of science education; however, it is more often seen as distinct, with climate education often considered a subfield of environmental education.</w:t>
      </w:r>
    </w:p>
    <w:p w14:paraId="65FF3C78" w14:textId="140C434A" w:rsidR="00993683" w:rsidRDefault="00993683" w:rsidP="00993683">
      <w:pPr>
        <w:pStyle w:val="BodyText"/>
      </w:pPr>
      <w:r>
        <w:t>There are two primary differences between science education, which has its roots stretching back to the 19th century (</w:t>
      </w:r>
      <w:hyperlink w:anchor="ref-deboer1991">
        <w:r>
          <w:rPr>
            <w:rStyle w:val="Hyperlink"/>
          </w:rPr>
          <w:t>DeBoer, 1991</w:t>
        </w:r>
      </w:hyperlink>
      <w:r>
        <w:t>), and environmental education, which begins roughly in the 1960s (</w:t>
      </w:r>
      <w:hyperlink w:anchor="ref-roth1992">
        <w:r>
          <w:rPr>
            <w:rStyle w:val="Hyperlink"/>
          </w:rPr>
          <w:t>Roth, 1992</w:t>
        </w:r>
      </w:hyperlink>
      <w:r>
        <w:t xml:space="preserve">). First, whereas science education focuses on broad concepts and skills across a range of domains, environmental education is premised on an </w:t>
      </w:r>
    </w:p>
    <w:p w14:paraId="2E2F9D03" w14:textId="77777777" w:rsidR="00993683" w:rsidRDefault="00993683">
      <w:pPr>
        <w:pStyle w:val="BodyText"/>
      </w:pPr>
    </w:p>
    <w:p w14:paraId="5B8F3251" w14:textId="357E18D1" w:rsidR="0033629A" w:rsidRDefault="0033629A" w:rsidP="00993683">
      <w:pPr>
        <w:ind w:firstLine="0"/>
      </w:pPr>
    </w:p>
    <w:p w14:paraId="1F8A2A1D" w14:textId="77777777" w:rsidR="0033629A" w:rsidRDefault="004409CB" w:rsidP="00993683">
      <w:pPr>
        <w:pStyle w:val="Figure"/>
        <w:ind w:firstLine="720"/>
        <w:jc w:val="center"/>
      </w:pPr>
      <w:r>
        <w:rPr>
          <w:noProof/>
        </w:rPr>
        <w:drawing>
          <wp:inline distT="0" distB="0" distL="0" distR="0" wp14:anchorId="102595D1" wp14:editId="462F6C30">
            <wp:extent cx="5585310" cy="37206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17"/>
                    <a:srcRect/>
                    <a:stretch>
                      <a:fillRect/>
                    </a:stretch>
                  </pic:blipFill>
                  <pic:spPr bwMode="auto">
                    <a:xfrm>
                      <a:off x="0" y="0"/>
                      <a:ext cx="77938" cy="51918"/>
                    </a:xfrm>
                    <a:prstGeom prst="rect">
                      <a:avLst/>
                    </a:prstGeom>
                    <a:noFill/>
                  </pic:spPr>
                </pic:pic>
              </a:graphicData>
            </a:graphic>
          </wp:inline>
        </w:drawing>
      </w:r>
    </w:p>
    <w:p w14:paraId="127E6877" w14:textId="4D1CA800" w:rsidR="0033629A" w:rsidRDefault="004409CB">
      <w:pPr>
        <w:pStyle w:val="ImageCaption"/>
      </w:pPr>
      <w:bookmarkStart w:id="22" w:name="_Toc105675518"/>
      <w:r>
        <w:rPr>
          <w:b/>
        </w:rPr>
        <w:t xml:space="preserve">Figure </w:t>
      </w:r>
      <w:bookmarkStart w:id="23" w:name="pisaframework"/>
      <w:r>
        <w:rPr>
          <w:b/>
        </w:rPr>
        <w:fldChar w:fldCharType="begin"/>
      </w:r>
      <w:r>
        <w:rPr>
          <w:b/>
        </w:rPr>
        <w:instrText>SEQ Figure \* Arabic</w:instrText>
      </w:r>
      <w:r>
        <w:rPr>
          <w:b/>
        </w:rPr>
        <w:fldChar w:fldCharType="separate"/>
      </w:r>
      <w:r w:rsidR="00766923">
        <w:rPr>
          <w:b/>
          <w:noProof/>
        </w:rPr>
        <w:t>3</w:t>
      </w:r>
      <w:r>
        <w:rPr>
          <w:b/>
        </w:rPr>
        <w:fldChar w:fldCharType="end"/>
      </w:r>
      <w:bookmarkEnd w:id="23"/>
      <w:r>
        <w:t>: PISA Science Framework</w:t>
      </w:r>
      <w:bookmarkEnd w:id="22"/>
    </w:p>
    <w:p w14:paraId="167A4D1D" w14:textId="77777777" w:rsidR="0033629A" w:rsidRDefault="004409CB">
      <w:r>
        <w:br w:type="page"/>
      </w:r>
    </w:p>
    <w:p w14:paraId="6CED07A2" w14:textId="01CF8A77" w:rsidR="0033629A" w:rsidRDefault="004409CB">
      <w:pPr>
        <w:pStyle w:val="TableCaption"/>
      </w:pPr>
      <w:bookmarkStart w:id="24" w:name="_Toc105675505"/>
      <w:r>
        <w:rPr>
          <w:b/>
        </w:rPr>
        <w:lastRenderedPageBreak/>
        <w:t xml:space="preserve">Table </w:t>
      </w:r>
      <w:bookmarkStart w:id="25" w:name="pisacontexts"/>
      <w:r>
        <w:rPr>
          <w:b/>
        </w:rPr>
        <w:fldChar w:fldCharType="begin"/>
      </w:r>
      <w:r>
        <w:rPr>
          <w:b/>
        </w:rPr>
        <w:instrText>SEQ tab \* Arabic</w:instrText>
      </w:r>
      <w:r>
        <w:rPr>
          <w:b/>
        </w:rPr>
        <w:fldChar w:fldCharType="separate"/>
      </w:r>
      <w:r w:rsidR="00766923">
        <w:rPr>
          <w:b/>
          <w:noProof/>
        </w:rPr>
        <w:t>1</w:t>
      </w:r>
      <w:r>
        <w:rPr>
          <w:b/>
        </w:rPr>
        <w:fldChar w:fldCharType="end"/>
      </w:r>
      <w:bookmarkEnd w:id="25"/>
      <w:r>
        <w:t>: Applications from the PISA scientific literacy assessment that are relevant to climate change.</w:t>
      </w:r>
      <w:bookmarkEnd w:id="24"/>
    </w:p>
    <w:tbl>
      <w:tblPr>
        <w:tblW w:w="0" w:type="auto"/>
        <w:jc w:val="center"/>
        <w:tblLook w:val="0420" w:firstRow="1" w:lastRow="0" w:firstColumn="0" w:lastColumn="0" w:noHBand="0" w:noVBand="1"/>
      </w:tblPr>
      <w:tblGrid>
        <w:gridCol w:w="1497"/>
        <w:gridCol w:w="2378"/>
        <w:gridCol w:w="3134"/>
        <w:gridCol w:w="2063"/>
      </w:tblGrid>
      <w:tr w:rsidR="0033629A" w14:paraId="58C942B5" w14:textId="77777777">
        <w:trPr>
          <w:cantSplit/>
          <w:tblHeader/>
          <w:jc w:val="center"/>
        </w:trPr>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C4AB13C" w14:textId="77777777" w:rsidR="0033629A" w:rsidRDefault="004409CB">
            <w:pPr>
              <w:keepNext/>
              <w:spacing w:before="100" w:after="100" w:line="240" w:lineRule="auto"/>
              <w:ind w:left="100" w:right="100" w:firstLine="0"/>
            </w:pPr>
            <w:r>
              <w:rPr>
                <w:rFonts w:eastAsia="Times New Roman"/>
                <w:color w:val="000000"/>
                <w:sz w:val="20"/>
                <w:szCs w:val="20"/>
              </w:rPr>
              <w:t xml:space="preserve"> </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87E2D7A" w14:textId="77777777" w:rsidR="0033629A" w:rsidRDefault="004409CB">
            <w:pPr>
              <w:keepNext/>
              <w:spacing w:before="100" w:after="100" w:line="240" w:lineRule="auto"/>
              <w:ind w:left="100" w:right="100" w:firstLine="0"/>
            </w:pPr>
            <w:r>
              <w:rPr>
                <w:rFonts w:eastAsia="Times New Roman"/>
                <w:color w:val="000000"/>
                <w:sz w:val="20"/>
                <w:szCs w:val="20"/>
              </w:rPr>
              <w:t>Personal</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BA383A0" w14:textId="77777777" w:rsidR="0033629A" w:rsidRDefault="004409CB">
            <w:pPr>
              <w:keepNext/>
              <w:spacing w:before="100" w:after="100" w:line="240" w:lineRule="auto"/>
              <w:ind w:left="100" w:right="100" w:firstLine="0"/>
            </w:pPr>
            <w:r>
              <w:rPr>
                <w:rFonts w:eastAsia="Times New Roman"/>
                <w:color w:val="000000"/>
                <w:sz w:val="20"/>
                <w:szCs w:val="20"/>
              </w:rPr>
              <w:t>Local/National</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AFD76F4" w14:textId="77777777" w:rsidR="0033629A" w:rsidRDefault="004409CB">
            <w:pPr>
              <w:keepNext/>
              <w:spacing w:before="100" w:after="100" w:line="240" w:lineRule="auto"/>
              <w:ind w:left="100" w:right="100" w:firstLine="0"/>
            </w:pPr>
            <w:r>
              <w:rPr>
                <w:rFonts w:eastAsia="Times New Roman"/>
                <w:color w:val="000000"/>
                <w:sz w:val="20"/>
                <w:szCs w:val="20"/>
              </w:rPr>
              <w:t>Global</w:t>
            </w:r>
          </w:p>
        </w:tc>
      </w:tr>
      <w:tr w:rsidR="0033629A" w14:paraId="18C922F4" w14:textId="77777777">
        <w:trPr>
          <w:cantSplit/>
          <w:jc w:val="center"/>
        </w:trPr>
        <w:tc>
          <w:tcPr>
            <w:tcW w:w="0" w:type="auto"/>
            <w:shd w:val="clear" w:color="auto" w:fill="FFFFFF"/>
            <w:tcMar>
              <w:top w:w="0" w:type="dxa"/>
              <w:left w:w="0" w:type="dxa"/>
              <w:bottom w:w="0" w:type="dxa"/>
              <w:right w:w="0" w:type="dxa"/>
            </w:tcMar>
          </w:tcPr>
          <w:p w14:paraId="3C111250" w14:textId="77777777" w:rsidR="0033629A" w:rsidRDefault="004409CB">
            <w:pPr>
              <w:keepNext/>
              <w:spacing w:before="100" w:after="100" w:line="240" w:lineRule="auto"/>
              <w:ind w:left="100" w:right="100" w:firstLine="0"/>
            </w:pPr>
            <w:r>
              <w:rPr>
                <w:rFonts w:eastAsia="Times New Roman"/>
                <w:color w:val="000000"/>
                <w:sz w:val="20"/>
                <w:szCs w:val="20"/>
              </w:rPr>
              <w:t>Environmental quality</w:t>
            </w:r>
          </w:p>
        </w:tc>
        <w:tc>
          <w:tcPr>
            <w:tcW w:w="0" w:type="auto"/>
            <w:shd w:val="clear" w:color="auto" w:fill="FFFFFF"/>
            <w:tcMar>
              <w:top w:w="0" w:type="dxa"/>
              <w:left w:w="0" w:type="dxa"/>
              <w:bottom w:w="0" w:type="dxa"/>
              <w:right w:w="0" w:type="dxa"/>
            </w:tcMar>
          </w:tcPr>
          <w:p w14:paraId="75F86ADD" w14:textId="77777777" w:rsidR="0033629A" w:rsidRDefault="004409CB">
            <w:pPr>
              <w:keepNext/>
              <w:spacing w:before="100" w:after="100" w:line="240" w:lineRule="auto"/>
              <w:ind w:left="100" w:right="100" w:firstLine="0"/>
            </w:pPr>
            <w:r>
              <w:rPr>
                <w:rFonts w:eastAsia="Times New Roman"/>
                <w:color w:val="000000"/>
                <w:sz w:val="20"/>
                <w:szCs w:val="20"/>
              </w:rPr>
              <w:t>Environmentally friendly actions, use and disposal of materials and devices</w:t>
            </w:r>
          </w:p>
        </w:tc>
        <w:tc>
          <w:tcPr>
            <w:tcW w:w="0" w:type="auto"/>
            <w:shd w:val="clear" w:color="auto" w:fill="FFFFFF"/>
            <w:tcMar>
              <w:top w:w="0" w:type="dxa"/>
              <w:left w:w="0" w:type="dxa"/>
              <w:bottom w:w="0" w:type="dxa"/>
              <w:right w:w="0" w:type="dxa"/>
            </w:tcMar>
          </w:tcPr>
          <w:p w14:paraId="56289E63" w14:textId="77777777" w:rsidR="0033629A" w:rsidRDefault="004409CB">
            <w:pPr>
              <w:keepNext/>
              <w:spacing w:before="100" w:after="100" w:line="240" w:lineRule="auto"/>
              <w:ind w:left="100" w:right="100" w:firstLine="0"/>
            </w:pPr>
            <w:r>
              <w:rPr>
                <w:rFonts w:eastAsia="Times New Roman"/>
                <w:color w:val="000000"/>
                <w:sz w:val="20"/>
                <w:szCs w:val="20"/>
              </w:rPr>
              <w:t>Population distribution, disposal of waste, environmental impact</w:t>
            </w:r>
          </w:p>
        </w:tc>
        <w:tc>
          <w:tcPr>
            <w:tcW w:w="0" w:type="auto"/>
            <w:shd w:val="clear" w:color="auto" w:fill="FFFFFF"/>
            <w:tcMar>
              <w:top w:w="0" w:type="dxa"/>
              <w:left w:w="0" w:type="dxa"/>
              <w:bottom w:w="0" w:type="dxa"/>
              <w:right w:w="0" w:type="dxa"/>
            </w:tcMar>
          </w:tcPr>
          <w:p w14:paraId="6F5130C7" w14:textId="77777777" w:rsidR="0033629A" w:rsidRDefault="004409CB">
            <w:pPr>
              <w:keepNext/>
              <w:spacing w:before="100" w:after="100" w:line="240" w:lineRule="auto"/>
              <w:ind w:left="100" w:right="100" w:firstLine="0"/>
            </w:pPr>
            <w:r>
              <w:rPr>
                <w:rFonts w:eastAsia="Times New Roman"/>
                <w:color w:val="000000"/>
                <w:sz w:val="20"/>
                <w:szCs w:val="20"/>
              </w:rPr>
              <w:t>Biodiversity, ecological sustainability, control of pollution,</w:t>
            </w:r>
            <w:r>
              <w:rPr>
                <w:rFonts w:eastAsia="Times New Roman"/>
                <w:color w:val="000000"/>
                <w:sz w:val="20"/>
                <w:szCs w:val="20"/>
              </w:rPr>
              <w:br/>
              <w:t>production and loss of soil/biomass</w:t>
            </w:r>
          </w:p>
        </w:tc>
      </w:tr>
      <w:tr w:rsidR="0033629A" w14:paraId="6778437C" w14:textId="77777777">
        <w:trPr>
          <w:cantSplit/>
          <w:jc w:val="center"/>
        </w:trPr>
        <w:tc>
          <w:tcPr>
            <w:tcW w:w="0" w:type="auto"/>
            <w:tcBorders>
              <w:bottom w:val="single" w:sz="16" w:space="0" w:color="666666"/>
            </w:tcBorders>
            <w:shd w:val="clear" w:color="auto" w:fill="FFFFFF"/>
            <w:tcMar>
              <w:top w:w="0" w:type="dxa"/>
              <w:left w:w="0" w:type="dxa"/>
              <w:bottom w:w="0" w:type="dxa"/>
              <w:right w:w="0" w:type="dxa"/>
            </w:tcMar>
          </w:tcPr>
          <w:p w14:paraId="774EAA67" w14:textId="77777777" w:rsidR="0033629A" w:rsidRDefault="004409CB">
            <w:pPr>
              <w:keepNext/>
              <w:spacing w:before="100" w:after="100" w:line="240" w:lineRule="auto"/>
              <w:ind w:left="100" w:right="100" w:firstLine="0"/>
            </w:pPr>
            <w:r>
              <w:rPr>
                <w:rFonts w:eastAsia="Times New Roman"/>
                <w:color w:val="000000"/>
                <w:sz w:val="20"/>
                <w:szCs w:val="20"/>
              </w:rPr>
              <w:t>Hazards</w:t>
            </w:r>
          </w:p>
        </w:tc>
        <w:tc>
          <w:tcPr>
            <w:tcW w:w="0" w:type="auto"/>
            <w:tcBorders>
              <w:bottom w:val="single" w:sz="16" w:space="0" w:color="666666"/>
            </w:tcBorders>
            <w:shd w:val="clear" w:color="auto" w:fill="FFFFFF"/>
            <w:tcMar>
              <w:top w:w="0" w:type="dxa"/>
              <w:left w:w="0" w:type="dxa"/>
              <w:bottom w:w="0" w:type="dxa"/>
              <w:right w:w="0" w:type="dxa"/>
            </w:tcMar>
          </w:tcPr>
          <w:p w14:paraId="1FEC215D" w14:textId="77777777" w:rsidR="0033629A" w:rsidRDefault="004409CB">
            <w:pPr>
              <w:keepNext/>
              <w:spacing w:before="100" w:after="100" w:line="240" w:lineRule="auto"/>
              <w:ind w:left="100" w:right="100" w:firstLine="0"/>
            </w:pPr>
            <w:r>
              <w:rPr>
                <w:rFonts w:eastAsia="Times New Roman"/>
                <w:color w:val="000000"/>
                <w:sz w:val="20"/>
                <w:szCs w:val="20"/>
              </w:rPr>
              <w:t>Risk assessments of lifestyle choices</w:t>
            </w:r>
          </w:p>
        </w:tc>
        <w:tc>
          <w:tcPr>
            <w:tcW w:w="0" w:type="auto"/>
            <w:tcBorders>
              <w:bottom w:val="single" w:sz="16" w:space="0" w:color="666666"/>
            </w:tcBorders>
            <w:shd w:val="clear" w:color="auto" w:fill="FFFFFF"/>
            <w:tcMar>
              <w:top w:w="0" w:type="dxa"/>
              <w:left w:w="0" w:type="dxa"/>
              <w:bottom w:w="0" w:type="dxa"/>
              <w:right w:w="0" w:type="dxa"/>
            </w:tcMar>
          </w:tcPr>
          <w:p w14:paraId="40C8AEA6" w14:textId="77777777" w:rsidR="0033629A" w:rsidRDefault="004409CB">
            <w:pPr>
              <w:keepNext/>
              <w:spacing w:before="100" w:after="100" w:line="240" w:lineRule="auto"/>
              <w:ind w:left="100" w:right="100" w:firstLine="0"/>
            </w:pPr>
            <w:r>
              <w:rPr>
                <w:rFonts w:eastAsia="Times New Roman"/>
                <w:color w:val="000000"/>
                <w:sz w:val="20"/>
                <w:szCs w:val="20"/>
              </w:rPr>
              <w:t>Rapid changes (e.g., earthquakes, severe weather), slow and progressive changes (e.g., coastal erosion, sedimentation), risk assessment</w:t>
            </w:r>
          </w:p>
        </w:tc>
        <w:tc>
          <w:tcPr>
            <w:tcW w:w="0" w:type="auto"/>
            <w:tcBorders>
              <w:bottom w:val="single" w:sz="16" w:space="0" w:color="666666"/>
            </w:tcBorders>
            <w:shd w:val="clear" w:color="auto" w:fill="FFFFFF"/>
            <w:tcMar>
              <w:top w:w="0" w:type="dxa"/>
              <w:left w:w="0" w:type="dxa"/>
              <w:bottom w:w="0" w:type="dxa"/>
              <w:right w:w="0" w:type="dxa"/>
            </w:tcMar>
          </w:tcPr>
          <w:p w14:paraId="6DE0E32E" w14:textId="77777777" w:rsidR="0033629A" w:rsidRDefault="004409CB">
            <w:pPr>
              <w:keepNext/>
              <w:spacing w:before="100" w:after="100" w:line="240" w:lineRule="auto"/>
              <w:ind w:left="100" w:right="100" w:firstLine="0"/>
            </w:pPr>
            <w:r>
              <w:rPr>
                <w:rFonts w:eastAsia="Times New Roman"/>
                <w:color w:val="000000"/>
                <w:sz w:val="20"/>
                <w:szCs w:val="20"/>
              </w:rPr>
              <w:t>Climate change, impact of modern communication</w:t>
            </w:r>
          </w:p>
        </w:tc>
      </w:tr>
      <w:tr w:rsidR="0033629A" w14:paraId="271E811E" w14:textId="77777777">
        <w:trPr>
          <w:cantSplit/>
          <w:jc w:val="center"/>
        </w:trPr>
        <w:tc>
          <w:tcPr>
            <w:tcW w:w="0" w:type="auto"/>
            <w:gridSpan w:val="4"/>
            <w:shd w:val="clear" w:color="auto" w:fill="FFFFFF"/>
            <w:tcMar>
              <w:top w:w="0" w:type="dxa"/>
              <w:left w:w="0" w:type="dxa"/>
              <w:bottom w:w="0" w:type="dxa"/>
              <w:right w:w="0" w:type="dxa"/>
            </w:tcMar>
            <w:vAlign w:val="center"/>
          </w:tcPr>
          <w:p w14:paraId="0BC1DBEB" w14:textId="77777777" w:rsidR="0033629A" w:rsidRDefault="004409CB">
            <w:pPr>
              <w:keepNext/>
              <w:spacing w:before="100" w:after="100" w:line="240" w:lineRule="auto"/>
              <w:ind w:left="100" w:right="100" w:firstLine="0"/>
            </w:pPr>
            <w:r>
              <w:rPr>
                <w:rFonts w:eastAsia="Times New Roman"/>
                <w:color w:val="000000"/>
                <w:sz w:val="20"/>
                <w:szCs w:val="20"/>
              </w:rPr>
              <w:t>OECD (2019), p. 105</w:t>
            </w:r>
          </w:p>
        </w:tc>
      </w:tr>
    </w:tbl>
    <w:p w14:paraId="584C1EF5" w14:textId="77777777" w:rsidR="0033629A" w:rsidRDefault="004409CB">
      <w:r>
        <w:br w:type="page"/>
      </w:r>
    </w:p>
    <w:p w14:paraId="7B4C8CA5" w14:textId="77777777" w:rsidR="0033629A" w:rsidRDefault="004409CB" w:rsidP="005255AE">
      <w:pPr>
        <w:pStyle w:val="Figure"/>
        <w:ind w:firstLine="540"/>
        <w:jc w:val="center"/>
      </w:pPr>
      <w:r>
        <w:rPr>
          <w:noProof/>
        </w:rPr>
        <w:lastRenderedPageBreak/>
        <w:drawing>
          <wp:inline distT="0" distB="0" distL="0" distR="0" wp14:anchorId="1B60A353" wp14:editId="1D42746F">
            <wp:extent cx="5943409" cy="3461657"/>
            <wp:effectExtent l="0" t="0" r="63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18"/>
                    <a:srcRect/>
                    <a:stretch>
                      <a:fillRect/>
                    </a:stretch>
                  </pic:blipFill>
                  <pic:spPr bwMode="auto">
                    <a:xfrm>
                      <a:off x="0" y="0"/>
                      <a:ext cx="82642" cy="48134"/>
                    </a:xfrm>
                    <a:prstGeom prst="rect">
                      <a:avLst/>
                    </a:prstGeom>
                    <a:noFill/>
                  </pic:spPr>
                </pic:pic>
              </a:graphicData>
            </a:graphic>
          </wp:inline>
        </w:drawing>
      </w:r>
    </w:p>
    <w:p w14:paraId="42BC8882" w14:textId="7BD67479" w:rsidR="0033629A" w:rsidRDefault="004409CB">
      <w:pPr>
        <w:pStyle w:val="ImageCaption"/>
      </w:pPr>
      <w:bookmarkStart w:id="26" w:name="_Toc105675519"/>
      <w:r>
        <w:rPr>
          <w:b/>
        </w:rPr>
        <w:t xml:space="preserve">Figure </w:t>
      </w:r>
      <w:bookmarkStart w:id="27" w:name="pisaexample"/>
      <w:r>
        <w:rPr>
          <w:b/>
        </w:rPr>
        <w:fldChar w:fldCharType="begin"/>
      </w:r>
      <w:r>
        <w:rPr>
          <w:b/>
        </w:rPr>
        <w:instrText>SEQ Figure \* Arabic</w:instrText>
      </w:r>
      <w:r>
        <w:rPr>
          <w:b/>
        </w:rPr>
        <w:fldChar w:fldCharType="separate"/>
      </w:r>
      <w:r w:rsidR="00766923">
        <w:rPr>
          <w:b/>
          <w:noProof/>
        </w:rPr>
        <w:t>4</w:t>
      </w:r>
      <w:r>
        <w:rPr>
          <w:b/>
        </w:rPr>
        <w:fldChar w:fldCharType="end"/>
      </w:r>
      <w:bookmarkEnd w:id="27"/>
      <w:r>
        <w:t>: An example item from the PISA Scientific Literacy assessment. Images reproduced from OECD, 2017, p. 33-34.</w:t>
      </w:r>
      <w:bookmarkEnd w:id="26"/>
    </w:p>
    <w:p w14:paraId="55CDB2B9" w14:textId="77777777" w:rsidR="0033629A" w:rsidRDefault="004409CB">
      <w:r>
        <w:br w:type="page"/>
      </w:r>
    </w:p>
    <w:p w14:paraId="0BAD7750" w14:textId="08C68294" w:rsidR="0033629A" w:rsidRDefault="00993683" w:rsidP="00993683">
      <w:pPr>
        <w:pStyle w:val="BodyText"/>
        <w:ind w:firstLine="0"/>
      </w:pPr>
      <w:r>
        <w:lastRenderedPageBreak/>
        <w:t>ecological paradigm that focuses on environmental health and the role of human behavior (</w:t>
      </w:r>
      <w:hyperlink w:anchor="ref-roth1992">
        <w:r>
          <w:rPr>
            <w:rStyle w:val="Hyperlink"/>
          </w:rPr>
          <w:t>Roth, 1992</w:t>
        </w:r>
      </w:hyperlink>
      <w:r>
        <w:t xml:space="preserve">). </w:t>
      </w:r>
      <w:r w:rsidR="004409CB">
        <w:t>To that end, the second, perhaps larger difference, is that environmental education also involves the formation of pro-environmental values and behavior change to improve environmental health (</w:t>
      </w:r>
      <w:hyperlink w:anchor="ref-wals2014">
        <w:r w:rsidR="004409CB">
          <w:rPr>
            <w:rStyle w:val="Hyperlink"/>
          </w:rPr>
          <w:t>Wals et al., 2014</w:t>
        </w:r>
      </w:hyperlink>
      <w:r w:rsidR="004409CB">
        <w:t>). Thus, there is a major attitudinal component to environmental education that science education generally lacks. Environmental literacy, therefore, can be seen as “the capacity to perceive and interpret the relative health of environmental systems and take appropriate action to maintain, restore, or improve the health of those systems” (</w:t>
      </w:r>
      <w:hyperlink w:anchor="ref-roth1992">
        <w:r w:rsidR="004409CB">
          <w:rPr>
            <w:rStyle w:val="Hyperlink"/>
          </w:rPr>
          <w:t>Roth, 1992, p. 10</w:t>
        </w:r>
      </w:hyperlink>
      <w:r w:rsidR="004409CB">
        <w:t>).</w:t>
      </w:r>
    </w:p>
    <w:p w14:paraId="18C6F8F4" w14:textId="77777777" w:rsidR="0033629A" w:rsidRDefault="004409CB">
      <w:pPr>
        <w:pStyle w:val="BodyText"/>
      </w:pPr>
      <w:r>
        <w:t>To reiterate, scientific literacy and environmental literacy are not mutually exclusive. Kaya and Elster (</w:t>
      </w:r>
      <w:hyperlink w:anchor="ref-kaya2018">
        <w:r>
          <w:rPr>
            <w:rStyle w:val="Hyperlink"/>
          </w:rPr>
          <w:t>2018</w:t>
        </w:r>
      </w:hyperlink>
      <w:r>
        <w:t xml:space="preserve">) argue that environmental literacy is part of scientific literacy. Recall that one of the aims of scientific literacy is to ensure individuals can engage with science-related issues. Environmental literacy provides such a capacity - one focused on ecological health. Likewise, science education curricula often include environmental education. For example, in the United States, the semi-national Next Generation Science Standards (NGSS; adopted by 20 states) “make clear the argument that environmental education is not separate from mandated education </w:t>
      </w:r>
      <w:proofErr w:type="gramStart"/>
      <w:r>
        <w:t>priorities, but</w:t>
      </w:r>
      <w:proofErr w:type="gramEnd"/>
      <w:r>
        <w:t xml:space="preserve"> should be integral to them” (</w:t>
      </w:r>
      <w:hyperlink w:anchor="ref-simmons2015">
        <w:r>
          <w:rPr>
            <w:rStyle w:val="Hyperlink"/>
          </w:rPr>
          <w:t>Simmons, 2015, p. 5</w:t>
        </w:r>
      </w:hyperlink>
      <w:r>
        <w:t>). It also appears, to varying degrees, in other national curricula (</w:t>
      </w:r>
      <w:proofErr w:type="gramStart"/>
      <w:r>
        <w:t>e.g.</w:t>
      </w:r>
      <w:proofErr w:type="gramEnd"/>
      <w:r>
        <w:t xml:space="preserve"> </w:t>
      </w:r>
      <w:hyperlink w:anchor="ref-derman2018">
        <w:r>
          <w:rPr>
            <w:rStyle w:val="Hyperlink"/>
          </w:rPr>
          <w:t>Derman &amp; Gurbuz, 2018</w:t>
        </w:r>
      </w:hyperlink>
      <w:r>
        <w:t>).</w:t>
      </w:r>
    </w:p>
    <w:p w14:paraId="244967A8" w14:textId="77777777" w:rsidR="0033629A" w:rsidRDefault="00710174">
      <w:pPr>
        <w:pStyle w:val="BodyText"/>
      </w:pPr>
      <w:hyperlink w:anchor="ref-kaya2018">
        <w:r w:rsidR="004409CB">
          <w:rPr>
            <w:rStyle w:val="Hyperlink"/>
          </w:rPr>
          <w:t>Kaya &amp; Elster</w:t>
        </w:r>
      </w:hyperlink>
      <w:r w:rsidR="004409CB">
        <w:t xml:space="preserve"> (</w:t>
      </w:r>
      <w:hyperlink w:anchor="ref-kaya2018">
        <w:r w:rsidR="004409CB">
          <w:rPr>
            <w:rStyle w:val="Hyperlink"/>
          </w:rPr>
          <w:t>2018</w:t>
        </w:r>
      </w:hyperlink>
      <w:r w:rsidR="004409CB">
        <w:t>) also make the case that the PISA framework can provide some assessment of environmental literacy. The PISA includes questions on numerous environmental issues (recall the contexts and applications above). However, it does not assess it directly. Nevertheless, PISA 2006 and PISA 2015 included questions related to environmental awareness, concern, and responsibility, allowing for assessment of aspects of environmental literacy (</w:t>
      </w:r>
      <w:hyperlink w:anchor="ref-oecd2017">
        <w:r w:rsidR="004409CB">
          <w:rPr>
            <w:rStyle w:val="Hyperlink"/>
          </w:rPr>
          <w:t>OECD, 2017a</w:t>
        </w:r>
      </w:hyperlink>
      <w:r w:rsidR="004409CB">
        <w:t>). Relevant research is discussed below.</w:t>
      </w:r>
    </w:p>
    <w:p w14:paraId="2F1A68A8" w14:textId="77777777" w:rsidR="0033629A" w:rsidRDefault="004409CB">
      <w:pPr>
        <w:pStyle w:val="BodyText"/>
      </w:pPr>
      <w:r>
        <w:rPr>
          <w:b/>
          <w:bCs/>
          <w:i/>
          <w:iCs/>
        </w:rPr>
        <w:lastRenderedPageBreak/>
        <w:t>What is Climate Literacy?</w:t>
      </w:r>
      <w:r>
        <w:t xml:space="preserve"> Though there is little empirical evidence directly correlating scientific literacy with climate literacy, the fact that they both independently correlate with climate change concern (research presented below) indirectly indicates an overlap. In addition, science education has been promoted by prominent science education policy organizations as a vehicle to introduce “social activism in students so that they become scientifically informed and socially responsible youth and adults” (cited in </w:t>
      </w:r>
      <w:hyperlink w:anchor="ref-skamp2013">
        <w:r>
          <w:rPr>
            <w:rStyle w:val="Hyperlink"/>
          </w:rPr>
          <w:t>Skamp et al., 2013</w:t>
        </w:r>
      </w:hyperlink>
      <w:r>
        <w:t>). There is no doubt climate change is part of this activism, as it is the most pressing environmental issue of the time.</w:t>
      </w:r>
    </w:p>
    <w:p w14:paraId="232DB998" w14:textId="77777777" w:rsidR="0033629A" w:rsidRDefault="004409CB">
      <w:pPr>
        <w:pStyle w:val="BodyText"/>
      </w:pPr>
      <w:r>
        <w:t>As the youth climate movement rapidly spreads around the world (</w:t>
      </w:r>
      <w:hyperlink w:anchor="ref-nissen2021">
        <w:r>
          <w:rPr>
            <w:rStyle w:val="Hyperlink"/>
          </w:rPr>
          <w:t>Nissen et al., 2021</w:t>
        </w:r>
      </w:hyperlink>
      <w:r>
        <w:t xml:space="preserve">; </w:t>
      </w:r>
      <w:hyperlink w:anchor="ref-sabherwal2021">
        <w:r>
          <w:rPr>
            <w:rStyle w:val="Hyperlink"/>
          </w:rPr>
          <w:t>Sabherwal et al., 2021</w:t>
        </w:r>
      </w:hyperlink>
      <w:r>
        <w:t>), and as the effects of climate change are being felt now and recognized by more people, especially in the Global South, it would be difficult to escape any knowledge of it. This type of informal knowledge, learned from family, peers, and real-world experience, is captured by the PISA (</w:t>
      </w:r>
      <w:hyperlink w:anchor="ref-bybee2008">
        <w:r>
          <w:rPr>
            <w:rStyle w:val="Hyperlink"/>
          </w:rPr>
          <w:t>Bybee, 2008</w:t>
        </w:r>
      </w:hyperlink>
      <w:r>
        <w:t>). For these reasons, scientific literacy makes an excellent proxy for climate literacy.</w:t>
      </w:r>
    </w:p>
    <w:p w14:paraId="2C35B76A" w14:textId="77777777" w:rsidR="0033629A" w:rsidRDefault="004409CB">
      <w:pPr>
        <w:pStyle w:val="BodyText"/>
      </w:pPr>
      <w:r>
        <w:t xml:space="preserve">A rough distinction can be made between climate education and climate change education. Climate education is more closely aligned with general science education, taking a mechanistic view of climate </w:t>
      </w:r>
      <w:proofErr w:type="gramStart"/>
      <w:r>
        <w:t>change</w:t>
      </w:r>
      <w:proofErr w:type="gramEnd"/>
      <w:r>
        <w:t xml:space="preserve"> and focusing on the physical processes through which the earth is warming. There is also a focus on how human activities are driving climate change and actions that can mitigate them (</w:t>
      </w:r>
      <w:hyperlink w:anchor="ref-climateliteracy2009">
        <w:r>
          <w:rPr>
            <w:rStyle w:val="Hyperlink"/>
          </w:rPr>
          <w:t>U.S. Global Change Research Program, 2009</w:t>
        </w:r>
      </w:hyperlink>
      <w:r>
        <w:t>).</w:t>
      </w:r>
    </w:p>
    <w:p w14:paraId="23CA2404" w14:textId="77777777" w:rsidR="0033629A" w:rsidRDefault="004409CB">
      <w:pPr>
        <w:pStyle w:val="BodyText"/>
      </w:pPr>
      <w:r>
        <w:t>While there is evidence that this mechanistic knowledge of climate change can increase belief (</w:t>
      </w:r>
      <w:hyperlink w:anchor="ref-ranney2016">
        <w:r>
          <w:rPr>
            <w:rStyle w:val="Hyperlink"/>
          </w:rPr>
          <w:t>Ranney &amp; Clark, 2016</w:t>
        </w:r>
      </w:hyperlink>
      <w:r>
        <w:t xml:space="preserve">; </w:t>
      </w:r>
      <w:hyperlink w:anchor="ref-stevenson2014">
        <w:r>
          <w:rPr>
            <w:rStyle w:val="Hyperlink"/>
          </w:rPr>
          <w:t>K. T. Stevenson et al., 2014</w:t>
        </w:r>
      </w:hyperlink>
      <w:r>
        <w:t xml:space="preserve">; </w:t>
      </w:r>
      <w:hyperlink w:anchor="ref-zummo2021">
        <w:r>
          <w:rPr>
            <w:rStyle w:val="Hyperlink"/>
          </w:rPr>
          <w:t>Zummo et al., 2021</w:t>
        </w:r>
      </w:hyperlink>
      <w:r>
        <w:t>), others argue “Curricula with a purely scientific focus may not adequately convey to students how seemingly small temperature changes can have significant impacts on their lives” (</w:t>
      </w:r>
      <w:hyperlink w:anchor="ref-monroe2013">
        <w:r>
          <w:rPr>
            <w:rStyle w:val="Hyperlink"/>
          </w:rPr>
          <w:t>Monroe et al., 2013, p. 5</w:t>
        </w:r>
      </w:hyperlink>
      <w:r>
        <w:t xml:space="preserve">). Climate change education, like environmental education, has an </w:t>
      </w:r>
      <w:r>
        <w:lastRenderedPageBreak/>
        <w:t xml:space="preserve">attitudinal component. Given the existential crisis climate change presents, climate change education is also more action- and justice-oriented. </w:t>
      </w:r>
      <w:hyperlink w:anchor="ref-reid2019">
        <w:r>
          <w:rPr>
            <w:rStyle w:val="Hyperlink"/>
          </w:rPr>
          <w:t>Reid</w:t>
        </w:r>
      </w:hyperlink>
      <w:r>
        <w:t xml:space="preserve"> (</w:t>
      </w:r>
      <w:hyperlink w:anchor="ref-reid2019">
        <w:r>
          <w:rPr>
            <w:rStyle w:val="Hyperlink"/>
          </w:rPr>
          <w:t>2019</w:t>
        </w:r>
      </w:hyperlink>
      <w:r>
        <w:t xml:space="preserve">) sees climate change education as one that moves beyond focusing on individual actions to actions that occur at the broader societal level. This includes examination of the root causes of climate change and helping students understand the paradigm shift needed to avoid it. This also includes a focus on climate justice. According to </w:t>
      </w:r>
      <w:hyperlink w:anchor="ref-reid2019">
        <w:r>
          <w:rPr>
            <w:rStyle w:val="Hyperlink"/>
          </w:rPr>
          <w:t>Reid</w:t>
        </w:r>
      </w:hyperlink>
      <w:r>
        <w:t xml:space="preserve"> (</w:t>
      </w:r>
      <w:hyperlink w:anchor="ref-reid2019">
        <w:r>
          <w:rPr>
            <w:rStyle w:val="Hyperlink"/>
          </w:rPr>
          <w:t>2019</w:t>
        </w:r>
      </w:hyperlink>
      <w:r>
        <w:t>), climate change education means “not just knowing the facts about climate change…but rather, ensuring climate change education addresses people’s rights to be free of oppressions created by climate injustices, including being able to live lives…that will foster rather than inhibit sustainability, equity, and authenticity” (p. 12).</w:t>
      </w:r>
    </w:p>
    <w:p w14:paraId="1CD4845F" w14:textId="77777777" w:rsidR="0033629A" w:rsidRDefault="004409CB">
      <w:pPr>
        <w:pStyle w:val="BodyText"/>
      </w:pPr>
      <w:r>
        <w:t>Climate literacy can be seen as based on both climate education and climate change education. This includes being able to explain climate change and interpret climate data (such as temperature observations) to make conclusions about climate change (</w:t>
      </w:r>
      <w:hyperlink w:anchor="ref-busch2017">
        <w:r>
          <w:rPr>
            <w:rStyle w:val="Hyperlink"/>
          </w:rPr>
          <w:t>Busch &amp; Rom’an, 2017</w:t>
        </w:r>
      </w:hyperlink>
      <w:r>
        <w:t xml:space="preserve">; </w:t>
      </w:r>
      <w:hyperlink w:anchor="ref-climateliteracy2009">
        <w:r>
          <w:rPr>
            <w:rStyle w:val="Hyperlink"/>
          </w:rPr>
          <w:t>U.S. Global Change Research Program, 2009</w:t>
        </w:r>
      </w:hyperlink>
      <w:r>
        <w:t>). This closely reflects the definitions of scientific literacy and the ability to engage with science-related issues. In addition, it also includes an ethical, moral, and action component, which tend to cut across disciplines and incorporates multiple senses of literacy (</w:t>
      </w:r>
      <w:hyperlink w:anchor="ref-kagawa2009">
        <w:r>
          <w:rPr>
            <w:rStyle w:val="Hyperlink"/>
          </w:rPr>
          <w:t>Kagawa &amp; Selby, 2009</w:t>
        </w:r>
      </w:hyperlink>
      <w:r>
        <w:t xml:space="preserve">; </w:t>
      </w:r>
      <w:hyperlink w:anchor="ref-reid2019">
        <w:r>
          <w:rPr>
            <w:rStyle w:val="Hyperlink"/>
          </w:rPr>
          <w:t>Reid, 2019</w:t>
        </w:r>
      </w:hyperlink>
      <w:r>
        <w:t xml:space="preserve">; </w:t>
      </w:r>
      <w:hyperlink w:anchor="ref-stevenson2017">
        <w:r>
          <w:rPr>
            <w:rStyle w:val="Hyperlink"/>
          </w:rPr>
          <w:t>R. Stevenson et al., 2017</w:t>
        </w:r>
      </w:hyperlink>
      <w:r>
        <w:t>).</w:t>
      </w:r>
    </w:p>
    <w:p w14:paraId="1FE6FEF7" w14:textId="77777777" w:rsidR="0033629A" w:rsidRDefault="004409CB">
      <w:pPr>
        <w:pStyle w:val="BodyText"/>
      </w:pPr>
      <w:r>
        <w:t>Like environmental literacy, climate literacy is not measured directly by the PISA. However, climate change is included among its contexts/applications framework and attitudinal questions on the PISA in the form of questions regarding awareness of greenhouse gases and their effects (</w:t>
      </w:r>
      <w:hyperlink w:anchor="ref-oecd2017a">
        <w:r>
          <w:rPr>
            <w:rStyle w:val="Hyperlink"/>
          </w:rPr>
          <w:t>OECD, 2017b</w:t>
        </w:r>
      </w:hyperlink>
      <w:r>
        <w:t>).</w:t>
      </w:r>
    </w:p>
    <w:p w14:paraId="7BD00405" w14:textId="77777777" w:rsidR="0033629A" w:rsidRDefault="004409CB">
      <w:pPr>
        <w:pStyle w:val="BodyText"/>
      </w:pPr>
      <w:r>
        <w:t xml:space="preserve">One would be hard-pressed to identify a distinct climate change education course in any nation’s primary or secondary education school curriculum. In its most basic form, it is most often integrated within the science curriculum. Key aspects of climate literacy can be </w:t>
      </w:r>
      <w:r>
        <w:lastRenderedPageBreak/>
        <w:t xml:space="preserve">found within the curricula around the globe (e.g., </w:t>
      </w:r>
      <w:hyperlink w:anchor="ref-allea2020">
        <w:r>
          <w:rPr>
            <w:rStyle w:val="Hyperlink"/>
          </w:rPr>
          <w:t>ALLEA, 2020</w:t>
        </w:r>
      </w:hyperlink>
      <w:r>
        <w:t xml:space="preserve">; </w:t>
      </w:r>
      <w:hyperlink w:anchor="ref-apollo2021">
        <w:r>
          <w:rPr>
            <w:rStyle w:val="Hyperlink"/>
          </w:rPr>
          <w:t>Apollo &amp; Mbah, 2021</w:t>
        </w:r>
      </w:hyperlink>
      <w:r>
        <w:t xml:space="preserve">; </w:t>
      </w:r>
      <w:hyperlink w:anchor="ref-busch2017">
        <w:r>
          <w:rPr>
            <w:rStyle w:val="Hyperlink"/>
          </w:rPr>
          <w:t>Busch &amp; Rom’an, 2017</w:t>
        </w:r>
      </w:hyperlink>
      <w:r>
        <w:t xml:space="preserve">; </w:t>
      </w:r>
      <w:hyperlink w:anchor="ref-siemensstiftung">
        <w:r>
          <w:rPr>
            <w:rStyle w:val="Hyperlink"/>
          </w:rPr>
          <w:t>Siemens Stiftung, n.d.</w:t>
        </w:r>
      </w:hyperlink>
      <w:r>
        <w:t xml:space="preserve">; </w:t>
      </w:r>
      <w:hyperlink w:anchor="ref-wynes2019">
        <w:r>
          <w:rPr>
            <w:rStyle w:val="Hyperlink"/>
          </w:rPr>
          <w:t>Wynes &amp; Nicholas, 2019</w:t>
        </w:r>
      </w:hyperlink>
      <w:r>
        <w:t>).</w:t>
      </w:r>
    </w:p>
    <w:p w14:paraId="76374027" w14:textId="77777777" w:rsidR="0033629A" w:rsidRDefault="004409CB">
      <w:pPr>
        <w:pStyle w:val="BodyText"/>
      </w:pPr>
      <w:r>
        <w:t>However, mere inclusion of climate change in the science education curriculum does not mean quality. A report by the National Center for Science Education and the Texas Freedom Network Education Fund (</w:t>
      </w:r>
      <w:hyperlink w:anchor="X4792cc562eea3c44d7acc8124d4be875b75da02">
        <w:r>
          <w:rPr>
            <w:rStyle w:val="Hyperlink"/>
          </w:rPr>
          <w:t>2020</w:t>
        </w:r>
      </w:hyperlink>
      <w:r>
        <w:t>) graded each state’s inclusion of climate change in their state science standards (whether based on NGSS or another framework). They found that just 27 of 50 states earned a grade of B+ or higher, and 6 states earned an F. Among their criticisms of climate change’s inclusion in state science standards were the promotion of false debate, ignoring of climate change or related terminology, treating evidence regarding climate change as unresolved, and missing curricular chances to instill hope. While quality may vary, climate change is nevertheless a subject of emphasis in science curricula around the world, and alongside a rich body of practical research to transform climate change from a fact-based study of climate systems to one situated within effective constructivist teaching methods that include understanding human-caused climate change at local, personally meaningful levels (</w:t>
      </w:r>
      <w:hyperlink w:anchor="ref-azevedo2017">
        <w:r>
          <w:rPr>
            <w:rStyle w:val="Hyperlink"/>
          </w:rPr>
          <w:t>Azevedo &amp; Marques, 2017</w:t>
        </w:r>
      </w:hyperlink>
      <w:r>
        <w:t xml:space="preserve">; </w:t>
      </w:r>
      <w:hyperlink w:anchor="ref-hestness2014">
        <w:r>
          <w:rPr>
            <w:rStyle w:val="Hyperlink"/>
          </w:rPr>
          <w:t>Hestness et al., 2014</w:t>
        </w:r>
      </w:hyperlink>
      <w:r>
        <w:t xml:space="preserve">; </w:t>
      </w:r>
      <w:hyperlink w:anchor="ref-littledyke2008">
        <w:r>
          <w:rPr>
            <w:rStyle w:val="Hyperlink"/>
          </w:rPr>
          <w:t>Littledyke, 2008</w:t>
        </w:r>
      </w:hyperlink>
      <w:r>
        <w:t xml:space="preserve">; </w:t>
      </w:r>
      <w:hyperlink w:anchor="ref-monroe2019">
        <w:r>
          <w:rPr>
            <w:rStyle w:val="Hyperlink"/>
          </w:rPr>
          <w:t>Monroe et al., 2019</w:t>
        </w:r>
      </w:hyperlink>
      <w:r>
        <w:t>).</w:t>
      </w:r>
    </w:p>
    <w:p w14:paraId="40A5209D" w14:textId="77777777" w:rsidR="0033629A" w:rsidRDefault="004409CB">
      <w:pPr>
        <w:pStyle w:val="Heading3"/>
      </w:pPr>
      <w:bookmarkStart w:id="28" w:name="_Toc107939101"/>
      <w:bookmarkStart w:id="29" w:name="research-on-pisa-and-the-environment"/>
      <w:bookmarkEnd w:id="21"/>
      <w:r>
        <w:t>Research on PISA and the Environment</w:t>
      </w:r>
      <w:bookmarkEnd w:id="28"/>
    </w:p>
    <w:p w14:paraId="19E0F809" w14:textId="77777777" w:rsidR="0033629A" w:rsidRDefault="004409CB">
      <w:pPr>
        <w:pStyle w:val="FirstParagraph"/>
      </w:pPr>
      <w:proofErr w:type="gramStart"/>
      <w:r>
        <w:t>A number of</w:t>
      </w:r>
      <w:proofErr w:type="gramEnd"/>
      <w:r>
        <w:t xml:space="preserve"> scholars have recognized the potential for the PISA to inform research on science literacy and issues of the environment. This has been particularly facilitated by additional attitudinal items related to science included on the PISA when science was its major domain. For the 2006 PISA exam, the student questionnaire (separate from the main test items) included attitudinal items regarding interest in science and how science is taught. Questions also concerned awareness and perception of environmental issues, environmental optimism, and responsibility for sustainable development (</w:t>
      </w:r>
      <w:hyperlink w:anchor="ref-oecd2009">
        <w:r>
          <w:rPr>
            <w:rStyle w:val="Hyperlink"/>
          </w:rPr>
          <w:t>OECD, 2009a</w:t>
        </w:r>
      </w:hyperlink>
      <w:r>
        <w:t>). In 2015, the student questionnaire again included questions regarding science and science instruction as well as environmental awareness and optimism (</w:t>
      </w:r>
      <w:hyperlink w:anchor="ref-oecd2017a">
        <w:r>
          <w:rPr>
            <w:rStyle w:val="Hyperlink"/>
          </w:rPr>
          <w:t>OECD, 2017b</w:t>
        </w:r>
      </w:hyperlink>
      <w:r>
        <w:t xml:space="preserve">). In addition, the PISA </w:t>
      </w:r>
      <w:r>
        <w:lastRenderedPageBreak/>
        <w:t>includes a number of useful student-level variables (e.g., gender; immigrant status; economic, social, and cultural status [ESCS, an index measure of socioeconomic status based on family wealth, parental education, parental occupation status, home possessions, home educational resources]; teaching activities), and school-level variables (teaching activities, school resources, enrollment, class size, science staff, tracking, etc.), making a rich source of data for research.</w:t>
      </w:r>
    </w:p>
    <w:p w14:paraId="6698324E" w14:textId="77777777" w:rsidR="0033629A" w:rsidRDefault="00710174">
      <w:pPr>
        <w:pStyle w:val="BodyText"/>
      </w:pPr>
      <w:hyperlink w:anchor="ref-boevedepauw2010">
        <w:r w:rsidR="004409CB">
          <w:rPr>
            <w:rStyle w:val="Hyperlink"/>
          </w:rPr>
          <w:t>Boeve-de Pauw &amp; Van Petegem</w:t>
        </w:r>
      </w:hyperlink>
      <w:r w:rsidR="004409CB">
        <w:t xml:space="preserve"> (</w:t>
      </w:r>
      <w:hyperlink w:anchor="ref-boevedepauw2010">
        <w:r w:rsidR="004409CB">
          <w:rPr>
            <w:rStyle w:val="Hyperlink"/>
          </w:rPr>
          <w:t>2010</w:t>
        </w:r>
      </w:hyperlink>
      <w:r w:rsidR="004409CB">
        <w:t>) were among the first authors to take advantage of PISA 2006’s science-related attitudinal items. The authors focused on the individual- and country-level factors that might contribute to students’ environmental awareness. Theory and past research indicated that individual characteristics such as being young (age</w:t>
      </w:r>
      <w:proofErr w:type="gramStart"/>
      <w:r w:rsidR="004409CB">
        <w:t>)</w:t>
      </w:r>
      <w:proofErr w:type="gramEnd"/>
      <w:r w:rsidR="004409CB">
        <w:t xml:space="preserve"> and female (biological sex) are important predictors of positive environmental attitudes. In addition, socioeconomic status was also theorized to be a major factor. The authors draw first on Environmental Deprivation Theory (EDT), which argues that exposure to environmental issues leads to positive environmental attitudes. The authors also draw on Inglehart’s (</w:t>
      </w:r>
      <w:hyperlink w:anchor="ref-inglehart1995">
        <w:r w:rsidR="004409CB">
          <w:rPr>
            <w:rStyle w:val="Hyperlink"/>
          </w:rPr>
          <w:t>1995</w:t>
        </w:r>
      </w:hyperlink>
      <w:r w:rsidR="004409CB">
        <w:t xml:space="preserve">; see also </w:t>
      </w:r>
      <w:hyperlink w:anchor="ref-gelissen2007">
        <w:r w:rsidR="004409CB">
          <w:rPr>
            <w:rStyle w:val="Hyperlink"/>
          </w:rPr>
          <w:t>Gelissen, 2007</w:t>
        </w:r>
      </w:hyperlink>
      <w:r w:rsidR="004409CB">
        <w:t>) “objective problems, subject values” hypothesis, which is seen as an extension of EDT. Inglehart’s hypothesis states that individuals in more affluent countries have positive environmental attitudes because they are no longer concerned with economic survival and thus can dedicate more time and resources to “post-materialistic goals” such as environmental protection (</w:t>
      </w:r>
      <w:hyperlink w:anchor="ref-boevedepauw2010">
        <w:r w:rsidR="004409CB">
          <w:rPr>
            <w:rStyle w:val="Hyperlink"/>
          </w:rPr>
          <w:t>Boeve-de Pauw &amp; Van Petegem, 2010, p. 135</w:t>
        </w:r>
      </w:hyperlink>
      <w:r w:rsidR="004409CB">
        <w:t>). Conversely, those in less affluent societies develop positive environmental attitudes through interaction with local environmental issues. They also test whether scientific knowledge is related to positive attitudes, something of particular concern to the present research.</w:t>
      </w:r>
    </w:p>
    <w:p w14:paraId="77CECDA6" w14:textId="77777777" w:rsidR="0033629A" w:rsidRDefault="004409CB">
      <w:pPr>
        <w:pStyle w:val="BodyText"/>
      </w:pPr>
      <w:r>
        <w:t xml:space="preserve">The authors specify a hierarchical linear model, with environmental awareness as the outcome variable, individual-level variables (science ability, biological sex, ESCS), and country-level contextual variables (Human Development Index, National Biodiversity Index, </w:t>
      </w:r>
      <w:r>
        <w:lastRenderedPageBreak/>
        <w:t>water quality, air quality, environmental health). The results indicated that the largest contributors to environmental awareness are associated with higher science ability scores, being female, being in a country with higher biodiversity, and exposure to poorer air quality or more environmental problems. While the latter findings support EDT, the results indicate no effect of the Human Development Index and only a small (but significant) effect of ESCS. Of particular interest here are that science ability scores have a large and positive effect on environmental awareness. The authors argue that because environmental issues “have roots reaching into different fields of science such as chemistry, physics, ecology, and math, it could be expected that performing well in science would result in positive attitudes towards the environment” (p. 141).</w:t>
      </w:r>
    </w:p>
    <w:p w14:paraId="53B4480C" w14:textId="77777777" w:rsidR="0033629A" w:rsidRDefault="00710174">
      <w:pPr>
        <w:pStyle w:val="BodyText"/>
      </w:pPr>
      <w:hyperlink w:anchor="ref-coertjens2010">
        <w:r w:rsidR="004409CB">
          <w:rPr>
            <w:rStyle w:val="Hyperlink"/>
          </w:rPr>
          <w:t>Coertjens et al.</w:t>
        </w:r>
      </w:hyperlink>
      <w:r w:rsidR="004409CB">
        <w:t xml:space="preserve"> (</w:t>
      </w:r>
      <w:hyperlink w:anchor="ref-coertjens2010">
        <w:r w:rsidR="004409CB">
          <w:rPr>
            <w:rStyle w:val="Hyperlink"/>
          </w:rPr>
          <w:t>2010</w:t>
        </w:r>
      </w:hyperlink>
      <w:r w:rsidR="004409CB">
        <w:t xml:space="preserve">) conduct similar research using PISA 2006 results, swapping out school-level variables for country-level variables. However, this research was focused specifically on results from Flanders (Belgium’s Dutch-speaking area). This study attempted to address a gap in the research concerning science abilities and awareness, and the role different school-level factors may play. </w:t>
      </w:r>
      <w:hyperlink w:anchor="ref-coertjens2010">
        <w:r w:rsidR="004409CB">
          <w:rPr>
            <w:rStyle w:val="Hyperlink"/>
          </w:rPr>
          <w:t>Coertjens et al.</w:t>
        </w:r>
      </w:hyperlink>
      <w:r w:rsidR="004409CB">
        <w:t xml:space="preserve"> (</w:t>
      </w:r>
      <w:hyperlink w:anchor="ref-coertjens2010">
        <w:r w:rsidR="004409CB">
          <w:rPr>
            <w:rStyle w:val="Hyperlink"/>
          </w:rPr>
          <w:t>2010</w:t>
        </w:r>
      </w:hyperlink>
      <w:r w:rsidR="004409CB">
        <w:t>) estimated a multilevel model that contained two outcome variables (environmental awareness, environmental attitudes), student-level variables (science ability, enjoyment of science, biological sex, immigrant status, ESCS, and type of educational track) and school-level variables meant to serve as proxy measures for constructionist teaching methods, which are postulated to have a positive influence on environmental attitudes and knowledge.</w:t>
      </w:r>
    </w:p>
    <w:p w14:paraId="463CE02E" w14:textId="77777777" w:rsidR="0033629A" w:rsidRDefault="004409CB">
      <w:pPr>
        <w:pStyle w:val="BodyText"/>
      </w:pPr>
      <w:r>
        <w:t xml:space="preserve">The results of their analysis were </w:t>
      </w:r>
      <w:proofErr w:type="gramStart"/>
      <w:r>
        <w:t>similar to</w:t>
      </w:r>
      <w:proofErr w:type="gramEnd"/>
      <w:r>
        <w:t xml:space="preserve"> </w:t>
      </w:r>
      <w:hyperlink w:anchor="ref-boevedepauw2010">
        <w:r>
          <w:rPr>
            <w:rStyle w:val="Hyperlink"/>
          </w:rPr>
          <w:t>Boeve-de Pauw &amp; Van Petegem</w:t>
        </w:r>
      </w:hyperlink>
      <w:r>
        <w:t xml:space="preserve"> (</w:t>
      </w:r>
      <w:hyperlink w:anchor="ref-boevedepauw2010">
        <w:r>
          <w:rPr>
            <w:rStyle w:val="Hyperlink"/>
          </w:rPr>
          <w:t>2010</w:t>
        </w:r>
      </w:hyperlink>
      <w:r>
        <w:t xml:space="preserve">). They also found that girls had greater positive environmental attitudes than boys, though they have less environmental awareness. They also found that ESCS only had a small (but significant) effect on the outcomes. They found a strong, positive association between science abilities and both environmental awareness and attitudes. At the school level, of the different </w:t>
      </w:r>
      <w:r>
        <w:lastRenderedPageBreak/>
        <w:t>constructivist teaching methods included, only hands-on learning had a significant effect on environmental awareness, and this effect was quite small. They also found that the inclusion of activities for learning about the environment increased positive environmental attitudes to a small degree. These results taken together suggest that student-level characteristics, especially science ability, are important for explaining the environmental outcomes, but that schools do play some role as well.</w:t>
      </w:r>
    </w:p>
    <w:p w14:paraId="28712D2A" w14:textId="77777777" w:rsidR="0033629A" w:rsidRDefault="004409CB">
      <w:pPr>
        <w:pStyle w:val="BodyText"/>
      </w:pPr>
      <w:r>
        <w:t xml:space="preserve">Focusing on just the United States (U.S.) and Canada, </w:t>
      </w:r>
      <w:hyperlink w:anchor="ref-lin2014">
        <w:r>
          <w:rPr>
            <w:rStyle w:val="Hyperlink"/>
          </w:rPr>
          <w:t>Lin &amp; Shi</w:t>
        </w:r>
      </w:hyperlink>
      <w:r>
        <w:t xml:space="preserve"> (</w:t>
      </w:r>
      <w:hyperlink w:anchor="ref-lin2014">
        <w:r>
          <w:rPr>
            <w:rStyle w:val="Hyperlink"/>
          </w:rPr>
          <w:t>2014</w:t>
        </w:r>
      </w:hyperlink>
      <w:r>
        <w:t>) investigated environmental literacy, a subdomain of scientific literacy (</w:t>
      </w:r>
      <w:hyperlink w:anchor="ref-kaya2018">
        <w:r>
          <w:rPr>
            <w:rStyle w:val="Hyperlink"/>
          </w:rPr>
          <w:t>Kaya &amp; Elster, 2018</w:t>
        </w:r>
      </w:hyperlink>
      <w:r>
        <w:t xml:space="preserve">), by examining PISA 2006 measures of scientific knowledge, environmental awareness, environmental concern (optimism), and environmental behavior (measured by PISA questions concerning environmental responsibility, with items such as “I am in favor of having laws that regulate factory emissions even if this would increase the price of products” [p. 82]). Similar to </w:t>
      </w:r>
      <w:hyperlink w:anchor="ref-boevedepauw2010">
        <w:r>
          <w:rPr>
            <w:rStyle w:val="Hyperlink"/>
          </w:rPr>
          <w:t>Boeve-de Pauw &amp; Van Petegem</w:t>
        </w:r>
      </w:hyperlink>
      <w:r>
        <w:t xml:space="preserve"> (</w:t>
      </w:r>
      <w:hyperlink w:anchor="ref-boevedepauw2010">
        <w:r>
          <w:rPr>
            <w:rStyle w:val="Hyperlink"/>
          </w:rPr>
          <w:t>2010</w:t>
        </w:r>
      </w:hyperlink>
      <w:r>
        <w:t xml:space="preserve">) and </w:t>
      </w:r>
      <w:hyperlink w:anchor="ref-coertjens2010">
        <w:r>
          <w:rPr>
            <w:rStyle w:val="Hyperlink"/>
          </w:rPr>
          <w:t>Coertjens et al.</w:t>
        </w:r>
      </w:hyperlink>
      <w:r>
        <w:t xml:space="preserve"> (</w:t>
      </w:r>
      <w:hyperlink w:anchor="ref-coertjens2010">
        <w:r>
          <w:rPr>
            <w:rStyle w:val="Hyperlink"/>
          </w:rPr>
          <w:t>2010</w:t>
        </w:r>
      </w:hyperlink>
      <w:r>
        <w:t>), they looked at student-level characteristics of gender, immigrant status, and ESCS as well as school-level variables related to constructivist teaching methods and whether environmental education is a separate part of the curriculum or integrated with other subjects.</w:t>
      </w:r>
    </w:p>
    <w:p w14:paraId="18DE5FAE" w14:textId="77777777" w:rsidR="0033629A" w:rsidRDefault="004409CB">
      <w:pPr>
        <w:pStyle w:val="BodyText"/>
      </w:pPr>
      <w:r>
        <w:t xml:space="preserve">The authors found that female students in the U.S. and Canada had higher environmental concern and more pro-environmental behavior. However, girls had more environmental awareness in the U.S. whereas the opposite was true in Canada. The authors also found, similar to </w:t>
      </w:r>
      <w:hyperlink w:anchor="ref-boevedepauw2010">
        <w:r>
          <w:rPr>
            <w:rStyle w:val="Hyperlink"/>
          </w:rPr>
          <w:t>Boeve-de Pauw &amp; Van Petegem</w:t>
        </w:r>
      </w:hyperlink>
      <w:r>
        <w:t xml:space="preserve"> (</w:t>
      </w:r>
      <w:hyperlink w:anchor="ref-boevedepauw2010">
        <w:r>
          <w:rPr>
            <w:rStyle w:val="Hyperlink"/>
          </w:rPr>
          <w:t>2010</w:t>
        </w:r>
      </w:hyperlink>
      <w:r>
        <w:t xml:space="preserve">) and </w:t>
      </w:r>
      <w:hyperlink w:anchor="ref-coertjens2010">
        <w:r>
          <w:rPr>
            <w:rStyle w:val="Hyperlink"/>
          </w:rPr>
          <w:t>Coertjens et al.</w:t>
        </w:r>
      </w:hyperlink>
      <w:r>
        <w:t xml:space="preserve"> (</w:t>
      </w:r>
      <w:hyperlink w:anchor="ref-coertjens2010">
        <w:r>
          <w:rPr>
            <w:rStyle w:val="Hyperlink"/>
          </w:rPr>
          <w:t>2010</w:t>
        </w:r>
      </w:hyperlink>
      <w:r>
        <w:t xml:space="preserve">), that ESCS played a small but significant role in environmental awareness, optimism, and behavior for U.S. and Canadian students, and a significant role in environmental concern for U.S. students. These results confirm previous findings that individual-level characteristic plays some role in influencing environmental literacy, though it may differ by country. School-level teaching methods vary in significance by environmental literacy domain and country, with </w:t>
      </w:r>
      <w:r>
        <w:lastRenderedPageBreak/>
        <w:t>curricular integration having no significant associations. The authors conclude that “strong environmental knowledge does promote more awareness and behaviors,” echoing previous findings (p. 93).</w:t>
      </w:r>
    </w:p>
    <w:p w14:paraId="26094B43" w14:textId="77777777" w:rsidR="0033629A" w:rsidRDefault="004409CB">
      <w:pPr>
        <w:pStyle w:val="BodyText"/>
      </w:pPr>
      <w:r>
        <w:t xml:space="preserve">The PISA 2015 afforded additional analyses of environmental attitudes and the opportunity to investigate trends among students. </w:t>
      </w:r>
      <w:hyperlink w:anchor="ref-list2020">
        <w:r>
          <w:rPr>
            <w:rStyle w:val="Hyperlink"/>
          </w:rPr>
          <w:t>List et al.</w:t>
        </w:r>
      </w:hyperlink>
      <w:r>
        <w:t xml:space="preserve"> (</w:t>
      </w:r>
      <w:hyperlink w:anchor="ref-list2020">
        <w:r>
          <w:rPr>
            <w:rStyle w:val="Hyperlink"/>
          </w:rPr>
          <w:t>2020</w:t>
        </w:r>
      </w:hyperlink>
      <w:r>
        <w:t xml:space="preserve">) use the 2015 results to examine the factors that contribute to environmental awareness at student-, school-, and country-levels. They draw on previous research by </w:t>
      </w:r>
      <w:hyperlink w:anchor="ref-boevedepauw2010">
        <w:r>
          <w:rPr>
            <w:rStyle w:val="Hyperlink"/>
          </w:rPr>
          <w:t>Boeve-de Pauw &amp; Van Petegem</w:t>
        </w:r>
      </w:hyperlink>
      <w:r>
        <w:t xml:space="preserve"> (</w:t>
      </w:r>
      <w:hyperlink w:anchor="ref-boevedepauw2010">
        <w:r>
          <w:rPr>
            <w:rStyle w:val="Hyperlink"/>
          </w:rPr>
          <w:t>2010</w:t>
        </w:r>
      </w:hyperlink>
      <w:r>
        <w:t xml:space="preserve">), </w:t>
      </w:r>
      <w:hyperlink w:anchor="ref-coertjens2010">
        <w:r>
          <w:rPr>
            <w:rStyle w:val="Hyperlink"/>
          </w:rPr>
          <w:t>Coertjens et al.</w:t>
        </w:r>
      </w:hyperlink>
      <w:r>
        <w:t xml:space="preserve"> (</w:t>
      </w:r>
      <w:hyperlink w:anchor="ref-coertjens2010">
        <w:r>
          <w:rPr>
            <w:rStyle w:val="Hyperlink"/>
          </w:rPr>
          <w:t>2010</w:t>
        </w:r>
      </w:hyperlink>
      <w:r>
        <w:t xml:space="preserve">), </w:t>
      </w:r>
      <w:hyperlink w:anchor="ref-lin2014">
        <w:r>
          <w:rPr>
            <w:rStyle w:val="Hyperlink"/>
          </w:rPr>
          <w:t>Lin &amp; Shi</w:t>
        </w:r>
      </w:hyperlink>
      <w:r>
        <w:t xml:space="preserve"> (</w:t>
      </w:r>
      <w:hyperlink w:anchor="ref-lin2014">
        <w:r>
          <w:rPr>
            <w:rStyle w:val="Hyperlink"/>
          </w:rPr>
          <w:t>2014</w:t>
        </w:r>
      </w:hyperlink>
      <w:r>
        <w:t>), and others. They also compare the percentage of students who have high environmental awareness in 2006 and 2015, offering the first look at how environmental awareness has shifted over the decade between assessment cycles.</w:t>
      </w:r>
    </w:p>
    <w:p w14:paraId="4D9913E5" w14:textId="77777777" w:rsidR="0033629A" w:rsidRDefault="004409CB">
      <w:pPr>
        <w:pStyle w:val="BodyText"/>
      </w:pPr>
      <w:r>
        <w:t>For the most part, List et al.’s (</w:t>
      </w:r>
      <w:hyperlink w:anchor="ref-list2020">
        <w:r>
          <w:rPr>
            <w:rStyle w:val="Hyperlink"/>
          </w:rPr>
          <w:t>2020</w:t>
        </w:r>
      </w:hyperlink>
      <w:r>
        <w:t xml:space="preserve">) findings corroborate past research. Most of the variation in environmental awareness occurs at the individual level. Enjoyment of science is a strong individual-level predictor of awareness. Like previous research, a small, positive effect was found for the relationship between socioeconomic status and awareness. No effect of sex was found, contrary to previous research. Furthermore, the authors did not find effects for HDI or environmental performance, contradicting previous research (i.e., </w:t>
      </w:r>
      <w:hyperlink w:anchor="ref-boevedepauw2010">
        <w:r>
          <w:rPr>
            <w:rStyle w:val="Hyperlink"/>
          </w:rPr>
          <w:t>Boeve-de Pauw &amp; Van Petegem</w:t>
        </w:r>
      </w:hyperlink>
      <w:r>
        <w:t xml:space="preserve"> (</w:t>
      </w:r>
      <w:hyperlink w:anchor="ref-boevedepauw2010">
        <w:r>
          <w:rPr>
            <w:rStyle w:val="Hyperlink"/>
          </w:rPr>
          <w:t>2010</w:t>
        </w:r>
      </w:hyperlink>
      <w:r>
        <w:t>)).</w:t>
      </w:r>
    </w:p>
    <w:p w14:paraId="049D07C5" w14:textId="77777777" w:rsidR="0033629A" w:rsidRDefault="004409CB">
      <w:pPr>
        <w:pStyle w:val="BodyText"/>
      </w:pPr>
      <w:r>
        <w:t>Scientific literacy continues to be the strongest positive predictor of environmental awareness. This was also true when examining school-level averages of scientific literacy scores, suggesting schools with higher scientific literacy have higher environmental awareness as well. Paradoxically, when examining mean country-level scientific literacy, it has a small but significant negative relationship with awareness. The authors suggest that there may be complex relationships with other factors, such as development, and these relationships need further investigation.</w:t>
      </w:r>
    </w:p>
    <w:p w14:paraId="173FC04C" w14:textId="77777777" w:rsidR="0033629A" w:rsidRDefault="004409CB">
      <w:pPr>
        <w:pStyle w:val="BodyText"/>
      </w:pPr>
      <w:r>
        <w:lastRenderedPageBreak/>
        <w:t xml:space="preserve">In terms of changes in environmental awareness, they find that for the countries that participated in both assessment cycles, a slightly larger proportion of students showed greater awareness in 2015, with the largest increases related to awareness of greenhouse gases in the atmosphere (from 57% to 65%) and the use of genetically modified organisms (both with a Cohen’s </w:t>
      </w:r>
      <w:r>
        <w:rPr>
          <w:i/>
          <w:iCs/>
        </w:rPr>
        <w:t>h</w:t>
      </w:r>
      <w:r>
        <w:t xml:space="preserve"> of .17). The authors mention that the PISA 2006 assessment was given at the start of the United Nations’ </w:t>
      </w:r>
      <w:r>
        <w:rPr>
          <w:i/>
          <w:iCs/>
        </w:rPr>
        <w:t>Decade of Education for Sustainable Development</w:t>
      </w:r>
      <w:r>
        <w:t xml:space="preserve"> while the 2015 assessment came at its end. This suggests a possible impetus for changes in awareness, as this UN initiative aimed to integrate “the principles and practices of sustainable development into all aspects of education and learning, to encourage changes in knowledge, values and attitudes with the vision of enabling a more sustainable and just society for all” (</w:t>
      </w:r>
      <w:hyperlink w:anchor="ref-unitednations2014">
        <w:r>
          <w:rPr>
            <w:rStyle w:val="Hyperlink"/>
          </w:rPr>
          <w:t>United Nations, 2014, p. 9</w:t>
        </w:r>
      </w:hyperlink>
      <w:r>
        <w:t>). However, the authors rightly note that little can be drawn from a simple comparison of two time points. Still, it provides some evidence that environmental awareness, especially related to climate change, has been increasing.</w:t>
      </w:r>
    </w:p>
    <w:p w14:paraId="03C0F223" w14:textId="77777777" w:rsidR="0033629A" w:rsidRDefault="00710174">
      <w:pPr>
        <w:pStyle w:val="BodyText"/>
      </w:pPr>
      <w:hyperlink w:anchor="ref-oliver2020">
        <w:r w:rsidR="004409CB">
          <w:rPr>
            <w:rStyle w:val="Hyperlink"/>
          </w:rPr>
          <w:t>Oliver &amp; Adkins</w:t>
        </w:r>
      </w:hyperlink>
      <w:r w:rsidR="004409CB">
        <w:t xml:space="preserve"> (</w:t>
      </w:r>
      <w:hyperlink w:anchor="ref-oliver2020">
        <w:r w:rsidR="004409CB">
          <w:rPr>
            <w:rStyle w:val="Hyperlink"/>
          </w:rPr>
          <w:t>2020</w:t>
        </w:r>
      </w:hyperlink>
      <w:r w:rsidR="004409CB">
        <w:t>) focused exclusively on the PISA’s ability to provide insight into climate change awareness. The authors recognized that climate change activism among youth has been becoming more widespread, citing Greta Thunberg and her Fridays for Future movement. While this is heartening, they also cite surveys of youth that show large variations in knowledge about climate change and climate action. Given the potential relationships between scientific knowledge, climate change knowledge, and climate change beliefs, the authors sought to investigate this at a cross-national level.</w:t>
      </w:r>
    </w:p>
    <w:p w14:paraId="1C15E9FB" w14:textId="77777777" w:rsidR="0033629A" w:rsidRDefault="004409CB">
      <w:pPr>
        <w:pStyle w:val="BodyText"/>
      </w:pPr>
      <w:r>
        <w:t xml:space="preserve">The authors selected PISA 2015’s attitudinal item “How informed are you about the increase of greenhouse gases in the atmosphere?” as a measure of awareness of climate change. Using Bayesian multilevel logistic regression models, the authors estimated the probability (and odds ratio) of students answering whether they have never heard of greenhouse gases, have heard about them but could not explain them, know something about </w:t>
      </w:r>
      <w:r>
        <w:lastRenderedPageBreak/>
        <w:t>them and could explain the general issue, or are familiar with them and could explain them well. The predictors include scientific achievement (science literacy PISA scores) sex, immigrant status, ESCS variables, enjoyment of science, interest in science, motivation for science, and CO</w:t>
      </w:r>
      <w:r>
        <w:rPr>
          <w:vertAlign w:val="subscript"/>
        </w:rPr>
        <w:t>2</w:t>
      </w:r>
      <w:r>
        <w:t xml:space="preserve"> emissions per capita (at the country level).</w:t>
      </w:r>
    </w:p>
    <w:p w14:paraId="0FBDFDAE" w14:textId="77777777" w:rsidR="0033629A" w:rsidRDefault="004409CB">
      <w:pPr>
        <w:pStyle w:val="BodyText"/>
      </w:pPr>
      <w:r>
        <w:t>The results showed, as in previous research, that scientific literacy is a major factor for awareness. Scientific literacy is the strongest predictor of being more informed about greenhouse gases, with one standard deviation above the average PISA score related to being 34.5% more likely to be informed. Interest and enjoyment in science were also large predictors at 8%, though far lower than scientific literacy.</w:t>
      </w:r>
    </w:p>
    <w:p w14:paraId="06B9B83B" w14:textId="77777777" w:rsidR="0033629A" w:rsidRDefault="004409CB">
      <w:pPr>
        <w:pStyle w:val="BodyText"/>
      </w:pPr>
      <w:proofErr w:type="gramStart"/>
      <w:r>
        <w:t>Similar to</w:t>
      </w:r>
      <w:proofErr w:type="gramEnd"/>
      <w:r>
        <w:t xml:space="preserve"> previous research, the authors found that most variation in awareness is at the student level, with school- and country-level being responsible for a small percentage of variation. However, the authors note that there is quite a bit of variability between schools, arguing that schools play an important role, with unaccounted-for variation likely related to “school and subject leadership” (p. 5). Likewise, they noted variation in awareness by country, with some countries such as Sweden being more likely to have informed students while countries such as China have students at the lower end of being informed despite having high science scores. The authors cite countries’ rankings on the Climate Change Performance Index (CCPI; not included in models) to contextualize these findings. For example, Sweden has a high CCPI ranking whereas China does not. They also found that U.S. students had lower probabilities of being informed about climate change, which contradicts reports from the adult U.S. population (</w:t>
      </w:r>
      <w:hyperlink w:anchor="ref-howe2015">
        <w:r>
          <w:rPr>
            <w:rStyle w:val="Hyperlink"/>
          </w:rPr>
          <w:t>Howe et al., 2015</w:t>
        </w:r>
      </w:hyperlink>
      <w:r>
        <w:t xml:space="preserve">; </w:t>
      </w:r>
      <w:hyperlink w:anchor="ref-leiserowtz2021">
        <w:r>
          <w:rPr>
            <w:rStyle w:val="Hyperlink"/>
          </w:rPr>
          <w:t>Leiserowtz et al., 2021, March</w:t>
        </w:r>
      </w:hyperlink>
      <w:r>
        <w:t>).</w:t>
      </w:r>
    </w:p>
    <w:p w14:paraId="1DDD75DE" w14:textId="77777777" w:rsidR="0033629A" w:rsidRDefault="004409CB">
      <w:pPr>
        <w:pStyle w:val="BodyText"/>
      </w:pPr>
      <w:r>
        <w:t xml:space="preserve">Finally, the results showed female students were more likely to have lower awareness, even when they had higher achievement scores, suggesting a gender gap in awareness. They </w:t>
      </w:r>
      <w:r>
        <w:lastRenderedPageBreak/>
        <w:t>argue that “Girls’ education needs to be examined to ensure that they have equal access to the curriculum and that they feel more informed about environmental issues” (p. 7).</w:t>
      </w:r>
    </w:p>
    <w:p w14:paraId="53FF9599" w14:textId="77777777" w:rsidR="0033629A" w:rsidRDefault="004409CB">
      <w:pPr>
        <w:pStyle w:val="Heading3"/>
      </w:pPr>
      <w:bookmarkStart w:id="30" w:name="_Toc107939102"/>
      <w:bookmarkStart w:id="31" w:name="education-and-climate-change-beliefs"/>
      <w:bookmarkEnd w:id="29"/>
      <w:r>
        <w:t>Education and Climate Change Beliefs</w:t>
      </w:r>
      <w:bookmarkEnd w:id="30"/>
    </w:p>
    <w:p w14:paraId="0F1AE128" w14:textId="77777777" w:rsidR="0033629A" w:rsidRDefault="004409CB">
      <w:pPr>
        <w:pStyle w:val="FirstParagraph"/>
      </w:pPr>
      <w:r>
        <w:t>The above studies, drawn from research using the PISA, suggest a critical mass of evidence on the role youth scientific literacy plays in increasing environmental awareness and positive environmental attitudes, with less pronounced and more variable effects from SES, sex, and other individual indicators. This appears to support the so-called “deficit model” of climate change denial, in which increased education or information about climate change can help convince those who deny its reality (</w:t>
      </w:r>
      <w:hyperlink w:anchor="ref-drummond2017">
        <w:r>
          <w:rPr>
            <w:rStyle w:val="Hyperlink"/>
          </w:rPr>
          <w:t>Drummond &amp; Fischhoff, 2017</w:t>
        </w:r>
      </w:hyperlink>
      <w:r>
        <w:t xml:space="preserve">; </w:t>
      </w:r>
      <w:hyperlink w:anchor="ref-suldovsky2017">
        <w:r>
          <w:rPr>
            <w:rStyle w:val="Hyperlink"/>
          </w:rPr>
          <w:t>Suldovsky, 2017</w:t>
        </w:r>
      </w:hyperlink>
      <w:r>
        <w:t xml:space="preserve">). However, this relationship between education and climate change </w:t>
      </w:r>
      <w:r>
        <w:rPr>
          <w:i/>
          <w:iCs/>
        </w:rPr>
        <w:t>belief</w:t>
      </w:r>
      <w:r>
        <w:t xml:space="preserve"> (rather than just awareness) is more complex than it appears, a relationship that cannot be directly assessed from PISA. Nonetheless, understanding this relationship is important, as it explains a crucial mechanism for moving from knowledge to belief to action. Therefore, it is prudent to review the literature related to climate change beliefs.</w:t>
      </w:r>
    </w:p>
    <w:p w14:paraId="153C7574" w14:textId="77777777" w:rsidR="0033629A" w:rsidRDefault="004409CB">
      <w:pPr>
        <w:pStyle w:val="BodyText"/>
      </w:pPr>
      <w:r>
        <w:t>A 2019 World Risk Poll by Llyod’s Register Foundation and Gallup found that 59% of people across 142 countries believed that climate change posed a serious or somewhat serious threat (</w:t>
      </w:r>
      <w:hyperlink w:anchor="ref-llyodsregisterfoundation2019">
        <w:r>
          <w:rPr>
            <w:rStyle w:val="Hyperlink"/>
          </w:rPr>
          <w:t>Llyod’s Register Foundation, 2019</w:t>
        </w:r>
      </w:hyperlink>
      <w:r>
        <w:t>). This percentage varied across regions, with Northern Africa having the lowest (60%) and Southern Europe having the highest (93%) percentage of beliefs that climate change is a threat. Overall, these percentages were also highest among those aged 15-29 and those with 16 or more years of education.</w:t>
      </w:r>
    </w:p>
    <w:p w14:paraId="4B72A647" w14:textId="77777777" w:rsidR="0033629A" w:rsidRDefault="004409CB">
      <w:pPr>
        <w:pStyle w:val="BodyText"/>
      </w:pPr>
      <w:r>
        <w:t xml:space="preserve">It is encouraging to know a majority of the world is concerned about climate change. It is also tempting to draw a direct link between education and climate change belief (and action). However, the relationship is complex. </w:t>
      </w:r>
      <w:hyperlink w:anchor="ref-hornsey2016">
        <w:r>
          <w:rPr>
            <w:rStyle w:val="Hyperlink"/>
          </w:rPr>
          <w:t>Hornsey et al.</w:t>
        </w:r>
      </w:hyperlink>
      <w:r>
        <w:t xml:space="preserve"> (</w:t>
      </w:r>
      <w:hyperlink w:anchor="ref-hornsey2016">
        <w:r>
          <w:rPr>
            <w:rStyle w:val="Hyperlink"/>
          </w:rPr>
          <w:t>2016</w:t>
        </w:r>
      </w:hyperlink>
      <w:r>
        <w:t xml:space="preserve">) conducted a meta-analysis of 25 polls and 171 studies from 56 different countries which examined factors that </w:t>
      </w:r>
      <w:r>
        <w:lastRenderedPageBreak/>
        <w:t xml:space="preserve">are associated with climate change belief. The authors focused on determining the effect sizes of </w:t>
      </w:r>
      <w:proofErr w:type="gramStart"/>
      <w:r>
        <w:t>commonly-cited</w:t>
      </w:r>
      <w:proofErr w:type="gramEnd"/>
      <w:r>
        <w:t xml:space="preserve"> demographic and psychological variables. Sex, age, race, income, and education were all found to be significantly related to climate change belief, with small effect sizes. The authors paint the picture of someone who typically believes in climate change as young, well-educated, female, non-white, and likely to have a higher income. However, the effects of these demographic variables were negligible when compared to the effects of political affiliation, ideologies, and values. Republicans, conservatives, and those with individualistic and hierarchical values are far less likely to accept that climate change is real and is a threat. The authors suggest this is evidence of an ideological gulf, one which may pose a challenge to serious mitigation efforts.</w:t>
      </w:r>
    </w:p>
    <w:p w14:paraId="0861C20B" w14:textId="77777777" w:rsidR="0033629A" w:rsidRDefault="00710174">
      <w:pPr>
        <w:pStyle w:val="BodyText"/>
      </w:pPr>
      <w:hyperlink w:anchor="X0f625f3c7954e6cbffe4373b223aecc1a6d9d9d">
        <w:r w:rsidR="004409CB">
          <w:rPr>
            <w:rStyle w:val="Hyperlink"/>
          </w:rPr>
          <w:t>McCright</w:t>
        </w:r>
      </w:hyperlink>
      <w:r w:rsidR="004409CB">
        <w:t xml:space="preserve"> (</w:t>
      </w:r>
      <w:hyperlink w:anchor="X0f625f3c7954e6cbffe4373b223aecc1a6d9d9d">
        <w:r w:rsidR="004409CB">
          <w:rPr>
            <w:rStyle w:val="Hyperlink"/>
          </w:rPr>
          <w:t>2011</w:t>
        </w:r>
      </w:hyperlink>
      <w:r w:rsidR="004409CB">
        <w:t xml:space="preserve">) notes a similar trend, referring to the gulf as an increase in political polarization, especially by elites, and media balkanization. McCright argues that this division in the presentation of climate change to the public is directly related to political orientation’s moderating effect on education. </w:t>
      </w:r>
      <w:hyperlink w:anchor="X0f625f3c7954e6cbffe4373b223aecc1a6d9d9d">
        <w:r w:rsidR="004409CB">
          <w:rPr>
            <w:rStyle w:val="Hyperlink"/>
          </w:rPr>
          <w:t>McCright</w:t>
        </w:r>
      </w:hyperlink>
      <w:r w:rsidR="004409CB">
        <w:t xml:space="preserve"> (</w:t>
      </w:r>
      <w:hyperlink w:anchor="X0f625f3c7954e6cbffe4373b223aecc1a6d9d9d">
        <w:r w:rsidR="004409CB">
          <w:rPr>
            <w:rStyle w:val="Hyperlink"/>
          </w:rPr>
          <w:t>2011</w:t>
        </w:r>
      </w:hyperlink>
      <w:r w:rsidR="004409CB">
        <w:t xml:space="preserve">), </w:t>
      </w:r>
      <w:hyperlink w:anchor="X5880f069ffcfa3094c79115709cc9df3292fa0f">
        <w:r w:rsidR="004409CB">
          <w:rPr>
            <w:rStyle w:val="Hyperlink"/>
          </w:rPr>
          <w:t>Hamilton</w:t>
        </w:r>
      </w:hyperlink>
      <w:r w:rsidR="004409CB">
        <w:t xml:space="preserve"> (</w:t>
      </w:r>
      <w:hyperlink w:anchor="X5880f069ffcfa3094c79115709cc9df3292fa0f">
        <w:r w:rsidR="004409CB">
          <w:rPr>
            <w:rStyle w:val="Hyperlink"/>
          </w:rPr>
          <w:t>2011</w:t>
        </w:r>
      </w:hyperlink>
      <w:r w:rsidR="004409CB">
        <w:t xml:space="preserve">), and others note a shift from prior research that consistently found education can predict climate change belief. </w:t>
      </w:r>
      <w:hyperlink w:anchor="X0f625f3c7954e6cbffe4373b223aecc1a6d9d9d">
        <w:r w:rsidR="004409CB">
          <w:rPr>
            <w:rStyle w:val="Hyperlink"/>
          </w:rPr>
          <w:t>McCright</w:t>
        </w:r>
      </w:hyperlink>
      <w:r w:rsidR="004409CB">
        <w:t xml:space="preserve"> (</w:t>
      </w:r>
      <w:hyperlink w:anchor="X0f625f3c7954e6cbffe4373b223aecc1a6d9d9d">
        <w:r w:rsidR="004409CB">
          <w:rPr>
            <w:rStyle w:val="Hyperlink"/>
          </w:rPr>
          <w:t>2011</w:t>
        </w:r>
      </w:hyperlink>
      <w:r w:rsidR="004409CB">
        <w:t>) identifies nine studies (from 2008-2011) that show that political orientation is now a strong moderator of education: liberals with higher education express a strong belief in or concern about climate change whereas conservations with higher education express less belief and concern.</w:t>
      </w:r>
    </w:p>
    <w:p w14:paraId="295DE814" w14:textId="77777777" w:rsidR="0033629A" w:rsidRDefault="00710174">
      <w:pPr>
        <w:pStyle w:val="BodyText"/>
      </w:pPr>
      <w:hyperlink w:anchor="X5880f069ffcfa3094c79115709cc9df3292fa0f">
        <w:r w:rsidR="004409CB">
          <w:rPr>
            <w:rStyle w:val="Hyperlink"/>
          </w:rPr>
          <w:t>Hamilton</w:t>
        </w:r>
      </w:hyperlink>
      <w:r w:rsidR="004409CB">
        <w:t xml:space="preserve"> (</w:t>
      </w:r>
      <w:hyperlink w:anchor="X5880f069ffcfa3094c79115709cc9df3292fa0f">
        <w:r w:rsidR="004409CB">
          <w:rPr>
            <w:rStyle w:val="Hyperlink"/>
          </w:rPr>
          <w:t>2011</w:t>
        </w:r>
      </w:hyperlink>
      <w:r w:rsidR="004409CB">
        <w:t xml:space="preserve">) argues that an interaction effect for political affiliation “reflects the efficacy of media campaigns that provide scientific-sounding arguments against taking climate change seriously, which disproportionately reach educated but ideologically receptive audiences” (p 239-240). In other words, conservatives who consume contrarian media feel “informed” about climate change, though the knowledge they hold is likely biased against true scientific evidence. Similarly, </w:t>
      </w:r>
      <w:hyperlink w:anchor="X0f625f3c7954e6cbffe4373b223aecc1a6d9d9d">
        <w:r w:rsidR="004409CB">
          <w:rPr>
            <w:rStyle w:val="Hyperlink"/>
          </w:rPr>
          <w:t>McCright</w:t>
        </w:r>
      </w:hyperlink>
      <w:r w:rsidR="004409CB">
        <w:t xml:space="preserve"> (</w:t>
      </w:r>
      <w:hyperlink w:anchor="X0f625f3c7954e6cbffe4373b223aecc1a6d9d9d">
        <w:r w:rsidR="004409CB">
          <w:rPr>
            <w:rStyle w:val="Hyperlink"/>
          </w:rPr>
          <w:t>2011</w:t>
        </w:r>
      </w:hyperlink>
      <w:r w:rsidR="004409CB">
        <w:t xml:space="preserve">) draws on information processing theory </w:t>
      </w:r>
      <w:r w:rsidR="004409CB">
        <w:lastRenderedPageBreak/>
        <w:t xml:space="preserve">and the elite cues hypothesis to explain this phenomenon. Information processing theory postulates that political ideology acts as a filter to interpret information when knowledge on the issue is lacking. This would explain why education was such a strong predictor of climate change belief and concern prior to the pronounced balkanization of the media. As those with different political orientations increasingly rely on divergent media sources, they feel they have a good understanding of the issue, even if that understanding is </w:t>
      </w:r>
      <w:proofErr w:type="gramStart"/>
      <w:r w:rsidR="004409CB">
        <w:t>the complete opposite of</w:t>
      </w:r>
      <w:proofErr w:type="gramEnd"/>
      <w:r w:rsidR="004409CB">
        <w:t xml:space="preserve"> established science.</w:t>
      </w:r>
    </w:p>
    <w:p w14:paraId="129D1711" w14:textId="77777777" w:rsidR="0033629A" w:rsidRDefault="004409CB">
      <w:pPr>
        <w:pStyle w:val="BodyText"/>
      </w:pPr>
      <w:r>
        <w:t xml:space="preserve">However, this explanation seems to only support the relationship between self-reported understanding of climate change and belief or concern, and not why education itself is moderated by ideology. McCright further posits that ideology may filter educational experiences, but this assertion is not sufficient. </w:t>
      </w:r>
      <w:hyperlink w:anchor="ref-hess2019">
        <w:r>
          <w:rPr>
            <w:rStyle w:val="Hyperlink"/>
          </w:rPr>
          <w:t>Hess &amp; Maki</w:t>
        </w:r>
      </w:hyperlink>
      <w:r>
        <w:t xml:space="preserve"> (</w:t>
      </w:r>
      <w:hyperlink w:anchor="ref-hess2019">
        <w:r>
          <w:rPr>
            <w:rStyle w:val="Hyperlink"/>
          </w:rPr>
          <w:t>2019</w:t>
        </w:r>
      </w:hyperlink>
      <w:r>
        <w:t>) offers deeper insight into this. Hess tested whether selective exposure bias, a type of confirmation bias, could explain conservatives’ lack of belief. In the case of university education, selective exposure bias manifests itself as the avoidance of taking courses that would present information at odds with students’ beliefs. This could explain why highly educated conservative adults still do not accept climate change. Results from their research confirm their hypothesis: conservative students avoided climate-related courses, especially students who had no shift in their beliefs during their college experience. They also tested resistance to belief change, which is the idea that “people may discount the new information in order to preserve their core values” (p. 1158). They found that, in general, taking a climate change course did not affect beliefs except for those who had the lowest beliefs. The results additionally showed that “Of conservatives who begin with a skeptical position and who took a climate-related course, more than twice as many showed an increase in their belief” in climate change as those who did not.” (p. 1164). In other words, there is some evidence for resistance to belief change, but it is not universal, even among conservative students.</w:t>
      </w:r>
    </w:p>
    <w:p w14:paraId="2F8AABD0" w14:textId="05910B42" w:rsidR="0033629A" w:rsidRDefault="004409CB">
      <w:pPr>
        <w:pStyle w:val="BodyText"/>
      </w:pPr>
      <w:r>
        <w:lastRenderedPageBreak/>
        <w:t xml:space="preserve">Research by </w:t>
      </w:r>
      <w:hyperlink w:anchor="ref-kahan2012">
        <w:r>
          <w:rPr>
            <w:rStyle w:val="Hyperlink"/>
          </w:rPr>
          <w:t>Kahan et al.</w:t>
        </w:r>
      </w:hyperlink>
      <w:r>
        <w:t xml:space="preserve"> (</w:t>
      </w:r>
      <w:hyperlink w:anchor="ref-kahan2012">
        <w:r>
          <w:rPr>
            <w:rStyle w:val="Hyperlink"/>
          </w:rPr>
          <w:t>2012</w:t>
        </w:r>
      </w:hyperlink>
      <w:r>
        <w:t xml:space="preserve">) comes to similar conclusions as the above authors. Unique to their study was the inclusion of a measure of scientific literacy (see also </w:t>
      </w:r>
      <w:hyperlink w:anchor="ref-drummond2017">
        <w:r>
          <w:rPr>
            <w:rStyle w:val="Hyperlink"/>
          </w:rPr>
          <w:t>Drummond &amp; Fischhoff, 2017</w:t>
        </w:r>
      </w:hyperlink>
      <w:r>
        <w:t xml:space="preserve">) and their use of broader ideological constructs. The authors used four world views based on cultural cognition theory. There is a hierarchical-egalitarian dichotomy relating to beliefs about how the world should be structured, with hierarchical world views believing society should be stratified on characteristics such as race, gender, and the like. The other dimension, individualist-communitarian, is based on group relations, where individualists believe more in responsibility for </w:t>
      </w:r>
      <w:proofErr w:type="gramStart"/>
      <w:r>
        <w:t>one’s self</w:t>
      </w:r>
      <w:proofErr w:type="gramEnd"/>
      <w:r>
        <w:t>. The hierarchical and individualist world views map closely with ideologically conservative or politically right affiliations.</w:t>
      </w:r>
    </w:p>
    <w:p w14:paraId="75EE0CB9" w14:textId="77777777" w:rsidR="0033629A" w:rsidRDefault="004409CB">
      <w:pPr>
        <w:pStyle w:val="BodyText"/>
      </w:pPr>
      <w:r>
        <w:t>While scientific literacy has a small positive correlation with concern about climate change risks for “egalitarian communitarians” (a liberal worldview), the opposite is true for “hierarchical individualists” (a conservative worldview; p.6). Besides adding to the evidence on the moderating effect of ideology, Kahan et al. offer an additional hypothesis to explain why educated conservatives do not perceive a risk from climate change. According to the authors, this stems from motivated reasoning, in which individuals seek out information that confirms their beliefs and values. Individuals with greater education levels are more adept at interpreting evidence in a way that fits their world views.</w:t>
      </w:r>
    </w:p>
    <w:p w14:paraId="486AFDF5" w14:textId="77A93BB2" w:rsidR="0033629A" w:rsidRDefault="00710174">
      <w:pPr>
        <w:pStyle w:val="BodyText"/>
      </w:pPr>
      <w:hyperlink w:anchor="ref-guy2014">
        <w:r w:rsidR="004409CB">
          <w:rPr>
            <w:rStyle w:val="Hyperlink"/>
          </w:rPr>
          <w:t>Guy et al.</w:t>
        </w:r>
      </w:hyperlink>
      <w:r w:rsidR="004409CB">
        <w:t xml:space="preserve"> (</w:t>
      </w:r>
      <w:hyperlink w:anchor="ref-guy2014">
        <w:r w:rsidR="004409CB">
          <w:rPr>
            <w:rStyle w:val="Hyperlink"/>
          </w:rPr>
          <w:t>2014</w:t>
        </w:r>
      </w:hyperlink>
      <w:r w:rsidR="004409CB">
        <w:t xml:space="preserve">) levy direct criticism of </w:t>
      </w:r>
      <w:hyperlink w:anchor="ref-kahan2012">
        <w:r w:rsidR="004409CB">
          <w:rPr>
            <w:rStyle w:val="Hyperlink"/>
          </w:rPr>
          <w:t>Kahan et al.</w:t>
        </w:r>
      </w:hyperlink>
      <w:r w:rsidR="004409CB">
        <w:t xml:space="preserve"> (</w:t>
      </w:r>
      <w:hyperlink w:anchor="ref-kahan2012">
        <w:r w:rsidR="004409CB">
          <w:rPr>
            <w:rStyle w:val="Hyperlink"/>
          </w:rPr>
          <w:t>2012</w:t>
        </w:r>
      </w:hyperlink>
      <w:r w:rsidR="004409CB">
        <w:t xml:space="preserve">) and similar studies that use scientific literacy and perceived knowledge as a proxy for true knowledge about climate change. They argue that “it may be premature to dismiss the role of knowledge in shaping public opinion on an issue with such profound implications” (p. 421). The authors use a sample of Australian adults and measure their specific climate change knowledge, their beliefs on climate change (their acceptance of it, their acceptance of it having human origins, and their acceptance of its negative consequences), and their world views as defined by </w:t>
      </w:r>
      <w:hyperlink w:anchor="ref-kahan2012">
        <w:r w:rsidR="004409CB">
          <w:rPr>
            <w:rStyle w:val="Hyperlink"/>
          </w:rPr>
          <w:t>Kahan et al.</w:t>
        </w:r>
      </w:hyperlink>
      <w:r w:rsidR="004409CB">
        <w:t xml:space="preserve"> (</w:t>
      </w:r>
      <w:hyperlink w:anchor="ref-kahan2012">
        <w:r w:rsidR="004409CB">
          <w:rPr>
            <w:rStyle w:val="Hyperlink"/>
          </w:rPr>
          <w:t>2012</w:t>
        </w:r>
      </w:hyperlink>
      <w:r w:rsidR="004409CB">
        <w:t>) and other authors.</w:t>
      </w:r>
    </w:p>
    <w:p w14:paraId="4B9D7772" w14:textId="77777777" w:rsidR="0033629A" w:rsidRDefault="004409CB">
      <w:pPr>
        <w:pStyle w:val="BodyText"/>
      </w:pPr>
      <w:r>
        <w:lastRenderedPageBreak/>
        <w:t>They found that perceived knowledge and actual knowledge of climate change only had a small correlation (</w:t>
      </w:r>
      <w:r>
        <w:rPr>
          <w:i/>
          <w:iCs/>
        </w:rPr>
        <w:t>r</w:t>
      </w:r>
      <w:r>
        <w:t xml:space="preserve"> = .23). They also found that specific knowledge of climate change had a different effect on belief, even when considering the moderating role (interaction) of world view. Overall, they found that perceived knowledge exacerbates the negative relationship between hierarchical worldviews and climate change belief, with higher perceived knowledge leading to less belief in climate change. They also found that when hierarchical individualists have higher specific knowledge of climate change, they are more likely to have stronger acceptance that it is real when compared to those who have low specific knowledge. These two findings are important. The former directly supports the authors’ assertion that self-reports and proxy measures of knowledge may not represent real knowledge about climate change, leading survey participants to base their beliefs on ideology instead of facts. The latter suggests that when there is a real understanding of climate change, it may prevent belief based on ideology.</w:t>
      </w:r>
    </w:p>
    <w:p w14:paraId="72FC2947" w14:textId="77777777" w:rsidR="0033629A" w:rsidRDefault="004409CB">
      <w:pPr>
        <w:pStyle w:val="BodyText"/>
      </w:pPr>
      <w:r>
        <w:t>One issue with Guy et al.’s (</w:t>
      </w:r>
      <w:hyperlink w:anchor="ref-guy2014">
        <w:r>
          <w:rPr>
            <w:rStyle w:val="Hyperlink"/>
          </w:rPr>
          <w:t>2014</w:t>
        </w:r>
      </w:hyperlink>
      <w:r>
        <w:t>) study is that their measure of specific climate change knowledge may not be in-depth enough to make strong claims regarding climate literacy. Their measure relies on determining whether nine different causes were related to climate change (</w:t>
      </w:r>
      <w:proofErr w:type="gramStart"/>
      <w:r>
        <w:t>e.g.</w:t>
      </w:r>
      <w:proofErr w:type="gramEnd"/>
      <w:r>
        <w:t xml:space="preserve"> deforestation vs nuclear power). While this certainly measures one aspect of climate change, it does not give a sense of whether individuals understand the energy and climate systems of the earth, </w:t>
      </w:r>
      <w:r>
        <w:rPr>
          <w:i/>
          <w:iCs/>
        </w:rPr>
        <w:t>how</w:t>
      </w:r>
      <w:r>
        <w:t xml:space="preserve"> these causes lead to climate change, or their differential impacts (</w:t>
      </w:r>
      <w:hyperlink w:anchor="ref-azevedo2017">
        <w:r>
          <w:rPr>
            <w:rStyle w:val="Hyperlink"/>
          </w:rPr>
          <w:t>Azevedo &amp; Marques, 2017</w:t>
        </w:r>
      </w:hyperlink>
      <w:r>
        <w:t>). In effect, while Guy et al.’s (</w:t>
      </w:r>
      <w:hyperlink w:anchor="ref-guy2014">
        <w:r>
          <w:rPr>
            <w:rStyle w:val="Hyperlink"/>
          </w:rPr>
          <w:t>2014</w:t>
        </w:r>
      </w:hyperlink>
      <w:r>
        <w:t>) study is important, it is more a measure of the relationship between knowledge of climate change causes, ideology, and belief than a measure of climate literacy.</w:t>
      </w:r>
    </w:p>
    <w:p w14:paraId="4EC872F7" w14:textId="77777777" w:rsidR="0033629A" w:rsidRDefault="00710174">
      <w:pPr>
        <w:pStyle w:val="BodyText"/>
      </w:pPr>
      <w:hyperlink w:anchor="ref-ranney2016">
        <w:r w:rsidR="004409CB">
          <w:rPr>
            <w:rStyle w:val="Hyperlink"/>
          </w:rPr>
          <w:t>Ranney &amp; Clark</w:t>
        </w:r>
      </w:hyperlink>
      <w:r w:rsidR="004409CB">
        <w:t xml:space="preserve"> (</w:t>
      </w:r>
      <w:hyperlink w:anchor="ref-ranney2016">
        <w:r w:rsidR="004409CB">
          <w:rPr>
            <w:rStyle w:val="Hyperlink"/>
          </w:rPr>
          <w:t>2016</w:t>
        </w:r>
      </w:hyperlink>
      <w:r w:rsidR="004409CB">
        <w:t xml:space="preserve">) seems to preempt such issues, as they focused their series of experiments on </w:t>
      </w:r>
      <w:r w:rsidR="004409CB">
        <w:rPr>
          <w:i/>
          <w:iCs/>
        </w:rPr>
        <w:t>mechanistic</w:t>
      </w:r>
      <w:r w:rsidR="004409CB">
        <w:t xml:space="preserve"> knowledge of climate change. The authors present two different types of climate change knowledge: evidential and mechanistic. Evidential knowledge, which </w:t>
      </w:r>
      <w:r w:rsidR="004409CB">
        <w:lastRenderedPageBreak/>
        <w:t>they argue is more common, focuses on evidence about rising temperatures, melting ice, and data that includes uncertainties. Though this is legitimate evidence about climate change, it could be subject to debate with accusations of scientific bias (</w:t>
      </w:r>
      <w:proofErr w:type="gramStart"/>
      <w:r w:rsidR="004409CB">
        <w:t>e.g.</w:t>
      </w:r>
      <w:proofErr w:type="gramEnd"/>
      <w:r w:rsidR="004409CB">
        <w:t xml:space="preserve"> the claim that scientists supposedly earn a lot of grant money to confirm climate change) or differing interpretations by (conservative) media. Mechanistic knowledge, on the other hand, focuses on the </w:t>
      </w:r>
      <w:r w:rsidR="004409CB">
        <w:rPr>
          <w:i/>
          <w:iCs/>
        </w:rPr>
        <w:t>how</w:t>
      </w:r>
      <w:r w:rsidR="004409CB">
        <w:t xml:space="preserve"> of climate change - the geochemical processes that underlie the greenhouse effect. Mechanistic knowledge does not contain “sides” and thus nothing is debatable. As utilized by the authors in their experiments, the mechanistic explanation for climate change is summed up in 35 words:</w:t>
      </w:r>
    </w:p>
    <w:p w14:paraId="7AEF5667" w14:textId="77777777" w:rsidR="0033629A" w:rsidRDefault="004409CB">
      <w:pPr>
        <w:pStyle w:val="BlockText"/>
      </w:pPr>
      <w:r>
        <w:t xml:space="preserve">Earth transforms sunlight’s visible light energy into infrared light energy, which leaves Earth slowly because it is absorbed by greenhouse gases. When people produce greenhouse gases, energy leaves Earth even more </w:t>
      </w:r>
      <w:proofErr w:type="gramStart"/>
      <w:r>
        <w:t>slowly—raising</w:t>
      </w:r>
      <w:proofErr w:type="gramEnd"/>
      <w:r>
        <w:t xml:space="preserve"> Earth’s temperature. (p. 52)</w:t>
      </w:r>
    </w:p>
    <w:p w14:paraId="4AD2A41B" w14:textId="32640D42" w:rsidR="0033629A" w:rsidRDefault="004409CB">
      <w:pPr>
        <w:pStyle w:val="FirstParagraph"/>
      </w:pPr>
      <w:r>
        <w:t xml:space="preserve">In response to </w:t>
      </w:r>
      <w:hyperlink w:anchor="ref-kahan2012">
        <w:r>
          <w:rPr>
            <w:rStyle w:val="Hyperlink"/>
          </w:rPr>
          <w:t>Kahan et al.</w:t>
        </w:r>
      </w:hyperlink>
      <w:r>
        <w:t xml:space="preserve"> (</w:t>
      </w:r>
      <w:hyperlink w:anchor="ref-kahan2012">
        <w:r>
          <w:rPr>
            <w:rStyle w:val="Hyperlink"/>
          </w:rPr>
          <w:t>2012</w:t>
        </w:r>
      </w:hyperlink>
      <w:r>
        <w:t>) and similar work, the authors disagreed with “the idea that one’s cultural context (e.g., political party) overwhelmingly dominates flexible learning from objective scientific information/regularities” (p.50). In a series of five quasi-experimental studies, the authors tested the assumption that mechanistic knowledge indeed plays an important role. In each experiment, they first measured mechanistic climate change knowledge and found poor understanding across their experiments. Each subsequent experiment presented mechanistic knowledge through different forms of interventions. Most of these experiments involved adults, though one included high school students.</w:t>
      </w:r>
    </w:p>
    <w:p w14:paraId="0DEE6EDC" w14:textId="77777777" w:rsidR="0033629A" w:rsidRDefault="004409CB">
      <w:pPr>
        <w:pStyle w:val="BodyText"/>
      </w:pPr>
      <w:r>
        <w:t xml:space="preserve">The results of the experiments consistently demonstrate that increasing one’s mechanistic knowledge increases climate change acceptance. Though they did not assess an interaction between knowledge and ideology, they did find no correlations between </w:t>
      </w:r>
      <w:r>
        <w:lastRenderedPageBreak/>
        <w:t xml:space="preserve">conservatism and climate change belief increases. These findings give further support to </w:t>
      </w:r>
      <w:hyperlink w:anchor="ref-guy2014">
        <w:r>
          <w:rPr>
            <w:rStyle w:val="Hyperlink"/>
          </w:rPr>
          <w:t>Guy et al.</w:t>
        </w:r>
      </w:hyperlink>
      <w:r>
        <w:t xml:space="preserve"> (</w:t>
      </w:r>
      <w:hyperlink w:anchor="ref-guy2014">
        <w:r>
          <w:rPr>
            <w:rStyle w:val="Hyperlink"/>
          </w:rPr>
          <w:t>2014</w:t>
        </w:r>
      </w:hyperlink>
      <w:r>
        <w:t xml:space="preserve">) and later work (e.g. </w:t>
      </w:r>
      <w:hyperlink w:anchor="ref-vanderlinden2018">
        <w:r>
          <w:rPr>
            <w:rStyle w:val="Hyperlink"/>
          </w:rPr>
          <w:t>van der Linden et al., 2018</w:t>
        </w:r>
      </w:hyperlink>
      <w:r>
        <w:t>) that shows the relationship between knowledge, ideology, and beliefs is not always consistent. Importantly, these findings suggest that “informing people about climate science can/does indeed play an important role in mobilizing action to respond appropriately to, and mitigate, climate change” (p. 51).</w:t>
      </w:r>
    </w:p>
    <w:p w14:paraId="0F1FB99A" w14:textId="77777777" w:rsidR="0033629A" w:rsidRDefault="004409CB">
      <w:pPr>
        <w:pStyle w:val="BodyText"/>
      </w:pPr>
      <w:r>
        <w:t>One issue with many of the above studies (</w:t>
      </w:r>
      <w:proofErr w:type="gramStart"/>
      <w:r>
        <w:t>with the exception of</w:t>
      </w:r>
      <w:proofErr w:type="gramEnd"/>
      <w:r>
        <w:t xml:space="preserve"> </w:t>
      </w:r>
      <w:hyperlink w:anchor="ref-hornsey2016">
        <w:r>
          <w:rPr>
            <w:rStyle w:val="Hyperlink"/>
          </w:rPr>
          <w:t>Hornsey et al., 2016</w:t>
        </w:r>
      </w:hyperlink>
      <w:r>
        <w:t xml:space="preserve">), is that they all base their analyses in the United States or English-speaking Western countries. </w:t>
      </w:r>
      <w:hyperlink w:anchor="ref-czarnekRightwingIdeologyReduces2021">
        <w:r>
          <w:rPr>
            <w:rStyle w:val="Hyperlink"/>
          </w:rPr>
          <w:t>Czarnek et al.</w:t>
        </w:r>
      </w:hyperlink>
      <w:r>
        <w:t xml:space="preserve"> (</w:t>
      </w:r>
      <w:hyperlink w:anchor="ref-czarnekRightwingIdeologyReduces2021">
        <w:r>
          <w:rPr>
            <w:rStyle w:val="Hyperlink"/>
          </w:rPr>
          <w:t>2021</w:t>
        </w:r>
      </w:hyperlink>
      <w:r>
        <w:t>) argue that U.S.-centric analyses such as these are problematic for two primary reasons. First, such studies assume climate change is a politicized issue. However, the authors point out that climate change is more likely to be a politicized issue in nations that have higher per capita emissions and more fossil fuel dependence, such as the U.S. (</w:t>
      </w:r>
      <w:hyperlink w:anchor="ref-hornsey2018">
        <w:r>
          <w:rPr>
            <w:rStyle w:val="Hyperlink"/>
          </w:rPr>
          <w:t>Hornsey et al., 2018</w:t>
        </w:r>
      </w:hyperlink>
      <w:r>
        <w:t xml:space="preserve">). In these cases, climate change beliefs may be more influenced by ideology, as climate change mitigation efforts typically threaten the status quo (dominant social paradigm), and those on the political right are more likely to have system justification tendencies to preserve society as is. </w:t>
      </w:r>
      <w:hyperlink w:anchor="ref-czarnekRightwingIdeologyReduces2021">
        <w:r>
          <w:rPr>
            <w:rStyle w:val="Hyperlink"/>
          </w:rPr>
          <w:t>Czarnek et al.</w:t>
        </w:r>
      </w:hyperlink>
      <w:r>
        <w:t xml:space="preserve"> (</w:t>
      </w:r>
      <w:hyperlink w:anchor="ref-czarnekRightwingIdeologyReduces2021">
        <w:r>
          <w:rPr>
            <w:rStyle w:val="Hyperlink"/>
          </w:rPr>
          <w:t>2021</w:t>
        </w:r>
      </w:hyperlink>
      <w:r>
        <w:t>) therefore hypothesize that country-level factors, especially development levels, will play a role in the relationship between education, ideology, and climate change beliefs.</w:t>
      </w:r>
    </w:p>
    <w:p w14:paraId="4F200DF4" w14:textId="77777777" w:rsidR="0033629A" w:rsidRDefault="004409CB">
      <w:pPr>
        <w:pStyle w:val="BodyText"/>
      </w:pPr>
      <w:r>
        <w:t xml:space="preserve">To test this, the authors examined three cross-national data sets representing a total of 64 countries. They examined three-way interactions between education (measured as years of education), left-right identification (as well as liberal-conservative identification), and the Human Development Index (HDI). For additional analyses, they replaced per capita carbon emissions for HDI to assay the relationship between emissions, education, and ideology as articulated by </w:t>
      </w:r>
      <w:hyperlink w:anchor="ref-hornsey2018">
        <w:r>
          <w:rPr>
            <w:rStyle w:val="Hyperlink"/>
          </w:rPr>
          <w:t>Hornsey et al.</w:t>
        </w:r>
      </w:hyperlink>
      <w:r>
        <w:t xml:space="preserve"> (</w:t>
      </w:r>
      <w:hyperlink w:anchor="ref-hornsey2018">
        <w:r>
          <w:rPr>
            <w:rStyle w:val="Hyperlink"/>
          </w:rPr>
          <w:t>2018</w:t>
        </w:r>
      </w:hyperlink>
      <w:r>
        <w:t xml:space="preserve">). The dependent variables included whether climate change was occurring (from the 2016 European Social Survey, 22 countries), whether climate </w:t>
      </w:r>
      <w:r>
        <w:lastRenderedPageBreak/>
        <w:t xml:space="preserve">change was human-caused (2016 European Social Survey; 2016 data from </w:t>
      </w:r>
      <w:hyperlink w:anchor="ref-hornsey2018">
        <w:r>
          <w:rPr>
            <w:rStyle w:val="Hyperlink"/>
          </w:rPr>
          <w:t>Hornsey et al., 2018, p. 25</w:t>
        </w:r>
      </w:hyperlink>
      <w:r>
        <w:t xml:space="preserve"> countries), how serious climate change is (2016 European Social Survey; 2015 World Value Survey, 58 countries), and climate change policy support (2016 European Social Survey).</w:t>
      </w:r>
    </w:p>
    <w:p w14:paraId="1BC42EA6" w14:textId="77777777" w:rsidR="0033629A" w:rsidRDefault="004409CB">
      <w:pPr>
        <w:pStyle w:val="BodyText"/>
      </w:pPr>
      <w:r>
        <w:t>While effects and relationships varied depending on outcome measure, several patterns emerged from the findings. The authors conclude that, cross-nationally, education does have a positive relationship with climate change beliefs, even at higher levels of development. However, it is at these higher levels of development that ideology begins to moderate this relationship, with lower or negative effects consistently occurring alongside conservative/right ideology. These results occurred for most, but not all, highly developed nations. They also found similar results when assessing per capita emissions rather than HDI for the World Values Survey data.</w:t>
      </w:r>
    </w:p>
    <w:p w14:paraId="503E4416" w14:textId="77777777" w:rsidR="0033629A" w:rsidRDefault="004409CB">
      <w:pPr>
        <w:pStyle w:val="BodyText"/>
      </w:pPr>
      <w:r>
        <w:t>Czarnek et al.’s (</w:t>
      </w:r>
      <w:hyperlink w:anchor="ref-czarnekRightwingIdeologyReduces2021">
        <w:r>
          <w:rPr>
            <w:rStyle w:val="Hyperlink"/>
          </w:rPr>
          <w:t>2021</w:t>
        </w:r>
      </w:hyperlink>
      <w:r>
        <w:t>) study also considers the underlying mechanisms behind these findings, especially concerning HDI and per capita emissions. They postulate that those at lower levels of development may be more threatened by climate change, and therefore climate change belief may be higher because of these risks. They also suggest that climate change may not be an issue in some of these countries because the nations are more concerned with physical and economic survival and do not have the resources needed to consider climate change mitigation. Thus, there is no reason to politicize climate change.</w:t>
      </w:r>
    </w:p>
    <w:p w14:paraId="7FC6D927" w14:textId="77777777" w:rsidR="0033629A" w:rsidRDefault="004409CB">
      <w:pPr>
        <w:pStyle w:val="BodyText"/>
      </w:pPr>
      <w:r>
        <w:t>Interestingly, despite the authors’ critiques of most studies as being U.S.-based, Czarnek et al.’s (</w:t>
      </w:r>
      <w:hyperlink w:anchor="ref-czarnekRightwingIdeologyReduces2021">
        <w:r>
          <w:rPr>
            <w:rStyle w:val="Hyperlink"/>
          </w:rPr>
          <w:t>2021</w:t>
        </w:r>
      </w:hyperlink>
      <w:r>
        <w:t>) study relies heavily on Eurocentric data sources for many of its analyses, suffering from the same criticism they levy: the results may not be representative of most nations. The inclusion of Hornsey et al.’s (</w:t>
      </w:r>
      <w:hyperlink w:anchor="ref-hornsey2018">
        <w:r>
          <w:rPr>
            <w:rStyle w:val="Hyperlink"/>
          </w:rPr>
          <w:t>2018</w:t>
        </w:r>
      </w:hyperlink>
      <w:r>
        <w:t xml:space="preserve">) data and the World Values Survey still misses some of the poorest nations. Indeed, such research seems mostly absent. For example, </w:t>
      </w:r>
      <w:r>
        <w:lastRenderedPageBreak/>
        <w:t>a current search for research examining education and climate change beliefs among nations in sub-Saharan Africa turned up few results. Returning to the 2019 World Risk poll (</w:t>
      </w:r>
      <w:hyperlink w:anchor="ref-llyodsregisterfoundation2019">
        <w:r>
          <w:rPr>
            <w:rStyle w:val="Hyperlink"/>
          </w:rPr>
          <w:t>Llyod’s Register Foundation, 2019</w:t>
        </w:r>
      </w:hyperlink>
      <w:r>
        <w:t xml:space="preserve">), the findings suggest a majority of those surveyed in Southern Africa consider climate change a very serious threat (60%), ranking </w:t>
      </w:r>
      <w:proofErr w:type="gramStart"/>
      <w:r>
        <w:t>third-highest</w:t>
      </w:r>
      <w:proofErr w:type="gramEnd"/>
      <w:r>
        <w:t xml:space="preserve"> in concern among all regions. In examining the most skeptical nations, the authors of the report point to Ethiopia as an outlier, with only 39% of its population agreeing that climate change is a serious threat. They argue that this skepticism may be due to lower levels of education, as Ethiopia has one of the lowest education levels in the region (</w:t>
      </w:r>
      <w:hyperlink w:anchor="ref-worldbank2021">
        <w:r>
          <w:rPr>
            <w:rStyle w:val="Hyperlink"/>
          </w:rPr>
          <w:t>World Bank, 2021</w:t>
        </w:r>
      </w:hyperlink>
      <w:r>
        <w:t>)</w:t>
      </w:r>
      <w:r>
        <w:rPr>
          <w:rStyle w:val="FootnoteReference"/>
        </w:rPr>
        <w:footnoteReference w:id="1"/>
      </w:r>
      <w:r>
        <w:t>.</w:t>
      </w:r>
    </w:p>
    <w:p w14:paraId="0A85B338" w14:textId="77777777" w:rsidR="0033629A" w:rsidRDefault="004409CB">
      <w:pPr>
        <w:pStyle w:val="BodyText"/>
      </w:pPr>
      <w:r>
        <w:t>The paucity of research examining the role of education, climate change belief, and ideology among poorer nations may or may not be problematic. On the one hand, we do miss data on a large proportion of the world’s population, many of whom are either likely to experience the effects of climate change or are experiencing economic growth and may be increasing their own emissions, or both. On the other hand, data on medium- and highly- developed nations and subsequent policy implications may be more pertinent, as most emissions - historical and present - stem from these nations. Historically, Europe and the United States have been the largest contributors to global warming. The U.S. remains a major contributor alongside China, India, Russia, and Brazil (</w:t>
      </w:r>
      <w:hyperlink w:anchor="ref-ritchie2019">
        <w:r>
          <w:rPr>
            <w:rStyle w:val="Hyperlink"/>
          </w:rPr>
          <w:t>Ritchie, 2019, October 1</w:t>
        </w:r>
      </w:hyperlink>
      <w:r>
        <w:t>). Nations such as these have a responsibility to lead climate action (</w:t>
      </w:r>
      <w:hyperlink w:anchor="ref-hultman2021">
        <w:r>
          <w:rPr>
            <w:rStyle w:val="Hyperlink"/>
          </w:rPr>
          <w:t>Hultman &amp; Gross, 2021, March 1</w:t>
        </w:r>
      </w:hyperlink>
      <w:r>
        <w:t>).</w:t>
      </w:r>
    </w:p>
    <w:p w14:paraId="46391D2C" w14:textId="77777777" w:rsidR="0033629A" w:rsidRDefault="004409CB">
      <w:pPr>
        <w:pStyle w:val="Heading3"/>
      </w:pPr>
      <w:bookmarkStart w:id="32" w:name="_Toc107939103"/>
      <w:bookmarkStart w:id="33" w:name="Xce8177883f6d2013660e9218bfeab9e10e5a3ff"/>
      <w:bookmarkEnd w:id="31"/>
      <w:r>
        <w:t>Education and Climate Change Beliefs Among Youth</w:t>
      </w:r>
      <w:bookmarkEnd w:id="32"/>
    </w:p>
    <w:p w14:paraId="1820F2CF" w14:textId="77777777" w:rsidR="0033629A" w:rsidRDefault="004409CB">
      <w:pPr>
        <w:pStyle w:val="FirstParagraph"/>
      </w:pPr>
      <w:r>
        <w:t xml:space="preserve">The evidence presented thus far reveals somewhat of an enigma in understanding the interaction between education, ideology, and climate change belief. Research using the PISA </w:t>
      </w:r>
      <w:r>
        <w:lastRenderedPageBreak/>
        <w:t xml:space="preserve">suggests higher scientific literacy is positively associated with positive environmental attitudes, though not necessarily climate change belief, as it cannot be assessed directly. However, additional research using other measures shows that ideology </w:t>
      </w:r>
      <w:proofErr w:type="gramStart"/>
      <w:r>
        <w:t>moderates</w:t>
      </w:r>
      <w:proofErr w:type="gramEnd"/>
      <w:r>
        <w:t xml:space="preserve"> education, with greater education positively associated with climate change beliefs for those with liberal ideologies and negatively associated for those with conservative ideologies. Yet, the latter research - which includes surveys and experiments alike - has relied on samples of adults (with the exception of </w:t>
      </w:r>
      <w:hyperlink w:anchor="ref-ranney2016">
        <w:r>
          <w:rPr>
            <w:rStyle w:val="Hyperlink"/>
          </w:rPr>
          <w:t>Ranney &amp; Clark</w:t>
        </w:r>
      </w:hyperlink>
      <w:r>
        <w:t xml:space="preserve"> (</w:t>
      </w:r>
      <w:hyperlink w:anchor="ref-ranney2016">
        <w:r>
          <w:rPr>
            <w:rStyle w:val="Hyperlink"/>
          </w:rPr>
          <w:t>2016</w:t>
        </w:r>
      </w:hyperlink>
      <w:r>
        <w:t>), who included high school students for one experiment).</w:t>
      </w:r>
    </w:p>
    <w:p w14:paraId="430FB02A" w14:textId="77777777" w:rsidR="0033629A" w:rsidRDefault="00710174">
      <w:pPr>
        <w:pStyle w:val="BodyText"/>
      </w:pPr>
      <w:hyperlink w:anchor="ref-lee2020">
        <w:r w:rsidR="004409CB">
          <w:rPr>
            <w:rStyle w:val="Hyperlink"/>
          </w:rPr>
          <w:t>Lee et al.</w:t>
        </w:r>
      </w:hyperlink>
      <w:r w:rsidR="004409CB">
        <w:t xml:space="preserve"> (</w:t>
      </w:r>
      <w:hyperlink w:anchor="ref-lee2020">
        <w:r w:rsidR="004409CB">
          <w:rPr>
            <w:rStyle w:val="Hyperlink"/>
          </w:rPr>
          <w:t>2020</w:t>
        </w:r>
      </w:hyperlink>
      <w:r w:rsidR="004409CB">
        <w:t xml:space="preserve">) provide an excellent overview of the state of knowledge on youth climate change perceptions. They examined 51 studies from 1993 to 2018 which focused on youth perceptions of climate change, climate change risk, and behaviors. Findings across the range of these studies vary based on </w:t>
      </w:r>
      <w:proofErr w:type="gramStart"/>
      <w:r w:rsidR="004409CB">
        <w:t>a number of</w:t>
      </w:r>
      <w:proofErr w:type="gramEnd"/>
      <w:r w:rsidR="004409CB">
        <w:t xml:space="preserve"> factors, including cultural and methodological ones. However, some trends were identified. In general, belief and concern in climate change decline with age, falling in late adolescence. The authors suggest that one reason for this may be that children and younger adolescents may be less influenced by cultural values. This same phenomenon occurs for behaviors and willingness to act. Belief also varied by a country’s development status, with middle-income countries having higher beliefs than high-income countries.</w:t>
      </w:r>
    </w:p>
    <w:p w14:paraId="4BE6013E" w14:textId="77777777" w:rsidR="0033629A" w:rsidRDefault="004409CB">
      <w:pPr>
        <w:pStyle w:val="BodyText"/>
      </w:pPr>
      <w:r>
        <w:t>Unsurprisingly, climate change knowledge also increases with age. Yet, there was persistent evidence of climate change misconceptions. These misconceptions often involve conflating the climate crisis with the depletion of the ozone layer. The authors suspect misconceptions such as these are passed on from adults, who often hold the same misconceptions. Misconceptions about climate change solutions, such as reducing litter, avoiding chlorofluorocarbons (implicated in ozone depletion but no longer common), or using unleaded gas, were also common in the studies.</w:t>
      </w:r>
    </w:p>
    <w:p w14:paraId="51CA7406" w14:textId="77777777" w:rsidR="0033629A" w:rsidRDefault="004409CB">
      <w:pPr>
        <w:pStyle w:val="BodyText"/>
      </w:pPr>
      <w:r>
        <w:lastRenderedPageBreak/>
        <w:t xml:space="preserve">Additionally, there was a trend toward younger children being more willing to act. And, like belief, those in middle-income countries were also more willing to endorse climate change action. Being willing to </w:t>
      </w:r>
      <w:proofErr w:type="gramStart"/>
      <w:r>
        <w:t>take action</w:t>
      </w:r>
      <w:proofErr w:type="gramEnd"/>
      <w:r>
        <w:t xml:space="preserve"> was based on both its convenience and its perceived usefulness. For example, youth are more likely to choose convenient but less effective actions, such as turning off lights, rather than more effective but less convenient actions, such as buying less.</w:t>
      </w:r>
    </w:p>
    <w:p w14:paraId="5ED1F57A" w14:textId="77777777" w:rsidR="0033629A" w:rsidRDefault="00710174">
      <w:pPr>
        <w:pStyle w:val="BodyText"/>
      </w:pPr>
      <w:hyperlink w:anchor="ref-lee2020">
        <w:r w:rsidR="004409CB">
          <w:rPr>
            <w:rStyle w:val="Hyperlink"/>
          </w:rPr>
          <w:t>Lee et al.</w:t>
        </w:r>
      </w:hyperlink>
      <w:r w:rsidR="004409CB">
        <w:t xml:space="preserve"> (</w:t>
      </w:r>
      <w:hyperlink w:anchor="ref-lee2020">
        <w:r w:rsidR="004409CB">
          <w:rPr>
            <w:rStyle w:val="Hyperlink"/>
          </w:rPr>
          <w:t>2020</w:t>
        </w:r>
      </w:hyperlink>
      <w:r w:rsidR="004409CB">
        <w:t xml:space="preserve">) conclude by suggesting climate change education among youth may be the perfect time to introduce them to concepts that they will have to grapple with later in their life. Indeed, </w:t>
      </w:r>
      <w:hyperlink w:anchor="ref-harkerschuch2019">
        <w:r w:rsidR="004409CB">
          <w:rPr>
            <w:rStyle w:val="Hyperlink"/>
          </w:rPr>
          <w:t>Harker-Schuch</w:t>
        </w:r>
      </w:hyperlink>
      <w:r w:rsidR="004409CB">
        <w:t xml:space="preserve"> (</w:t>
      </w:r>
      <w:hyperlink w:anchor="ref-harkerschuch2019">
        <w:r w:rsidR="004409CB">
          <w:rPr>
            <w:rStyle w:val="Hyperlink"/>
          </w:rPr>
          <w:t>2019</w:t>
        </w:r>
      </w:hyperlink>
      <w:r w:rsidR="004409CB">
        <w:t xml:space="preserve">) also argues that adolescence (ages 12-18 and especially early adolescence, ages 12-14) is the perfect time to teach about climate change and offers several mechanisms to explain why. During early adolescence, children are undergoing physiological, psychological, and social changes that prime them for being receptive to climate change literacy. For example, the intellectual development that occurs inside the brain </w:t>
      </w:r>
      <w:proofErr w:type="gramStart"/>
      <w:r w:rsidR="004409CB">
        <w:t>at this time</w:t>
      </w:r>
      <w:proofErr w:type="gramEnd"/>
      <w:r w:rsidR="004409CB">
        <w:t xml:space="preserve"> fosters scientific reasoning, abstract thinking, and the ability to process information regarding issues such as climate change. These mental changes foment consideration of ethical issues and the ability to take others’ perspectives, which can help students understand on a more visceral level the suffering of others that climate change may cause. Germane to the enigma above is the fact that adolescence also represents the </w:t>
      </w:r>
      <w:proofErr w:type="gramStart"/>
      <w:r w:rsidR="004409CB">
        <w:t>period of time</w:t>
      </w:r>
      <w:proofErr w:type="gramEnd"/>
      <w:r w:rsidR="004409CB">
        <w:t xml:space="preserve"> in which worldviews are still forming. The development of independent reasoning, social cognition, and identity formation suggest that adolescent worldviews may not be rigidly transmitted from parent to child but are the product of more complex learning environments. In other words, it is possible that age may play a role in attenuating the effect of ideology on climate change belief.</w:t>
      </w:r>
    </w:p>
    <w:p w14:paraId="37C3275B" w14:textId="435D5E8A" w:rsidR="0033629A" w:rsidRDefault="004409CB">
      <w:pPr>
        <w:pStyle w:val="BodyText"/>
      </w:pPr>
      <w:r>
        <w:t xml:space="preserve">This suggestion is the exact thesis of </w:t>
      </w:r>
      <w:hyperlink w:anchor="ref-stevenson2014">
        <w:r>
          <w:rPr>
            <w:rStyle w:val="Hyperlink"/>
          </w:rPr>
          <w:t>K. T. Stevenson et al.</w:t>
        </w:r>
      </w:hyperlink>
      <w:r>
        <w:t xml:space="preserve"> (</w:t>
      </w:r>
      <w:hyperlink w:anchor="ref-stevenson2014">
        <w:r>
          <w:rPr>
            <w:rStyle w:val="Hyperlink"/>
          </w:rPr>
          <w:t>2014</w:t>
        </w:r>
      </w:hyperlink>
      <w:r>
        <w:t xml:space="preserve">), who examined the relationship between climate change knowledge and ideology on belief in climate change </w:t>
      </w:r>
      <w:r>
        <w:lastRenderedPageBreak/>
        <w:t xml:space="preserve">using the same cultural cognition framework as </w:t>
      </w:r>
      <w:hyperlink w:anchor="ref-kahan2012">
        <w:r>
          <w:rPr>
            <w:rStyle w:val="Hyperlink"/>
          </w:rPr>
          <w:t>Kahan et al.</w:t>
        </w:r>
      </w:hyperlink>
      <w:r>
        <w:t xml:space="preserve"> (</w:t>
      </w:r>
      <w:hyperlink w:anchor="ref-kahan2012">
        <w:r>
          <w:rPr>
            <w:rStyle w:val="Hyperlink"/>
          </w:rPr>
          <w:t>2012</w:t>
        </w:r>
      </w:hyperlink>
      <w:r>
        <w:t>) (hierarchy-egalitarianism, individualism-communitarianism). The authors suggested that because adolescent worldviews are “plastic,” the knowledge-ideology relationships that are found in the literature on adults may not hold in a K-12 context. In their survey sample of 378 middle schoolers (ages 11-15), they found a significant interaction between climate change knowledge and the individualism-communitarianism worldview. However, the relationships did not exhibit the typical opposing pattern of adults. While individualists with less knowledge were less likely to accept climate change, as knowledge increased, so did acceptance. The authors found no significant differences between individuals at higher levels of knowledge, regardless of their worldview. The authors argue that “Climate literacy efforts can overcome, worldview-driven skepticism among adolescents, making them a receptive audience for building climate change concern” (p. 302).</w:t>
      </w:r>
    </w:p>
    <w:p w14:paraId="54C9A653" w14:textId="77777777" w:rsidR="0033629A" w:rsidRDefault="004409CB">
      <w:pPr>
        <w:pStyle w:val="BodyText"/>
      </w:pPr>
      <w:r>
        <w:t xml:space="preserve">Similar findings were reported by </w:t>
      </w:r>
      <w:hyperlink w:anchor="ref-tranter2014">
        <w:r>
          <w:rPr>
            <w:rStyle w:val="Hyperlink"/>
          </w:rPr>
          <w:t>Tranter &amp; Skrbis</w:t>
        </w:r>
      </w:hyperlink>
      <w:r>
        <w:t xml:space="preserve"> (</w:t>
      </w:r>
      <w:hyperlink w:anchor="ref-tranter2014">
        <w:r>
          <w:rPr>
            <w:rStyle w:val="Hyperlink"/>
          </w:rPr>
          <w:t>2014</w:t>
        </w:r>
      </w:hyperlink>
      <w:r>
        <w:t xml:space="preserve">), who studied beliefs among 12 to 17 years olds in Queensland, Australia. Of note from their results is that, when compared to Australian adults, youth political affiliation exhibits more variation, with a larger percentage of youth aligning with the Green party. Moreover, in conservative Queensland, </w:t>
      </w:r>
      <w:proofErr w:type="gramStart"/>
      <w:r>
        <w:t>a majority of</w:t>
      </w:r>
      <w:proofErr w:type="gramEnd"/>
      <w:r>
        <w:t xml:space="preserve"> youth included in the analysis accept climate change. Belief, however, varied based on party affiliation, even though this affiliation did not match the affiliation of Queenslander adults. Labor and Green Party affiliations (reflecting liberal values) were more likely to accept climate change than more conservative Liberal (a center-right party) or National parties. These results suggest that, while worldview certainly affects climate change beliefs, this worldview is flexible and may be independently formed rather than simply passed down from parents and guardians.</w:t>
      </w:r>
    </w:p>
    <w:p w14:paraId="56FE96F1" w14:textId="7000AB7F" w:rsidR="0033629A" w:rsidRDefault="00710174">
      <w:pPr>
        <w:pStyle w:val="BodyText"/>
      </w:pPr>
      <w:hyperlink w:anchor="ref-zummo2021">
        <w:r w:rsidR="004409CB">
          <w:rPr>
            <w:rStyle w:val="Hyperlink"/>
          </w:rPr>
          <w:t>Zummo et al.</w:t>
        </w:r>
      </w:hyperlink>
      <w:r w:rsidR="004409CB">
        <w:t xml:space="preserve"> (</w:t>
      </w:r>
      <w:hyperlink w:anchor="ref-zummo2021">
        <w:r w:rsidR="004409CB">
          <w:rPr>
            <w:rStyle w:val="Hyperlink"/>
          </w:rPr>
          <w:t>2021</w:t>
        </w:r>
      </w:hyperlink>
      <w:r w:rsidR="004409CB">
        <w:t>) challenged Stevenson et al.’s (</w:t>
      </w:r>
      <w:hyperlink w:anchor="ref-stevenson2014">
        <w:r w:rsidR="004409CB">
          <w:rPr>
            <w:rStyle w:val="Hyperlink"/>
          </w:rPr>
          <w:t>2014</w:t>
        </w:r>
      </w:hyperlink>
      <w:r w:rsidR="004409CB">
        <w:t>) findings that knowledge may overcome skepticism induced by worldview. Following Ranney and Clark’s (</w:t>
      </w:r>
      <w:hyperlink w:anchor="ref-ranney2016">
        <w:r w:rsidR="004409CB">
          <w:rPr>
            <w:rStyle w:val="Hyperlink"/>
          </w:rPr>
          <w:t>2016</w:t>
        </w:r>
      </w:hyperlink>
      <w:r w:rsidR="004409CB">
        <w:t xml:space="preserve">) focus </w:t>
      </w:r>
      <w:r w:rsidR="004409CB">
        <w:lastRenderedPageBreak/>
        <w:t xml:space="preserve">on the ability of mechanistic climate change knowledge to increase acceptance of climate change, </w:t>
      </w:r>
      <w:hyperlink w:anchor="ref-zummo2021">
        <w:r w:rsidR="004409CB">
          <w:rPr>
            <w:rStyle w:val="Hyperlink"/>
          </w:rPr>
          <w:t>Zummo et al.</w:t>
        </w:r>
      </w:hyperlink>
      <w:r w:rsidR="004409CB">
        <w:t xml:space="preserve"> (</w:t>
      </w:r>
      <w:hyperlink w:anchor="ref-zummo2021">
        <w:r w:rsidR="004409CB">
          <w:rPr>
            <w:rStyle w:val="Hyperlink"/>
          </w:rPr>
          <w:t>2021</w:t>
        </w:r>
      </w:hyperlink>
      <w:r w:rsidR="004409CB">
        <w:t xml:space="preserve">) implemented a randomized trial that included an educational intervention based on mechanistic knowledge, as well as measures of worldview and quantitative reasoning. The overall findings suggest “multiple influences on receptivity to climate change for adolescents” (p. 25). The results of their intervention offer a partial confirmation of </w:t>
      </w:r>
      <w:hyperlink w:anchor="ref-ranney2016">
        <w:r w:rsidR="004409CB">
          <w:rPr>
            <w:rStyle w:val="Hyperlink"/>
          </w:rPr>
          <w:t>Ranney &amp; Clark</w:t>
        </w:r>
      </w:hyperlink>
      <w:r w:rsidR="004409CB">
        <w:t xml:space="preserve"> (</w:t>
      </w:r>
      <w:hyperlink w:anchor="ref-ranney2016">
        <w:r w:rsidR="004409CB">
          <w:rPr>
            <w:rStyle w:val="Hyperlink"/>
          </w:rPr>
          <w:t>2016</w:t>
        </w:r>
      </w:hyperlink>
      <w:r w:rsidR="004409CB">
        <w:t xml:space="preserve">) and </w:t>
      </w:r>
      <w:hyperlink w:anchor="ref-stevenson2014">
        <w:r w:rsidR="004409CB">
          <w:rPr>
            <w:rStyle w:val="Hyperlink"/>
          </w:rPr>
          <w:t>K. T. Stevenson et al.</w:t>
        </w:r>
      </w:hyperlink>
      <w:r w:rsidR="004409CB">
        <w:t xml:space="preserve"> (</w:t>
      </w:r>
      <w:hyperlink w:anchor="ref-stevenson2014">
        <w:r w:rsidR="004409CB">
          <w:rPr>
            <w:rStyle w:val="Hyperlink"/>
          </w:rPr>
          <w:t>2014</w:t>
        </w:r>
      </w:hyperlink>
      <w:r w:rsidR="004409CB">
        <w:t xml:space="preserve">) in that knowledge, in particular mechanistic knowledge, is significantly related to increases in climate change belief. However, the results suggested this relationship was weak, accounting for only 2.1% of variation in their models. On the other hand, the roles worldview, quantitative reasoning, and their interaction play is far stronger, accounting for 25% of variation. Their results were more reflective of </w:t>
      </w:r>
      <w:hyperlink w:anchor="ref-kahan2012">
        <w:r w:rsidR="004409CB">
          <w:rPr>
            <w:rStyle w:val="Hyperlink"/>
          </w:rPr>
          <w:t>Kahan et al.</w:t>
        </w:r>
      </w:hyperlink>
      <w:r w:rsidR="004409CB">
        <w:t xml:space="preserve"> (</w:t>
      </w:r>
      <w:hyperlink w:anchor="ref-kahan2012">
        <w:r w:rsidR="004409CB">
          <w:rPr>
            <w:rStyle w:val="Hyperlink"/>
          </w:rPr>
          <w:t>2012</w:t>
        </w:r>
      </w:hyperlink>
      <w:r w:rsidR="004409CB">
        <w:t xml:space="preserve">) and similar research among adults than </w:t>
      </w:r>
      <w:hyperlink w:anchor="ref-stevenson2014">
        <w:r w:rsidR="004409CB">
          <w:rPr>
            <w:rStyle w:val="Hyperlink"/>
          </w:rPr>
          <w:t>K. T. Stevenson et al.</w:t>
        </w:r>
      </w:hyperlink>
      <w:r w:rsidR="004409CB">
        <w:t xml:space="preserve"> (</w:t>
      </w:r>
      <w:hyperlink w:anchor="ref-stevenson2014">
        <w:r w:rsidR="004409CB">
          <w:rPr>
            <w:rStyle w:val="Hyperlink"/>
          </w:rPr>
          <w:t>2014</w:t>
        </w:r>
      </w:hyperlink>
      <w:r w:rsidR="004409CB">
        <w:t xml:space="preserve">). Students with high quantitative reasoning scores and hierarchical-individualist world views were </w:t>
      </w:r>
      <w:r w:rsidR="004409CB">
        <w:rPr>
          <w:i/>
          <w:iCs/>
        </w:rPr>
        <w:t>less</w:t>
      </w:r>
      <w:r w:rsidR="004409CB">
        <w:t xml:space="preserve"> likely to accept climate change.</w:t>
      </w:r>
    </w:p>
    <w:p w14:paraId="7FF17EC1" w14:textId="77777777" w:rsidR="0033629A" w:rsidRDefault="004409CB">
      <w:pPr>
        <w:pStyle w:val="BodyText"/>
      </w:pPr>
      <w:r>
        <w:t xml:space="preserve">This evidence presents the argument that age may </w:t>
      </w:r>
      <w:r>
        <w:rPr>
          <w:i/>
          <w:iCs/>
        </w:rPr>
        <w:t>not</w:t>
      </w:r>
      <w:r>
        <w:t xml:space="preserve"> attenuate ideology; rather, it suggests adolescents are as capable as adults at motivated reasoning. Despite this finding, most research demonstrates climate change belief and age have a negative correlation - the younger the person is, the more likely they are to believe in climate change, show more concern, and perceive the risk as greater (</w:t>
      </w:r>
      <w:hyperlink w:anchor="ref-corner2015">
        <w:r>
          <w:rPr>
            <w:rStyle w:val="Hyperlink"/>
          </w:rPr>
          <w:t>Corner et al., 2015</w:t>
        </w:r>
      </w:hyperlink>
      <w:r>
        <w:t xml:space="preserve">; </w:t>
      </w:r>
      <w:hyperlink w:anchor="ref-hornsey2016">
        <w:r>
          <w:rPr>
            <w:rStyle w:val="Hyperlink"/>
          </w:rPr>
          <w:t>Hornsey et al., 2016</w:t>
        </w:r>
      </w:hyperlink>
      <w:r>
        <w:t>). This suggests adolescents are likely less resistant to climate change attitudes than adults (</w:t>
      </w:r>
      <w:hyperlink w:anchor="ref-stevenson2019">
        <w:r>
          <w:rPr>
            <w:rStyle w:val="Hyperlink"/>
          </w:rPr>
          <w:t>K. T. Stevenson et al., 2019</w:t>
        </w:r>
      </w:hyperlink>
      <w:r>
        <w:t>).</w:t>
      </w:r>
    </w:p>
    <w:p w14:paraId="6E989ED5" w14:textId="77777777" w:rsidR="0033629A" w:rsidRDefault="00710174">
      <w:pPr>
        <w:pStyle w:val="BodyText"/>
      </w:pPr>
      <w:hyperlink w:anchor="ref-zummo2021">
        <w:r w:rsidR="004409CB">
          <w:rPr>
            <w:rStyle w:val="Hyperlink"/>
          </w:rPr>
          <w:t>Zummo et al.</w:t>
        </w:r>
      </w:hyperlink>
      <w:r w:rsidR="004409CB">
        <w:t xml:space="preserve"> (</w:t>
      </w:r>
      <w:hyperlink w:anchor="ref-zummo2021">
        <w:r w:rsidR="004409CB">
          <w:rPr>
            <w:rStyle w:val="Hyperlink"/>
          </w:rPr>
          <w:t>2021</w:t>
        </w:r>
      </w:hyperlink>
      <w:r w:rsidR="004409CB">
        <w:t xml:space="preserve">) also make the case that intervention time, or more generally, time spent learning about climate change in school may not be sufficient: “A 15-year-old student has spent far more time in their families, churches, community centers, and peer groups than they have in school science. They have spent far more time practicing and developing their </w:t>
      </w:r>
      <w:r w:rsidR="004409CB">
        <w:lastRenderedPageBreak/>
        <w:t>worldviews than they spent learning about climate change in our 30-min computerized intervention” (p. 29).</w:t>
      </w:r>
    </w:p>
    <w:p w14:paraId="701240CB" w14:textId="77777777" w:rsidR="0033629A" w:rsidRDefault="004409CB">
      <w:pPr>
        <w:pStyle w:val="BodyText"/>
      </w:pPr>
      <w:r>
        <w:t>This is a valid point. Time spent learning about science in general and climate change</w:t>
      </w:r>
      <w:proofErr w:type="gramStart"/>
      <w:r>
        <w:t>, in particular, may</w:t>
      </w:r>
      <w:proofErr w:type="gramEnd"/>
      <w:r>
        <w:t xml:space="preserve"> be another factor that alters the relationship between knowledge, belief, and ideology. No studies were found that looked at how long-term interventions specifically affect this relationship. However, since young people spend a lot of time in school in many nations, and because climate change is often part of the science curriculum, we can assume the effects </w:t>
      </w:r>
      <w:hyperlink w:anchor="ref-zummo2021">
        <w:r>
          <w:rPr>
            <w:rStyle w:val="Hyperlink"/>
          </w:rPr>
          <w:t>Zummo et al.</w:t>
        </w:r>
      </w:hyperlink>
      <w:r>
        <w:t xml:space="preserve"> (</w:t>
      </w:r>
      <w:hyperlink w:anchor="ref-zummo2021">
        <w:r>
          <w:rPr>
            <w:rStyle w:val="Hyperlink"/>
          </w:rPr>
          <w:t>2021</w:t>
        </w:r>
      </w:hyperlink>
      <w:r>
        <w:t>) found are lessened, though not likely inexistent. Of course, it is important to recall Czarnek et al.’s (</w:t>
      </w:r>
      <w:hyperlink w:anchor="ref-czarnekRightwingIdeologyReduces2021">
        <w:r>
          <w:rPr>
            <w:rStyle w:val="Hyperlink"/>
          </w:rPr>
          <w:t>2021</w:t>
        </w:r>
      </w:hyperlink>
      <w:r>
        <w:t>) criticism that ideology is more likely to play a role in nations where climate change has been politicized. Thus, the evidence that knowledge increases belief (</w:t>
      </w:r>
      <w:hyperlink w:anchor="ref-stevenson2014">
        <w:r>
          <w:rPr>
            <w:rStyle w:val="Hyperlink"/>
          </w:rPr>
          <w:t>K. T. Stevenson et al., 2014</w:t>
        </w:r>
      </w:hyperlink>
      <w:r>
        <w:t xml:space="preserve">, </w:t>
      </w:r>
      <w:hyperlink w:anchor="ref-stevenson2018">
        <w:r>
          <w:rPr>
            <w:rStyle w:val="Hyperlink"/>
          </w:rPr>
          <w:t>2018</w:t>
        </w:r>
      </w:hyperlink>
      <w:r>
        <w:t xml:space="preserve">; </w:t>
      </w:r>
      <w:hyperlink w:anchor="ref-tranter2014">
        <w:r>
          <w:rPr>
            <w:rStyle w:val="Hyperlink"/>
          </w:rPr>
          <w:t>Tranter &amp; Skrbis, 2014</w:t>
        </w:r>
      </w:hyperlink>
      <w:r>
        <w:t>) likely holds true in those nations.</w:t>
      </w:r>
    </w:p>
    <w:p w14:paraId="074CAFD9" w14:textId="77777777" w:rsidR="0033629A" w:rsidRDefault="004409CB">
      <w:pPr>
        <w:pStyle w:val="BodyText"/>
      </w:pPr>
      <w:r>
        <w:t>Collectively, research has shown that increased knowledge of climate change, especially mechanistic knowledge, increases belief in climate change. This is an important step toward action. However, Zummo et al.’s (</w:t>
      </w:r>
      <w:hyperlink w:anchor="ref-zummo2021">
        <w:r>
          <w:rPr>
            <w:rStyle w:val="Hyperlink"/>
          </w:rPr>
          <w:t>2021</w:t>
        </w:r>
      </w:hyperlink>
      <w:r>
        <w:t>) point about time spent with families and peers warrants further understanding.</w:t>
      </w:r>
    </w:p>
    <w:p w14:paraId="2402D44D" w14:textId="77777777" w:rsidR="0033629A" w:rsidRDefault="004409CB">
      <w:pPr>
        <w:pStyle w:val="Heading3"/>
      </w:pPr>
      <w:bookmarkStart w:id="34" w:name="_Toc107939104"/>
      <w:bookmarkStart w:id="35" w:name="Xd14adf28af6691d71fe3bb0f0b78c9b2ce68864"/>
      <w:bookmarkEnd w:id="33"/>
      <w:r>
        <w:t>Family and Peer Influence on Climate Change Belief</w:t>
      </w:r>
      <w:bookmarkEnd w:id="34"/>
    </w:p>
    <w:p w14:paraId="1B9757DB" w14:textId="77777777" w:rsidR="0033629A" w:rsidRDefault="004409CB">
      <w:pPr>
        <w:pStyle w:val="FirstParagraph"/>
      </w:pPr>
      <w:r>
        <w:t>There is a rich theoretical base for understanding how family and peers affect the psychosocial development of children and adolescents. Both consumer socialization theory and developmental psychology assert that parents wield great influence on their children by passing on values and behaviors (</w:t>
      </w:r>
      <w:hyperlink w:anchor="ref-gronhoj2012">
        <w:r>
          <w:rPr>
            <w:rStyle w:val="Hyperlink"/>
          </w:rPr>
          <w:t>Gronhoj &amp; Thogersen, 2012</w:t>
        </w:r>
      </w:hyperlink>
      <w:r>
        <w:t xml:space="preserve">). Peers may also exert a similar kind of influence on individuals. The research on these sources of influence indicates that interaction and discussion play a major role (e.g., </w:t>
      </w:r>
      <w:hyperlink w:anchor="ref-dostiegoulet2009">
        <w:r>
          <w:rPr>
            <w:rStyle w:val="Hyperlink"/>
          </w:rPr>
          <w:t>Dostie-Goulet, 2009</w:t>
        </w:r>
      </w:hyperlink>
      <w:r>
        <w:t xml:space="preserve">). Furthermore, observation of others is another source of influence. Both family and peer behaviors influence </w:t>
      </w:r>
      <w:r>
        <w:lastRenderedPageBreak/>
        <w:t>individuals through descriptive norms, which are perceptions of the behavior of others. In other words, families and peers lead by example (</w:t>
      </w:r>
      <w:hyperlink w:anchor="ref-cialdini2007">
        <w:r>
          <w:rPr>
            <w:rStyle w:val="Hyperlink"/>
          </w:rPr>
          <w:t>Cialdini, 2007</w:t>
        </w:r>
      </w:hyperlink>
      <w:r>
        <w:t>).</w:t>
      </w:r>
    </w:p>
    <w:p w14:paraId="181223C9" w14:textId="77777777" w:rsidR="0033629A" w:rsidRDefault="004409CB">
      <w:pPr>
        <w:pStyle w:val="BodyText"/>
      </w:pPr>
      <w:r>
        <w:t xml:space="preserve">Peer and family influence on climate change-related factors has been extensively investigated. </w:t>
      </w:r>
      <w:hyperlink w:anchor="ref-mead2012">
        <w:r>
          <w:rPr>
            <w:rStyle w:val="Hyperlink"/>
          </w:rPr>
          <w:t>Mead et al.</w:t>
        </w:r>
      </w:hyperlink>
      <w:r>
        <w:t xml:space="preserve"> (</w:t>
      </w:r>
      <w:hyperlink w:anchor="ref-mead2012">
        <w:r>
          <w:rPr>
            <w:rStyle w:val="Hyperlink"/>
          </w:rPr>
          <w:t>2012</w:t>
        </w:r>
      </w:hyperlink>
      <w:r>
        <w:t>) examined the climate change information-seeking behavior of adolescents (13-17 years old) and parents. Specifically, they looked at attitudes toward climate-friendly behaviors, beliefs about the effect of their actions (a.k.a., belief efficacy), their perceived risk of climate change, and family discussion about climate change. Responses to risk perception and efficacy belief questions were categorized into four groups based on a risk perception attitude framework (RPA): indifference (low risk, weak efficacy), proactive (low risk, strong efficacy), avoidance (high risk, weak efficacy), responsive (high risk, strong efficacy).</w:t>
      </w:r>
    </w:p>
    <w:p w14:paraId="0AF3847B" w14:textId="77777777" w:rsidR="0033629A" w:rsidRDefault="004409CB">
      <w:pPr>
        <w:pStyle w:val="BodyText"/>
      </w:pPr>
      <w:r>
        <w:t>They found a significant association between parent and adolescent risk perception groups. In other words, many adolescents shared their parents’ views, especially those who fell into the indifference and responsive groups. However, the trend was not consistent with groups. For example, proactive parents were more likely to have indifferent adolescents while avoidance parents were more likely to have responsive adolescents. The correlation between parental and adolescent RPA group membership was found to be higher when climate change discussions happened more frequently.</w:t>
      </w:r>
    </w:p>
    <w:p w14:paraId="3B2E0779" w14:textId="77777777" w:rsidR="0033629A" w:rsidRDefault="004409CB">
      <w:pPr>
        <w:pStyle w:val="BodyText"/>
      </w:pPr>
      <w:r>
        <w:t xml:space="preserve">The strongest predictors of adolescent information-seeking behavior were adolescent attitudes and family communication. Adolescents in the avoidance and responsive group were more likely to seek climate-change information. Parent RPA group membership was found to have only a weak association with information-seeking behavior of adolescents. </w:t>
      </w:r>
      <w:hyperlink w:anchor="ref-mead2012">
        <w:r>
          <w:rPr>
            <w:rStyle w:val="Hyperlink"/>
          </w:rPr>
          <w:t>Mead et al.</w:t>
        </w:r>
      </w:hyperlink>
      <w:r>
        <w:t xml:space="preserve"> (</w:t>
      </w:r>
      <w:hyperlink w:anchor="ref-mead2012">
        <w:r>
          <w:rPr>
            <w:rStyle w:val="Hyperlink"/>
          </w:rPr>
          <w:t>2012</w:t>
        </w:r>
      </w:hyperlink>
      <w:r>
        <w:t xml:space="preserve">) conclude that adolescents typically mirror their parents, though regardless of risk </w:t>
      </w:r>
      <w:r>
        <w:lastRenderedPageBreak/>
        <w:t xml:space="preserve">perception, adolescents in families that discuss climate change are more likely to seek out information. Similar findings were also reported by </w:t>
      </w:r>
      <w:hyperlink w:anchor="ref-ojala2015">
        <w:r>
          <w:rPr>
            <w:rStyle w:val="Hyperlink"/>
          </w:rPr>
          <w:t>Ojala</w:t>
        </w:r>
      </w:hyperlink>
      <w:r>
        <w:t xml:space="preserve"> (</w:t>
      </w:r>
      <w:hyperlink w:anchor="ref-ojala2015">
        <w:r>
          <w:rPr>
            <w:rStyle w:val="Hyperlink"/>
          </w:rPr>
          <w:t>2015</w:t>
        </w:r>
      </w:hyperlink>
      <w:r>
        <w:t>).</w:t>
      </w:r>
    </w:p>
    <w:p w14:paraId="6FE18DE9" w14:textId="77777777" w:rsidR="0033629A" w:rsidRDefault="004409CB">
      <w:pPr>
        <w:pStyle w:val="BodyText"/>
      </w:pPr>
      <w:r>
        <w:t xml:space="preserve">The thread running through the above research suggests that family influence is greater than peer influence, but the individual’s own knowledge and beliefs are also important. Indeed, these findings are consistent with more recent research by </w:t>
      </w:r>
      <w:hyperlink w:anchor="ref-stevenson2019">
        <w:r>
          <w:rPr>
            <w:rStyle w:val="Hyperlink"/>
          </w:rPr>
          <w:t>K. T. Stevenson et al.</w:t>
        </w:r>
      </w:hyperlink>
      <w:r>
        <w:t xml:space="preserve"> (</w:t>
      </w:r>
      <w:hyperlink w:anchor="ref-stevenson2019">
        <w:r>
          <w:rPr>
            <w:rStyle w:val="Hyperlink"/>
          </w:rPr>
          <w:t>2019</w:t>
        </w:r>
      </w:hyperlink>
      <w:r>
        <w:t>), who examined climate change concern among 426 middle school students. They found discussions with peers and families positively predicted concern and student gender (i.e., being a girl) had roughly the same effect. The largest effect, consistent across their models, was personal student attitudes. The authors recognize the role peer and parental influence may have. However, given the results of this study and their previous research (</w:t>
      </w:r>
      <w:hyperlink w:anchor="ref-stevenson2014">
        <w:r>
          <w:rPr>
            <w:rStyle w:val="Hyperlink"/>
          </w:rPr>
          <w:t>K. T. Stevenson et al., 2014</w:t>
        </w:r>
      </w:hyperlink>
      <w:r>
        <w:t>), they argue that such influences have a weakened effect on adolescents, likely due to the resistance to influence that appears during adolescent development (</w:t>
      </w:r>
      <w:hyperlink w:anchor="ref-harkerschuch2019">
        <w:r>
          <w:rPr>
            <w:rStyle w:val="Hyperlink"/>
          </w:rPr>
          <w:t>Harker-Schuch, 2019</w:t>
        </w:r>
      </w:hyperlink>
      <w:r>
        <w:t xml:space="preserve">; </w:t>
      </w:r>
      <w:hyperlink w:anchor="ref-vollebergh2001">
        <w:r>
          <w:rPr>
            <w:rStyle w:val="Hyperlink"/>
          </w:rPr>
          <w:t>Vollebergh et al., 2001</w:t>
        </w:r>
      </w:hyperlink>
      <w:r>
        <w:t>).</w:t>
      </w:r>
    </w:p>
    <w:p w14:paraId="3B0E257F" w14:textId="77777777" w:rsidR="0033629A" w:rsidRDefault="004409CB">
      <w:pPr>
        <w:pStyle w:val="BodyText"/>
      </w:pPr>
      <w:r>
        <w:t xml:space="preserve">The above research, being correlational in nature, cannot assess the direction of parental and adolescent influence. Indeed, </w:t>
      </w:r>
      <w:hyperlink w:anchor="ref-mead2012">
        <w:r>
          <w:rPr>
            <w:rStyle w:val="Hyperlink"/>
          </w:rPr>
          <w:t>Mead et al.</w:t>
        </w:r>
      </w:hyperlink>
      <w:r>
        <w:t xml:space="preserve"> (</w:t>
      </w:r>
      <w:hyperlink w:anchor="ref-mead2012">
        <w:r>
          <w:rPr>
            <w:rStyle w:val="Hyperlink"/>
          </w:rPr>
          <w:t>2012</w:t>
        </w:r>
      </w:hyperlink>
      <w:r>
        <w:t>) bring up the same point: “we are unable to tell whether parental beliefs drive or are reflective of adolescents’ beliefs” (p. 45). Though they point to some evidence indicating parental belief precedes the beliefs of their children, this notion of a possible directional influence stemming from adolescents to parents introduces the concept of intergenerational learning, which has a potential major bearing of moving from individual knowledge to influential climate action.</w:t>
      </w:r>
    </w:p>
    <w:p w14:paraId="28C14ABC" w14:textId="77777777" w:rsidR="0033629A" w:rsidRDefault="004409CB">
      <w:pPr>
        <w:pStyle w:val="Heading3"/>
      </w:pPr>
      <w:bookmarkStart w:id="36" w:name="_Toc107939105"/>
      <w:bookmarkStart w:id="37" w:name="intergenerational-learning"/>
      <w:bookmarkEnd w:id="35"/>
      <w:r>
        <w:t>Intergenerational Learning</w:t>
      </w:r>
      <w:bookmarkEnd w:id="36"/>
    </w:p>
    <w:p w14:paraId="1A5CE0B8" w14:textId="77777777" w:rsidR="0033629A" w:rsidRDefault="004409CB">
      <w:pPr>
        <w:pStyle w:val="FirstParagraph"/>
      </w:pPr>
      <w:r>
        <w:t>Traditional lines of intergenerational learning (IGL) research have largely suggested that the direction of influence moves from parent to child (</w:t>
      </w:r>
      <w:hyperlink w:anchor="ref-axinn1993">
        <w:r>
          <w:rPr>
            <w:rStyle w:val="Hyperlink"/>
          </w:rPr>
          <w:t>Axinn &amp; Thornton, 1993</w:t>
        </w:r>
      </w:hyperlink>
      <w:r>
        <w:t xml:space="preserve">; </w:t>
      </w:r>
      <w:hyperlink w:anchor="ref-daviskean2005">
        <w:r>
          <w:rPr>
            <w:rStyle w:val="Hyperlink"/>
          </w:rPr>
          <w:t>Davis-Kean, 2005</w:t>
        </w:r>
      </w:hyperlink>
      <w:r>
        <w:t xml:space="preserve">). However, more recent research demonstrates child to parent IGL also occurs </w:t>
      </w:r>
      <w:r>
        <w:lastRenderedPageBreak/>
        <w:t>(</w:t>
      </w:r>
      <w:hyperlink w:anchor="ref-lasala2000">
        <w:r>
          <w:rPr>
            <w:rStyle w:val="Hyperlink"/>
          </w:rPr>
          <w:t>LaSala, 2000</w:t>
        </w:r>
      </w:hyperlink>
      <w:r>
        <w:t>), especially with conservation-related behaviors (</w:t>
      </w:r>
      <w:hyperlink w:anchor="ref-boudet2016">
        <w:r>
          <w:rPr>
            <w:rStyle w:val="Hyperlink"/>
          </w:rPr>
          <w:t>Boudet et al., 2016</w:t>
        </w:r>
      </w:hyperlink>
      <w:r>
        <w:t xml:space="preserve">; </w:t>
      </w:r>
      <w:hyperlink w:anchor="ref-maddox2011">
        <w:r>
          <w:rPr>
            <w:rStyle w:val="Hyperlink"/>
          </w:rPr>
          <w:t>Maddox et al., 2011</w:t>
        </w:r>
      </w:hyperlink>
      <w:r>
        <w:t xml:space="preserve">). </w:t>
      </w:r>
      <w:hyperlink w:anchor="ref-lawson2018">
        <w:r>
          <w:rPr>
            <w:rStyle w:val="Hyperlink"/>
          </w:rPr>
          <w:t>Lawson et al.</w:t>
        </w:r>
      </w:hyperlink>
      <w:r>
        <w:t xml:space="preserve"> (</w:t>
      </w:r>
      <w:hyperlink w:anchor="ref-lawson2018">
        <w:r>
          <w:rPr>
            <w:rStyle w:val="Hyperlink"/>
          </w:rPr>
          <w:t>2018</w:t>
        </w:r>
      </w:hyperlink>
      <w:r>
        <w:t>) maintain that “children appear to be the ideal conduit for climate change communication to their parents, as they are capable of understanding and acting on the subject more effectively than parents and are more trusted by parents than other information sources” (p. 205).</w:t>
      </w:r>
    </w:p>
    <w:p w14:paraId="7825C530" w14:textId="77777777" w:rsidR="0033629A" w:rsidRDefault="00710174">
      <w:pPr>
        <w:pStyle w:val="BodyText"/>
      </w:pPr>
      <w:hyperlink w:anchor="ref-lawsonChildrenCanFoster2019">
        <w:r w:rsidR="004409CB">
          <w:rPr>
            <w:rStyle w:val="Hyperlink"/>
          </w:rPr>
          <w:t>Lawson et al.</w:t>
        </w:r>
      </w:hyperlink>
      <w:r w:rsidR="004409CB">
        <w:t xml:space="preserve"> (</w:t>
      </w:r>
      <w:hyperlink w:anchor="ref-lawsonChildrenCanFoster2019">
        <w:r w:rsidR="004409CB">
          <w:rPr>
            <w:rStyle w:val="Hyperlink"/>
          </w:rPr>
          <w:t>2019</w:t>
        </w:r>
      </w:hyperlink>
      <w:r w:rsidR="004409CB">
        <w:t xml:space="preserve">) tested the assumption that IGL can promote climate change concern among parents. Teachers were randomly assigned to a control group and an experimental group which used a climate change curriculum designed with IGL in mind. Some of the IGL principles included in this curriculum involved local service-learning projects and student interviews with parents (see </w:t>
      </w:r>
      <w:hyperlink w:anchor="ref-lawson2018">
        <w:r w:rsidR="004409CB">
          <w:rPr>
            <w:rStyle w:val="Hyperlink"/>
          </w:rPr>
          <w:t>Lawson et al., 2018</w:t>
        </w:r>
      </w:hyperlink>
      <w:r w:rsidR="004409CB">
        <w:t xml:space="preserve"> for additional principles).</w:t>
      </w:r>
    </w:p>
    <w:p w14:paraId="5C0AB42D" w14:textId="77777777" w:rsidR="0033629A" w:rsidRDefault="004409CB">
      <w:pPr>
        <w:pStyle w:val="BodyText"/>
      </w:pPr>
      <w:r>
        <w:t>They found that for students (ages 10-14), the curriculum resulted in a significant increase in climate change concern. In addition, children successfully increased climate change concern among parents, with significant gains in concern among the experimental group. Most interestingly, the largest gains in concern were made among politically conservative parents. This suggests that not only are children resistant to polarization of climate change beliefs (</w:t>
      </w:r>
      <w:hyperlink w:anchor="ref-stevenson2014">
        <w:r>
          <w:rPr>
            <w:rStyle w:val="Hyperlink"/>
          </w:rPr>
          <w:t>K. T. Stevenson et al., 2014</w:t>
        </w:r>
      </w:hyperlink>
      <w:r>
        <w:t xml:space="preserve">), but children’s climate change concern may attenuate the effect of ideology for adults. </w:t>
      </w:r>
      <w:hyperlink w:anchor="ref-lawsonChildrenCanFoster2019">
        <w:r>
          <w:rPr>
            <w:rStyle w:val="Hyperlink"/>
          </w:rPr>
          <w:t>Lawson et al.</w:t>
        </w:r>
      </w:hyperlink>
      <w:r>
        <w:t xml:space="preserve"> (</w:t>
      </w:r>
      <w:hyperlink w:anchor="ref-lawsonChildrenCanFoster2019">
        <w:r>
          <w:rPr>
            <w:rStyle w:val="Hyperlink"/>
          </w:rPr>
          <w:t>2019</w:t>
        </w:r>
      </w:hyperlink>
      <w:r>
        <w:t>) posit that high levels of trust in children may leave parents more open to change. They also suggest the child-parent relationship may be more robust against the ideological threats that climate change concern implies.</w:t>
      </w:r>
    </w:p>
    <w:p w14:paraId="21AF185D" w14:textId="77777777" w:rsidR="0033629A" w:rsidRDefault="004409CB">
      <w:pPr>
        <w:pStyle w:val="BodyText"/>
      </w:pPr>
      <w:r>
        <w:t>There was also evidence of interesting effects for gender. Traditionally, males show less climate change concern than females (</w:t>
      </w:r>
      <w:hyperlink w:anchor="ref-hornsey2016">
        <w:r>
          <w:rPr>
            <w:rStyle w:val="Hyperlink"/>
          </w:rPr>
          <w:t>Hornsey et al., 2016</w:t>
        </w:r>
      </w:hyperlink>
      <w:r>
        <w:t>). In Lawson et al.’s (</w:t>
      </w:r>
      <w:hyperlink w:anchor="ref-lawsonChildrenCanFoster2019">
        <w:r>
          <w:rPr>
            <w:rStyle w:val="Hyperlink"/>
          </w:rPr>
          <w:t>2019</w:t>
        </w:r>
      </w:hyperlink>
      <w:r>
        <w:t xml:space="preserve">) research, fathers made the greatest gains in concern compared to mothers, more than double </w:t>
      </w:r>
      <w:r>
        <w:lastRenderedPageBreak/>
        <w:t>their pre-test levels. Furthermore, past research has consistently found more climate change concern and positive attitudes among women and girls (</w:t>
      </w:r>
      <w:hyperlink w:anchor="ref-hornsey2016">
        <w:r>
          <w:rPr>
            <w:rStyle w:val="Hyperlink"/>
          </w:rPr>
          <w:t>Hornsey et al., 2016</w:t>
        </w:r>
      </w:hyperlink>
      <w:r>
        <w:t>). In this research, daughters had a stronger effect on fostering climate change concern among parents than sons. The authors suggest this could point to girls being better communicators about climate change with parents.</w:t>
      </w:r>
    </w:p>
    <w:p w14:paraId="55465E7B" w14:textId="77777777" w:rsidR="0033629A" w:rsidRDefault="004409CB">
      <w:pPr>
        <w:pStyle w:val="BodyText"/>
      </w:pPr>
      <w:r>
        <w:t>Pro-environmental behavior changes such as energy conservation and recycling were observed in a small case study among Maltese children participating in an environmental education program at school (</w:t>
      </w:r>
      <w:hyperlink w:anchor="ref-spiteri2020">
        <w:r>
          <w:rPr>
            <w:rStyle w:val="Hyperlink"/>
          </w:rPr>
          <w:t>Spiteri, 2020</w:t>
        </w:r>
      </w:hyperlink>
      <w:r>
        <w:t>). Among the small sample (12 children, 10 parents), child-to-parent IGL was observed for most parents. Several reasons were given as to why parents were influenced by their children. Many parents were receptive to their children’s ideas, thoughtfulness, assertiveness, and sense of self-efficacy. Parents wanted to encourage their children’s socio-psychological development, and many saw benefits in the behavior changes too. IGL among grandparents also occurred in this study. Some parents, however, were resistant and felt their children were trying to undermine their authority. The author concludes that the environmental education program was a success, with “environmental actions in schools…transferred to the home context and the wider community as well” (p. 72).</w:t>
      </w:r>
    </w:p>
    <w:p w14:paraId="07A38574" w14:textId="77777777" w:rsidR="0033629A" w:rsidRDefault="004409CB">
      <w:pPr>
        <w:pStyle w:val="BodyText"/>
      </w:pPr>
      <w:r>
        <w:t xml:space="preserve">In this small case study, IGL was </w:t>
      </w:r>
      <w:proofErr w:type="gramStart"/>
      <w:r>
        <w:t>clearly evident</w:t>
      </w:r>
      <w:proofErr w:type="gramEnd"/>
      <w:r>
        <w:t>. However, a similar small qualitative case study in a community in Zimbabwe found the opposite (</w:t>
      </w:r>
      <w:hyperlink w:anchor="ref-chineka2020">
        <w:r>
          <w:rPr>
            <w:rStyle w:val="Hyperlink"/>
          </w:rPr>
          <w:t>Chineka &amp; Yasukawa, 2020</w:t>
        </w:r>
      </w:hyperlink>
      <w:r>
        <w:t xml:space="preserve">). While the study confirmed shifts in students’ attitudes and knowledge, </w:t>
      </w:r>
      <w:proofErr w:type="gramStart"/>
      <w:r>
        <w:t>parents’</w:t>
      </w:r>
      <w:proofErr w:type="gramEnd"/>
      <w:r>
        <w:t xml:space="preserve"> did not see children’s experiences as applicable to the home. In essence, school learning belonged in school, not the household. It was secondary to the parents’ needs and seen as invalid in the face of the cultural practices and beliefs systems parents considered primary. The authors found that there were too many “cultural and historical barriers to children being able to </w:t>
      </w:r>
      <w:r>
        <w:lastRenderedPageBreak/>
        <w:t xml:space="preserve">influence their parents” (p. 589) and suggested that findings from the Global North (e.g. </w:t>
      </w:r>
      <w:hyperlink w:anchor="ref-lawsonChildrenCanFoster2019">
        <w:r>
          <w:rPr>
            <w:rStyle w:val="Hyperlink"/>
          </w:rPr>
          <w:t>Lawson et al., 2019</w:t>
        </w:r>
      </w:hyperlink>
      <w:r>
        <w:t>) may not generalize to the Global South</w:t>
      </w:r>
      <w:r>
        <w:rPr>
          <w:rStyle w:val="FootnoteReference"/>
        </w:rPr>
        <w:footnoteReference w:id="2"/>
      </w:r>
      <w:r>
        <w:t>.</w:t>
      </w:r>
    </w:p>
    <w:p w14:paraId="274374C8" w14:textId="77777777" w:rsidR="0033629A" w:rsidRDefault="004409CB">
      <w:pPr>
        <w:pStyle w:val="BodyText"/>
      </w:pPr>
      <w:r>
        <w:t>Yet qualitative research such as the above studies is also not necessarily generalizable by the very nature of it being qualitative (</w:t>
      </w:r>
      <w:hyperlink w:anchor="ref-glesne2016">
        <w:r>
          <w:rPr>
            <w:rStyle w:val="Hyperlink"/>
          </w:rPr>
          <w:t>Glesne, 2016</w:t>
        </w:r>
      </w:hyperlink>
      <w:r>
        <w:t xml:space="preserve">). A more in-depth study of IGL borne from an environmental education program comes from </w:t>
      </w:r>
      <w:hyperlink w:anchor="ref-parth2020">
        <w:r>
          <w:rPr>
            <w:rStyle w:val="Hyperlink"/>
          </w:rPr>
          <w:t>Parth et al.</w:t>
        </w:r>
      </w:hyperlink>
      <w:r>
        <w:t xml:space="preserve"> (</w:t>
      </w:r>
      <w:hyperlink w:anchor="ref-parth2020">
        <w:r>
          <w:rPr>
            <w:rStyle w:val="Hyperlink"/>
          </w:rPr>
          <w:t>2020</w:t>
        </w:r>
      </w:hyperlink>
      <w:r>
        <w:t xml:space="preserve">), who studied 14-year-olds in Austria and Germany (albeit the Global North). They examined changes to knowledge, attitudes, and actions among students and their parents. They found that IGL influences parental knowledge about climate change and the quality of climate change discussion, but no changes to parental attitudes or action were found. The so-called knowledge-action gap, wherein knowledge leads to (attitude change which) leads to action, was not detected. However, the authors argue that there is enough general evidence for this gap to suggest it does exist, albeit as a complex phenomenon. They maintain that this research affirms </w:t>
      </w:r>
      <w:hyperlink w:anchor="ref-lawsonChildrenCanFoster2019">
        <w:r>
          <w:rPr>
            <w:rStyle w:val="Hyperlink"/>
          </w:rPr>
          <w:t>Lawson et al.</w:t>
        </w:r>
      </w:hyperlink>
      <w:r>
        <w:t xml:space="preserve"> (</w:t>
      </w:r>
      <w:hyperlink w:anchor="ref-lawsonChildrenCanFoster2019">
        <w:r>
          <w:rPr>
            <w:rStyle w:val="Hyperlink"/>
          </w:rPr>
          <w:t>2019</w:t>
        </w:r>
      </w:hyperlink>
      <w:r>
        <w:t>), even though it did not come to the same conclusions.</w:t>
      </w:r>
    </w:p>
    <w:p w14:paraId="61E3D4A0" w14:textId="77777777" w:rsidR="0033629A" w:rsidRDefault="004409CB">
      <w:pPr>
        <w:pStyle w:val="BodyText"/>
      </w:pPr>
      <w:r>
        <w:t>It seems there is enough evidence to suggest child-to-parent IGL exists and makes for an effective climate change education and climate change communication tool. IGL may lead to not only positive shifts in knowledge and attitudes but also behavior. Such behavior change may lead to shifts in household energy usage (</w:t>
      </w:r>
      <w:hyperlink w:anchor="ref-boudet2016">
        <w:r>
          <w:rPr>
            <w:rStyle w:val="Hyperlink"/>
          </w:rPr>
          <w:t>Boudet et al., 2016</w:t>
        </w:r>
      </w:hyperlink>
      <w:r>
        <w:t>), consumer choices (</w:t>
      </w:r>
      <w:hyperlink w:anchor="ref-isenhour2010">
        <w:r>
          <w:rPr>
            <w:rStyle w:val="Hyperlink"/>
          </w:rPr>
          <w:t>Isenhour, 2010</w:t>
        </w:r>
      </w:hyperlink>
      <w:r>
        <w:t xml:space="preserve">; </w:t>
      </w:r>
      <w:hyperlink w:anchor="ref-lawlor2011">
        <w:r>
          <w:rPr>
            <w:rStyle w:val="Hyperlink"/>
          </w:rPr>
          <w:t>Lawlor &amp; Prothero, 2011</w:t>
        </w:r>
      </w:hyperlink>
      <w:r>
        <w:t>), conservation behaviors (</w:t>
      </w:r>
      <w:hyperlink w:anchor="ref-peterson2019">
        <w:r>
          <w:rPr>
            <w:rStyle w:val="Hyperlink"/>
          </w:rPr>
          <w:t>Peterson et al., 2019</w:t>
        </w:r>
      </w:hyperlink>
      <w:r>
        <w:t>), and possibly voting (</w:t>
      </w:r>
      <w:hyperlink w:anchor="ref-wynes2021">
        <w:r>
          <w:rPr>
            <w:rStyle w:val="Hyperlink"/>
          </w:rPr>
          <w:t>Wynes et al., 2021</w:t>
        </w:r>
      </w:hyperlink>
      <w:r>
        <w:t xml:space="preserve">). </w:t>
      </w:r>
      <w:hyperlink w:anchor="ref-lawson2019">
        <w:r>
          <w:rPr>
            <w:rStyle w:val="Hyperlink"/>
          </w:rPr>
          <w:t>Lawson</w:t>
        </w:r>
      </w:hyperlink>
      <w:r>
        <w:t xml:space="preserve"> (</w:t>
      </w:r>
      <w:hyperlink w:anchor="ref-lawson2019">
        <w:r>
          <w:rPr>
            <w:rStyle w:val="Hyperlink"/>
          </w:rPr>
          <w:t>2019</w:t>
        </w:r>
      </w:hyperlink>
      <w:r>
        <w:t xml:space="preserve">) argues that IGL can “go beyond the call of increasing knowledge, and instead will increase the collective climate action needed to </w:t>
      </w:r>
      <w:r>
        <w:lastRenderedPageBreak/>
        <w:t>help mitigate the growing effects of climate change” (p. 10). However, Parth et al.’s (</w:t>
      </w:r>
      <w:hyperlink w:anchor="ref-parth2020">
        <w:r>
          <w:rPr>
            <w:rStyle w:val="Hyperlink"/>
          </w:rPr>
          <w:t>2020</w:t>
        </w:r>
      </w:hyperlink>
      <w:r>
        <w:t>) argument that there exists a knowledge-action gap needs further attention.</w:t>
      </w:r>
    </w:p>
    <w:p w14:paraId="7C60F243" w14:textId="77777777" w:rsidR="0033629A" w:rsidRDefault="004409CB">
      <w:pPr>
        <w:pStyle w:val="Heading3"/>
      </w:pPr>
      <w:bookmarkStart w:id="38" w:name="_Toc107939106"/>
      <w:bookmarkStart w:id="39" w:name="education-and-climate-change-behavior"/>
      <w:bookmarkEnd w:id="37"/>
      <w:r>
        <w:t>Education and Climate Change Behavior</w:t>
      </w:r>
      <w:bookmarkEnd w:id="38"/>
    </w:p>
    <w:p w14:paraId="2E3AE303" w14:textId="77777777" w:rsidR="0033629A" w:rsidRDefault="004409CB">
      <w:pPr>
        <w:pStyle w:val="FirstParagraph"/>
      </w:pPr>
      <w:r>
        <w:t>It is important to understand what the associations are between knowledge, attitudes, and action. Such an understanding is crucial for explaining the link between science education and real-world effects on GHGs. Enough compelling evidence has been presented above to be confident that increased knowledge leads to increased climate change attitudes (whether that be belief, concern, or risk perception). However, research related to climate change action still needs to be reviewed.</w:t>
      </w:r>
    </w:p>
    <w:p w14:paraId="2423A882" w14:textId="77777777" w:rsidR="0033629A" w:rsidRDefault="004409CB">
      <w:pPr>
        <w:pStyle w:val="BodyText"/>
      </w:pPr>
      <w:r>
        <w:t xml:space="preserve">Climate action is often presented as a false dichotomy between </w:t>
      </w:r>
      <w:r>
        <w:rPr>
          <w:i/>
          <w:iCs/>
        </w:rPr>
        <w:t>individual</w:t>
      </w:r>
      <w:r>
        <w:t xml:space="preserve"> (or lifestyle) change and </w:t>
      </w:r>
      <w:r>
        <w:rPr>
          <w:i/>
          <w:iCs/>
        </w:rPr>
        <w:t>systemic</w:t>
      </w:r>
      <w:r>
        <w:t xml:space="preserve"> changes. Individual changes refer to the lifestyle changes necessary to mitigate climate change, such as energy conservation, eating a vegetarian or vegan diet, reducing consumption, using alternative transportation methods, avoiding flying, or having a smaller family (</w:t>
      </w:r>
      <w:hyperlink w:anchor="ref-wynes2018">
        <w:r>
          <w:rPr>
            <w:rStyle w:val="Hyperlink"/>
          </w:rPr>
          <w:t>Wynes et al., 2018</w:t>
        </w:r>
      </w:hyperlink>
      <w:r>
        <w:t>). In short, it includes any individual behavior change that keeps our personal carbon budgets roughly below 2.5 metric tons CO</w:t>
      </w:r>
      <w:r>
        <w:rPr>
          <w:vertAlign w:val="subscript"/>
        </w:rPr>
        <w:t>2</w:t>
      </w:r>
      <w:r>
        <w:t xml:space="preserve">e per year </w:t>
      </w:r>
      <w:proofErr w:type="gramStart"/>
      <w:r>
        <w:t>in order to</w:t>
      </w:r>
      <w:proofErr w:type="gramEnd"/>
      <w:r>
        <w:t xml:space="preserve"> limit average global temperature rise to 1.5°C (</w:t>
      </w:r>
      <w:hyperlink w:anchor="ref-akenji2019">
        <w:r>
          <w:rPr>
            <w:rStyle w:val="Hyperlink"/>
          </w:rPr>
          <w:t>Akenji et al., 2019</w:t>
        </w:r>
      </w:hyperlink>
      <w:r>
        <w:t>). A sole focus on individual changes, however, is controversial. Historically, a focus on individual behavior has been used as a tool to shift responsibility from the polluter to the consumer (</w:t>
      </w:r>
      <w:hyperlink w:anchor="ref-dunaway2017">
        <w:r>
          <w:rPr>
            <w:rStyle w:val="Hyperlink"/>
          </w:rPr>
          <w:t>Dunaway, 2017, November 21</w:t>
        </w:r>
      </w:hyperlink>
      <w:r>
        <w:t xml:space="preserve">; </w:t>
      </w:r>
      <w:hyperlink w:anchor="ref-mann2021">
        <w:r>
          <w:rPr>
            <w:rStyle w:val="Hyperlink"/>
          </w:rPr>
          <w:t>Mann, 2021</w:t>
        </w:r>
      </w:hyperlink>
      <w:r>
        <w:t>). In addition, some suggest individual behavior changes amount to very little, citing the fact that most CO</w:t>
      </w:r>
      <w:r>
        <w:rPr>
          <w:vertAlign w:val="subscript"/>
        </w:rPr>
        <w:t>2</w:t>
      </w:r>
      <w:r>
        <w:t xml:space="preserve"> emissions emanate from energy or other types of production; just 100 companies are responsible for 70% of the world’s emissions (</w:t>
      </w:r>
      <w:hyperlink w:anchor="ref-griffin2017">
        <w:r>
          <w:rPr>
            <w:rStyle w:val="Hyperlink"/>
          </w:rPr>
          <w:t>Griffin, 2017</w:t>
        </w:r>
      </w:hyperlink>
      <w:r>
        <w:t>), removing any sense of agency from consumers’ hands.</w:t>
      </w:r>
    </w:p>
    <w:p w14:paraId="07044278" w14:textId="77777777" w:rsidR="0033629A" w:rsidRDefault="004409CB">
      <w:pPr>
        <w:pStyle w:val="BodyText"/>
      </w:pPr>
      <w:r>
        <w:t xml:space="preserve">Systemic changes, on the other hand, refer to macro-level changes such as carbon taxes, climate-friendly policies, shifts in agricultural practices, mass installation of renewable </w:t>
      </w:r>
      <w:r>
        <w:lastRenderedPageBreak/>
        <w:t>energy infrastructure, increases in electric vehicle manufacturing, and so on. Those who argue that systemic changes should be at the focus of mitigation maintain that policies must target governments and corporations, noting the same facts above.</w:t>
      </w:r>
    </w:p>
    <w:p w14:paraId="4976B4C2" w14:textId="77777777" w:rsidR="0033629A" w:rsidRDefault="004409CB">
      <w:pPr>
        <w:pStyle w:val="BodyText"/>
      </w:pPr>
      <w:r>
        <w:t xml:space="preserve">It should be quite clear, however, that both individual and systemic changes are needed. </w:t>
      </w:r>
      <w:hyperlink w:anchor="ref-sparkman2021">
        <w:r>
          <w:rPr>
            <w:rStyle w:val="Hyperlink"/>
          </w:rPr>
          <w:t>Sparkman et al.</w:t>
        </w:r>
      </w:hyperlink>
      <w:r>
        <w:t xml:space="preserve"> (</w:t>
      </w:r>
      <w:hyperlink w:anchor="ref-sparkman2021">
        <w:r>
          <w:rPr>
            <w:rStyle w:val="Hyperlink"/>
          </w:rPr>
          <w:t>2021</w:t>
        </w:r>
      </w:hyperlink>
      <w:r>
        <w:t>) point out that “an estimated 80% of CO2 emissions occur because of consumer demand, highlighting that…companies have a large carbon footprint precisely because individuals are purchasing their goods or services” (p. 1). Effective climate change mitigation happens at the interplay of individual and systemic changes. For example, individual voting or donation behavior for pro-environment candidates is associated with real-world, downstream emissions reductions (</w:t>
      </w:r>
      <w:hyperlink w:anchor="ref-wynes2021">
        <w:r>
          <w:rPr>
            <w:rStyle w:val="Hyperlink"/>
          </w:rPr>
          <w:t>Wynes et al., 2021</w:t>
        </w:r>
      </w:hyperlink>
      <w:r>
        <w:t xml:space="preserve">). Likewise, </w:t>
      </w:r>
      <w:hyperlink w:anchor="ref-nielsen2021">
        <w:r>
          <w:rPr>
            <w:rStyle w:val="Hyperlink"/>
          </w:rPr>
          <w:t>Nielsen et al.</w:t>
        </w:r>
      </w:hyperlink>
      <w:r>
        <w:t xml:space="preserve"> (</w:t>
      </w:r>
      <w:hyperlink w:anchor="ref-nielsen2021">
        <w:r>
          <w:rPr>
            <w:rStyle w:val="Hyperlink"/>
          </w:rPr>
          <w:t>2021</w:t>
        </w:r>
      </w:hyperlink>
      <w:r>
        <w:t>) argue individuals, especially those of high socioeconomic status (the global 1%, those who earn around ~$US109,000 per year or more), have the ability to instigate wider change “by leveraging the substantial financial and social resources associated with different components of their status.” The authors state that these individuals not only have an outsized impact on GHG generation through their consumption activities, but they also can have an outsized impact on mitigation through five key roles: consumer, investor, role model, organizational participant, and citizen.</w:t>
      </w:r>
    </w:p>
    <w:p w14:paraId="6A015509" w14:textId="77777777" w:rsidR="0033629A" w:rsidRDefault="004409CB">
      <w:pPr>
        <w:pStyle w:val="BodyText"/>
      </w:pPr>
      <w:r>
        <w:t xml:space="preserve">One possible issue with a focus on individual behaviors is that there has been a consistent promotion of ineffective behaviors. </w:t>
      </w:r>
      <w:hyperlink w:anchor="ref-wynes2017">
        <w:r>
          <w:rPr>
            <w:rStyle w:val="Hyperlink"/>
          </w:rPr>
          <w:t>Wynes &amp; Nicholas</w:t>
        </w:r>
      </w:hyperlink>
      <w:r>
        <w:t xml:space="preserve"> (</w:t>
      </w:r>
      <w:hyperlink w:anchor="ref-wynes2017">
        <w:r>
          <w:rPr>
            <w:rStyle w:val="Hyperlink"/>
          </w:rPr>
          <w:t>2017</w:t>
        </w:r>
      </w:hyperlink>
      <w:r>
        <w:t>) examine Canadian high school textbooks and guides from Australia, Canada, the EU, and the United States. They find a common promotion of low- or moderate-impact behaviors such as recycling with little mention of high-impact practices such as having one fewer child, eating a plant-based diet, or living car-free.</w:t>
      </w:r>
    </w:p>
    <w:p w14:paraId="50281CF3" w14:textId="77777777" w:rsidR="0033629A" w:rsidRDefault="004409CB">
      <w:pPr>
        <w:pStyle w:val="BodyText"/>
      </w:pPr>
      <w:r>
        <w:lastRenderedPageBreak/>
        <w:t xml:space="preserve">This suggests education may be playing a role in directing individuals toward effective climate action. If education efforts are directing individuals toward less effective actions, it may be doing a disservice to both students and the planet. Some of this may be related to knowledge of emissions. Using a survey among college students, </w:t>
      </w:r>
      <w:hyperlink w:anchor="ref-wynes2020">
        <w:r>
          <w:rPr>
            <w:rStyle w:val="Hyperlink"/>
          </w:rPr>
          <w:t>Wynes et al.</w:t>
        </w:r>
      </w:hyperlink>
      <w:r>
        <w:t xml:space="preserve"> (</w:t>
      </w:r>
      <w:hyperlink w:anchor="ref-wynes2020">
        <w:r>
          <w:rPr>
            <w:rStyle w:val="Hyperlink"/>
          </w:rPr>
          <w:t>2020</w:t>
        </w:r>
      </w:hyperlink>
      <w:r>
        <w:t>) found there was a general discordance between how actions were categorized (low, moderate, high) and their actual impacts. While car usage impacts were generally correctly classified, the impact of actions such as litter and plastic bag usage were overestimated. Conversely, the impact of meat consumption and air travel was often underestimated. This may be reflective of school and government materials that highlight ineffective actions (such as recycling) while rarely mentioning meat or air travel, leaving individuals to make estimates based on intuition or guessing (</w:t>
      </w:r>
      <w:hyperlink w:anchor="ref-wynes2017">
        <w:r>
          <w:rPr>
            <w:rStyle w:val="Hyperlink"/>
          </w:rPr>
          <w:t>Wynes &amp; Nicholas, 2017</w:t>
        </w:r>
      </w:hyperlink>
      <w:r>
        <w:t>).</w:t>
      </w:r>
    </w:p>
    <w:p w14:paraId="2DEB7896" w14:textId="77777777" w:rsidR="0033629A" w:rsidRDefault="004409CB">
      <w:pPr>
        <w:pStyle w:val="BodyText"/>
      </w:pPr>
      <w:r>
        <w:t>Though individuals may not always employ the most effective actions, individual action is still a necessary part of solving the climate crisis, especially as individual action may influence peers (</w:t>
      </w:r>
      <w:hyperlink w:anchor="ref-wolskePeerInfluenceHousehold2020">
        <w:r>
          <w:rPr>
            <w:rStyle w:val="Hyperlink"/>
          </w:rPr>
          <w:t>Wolske et al., 2020</w:t>
        </w:r>
      </w:hyperlink>
      <w:r>
        <w:t>), communities, movements (</w:t>
      </w:r>
      <w:hyperlink w:anchor="ref-sabherwal2021">
        <w:r>
          <w:rPr>
            <w:rStyle w:val="Hyperlink"/>
          </w:rPr>
          <w:t>Sabherwal et al., 2021</w:t>
        </w:r>
      </w:hyperlink>
      <w:r>
        <w:t>), and widespread policy support (</w:t>
      </w:r>
      <w:hyperlink w:anchor="ref-attari2019">
        <w:r>
          <w:rPr>
            <w:rStyle w:val="Hyperlink"/>
          </w:rPr>
          <w:t>Attari et al., 2019</w:t>
        </w:r>
      </w:hyperlink>
      <w:r>
        <w:t xml:space="preserve">; </w:t>
      </w:r>
      <w:hyperlink w:anchor="ref-sparkman2021">
        <w:r>
          <w:rPr>
            <w:rStyle w:val="Hyperlink"/>
          </w:rPr>
          <w:t>Sparkman et al., 2021</w:t>
        </w:r>
      </w:hyperlink>
      <w:r>
        <w:t>). Therefore, a strong understanding of the research on science education and pro-environmental behavior is necessary.</w:t>
      </w:r>
    </w:p>
    <w:p w14:paraId="3D7DD1F5" w14:textId="77777777" w:rsidR="0033629A" w:rsidRDefault="004409CB">
      <w:pPr>
        <w:pStyle w:val="BodyText"/>
      </w:pPr>
      <w:r>
        <w:t xml:space="preserve">Behavior can be understood in many ways. The present research uses the theory of planned behavior (TPB; described above) as the theoretical framework to understand how education influences action (a synonym used interchangeably with behavior). Early research by </w:t>
      </w:r>
      <w:hyperlink w:anchor="ref-oconnorRiskPerceptionsGeneral1999">
        <w:r>
          <w:rPr>
            <w:rStyle w:val="Hyperlink"/>
          </w:rPr>
          <w:t>O’Connor et al.</w:t>
        </w:r>
      </w:hyperlink>
      <w:r>
        <w:t xml:space="preserve"> (</w:t>
      </w:r>
      <w:hyperlink w:anchor="ref-oconnorRiskPerceptionsGeneral1999">
        <w:r>
          <w:rPr>
            <w:rStyle w:val="Hyperlink"/>
          </w:rPr>
          <w:t>1999</w:t>
        </w:r>
      </w:hyperlink>
      <w:r>
        <w:t xml:space="preserve">) examined the line between risk perceptions of climate change and willingness to act. While they did not examine behavior directly, they cite previous research and their own findings that actual behavior is highly correlated with willingness to act (intention). Their research indicated that both beliefs and risk perceptions were strong predictors of willingness to act and that risk perceptions act on this intention independently of </w:t>
      </w:r>
      <w:r>
        <w:lastRenderedPageBreak/>
        <w:t xml:space="preserve">beliefs. This suggests that increasing both is necessary to instigate behavior change. They also find that climate change knowledge is one of the more powerful indicators of risk perception. These findings reflect the causal mechanism that TPD </w:t>
      </w:r>
      <w:proofErr w:type="gramStart"/>
      <w:r>
        <w:t>suggests:</w:t>
      </w:r>
      <w:proofErr w:type="gramEnd"/>
      <w:r>
        <w:t xml:space="preserve"> knowledge drives belief and related perceptions (i.e. risk perceptions), which further drives action.</w:t>
      </w:r>
    </w:p>
    <w:p w14:paraId="1EEC7813" w14:textId="77777777" w:rsidR="0033629A" w:rsidRDefault="004409CB">
      <w:pPr>
        <w:pStyle w:val="BodyText"/>
      </w:pPr>
      <w:r>
        <w:t xml:space="preserve">More recent research by </w:t>
      </w:r>
      <w:hyperlink w:anchor="ref-vainio2011">
        <w:r>
          <w:rPr>
            <w:rStyle w:val="Hyperlink"/>
          </w:rPr>
          <w:t>Vainio &amp; Paloniemi</w:t>
        </w:r>
      </w:hyperlink>
      <w:r>
        <w:t xml:space="preserve"> (</w:t>
      </w:r>
      <w:hyperlink w:anchor="ref-vainio2011">
        <w:r>
          <w:rPr>
            <w:rStyle w:val="Hyperlink"/>
          </w:rPr>
          <w:t>2011</w:t>
        </w:r>
      </w:hyperlink>
      <w:r>
        <w:t xml:space="preserve">) examined the mechanisms of engagement in climate change action by looking at how it is predicted by belief, post-materialist values, trust in politicians, and self-reported climate change knowledge. Like </w:t>
      </w:r>
      <w:hyperlink w:anchor="ref-oconnorRiskPerceptionsGeneral1999">
        <w:r>
          <w:rPr>
            <w:rStyle w:val="Hyperlink"/>
          </w:rPr>
          <w:t>O’Connor et al.</w:t>
        </w:r>
      </w:hyperlink>
      <w:r>
        <w:t xml:space="preserve"> (</w:t>
      </w:r>
      <w:hyperlink w:anchor="ref-oconnorRiskPerceptionsGeneral1999">
        <w:r>
          <w:rPr>
            <w:rStyle w:val="Hyperlink"/>
          </w:rPr>
          <w:t>1999</w:t>
        </w:r>
      </w:hyperlink>
      <w:r>
        <w:t>), Vainio et al.’s (</w:t>
      </w:r>
      <w:hyperlink w:anchor="ref-vainio2011">
        <w:r>
          <w:rPr>
            <w:rStyle w:val="Hyperlink"/>
          </w:rPr>
          <w:t>Vainio &amp; Paloniemi, 2011</w:t>
        </w:r>
      </w:hyperlink>
      <w:r>
        <w:t xml:space="preserve">) findings support a TPD-like framework wherein belief has a direct effect on positive climate actions. While the authors state that belief plays a key role in behavior, their models demonstrate that climate change knowledge indirectly affects behavior through belief. For any effective climate change action, they argue that, to address climate change “environmental awareness of citizens </w:t>
      </w:r>
      <w:proofErr w:type="gramStart"/>
      <w:r>
        <w:t>has to</w:t>
      </w:r>
      <w:proofErr w:type="gramEnd"/>
      <w:r>
        <w:t xml:space="preserve"> be improved, as well. It is worth noting that knowledge of climate change increased the climate-friendly action of citizens only when mediated by a belief in climate change” (p. 391). This relationship is exactly as TPD predicts and shows the important instigating role education plays in ultimately influencing positive environmental behaviors.</w:t>
      </w:r>
    </w:p>
    <w:p w14:paraId="70C74319" w14:textId="77777777" w:rsidR="0033629A" w:rsidRDefault="00710174">
      <w:pPr>
        <w:pStyle w:val="BodyText"/>
      </w:pPr>
      <w:hyperlink w:anchor="ref-skamp2013">
        <w:r w:rsidR="004409CB">
          <w:rPr>
            <w:rStyle w:val="Hyperlink"/>
          </w:rPr>
          <w:t>Skamp et al.</w:t>
        </w:r>
      </w:hyperlink>
      <w:r w:rsidR="004409CB">
        <w:t xml:space="preserve"> (</w:t>
      </w:r>
      <w:hyperlink w:anchor="ref-skamp2013">
        <w:r w:rsidR="004409CB">
          <w:rPr>
            <w:rStyle w:val="Hyperlink"/>
          </w:rPr>
          <w:t>2013</w:t>
        </w:r>
      </w:hyperlink>
      <w:r w:rsidR="004409CB">
        <w:t>) importantly argue, as others previously cited have, that science education has a unique role to play in influencing climate change behavior. One reason for this is because science education, in its most recent permutations in the West, is seen as a vehicle for environmental and climate change activism, promoting responsible citizenship and behaviors that can mitigate climate change. That is, science education is charged not only with ensuring mechanistic knowledge about climate change but also promoting empowerment among students “to reduce individually, and corporately, the impact of [its] causes” (p. 193).</w:t>
      </w:r>
    </w:p>
    <w:p w14:paraId="2765F9E3" w14:textId="77777777" w:rsidR="0033629A" w:rsidRDefault="004409CB">
      <w:pPr>
        <w:pStyle w:val="BodyText"/>
      </w:pPr>
      <w:r>
        <w:lastRenderedPageBreak/>
        <w:t xml:space="preserve">However, </w:t>
      </w:r>
      <w:hyperlink w:anchor="ref-skamp2013">
        <w:r>
          <w:rPr>
            <w:rStyle w:val="Hyperlink"/>
          </w:rPr>
          <w:t>Skamp et al.</w:t>
        </w:r>
      </w:hyperlink>
      <w:r>
        <w:t xml:space="preserve"> (</w:t>
      </w:r>
      <w:hyperlink w:anchor="ref-skamp2013">
        <w:r>
          <w:rPr>
            <w:rStyle w:val="Hyperlink"/>
          </w:rPr>
          <w:t>2013</w:t>
        </w:r>
      </w:hyperlink>
      <w:r>
        <w:t>) question the extent to which education influences behavior change. The authors specifically looked at British and Australian secondary school students’ beliefs about the effectiveness of specific actions and their willingness to undertake those actions. The authors characterized actions as either direct (planting trees, using smaller cars, eating less meat) or indirect (voting-related actions). For both direct and indirect actions, the findings showed that in general, stronger beliefs in the effectiveness of an action did not necessarily relate to their willingness to undertake those actions. Students believed in and were willing to do things such as reduce electricity usage or eat less meat. However, they were unwilling to do things that they believed were effective such as voting or using public transport. While the authors argue that this discordance may be because youth in the West are not motivated to act or are pessimistic about their ability to act. However, it could be that students are unwilling to do things outside their sphere of control. Secondary students cannot vote and usually do not make decisions about transportation.</w:t>
      </w:r>
    </w:p>
    <w:p w14:paraId="0E305136" w14:textId="77777777" w:rsidR="0033629A" w:rsidRDefault="004409CB">
      <w:pPr>
        <w:pStyle w:val="BodyText"/>
      </w:pPr>
      <w:r>
        <w:t>Nevertheless, the authors maintain that science education is still important and suggest that it may be more effective for specific behaviors. Based on their survey, they derived an index of the potential usefulness of education. They note that science education may be particularly useful at targeting more effective behaviors such as reducing meat consumption or using renewable energy. Science education offers opportunities to introduce students to concepts beyond carbon dioxide, such as the methane emissions related to animal husbandry.</w:t>
      </w:r>
    </w:p>
    <w:p w14:paraId="6EA82CA0" w14:textId="77777777" w:rsidR="0033629A" w:rsidRDefault="004409CB">
      <w:pPr>
        <w:pStyle w:val="BodyText"/>
      </w:pPr>
      <w:r>
        <w:t>Stevenson et al.’s (</w:t>
      </w:r>
      <w:hyperlink w:anchor="ref-stevenson2018">
        <w:r>
          <w:rPr>
            <w:rStyle w:val="Hyperlink"/>
          </w:rPr>
          <w:t>2018</w:t>
        </w:r>
      </w:hyperlink>
      <w:r>
        <w:t xml:space="preserve">) work ties much of the above research together by looking specifically at how climate change education affects behavior. Using an experimental design, they test differences in climate change concern, hope, and behavior for treatment classes where students learn through a specially designed, wildlife-based climate change curriculum and control classes. </w:t>
      </w:r>
      <w:proofErr w:type="gramStart"/>
      <w:r>
        <w:t>Similar to</w:t>
      </w:r>
      <w:proofErr w:type="gramEnd"/>
      <w:r>
        <w:t xml:space="preserve"> </w:t>
      </w:r>
      <w:hyperlink w:anchor="ref-vainio2011">
        <w:r>
          <w:rPr>
            <w:rStyle w:val="Hyperlink"/>
          </w:rPr>
          <w:t>Vainio &amp; Paloniemi</w:t>
        </w:r>
      </w:hyperlink>
      <w:r>
        <w:t xml:space="preserve"> (</w:t>
      </w:r>
      <w:hyperlink w:anchor="ref-vainio2011">
        <w:r>
          <w:rPr>
            <w:rStyle w:val="Hyperlink"/>
          </w:rPr>
          <w:t>2011</w:t>
        </w:r>
      </w:hyperlink>
      <w:r>
        <w:t xml:space="preserve">), they find that climate change knowledge operates indirectly on climate change action, mediated by both concern and hope. </w:t>
      </w:r>
      <w:r>
        <w:lastRenderedPageBreak/>
        <w:t>They found that increases in knowledge increased concern and hope, and subsequently behavior. Knowledge was more strongly associated with concern, and hope was slightly more strongly associated with behavior. The findings are consistent with TPD and show the continued importance of education in driving concern (and belief) and action.</w:t>
      </w:r>
    </w:p>
    <w:p w14:paraId="44C4F62D" w14:textId="77777777" w:rsidR="0033629A" w:rsidRDefault="004409CB">
      <w:pPr>
        <w:pStyle w:val="BodyText"/>
      </w:pPr>
      <w:r>
        <w:t xml:space="preserve">The above research focused on the relationship between education and either willingness to act or participation in climate-positive behaviors. Though we may know which of the </w:t>
      </w:r>
      <w:proofErr w:type="gramStart"/>
      <w:r>
        <w:t>behaviors</w:t>
      </w:r>
      <w:proofErr w:type="gramEnd"/>
      <w:r>
        <w:t xml:space="preserve"> students participate in have greater impacts, it is still difficult to quantify what those impacts are. </w:t>
      </w:r>
      <w:hyperlink w:anchor="ref-cordero2020">
        <w:r>
          <w:rPr>
            <w:rStyle w:val="Hyperlink"/>
          </w:rPr>
          <w:t>E. C. Cordero et al.</w:t>
        </w:r>
      </w:hyperlink>
      <w:r>
        <w:t xml:space="preserve"> (</w:t>
      </w:r>
      <w:hyperlink w:anchor="ref-cordero2020">
        <w:r>
          <w:rPr>
            <w:rStyle w:val="Hyperlink"/>
          </w:rPr>
          <w:t>2020</w:t>
        </w:r>
      </w:hyperlink>
      <w:r>
        <w:t>) address this problem. They surveyed and interviewed graduates from a college-level climate change course (in the United States) five years or later after course completion. They ask graduates which, if any, climate actions they take could be attributed to the course. Then, they estimate the annual CO</w:t>
      </w:r>
      <w:r>
        <w:rPr>
          <w:vertAlign w:val="subscript"/>
        </w:rPr>
        <w:t>2</w:t>
      </w:r>
      <w:r>
        <w:t xml:space="preserve"> reductions associated with these actions. They found that about a quarter of the 104 survey participants attributed behaviors to the climate change course. Most of these changes were related to transportation (using public transport, biking, carpooling) as well as food choices. The average reduction in CO</w:t>
      </w:r>
      <w:r>
        <w:rPr>
          <w:vertAlign w:val="subscript"/>
        </w:rPr>
        <w:t>2</w:t>
      </w:r>
      <w:r>
        <w:t xml:space="preserve"> emissions was 3.54 metric tons per year. Given that the annual per capita emissions for the United States have hovered around 16 tons (</w:t>
      </w:r>
      <w:hyperlink w:anchor="ref-climatewatch2019">
        <w:r>
          <w:rPr>
            <w:rStyle w:val="Hyperlink"/>
          </w:rPr>
          <w:t>Climate Watch, 2019</w:t>
        </w:r>
      </w:hyperlink>
      <w:r>
        <w:t>), the emissions reduction attributable to Cordero et al.’s (</w:t>
      </w:r>
      <w:hyperlink w:anchor="ref-cordero2020">
        <w:r>
          <w:rPr>
            <w:rStyle w:val="Hyperlink"/>
          </w:rPr>
          <w:t>2020</w:t>
        </w:r>
      </w:hyperlink>
      <w:r>
        <w:t>) course represents around a 22% decrease in annual emissions.</w:t>
      </w:r>
    </w:p>
    <w:p w14:paraId="53250685" w14:textId="77777777" w:rsidR="0033629A" w:rsidRDefault="004409CB">
      <w:pPr>
        <w:pStyle w:val="BodyText"/>
      </w:pPr>
      <w:r>
        <w:t>Unfortunately, the authors only assessed individual changes, many of which are ineffective (</w:t>
      </w:r>
      <w:proofErr w:type="gramStart"/>
      <w:r>
        <w:t>e.g.</w:t>
      </w:r>
      <w:proofErr w:type="gramEnd"/>
      <w:r>
        <w:t xml:space="preserve"> recycling, composting), and did not include questions related to more effective measures (e.g., eating less meat, flying less) or voting/policy support. Still, their findings suggest a non-trivial reduction in emissions that can mostly be attributed to climate change education. While the research is descriptive in nature and the authors admit numerous influences could affect student behaviors, this is the first published research to assess the actual impact of climate change education on individual emissions. Such an attempt reflects </w:t>
      </w:r>
      <w:r>
        <w:lastRenderedPageBreak/>
        <w:t>the purpose of the present dissertation research, albeit at an individual level. Other research has examined education’s role in a much wider context: national carbon emissions. This, too, reflects the aims of the dissertation research and will be summarized next.</w:t>
      </w:r>
    </w:p>
    <w:p w14:paraId="4E7804EA" w14:textId="77777777" w:rsidR="0033629A" w:rsidRDefault="004409CB">
      <w:pPr>
        <w:pStyle w:val="Heading2"/>
      </w:pPr>
      <w:bookmarkStart w:id="40" w:name="_Toc107939107"/>
      <w:bookmarkStart w:id="41" w:name="macro-level-effects"/>
      <w:bookmarkEnd w:id="17"/>
      <w:bookmarkEnd w:id="39"/>
      <w:r>
        <w:t>Macro-Level Effects</w:t>
      </w:r>
      <w:bookmarkEnd w:id="40"/>
    </w:p>
    <w:p w14:paraId="6D6174B9" w14:textId="77777777" w:rsidR="0033629A" w:rsidRDefault="004409CB">
      <w:pPr>
        <w:pStyle w:val="FirstParagraph"/>
      </w:pPr>
      <w:r>
        <w:t xml:space="preserve">The macro-level effects of education on GHG emissions can be thought of as those explained by the broader framework of human capital theory (HCT). There is a rich body of literature in the field of environmental sociology that has examined education and its relationship to national GHG emissions. However, this body has also found that a multitude of social institutions and phenomena can </w:t>
      </w:r>
      <w:proofErr w:type="gramStart"/>
      <w:r>
        <w:t>have an effect on</w:t>
      </w:r>
      <w:proofErr w:type="gramEnd"/>
      <w:r>
        <w:t xml:space="preserve"> climate change, many of which intersect with education. It is thus necessary to briefly explore some of the major social factors that influence emissions before focusing on education.</w:t>
      </w:r>
    </w:p>
    <w:p w14:paraId="4EC7D6BD" w14:textId="77777777" w:rsidR="0033629A" w:rsidRDefault="004409CB">
      <w:pPr>
        <w:pStyle w:val="BodyText"/>
      </w:pPr>
      <w:r>
        <w:t xml:space="preserve">As stated in the introduction, the interplay between population and affluence are major drivers of climate change. However, there are </w:t>
      </w:r>
      <w:proofErr w:type="gramStart"/>
      <w:r>
        <w:t>a number of</w:t>
      </w:r>
      <w:proofErr w:type="gramEnd"/>
      <w:r>
        <w:t xml:space="preserve"> societal factors that affect the extent to which they do so. These can be lumped into four non-mutually exclusive general categories: economics, race, gender, and politics. Research pertaining to each of these categories is summarized below. The outcome measures of this research are typically of two sorts: a natural metric, such as CO</w:t>
      </w:r>
      <w:r>
        <w:rPr>
          <w:vertAlign w:val="subscript"/>
        </w:rPr>
        <w:t>2</w:t>
      </w:r>
      <w:r>
        <w:t xml:space="preserve"> emissions, and a derived metric, such as ecological footprint or the carbon intensity of well-being (CIWB). Since CIWB is used often in the environmental sociology literature, it deserves special description before moving to the summary of research.</w:t>
      </w:r>
    </w:p>
    <w:p w14:paraId="63860279" w14:textId="77777777" w:rsidR="0033629A" w:rsidRDefault="004409CB">
      <w:pPr>
        <w:pStyle w:val="Heading3"/>
      </w:pPr>
      <w:bookmarkStart w:id="42" w:name="_Toc107939108"/>
      <w:bookmarkStart w:id="43" w:name="carbon-intensity-of-well-being-ciwb"/>
      <w:r>
        <w:t>Carbon Intensity of Well-Being (CIWB)</w:t>
      </w:r>
      <w:bookmarkEnd w:id="42"/>
    </w:p>
    <w:p w14:paraId="2719D8CA" w14:textId="77777777" w:rsidR="0033629A" w:rsidRDefault="004409CB">
      <w:pPr>
        <w:pStyle w:val="FirstParagraph"/>
      </w:pPr>
      <w:r>
        <w:t>CIWB is a derived index that measures the ratio between a measure of anthropogenic carbon emissions and a measure of well-being following the formula:</w:t>
      </w:r>
    </w:p>
    <w:p w14:paraId="259E8863" w14:textId="77777777" w:rsidR="0033629A" w:rsidRDefault="004409CB">
      <w:pPr>
        <w:pStyle w:val="Equation"/>
      </w:pPr>
      <m:oMath>
        <m:r>
          <m:t>CIWB=</m:t>
        </m:r>
        <m:f>
          <m:fPr>
            <m:ctrlPr/>
          </m:fPr>
          <m:num>
            <m:r>
              <m:t>C</m:t>
            </m:r>
            <m:sSub>
              <m:sSubPr>
                <m:ctrlPr/>
              </m:sSubPr>
              <m:e>
                <m:r>
                  <m:t>O</m:t>
                </m:r>
              </m:e>
              <m:sub>
                <m:r>
                  <m:t>2</m:t>
                </m:r>
              </m:sub>
            </m:sSub>
            <m:r>
              <m:t>+CV</m:t>
            </m:r>
          </m:num>
          <m:den>
            <m:r>
              <m:t>WB</m:t>
            </m:r>
          </m:den>
        </m:f>
        <m:r>
          <m:t>x100</m:t>
        </m:r>
      </m:oMath>
      <w:r>
        <w:t>,</w:t>
      </w:r>
    </w:p>
    <w:p w14:paraId="4DE310FC" w14:textId="77777777" w:rsidR="0033629A" w:rsidRDefault="004409CB">
      <w:pPr>
        <w:pStyle w:val="BodyText2"/>
      </w:pPr>
      <w:r>
        <w:lastRenderedPageBreak/>
        <w:t xml:space="preserve">where </w:t>
      </w:r>
      <w:r>
        <w:rPr>
          <w:i/>
          <w:iCs/>
        </w:rPr>
        <w:t>CO</w:t>
      </w:r>
      <w:r>
        <w:rPr>
          <w:i/>
          <w:iCs/>
          <w:vertAlign w:val="subscript"/>
        </w:rPr>
        <w:t>2</w:t>
      </w:r>
      <w:r>
        <w:t xml:space="preserve"> represents carbon emissions, carbon emissions per capita, or a similar measure; </w:t>
      </w:r>
      <w:r>
        <w:rPr>
          <w:i/>
          <w:iCs/>
        </w:rPr>
        <w:t>CV</w:t>
      </w:r>
      <w:r>
        <w:t xml:space="preserve"> represents the coefficient of variation (</w:t>
      </w:r>
      <m:oMath>
        <m:f>
          <m:fPr>
            <m:ctrlPr>
              <w:rPr>
                <w:rFonts w:ascii="Cambria Math" w:hAnsi="Cambria Math"/>
              </w:rPr>
            </m:ctrlPr>
          </m:fPr>
          <m:num>
            <m:r>
              <w:rPr>
                <w:rFonts w:ascii="Cambria Math" w:hAnsi="Cambria Math"/>
              </w:rPr>
              <m:t>SD</m:t>
            </m:r>
          </m:num>
          <m:den>
            <m:acc>
              <m:accPr>
                <m:chr m:val="‾"/>
                <m:ctrlPr>
                  <w:rPr>
                    <w:rFonts w:ascii="Cambria Math" w:hAnsi="Cambria Math"/>
                  </w:rPr>
                </m:ctrlPr>
              </m:accPr>
              <m:e>
                <m:r>
                  <w:rPr>
                    <w:rFonts w:ascii="Cambria Math" w:hAnsi="Cambria Math"/>
                  </w:rPr>
                  <m:t>x</m:t>
                </m:r>
              </m:e>
            </m:acc>
          </m:den>
        </m:f>
      </m:oMath>
      <w:r>
        <w:t xml:space="preserve">) used to reduce the undue influence of either the numerator or denominator in the ratio; and </w:t>
      </w:r>
      <w:r>
        <w:rPr>
          <w:i/>
          <w:iCs/>
        </w:rPr>
        <w:t>WB</w:t>
      </w:r>
      <w:r>
        <w:t>, a measure of well-being, typically life expectancy; multiplied by 100 to scale the ratio (</w:t>
      </w:r>
      <w:hyperlink w:anchor="ref-dietz2012">
        <w:r>
          <w:rPr>
            <w:rStyle w:val="Hyperlink"/>
          </w:rPr>
          <w:t>Dietz et al., 2012</w:t>
        </w:r>
      </w:hyperlink>
      <w:r>
        <w:t xml:space="preserve">; </w:t>
      </w:r>
      <w:hyperlink w:anchor="ref-givens2015">
        <w:r>
          <w:rPr>
            <w:rStyle w:val="Hyperlink"/>
          </w:rPr>
          <w:t>Givens, 2015</w:t>
        </w:r>
      </w:hyperlink>
      <w:r>
        <w:t xml:space="preserve">; </w:t>
      </w:r>
      <w:hyperlink w:anchor="ref-jorgenson2015">
        <w:r>
          <w:rPr>
            <w:rStyle w:val="Hyperlink"/>
          </w:rPr>
          <w:t>Jorgenson, 2015</w:t>
        </w:r>
      </w:hyperlink>
      <w:r>
        <w:t>).</w:t>
      </w:r>
    </w:p>
    <w:p w14:paraId="1B0F7747" w14:textId="77777777" w:rsidR="0033629A" w:rsidRDefault="004409CB">
      <w:pPr>
        <w:pStyle w:val="BodyText"/>
      </w:pPr>
      <w:r>
        <w:t xml:space="preserve">Higher carbon emissions </w:t>
      </w:r>
      <w:r>
        <w:rPr>
          <w:i/>
          <w:iCs/>
        </w:rPr>
        <w:t>or</w:t>
      </w:r>
      <w:r>
        <w:t xml:space="preserve"> lower well-being measures lead to a high CIWB; conversely, lower carbon emissions </w:t>
      </w:r>
      <w:r>
        <w:rPr>
          <w:i/>
          <w:iCs/>
        </w:rPr>
        <w:t>and</w:t>
      </w:r>
      <w:r>
        <w:t xml:space="preserve"> higher well-being, lead to a low CIWB (</w:t>
      </w:r>
      <w:hyperlink w:anchor="ref-kelly2020">
        <w:r>
          <w:rPr>
            <w:rStyle w:val="Hyperlink"/>
          </w:rPr>
          <w:t>Kelly, 2020</w:t>
        </w:r>
      </w:hyperlink>
      <w:r>
        <w:t xml:space="preserve">). The CIWB assesses the extent to which emissions and well-being are related. Or, put another way, the </w:t>
      </w:r>
      <w:proofErr w:type="gramStart"/>
      <w:r>
        <w:t>amount</w:t>
      </w:r>
      <w:proofErr w:type="gramEnd"/>
      <w:r>
        <w:t xml:space="preserve"> of emissions produced compared to the amount of well-being produced (</w:t>
      </w:r>
      <w:hyperlink w:anchor="ref-jorgenson2018">
        <w:r>
          <w:rPr>
            <w:rStyle w:val="Hyperlink"/>
          </w:rPr>
          <w:t>Jorgenson et al., 2018</w:t>
        </w:r>
      </w:hyperlink>
      <w:r>
        <w:t xml:space="preserve">). </w:t>
      </w:r>
      <w:hyperlink w:anchor="ref-kelly2020">
        <w:r>
          <w:rPr>
            <w:rStyle w:val="Hyperlink"/>
          </w:rPr>
          <w:t>Kelly</w:t>
        </w:r>
      </w:hyperlink>
      <w:r>
        <w:t xml:space="preserve"> (</w:t>
      </w:r>
      <w:hyperlink w:anchor="ref-kelly2020">
        <w:r>
          <w:rPr>
            <w:rStyle w:val="Hyperlink"/>
          </w:rPr>
          <w:t>2020</w:t>
        </w:r>
      </w:hyperlink>
      <w:r>
        <w:t xml:space="preserve">) explains it more clearly: CIWB represents “the environmental cost of enhancing citizens’ wellbeing (sic)” (p. 187). According to </w:t>
      </w:r>
      <w:hyperlink w:anchor="ref-ergas2021">
        <w:r>
          <w:rPr>
            <w:rStyle w:val="Hyperlink"/>
          </w:rPr>
          <w:t>Ergas et al.</w:t>
        </w:r>
      </w:hyperlink>
      <w:r>
        <w:t xml:space="preserve"> (</w:t>
      </w:r>
      <w:hyperlink w:anchor="ref-ergas2021">
        <w:r>
          <w:rPr>
            <w:rStyle w:val="Hyperlink"/>
          </w:rPr>
          <w:t>2021</w:t>
        </w:r>
      </w:hyperlink>
      <w:r>
        <w:t>), “a change in CIWB as a result of social structural dynamics can be best understood as a change in the relationship between a society’s rate of pollution, or the pace of emissions, and that society’s overall well-being” (p. 3). CIWB is often used when researchers focus on the drivers that affect this relationship or where there is a clear emphasis on well-being.</w:t>
      </w:r>
    </w:p>
    <w:p w14:paraId="3B5FAF91" w14:textId="77777777" w:rsidR="0033629A" w:rsidRDefault="004409CB">
      <w:pPr>
        <w:pStyle w:val="Heading3"/>
      </w:pPr>
      <w:bookmarkStart w:id="44" w:name="_Toc107939109"/>
      <w:bookmarkStart w:id="45" w:name="X7884a4652c81e03ac2965890f36063ff229a064"/>
      <w:bookmarkEnd w:id="43"/>
      <w:r>
        <w:t>Sociodemographic Impacts on Climate Change</w:t>
      </w:r>
      <w:bookmarkEnd w:id="44"/>
    </w:p>
    <w:p w14:paraId="60DF202C" w14:textId="77777777" w:rsidR="0033629A" w:rsidRDefault="004409CB">
      <w:pPr>
        <w:pStyle w:val="FirstParagraph"/>
      </w:pPr>
      <w:r>
        <w:t xml:space="preserve">Recall that affluence (the </w:t>
      </w:r>
      <w:r>
        <w:rPr>
          <w:i/>
          <w:iCs/>
        </w:rPr>
        <w:t>A</w:t>
      </w:r>
      <w:r>
        <w:t xml:space="preserve"> in </w:t>
      </w:r>
      <w:r>
        <w:rPr>
          <w:i/>
          <w:iCs/>
        </w:rPr>
        <w:t>IPAT</w:t>
      </w:r>
      <w:r>
        <w:t>) plays a major role in the impact on climate. Past research has indicated that economic development is positively associated with both increases in raw carbon emissions and increases in CIWB (</w:t>
      </w:r>
      <w:hyperlink w:anchor="ref-dietz2012">
        <w:r>
          <w:rPr>
            <w:rStyle w:val="Hyperlink"/>
          </w:rPr>
          <w:t>Dietz et al., 2012</w:t>
        </w:r>
      </w:hyperlink>
      <w:r>
        <w:t xml:space="preserve">; </w:t>
      </w:r>
      <w:hyperlink w:anchor="ref-hailemariam2020">
        <w:r>
          <w:rPr>
            <w:rStyle w:val="Hyperlink"/>
          </w:rPr>
          <w:t>Hailemariam et al., 2020</w:t>
        </w:r>
      </w:hyperlink>
      <w:r>
        <w:t xml:space="preserve">; </w:t>
      </w:r>
      <w:hyperlink w:anchor="ref-jorgenson2014">
        <w:r>
          <w:rPr>
            <w:rStyle w:val="Hyperlink"/>
          </w:rPr>
          <w:t>Jorgenson, 2014</w:t>
        </w:r>
      </w:hyperlink>
      <w:r>
        <w:t xml:space="preserve">, </w:t>
      </w:r>
      <w:hyperlink w:anchor="ref-jorgenson2015">
        <w:r>
          <w:rPr>
            <w:rStyle w:val="Hyperlink"/>
          </w:rPr>
          <w:t>2015</w:t>
        </w:r>
      </w:hyperlink>
      <w:r>
        <w:t xml:space="preserve">; </w:t>
      </w:r>
      <w:hyperlink w:anchor="ref-liobikiene2018">
        <w:r>
          <w:rPr>
            <w:rStyle w:val="Hyperlink"/>
          </w:rPr>
          <w:t>Liobikienė &amp; Butkus, 2018</w:t>
        </w:r>
      </w:hyperlink>
      <w:r>
        <w:t xml:space="preserve">; </w:t>
      </w:r>
      <w:hyperlink w:anchor="ref-pattison2014">
        <w:r>
          <w:rPr>
            <w:rStyle w:val="Hyperlink"/>
          </w:rPr>
          <w:t>Pattison et al., 2014</w:t>
        </w:r>
      </w:hyperlink>
      <w:r>
        <w:t>). Two interesting phenomena arise from this research. First, some authors find evidence of an environmental Kuznet’s curve (EKC) - an inverted U-shaped curve that suggests emissions increase with economic development to a certain extent, and then once a high level of development is reached, those emissions fall (</w:t>
      </w:r>
      <w:hyperlink w:anchor="ref-hailemariam2020">
        <w:r>
          <w:rPr>
            <w:rStyle w:val="Hyperlink"/>
          </w:rPr>
          <w:t>Hailemariam et al., 2020</w:t>
        </w:r>
      </w:hyperlink>
      <w:r>
        <w:t xml:space="preserve">; </w:t>
      </w:r>
      <w:hyperlink w:anchor="ref-pattison2014">
        <w:r>
          <w:rPr>
            <w:rStyle w:val="Hyperlink"/>
          </w:rPr>
          <w:t>Pattison et al., 2014</w:t>
        </w:r>
      </w:hyperlink>
      <w:r>
        <w:t xml:space="preserve">). One argument </w:t>
      </w:r>
      <w:r>
        <w:lastRenderedPageBreak/>
        <w:t>for why an EKC could exist is based on the idea that once income rises to meet most material needs, more focus can be placed on the environment (</w:t>
      </w:r>
      <w:hyperlink w:anchor="ref-dietz2012">
        <w:r>
          <w:rPr>
            <w:rStyle w:val="Hyperlink"/>
          </w:rPr>
          <w:t>Dietz et al., 2012</w:t>
        </w:r>
      </w:hyperlink>
      <w:r>
        <w:t xml:space="preserve">; </w:t>
      </w:r>
      <w:hyperlink w:anchor="ref-stern2004">
        <w:r>
          <w:rPr>
            <w:rStyle w:val="Hyperlink"/>
          </w:rPr>
          <w:t>D. I. Stern, 2004</w:t>
        </w:r>
      </w:hyperlink>
      <w:r>
        <w:t>).</w:t>
      </w:r>
    </w:p>
    <w:p w14:paraId="6AE2114C" w14:textId="77777777" w:rsidR="0033629A" w:rsidRDefault="004409CB">
      <w:pPr>
        <w:pStyle w:val="BodyText"/>
      </w:pPr>
      <w:r>
        <w:t xml:space="preserve">Evidence for the EKC is mixed. For example, </w:t>
      </w:r>
      <w:hyperlink w:anchor="ref-hailemariam2020">
        <w:r>
          <w:rPr>
            <w:rStyle w:val="Hyperlink"/>
          </w:rPr>
          <w:t>Hailemariam et al.</w:t>
        </w:r>
      </w:hyperlink>
      <w:r>
        <w:t xml:space="preserve"> (</w:t>
      </w:r>
      <w:hyperlink w:anchor="ref-hailemariam2020">
        <w:r>
          <w:rPr>
            <w:rStyle w:val="Hyperlink"/>
          </w:rPr>
          <w:t>2020</w:t>
        </w:r>
      </w:hyperlink>
      <w:r>
        <w:t xml:space="preserve">) examined 17 OECD countries over the past 65 years and found evidence for an EKC based on national income. Examining county-level data in the United States, </w:t>
      </w:r>
      <w:hyperlink w:anchor="ref-pattison2014">
        <w:r>
          <w:rPr>
            <w:rStyle w:val="Hyperlink"/>
          </w:rPr>
          <w:t>Pattison et al.</w:t>
        </w:r>
      </w:hyperlink>
      <w:r>
        <w:t xml:space="preserve"> (</w:t>
      </w:r>
      <w:hyperlink w:anchor="ref-pattison2014">
        <w:r>
          <w:rPr>
            <w:rStyle w:val="Hyperlink"/>
          </w:rPr>
          <w:t>2014</w:t>
        </w:r>
      </w:hyperlink>
      <w:r>
        <w:t xml:space="preserve">) found stronger evidence for an EKC on production-related emissions rather than consumption-related emissions. </w:t>
      </w:r>
      <w:hyperlink w:anchor="ref-dietz2012">
        <w:r>
          <w:rPr>
            <w:rStyle w:val="Hyperlink"/>
          </w:rPr>
          <w:t>Dietz et al.</w:t>
        </w:r>
      </w:hyperlink>
      <w:r>
        <w:t xml:space="preserve"> (</w:t>
      </w:r>
      <w:hyperlink w:anchor="ref-dietz2012">
        <w:r>
          <w:rPr>
            <w:rStyle w:val="Hyperlink"/>
          </w:rPr>
          <w:t>2012</w:t>
        </w:r>
      </w:hyperlink>
      <w:r>
        <w:t>) tested the relationship between ecological intensity of well-being (EIWB; a precursor to CIWB) and GDP per capita for 58 nations over 42 years. They found no evidence for an EKC; in fact, they found the opposite: a U-shaped curve where EIWB is high at both low and high GDP levels and is concave between these levels. Stern (2004, 2017) presented evidence that the EKC is an artifact of certain statistical tests. In addition, he argued that evidence of developing nations addressing environmental concerns contradicts the theoretical basis for an EKC.</w:t>
      </w:r>
    </w:p>
    <w:p w14:paraId="2B150DB7" w14:textId="77777777" w:rsidR="00A1525B" w:rsidRDefault="004409CB">
      <w:pPr>
        <w:pStyle w:val="BodyText"/>
      </w:pPr>
      <w:r>
        <w:t xml:space="preserve">Pertinent to both the EKC literature cited above and the general literature on economic growth and climate change is the second phenomenon: economic inequality can drive emissions. </w:t>
      </w:r>
      <w:hyperlink w:anchor="ref-jorgenson2015">
        <w:r>
          <w:rPr>
            <w:rStyle w:val="Hyperlink"/>
          </w:rPr>
          <w:t>Jorgenson</w:t>
        </w:r>
      </w:hyperlink>
      <w:r>
        <w:t xml:space="preserve"> (</w:t>
      </w:r>
      <w:hyperlink w:anchor="ref-jorgenson2015">
        <w:r>
          <w:rPr>
            <w:rStyle w:val="Hyperlink"/>
          </w:rPr>
          <w:t>2015</w:t>
        </w:r>
      </w:hyperlink>
      <w:r>
        <w:t xml:space="preserve">) looked at 63 nations (OECD and non-OECD) over an 18-year period and found that as inequality increases so does CIWB. Put another way, wealthier individuals generate more emissions than poorer individuals (within the same country) but do not receive any additional benefits to well-being from this (as indicated by higher CIWB values). </w:t>
      </w:r>
      <w:hyperlink w:anchor="ref-jorgenson2015">
        <w:r>
          <w:rPr>
            <w:rStyle w:val="Hyperlink"/>
          </w:rPr>
          <w:t>Jorgenson</w:t>
        </w:r>
      </w:hyperlink>
      <w:r>
        <w:t xml:space="preserve"> (</w:t>
      </w:r>
      <w:hyperlink w:anchor="ref-jorgenson2015">
        <w:r>
          <w:rPr>
            <w:rStyle w:val="Hyperlink"/>
          </w:rPr>
          <w:t>2015</w:t>
        </w:r>
      </w:hyperlink>
      <w:r>
        <w:t xml:space="preserve">) concludes that “reducing inequality could lead to a reduction in CIWB, providing a pathway toward enhanced sustainability” (p.6). </w:t>
      </w:r>
    </w:p>
    <w:p w14:paraId="040B00CB" w14:textId="487C8442" w:rsidR="00A1525B" w:rsidRPr="00A1525B" w:rsidRDefault="00A1525B">
      <w:pPr>
        <w:pStyle w:val="BodyText"/>
      </w:pPr>
      <w:hyperlink w:anchor="ref-hailemariam2020">
        <w:r>
          <w:rPr>
            <w:rStyle w:val="Hyperlink"/>
          </w:rPr>
          <w:t>Hailemariam et al.</w:t>
        </w:r>
        <w:r w:rsidR="003851A7">
          <w:rPr>
            <w:rStyle w:val="Hyperlink"/>
          </w:rPr>
          <w:t>’s</w:t>
        </w:r>
        <w:r>
          <w:rPr>
            <w:rStyle w:val="Hyperlink"/>
          </w:rPr>
          <w:t xml:space="preserve"> (2020</w:t>
        </w:r>
      </w:hyperlink>
      <w:r>
        <w:rPr>
          <w:rStyle w:val="Hyperlink"/>
        </w:rPr>
        <w:t>)</w:t>
      </w:r>
      <w:r w:rsidRPr="00A1525B">
        <w:t xml:space="preserve"> </w:t>
      </w:r>
      <w:r>
        <w:t xml:space="preserve">research uncovers a complex relationship between income inequality and carbon emissions. Their research finds a negative association between income inequality as measured by the Gini coefficient and emissions. That is, as inequality increases, </w:t>
      </w:r>
      <w:r>
        <w:lastRenderedPageBreak/>
        <w:t xml:space="preserve">emissions decrease. To explain this, they argue that </w:t>
      </w:r>
      <w:r w:rsidR="000E51D4">
        <w:t>the Gini coefficient better represents inequality between low- and middle-income households rather inequality stemming from those with the top income share in a nation. Increases in inequality as measured by the Gini, then, represent “</w:t>
      </w:r>
      <w:r w:rsidR="000E51D4" w:rsidRPr="000E51D4">
        <w:t>a fall in demand by the poor for the energy-intensive goods due to lower incomes</w:t>
      </w:r>
      <w:r w:rsidR="000E51D4">
        <w:t>,” which in turn leads to lower emissions (p. 1155). Conversely, when income inequality decreases, the economic ability for the poor to consume goods and energy increases, thus increasing emissions.</w:t>
      </w:r>
    </w:p>
    <w:p w14:paraId="0FFD6D63" w14:textId="77777777" w:rsidR="0033629A" w:rsidRDefault="004409CB">
      <w:pPr>
        <w:pStyle w:val="BodyText"/>
      </w:pPr>
      <w:r>
        <w:t>Inequality’s impact on emissions is not only manifested in terms of economics. Several studies argue that increased emissions or CIWB can arise because of gender inequality, as well: “the trajectory of gender inequality alters the relationship between economic growth and environmental conditions” (</w:t>
      </w:r>
      <w:hyperlink w:anchor="ref-mcgee2020">
        <w:r>
          <w:rPr>
            <w:rStyle w:val="Hyperlink"/>
          </w:rPr>
          <w:t>McGee et al., 2020, p. 2</w:t>
        </w:r>
      </w:hyperlink>
      <w:r>
        <w:t xml:space="preserve">). This is due to </w:t>
      </w:r>
      <w:proofErr w:type="gramStart"/>
      <w:r>
        <w:t>a number of</w:t>
      </w:r>
      <w:proofErr w:type="gramEnd"/>
      <w:r>
        <w:t xml:space="preserve"> factors that limit women’s education, labor force participation, and political decision-making. Political representation of women has been specifically studied in this context, finding that greater representation in government is associated with lower CO</w:t>
      </w:r>
      <w:r>
        <w:rPr>
          <w:vertAlign w:val="subscript"/>
        </w:rPr>
        <w:t>2</w:t>
      </w:r>
      <w:r>
        <w:t xml:space="preserve"> emissions (</w:t>
      </w:r>
      <w:hyperlink w:anchor="ref-ergas2012">
        <w:r>
          <w:rPr>
            <w:rStyle w:val="Hyperlink"/>
          </w:rPr>
          <w:t>Ergas &amp; York, 2012</w:t>
        </w:r>
      </w:hyperlink>
      <w:r>
        <w:t>), lower CIWB (</w:t>
      </w:r>
      <w:hyperlink w:anchor="ref-ergas2021">
        <w:r>
          <w:rPr>
            <w:rStyle w:val="Hyperlink"/>
          </w:rPr>
          <w:t>Ergas et al., 2021</w:t>
        </w:r>
      </w:hyperlink>
      <w:r>
        <w:t>), greater propensity toward environmental treaty ratification (</w:t>
      </w:r>
      <w:hyperlink w:anchor="ref-norgaard2005">
        <w:r>
          <w:rPr>
            <w:rStyle w:val="Hyperlink"/>
          </w:rPr>
          <w:t>Norgaard &amp; York, 2005</w:t>
        </w:r>
      </w:hyperlink>
      <w:r>
        <w:t>), and lower climate footprints (</w:t>
      </w:r>
      <w:hyperlink w:anchor="ref-mckinney2015">
        <w:r>
          <w:rPr>
            <w:rStyle w:val="Hyperlink"/>
          </w:rPr>
          <w:t>McKinney &amp; Fulkerson, 2015</w:t>
        </w:r>
      </w:hyperlink>
      <w:r>
        <w:t xml:space="preserve">). </w:t>
      </w:r>
      <w:hyperlink w:anchor="ref-mcgee2020">
        <w:r>
          <w:rPr>
            <w:rStyle w:val="Hyperlink"/>
          </w:rPr>
          <w:t>McGee et al.</w:t>
        </w:r>
      </w:hyperlink>
      <w:r>
        <w:t xml:space="preserve"> (</w:t>
      </w:r>
      <w:hyperlink w:anchor="ref-mcgee2020">
        <w:r>
          <w:rPr>
            <w:rStyle w:val="Hyperlink"/>
          </w:rPr>
          <w:t>2020</w:t>
        </w:r>
      </w:hyperlink>
      <w:r>
        <w:t>) used the Gender Inequality Index (GII) to examine gender inequality and its relationships to CO</w:t>
      </w:r>
      <w:r>
        <w:rPr>
          <w:vertAlign w:val="subscript"/>
        </w:rPr>
        <w:t>2</w:t>
      </w:r>
      <w:r>
        <w:t xml:space="preserve"> emissions for 140 nations. The GII measures gender inequality in terms of reproductive health, empowerment, and participation in the labor market.</w:t>
      </w:r>
    </w:p>
    <w:p w14:paraId="085A1B40" w14:textId="77777777" w:rsidR="0033629A" w:rsidRDefault="004409CB">
      <w:pPr>
        <w:pStyle w:val="BodyText"/>
      </w:pPr>
      <w:r>
        <w:t xml:space="preserve">The authors found that overall, gender inequality is associated with increases in emissions. When considering the relationship between gender inequality, GDP, and emissions, the authors found that as gender inequality increases, so do the relationships between GDP and emissions. At very low levels of inequality, there appears to be no effect on GDP and emissions, suggesting gender equality is decoupled from the environmental impacts </w:t>
      </w:r>
      <w:r>
        <w:lastRenderedPageBreak/>
        <w:t>of economic activity. Furthermore, only at high levels of GDP does inequality begin to have a direct impact on emissions, indicating the negative effects of gender inequality are greater in wealthier countries such as the United States, Canada, or those in Western Europe.</w:t>
      </w:r>
    </w:p>
    <w:p w14:paraId="03D42724" w14:textId="77777777" w:rsidR="0033629A" w:rsidRDefault="004409CB">
      <w:pPr>
        <w:pStyle w:val="BodyText"/>
      </w:pPr>
      <w:r>
        <w:t xml:space="preserve">In addition to issues of economic and gender inequality, politics also affect emissions. We have seen how political ideology can influence belief at the individual level. </w:t>
      </w:r>
      <w:hyperlink w:anchor="ref-dietz2015">
        <w:r>
          <w:rPr>
            <w:rStyle w:val="Hyperlink"/>
          </w:rPr>
          <w:t>Dietz et al.</w:t>
        </w:r>
      </w:hyperlink>
      <w:r>
        <w:t xml:space="preserve"> (</w:t>
      </w:r>
      <w:hyperlink w:anchor="ref-dietz2015">
        <w:r>
          <w:rPr>
            <w:rStyle w:val="Hyperlink"/>
          </w:rPr>
          <w:t>2015</w:t>
        </w:r>
      </w:hyperlink>
      <w:r>
        <w:t xml:space="preserve">) look at this from a more macro-level perspective, examining environmental voting records of United States congresspeople. This is seen as a measure of state environmentalism, which is also a reflection of political ideology. They find that increases in state environmentalism - that is, increased support of environmental legislation is not only negatively related to </w:t>
      </w:r>
      <w:proofErr w:type="gramStart"/>
      <w:r>
        <w:t>emissions, but</w:t>
      </w:r>
      <w:proofErr w:type="gramEnd"/>
      <w:r>
        <w:t xml:space="preserve"> is seen as “moderating the overall effect of population and affluence, and reducing greenhouse gas emissions below levels that would otherwise have occurred” (p. 8257).</w:t>
      </w:r>
    </w:p>
    <w:p w14:paraId="7CEE4F17" w14:textId="77777777" w:rsidR="0033629A" w:rsidRDefault="004409CB">
      <w:pPr>
        <w:pStyle w:val="BodyText"/>
      </w:pPr>
      <w:r>
        <w:t xml:space="preserve">Greenhouse emitting activities are influenced not only by local but also national political factors. These include corruption and level of democracy. With these factors in mind, </w:t>
      </w:r>
      <w:hyperlink w:anchor="ref-povitkina2018">
        <w:r>
          <w:rPr>
            <w:rStyle w:val="Hyperlink"/>
          </w:rPr>
          <w:t>Povitkina</w:t>
        </w:r>
      </w:hyperlink>
      <w:r>
        <w:t xml:space="preserve"> (</w:t>
      </w:r>
      <w:hyperlink w:anchor="ref-povitkina2018">
        <w:r>
          <w:rPr>
            <w:rStyle w:val="Hyperlink"/>
          </w:rPr>
          <w:t>2018</w:t>
        </w:r>
      </w:hyperlink>
      <w:r>
        <w:t>) assessed the CO</w:t>
      </w:r>
      <w:r>
        <w:rPr>
          <w:vertAlign w:val="subscript"/>
        </w:rPr>
        <w:t>2</w:t>
      </w:r>
      <w:r>
        <w:t xml:space="preserve"> emissions of 144 countries over a 41-year time span. Independently, democracy has a significant negative relationship with emissions whereas corruption has a significant positive relationship. Considering their interaction, the authors find at low levels of corruption, democratic nations emit less. At high levels of corruption, level of democracy does not have a great effect. Autocratic nations emit more, regardless of corruption levels. The authors conclude that democracies are more likely to make policies that mitigate climate change, but corruption can negate these efforts.</w:t>
      </w:r>
    </w:p>
    <w:p w14:paraId="5D5D1C57" w14:textId="77777777" w:rsidR="0033629A" w:rsidRDefault="004409CB">
      <w:pPr>
        <w:pStyle w:val="Heading3"/>
      </w:pPr>
      <w:bookmarkStart w:id="46" w:name="_Toc107939110"/>
      <w:bookmarkStart w:id="47" w:name="education-and-climate-change"/>
      <w:bookmarkEnd w:id="45"/>
      <w:r>
        <w:t>Education and Climate Change</w:t>
      </w:r>
      <w:bookmarkEnd w:id="46"/>
    </w:p>
    <w:p w14:paraId="58152087" w14:textId="77777777" w:rsidR="0033629A" w:rsidRDefault="004409CB">
      <w:pPr>
        <w:pStyle w:val="FirstParagraph"/>
      </w:pPr>
      <w:r>
        <w:t xml:space="preserve">Education can be seen as a further sociodemographic factor that influences climate change, tied up with affluence, politics, and inequality among others and thus an essential part </w:t>
      </w:r>
      <w:r>
        <w:lastRenderedPageBreak/>
        <w:t xml:space="preserve">of the </w:t>
      </w:r>
      <w:r>
        <w:rPr>
          <w:i/>
          <w:iCs/>
        </w:rPr>
        <w:t>T</w:t>
      </w:r>
      <w:r>
        <w:t xml:space="preserve"> of the </w:t>
      </w:r>
      <w:r>
        <w:rPr>
          <w:i/>
          <w:iCs/>
        </w:rPr>
        <w:t>IPAT</w:t>
      </w:r>
      <w:r>
        <w:t xml:space="preserve"> equation. However, significantly less research has considered education’s potential role in comparison to other similar factors. When it is considered, it is often treated as a mere statistical control with little examination or discussion (</w:t>
      </w:r>
      <w:hyperlink w:anchor="ref-kelly2020">
        <w:r>
          <w:rPr>
            <w:rStyle w:val="Hyperlink"/>
          </w:rPr>
          <w:t>Kelly, 2020</w:t>
        </w:r>
      </w:hyperlink>
      <w:r>
        <w:t>). The present section reviews the extant literature on GHG emissions that includes education as a statistical measure.</w:t>
      </w:r>
    </w:p>
    <w:p w14:paraId="3D8DBC9A" w14:textId="77777777" w:rsidR="0033629A" w:rsidRDefault="004409CB">
      <w:pPr>
        <w:pStyle w:val="BodyText"/>
      </w:pPr>
      <w:r>
        <w:t xml:space="preserve">Perhaps the first article to include a measure of education is by </w:t>
      </w:r>
      <w:hyperlink w:anchor="ref-jorgenson2003">
        <w:r>
          <w:rPr>
            <w:rStyle w:val="Hyperlink"/>
          </w:rPr>
          <w:t>Jorgenson</w:t>
        </w:r>
      </w:hyperlink>
      <w:r>
        <w:t xml:space="preserve"> (</w:t>
      </w:r>
      <w:hyperlink w:anchor="ref-jorgenson2003">
        <w:r>
          <w:rPr>
            <w:rStyle w:val="Hyperlink"/>
          </w:rPr>
          <w:t>2003</w:t>
        </w:r>
      </w:hyperlink>
      <w:r>
        <w:t xml:space="preserve">), who examined the structural causes of ecological footprints among 208 nations. While the focus of the article was on the effect of a nation’s world-system position (e.g., position within a core-periphery framework), education in the form of literacy rates was included as a measure of human capital. The authors argued that higher literacy rates signaled greater human capital, leading to increased consumption and a possible shift to more consumerist ideologies, which in turn, increases ecological impact. It was argued that a nation’s literacy rate would be related to its world-systems position. The path </w:t>
      </w:r>
      <w:proofErr w:type="gramStart"/>
      <w:r>
        <w:t>model</w:t>
      </w:r>
      <w:proofErr w:type="gramEnd"/>
      <w:r>
        <w:t xml:space="preserve"> the authors specified had literacy serving as a variable mediating world-system position, domestic income inequality, and urbanization.</w:t>
      </w:r>
    </w:p>
    <w:p w14:paraId="01892675" w14:textId="77777777" w:rsidR="0033629A" w:rsidRDefault="004409CB">
      <w:pPr>
        <w:pStyle w:val="BodyText"/>
      </w:pPr>
      <w:r>
        <w:t>Their hypothesis was confirmed, with education/literacy having a direct effect on ecological footprint and being a significant mediator for world-system position and urbanization. Education in this article was conceived of at its broadest level - whether the population over age 15 can read and write. This is no doubt important but in no way speaks to the quality of education or actual ability to think critically about science-related issues, something unique to this dissertation. Furthermore, the authors consider human capital in solely economic terms, with literacy leading to economic consumption. Yet, this dissertation has argued that human capital’s effects can have individual and social impacts beyond economic returns.</w:t>
      </w:r>
    </w:p>
    <w:p w14:paraId="05950710" w14:textId="77777777" w:rsidR="0033629A" w:rsidRDefault="00710174">
      <w:pPr>
        <w:pStyle w:val="BodyText"/>
      </w:pPr>
      <w:hyperlink w:anchor="ref-jorgenson2005">
        <w:r w:rsidR="004409CB">
          <w:rPr>
            <w:rStyle w:val="Hyperlink"/>
          </w:rPr>
          <w:t>Jorgenson</w:t>
        </w:r>
      </w:hyperlink>
      <w:r w:rsidR="004409CB">
        <w:t xml:space="preserve"> (</w:t>
      </w:r>
      <w:hyperlink w:anchor="ref-jorgenson2005">
        <w:r w:rsidR="004409CB">
          <w:rPr>
            <w:rStyle w:val="Hyperlink"/>
          </w:rPr>
          <w:t>2005</w:t>
        </w:r>
      </w:hyperlink>
      <w:r w:rsidR="004409CB">
        <w:t>) continued his examination of the structural causes of environmental degradation (vis-à-vis ecological footprints) among 72 nations, focusing on international power relations, especially economics, military, and export dependence - all of which were found to be significant predictors of ecological footprints. Education was again included as a control and proxy for human capital; however, in this instance, secondary school enrollment rather than literacy was included. In both the ordinary least squares (OLS) and path models specified, secondary education had a positive relationship with ecological footprint. Secondary education was treated as exogenous to ecological footprints but endogenous, serving as a mediator, to all other variables. For variables such as GDP per capita or inequality, such an endogenous relationship makes sense, but for variables such as military expenditures or exports, their relationship to education is unclear. Overall, it was implied (but never tacitly discussed) that increased education leads to consumption, increasing national ecological footprints.</w:t>
      </w:r>
    </w:p>
    <w:p w14:paraId="413C98E7" w14:textId="77777777" w:rsidR="0033629A" w:rsidRDefault="00710174">
      <w:pPr>
        <w:pStyle w:val="BodyText"/>
      </w:pPr>
      <w:hyperlink w:anchor="ref-dietz2007">
        <w:r w:rsidR="004409CB">
          <w:rPr>
            <w:rStyle w:val="Hyperlink"/>
          </w:rPr>
          <w:t>Dietz, Rosa, et al.</w:t>
        </w:r>
      </w:hyperlink>
      <w:r w:rsidR="004409CB">
        <w:t xml:space="preserve"> (</w:t>
      </w:r>
      <w:hyperlink w:anchor="ref-dietz2007">
        <w:r w:rsidR="004409CB">
          <w:rPr>
            <w:rStyle w:val="Hyperlink"/>
          </w:rPr>
          <w:t>2007</w:t>
        </w:r>
      </w:hyperlink>
      <w:r w:rsidR="004409CB">
        <w:t xml:space="preserve">) examined the human drivers of environmental impact for 128 nations. They employ a variation of the </w:t>
      </w:r>
      <w:r w:rsidR="004409CB">
        <w:rPr>
          <w:i/>
          <w:iCs/>
        </w:rPr>
        <w:t>IPAT</w:t>
      </w:r>
      <w:r w:rsidR="004409CB">
        <w:t xml:space="preserve"> equation (</w:t>
      </w:r>
      <w:r w:rsidR="004409CB">
        <w:rPr>
          <w:i/>
          <w:iCs/>
        </w:rPr>
        <w:t>STIRPAT</w:t>
      </w:r>
      <w:r w:rsidR="004409CB">
        <w:t xml:space="preserve">, stochastic impacts by regression on population, affluence, and technology) to estimate the impact of population, GDP, urbanization, age, geography (land area, latitude), and well-being (life expectancy and education index [a measure of years of schooling]). Population has the largest impact on footprint followed by GDP per capita, which showed a curvilinear relationship where higher affluence produces larger impacts disproportionate to the impacts at lower levels. Education was not found to be a significant predictor of footprint, leading the authors to conclude “that while increasing affluence does drive impacts, it is possible to improve other aspects of human well-being without adverse environmental effects” (p. 16). This suggests a decoupling of well-being from ecological impact, something often accounted for by research using CIWB. Unfortunately, there is no further discussion of education or why it might not </w:t>
      </w:r>
      <w:proofErr w:type="gramStart"/>
      <w:r w:rsidR="004409CB">
        <w:t xml:space="preserve">have an </w:t>
      </w:r>
      <w:r w:rsidR="004409CB">
        <w:lastRenderedPageBreak/>
        <w:t>effect on</w:t>
      </w:r>
      <w:proofErr w:type="gramEnd"/>
      <w:r w:rsidR="004409CB">
        <w:t xml:space="preserve"> ecological footprints. Like previous research, it is merely included as a control or an independent variable of non-interest.</w:t>
      </w:r>
    </w:p>
    <w:p w14:paraId="4CC29BB5" w14:textId="77777777" w:rsidR="0033629A" w:rsidRDefault="004409CB">
      <w:pPr>
        <w:pStyle w:val="BodyText"/>
      </w:pPr>
      <w:r>
        <w:t xml:space="preserve">Research by </w:t>
      </w:r>
      <w:hyperlink w:anchor="ref-kinda2010">
        <w:r>
          <w:rPr>
            <w:rStyle w:val="Hyperlink"/>
          </w:rPr>
          <w:t>Kinda</w:t>
        </w:r>
      </w:hyperlink>
      <w:r>
        <w:t xml:space="preserve"> (</w:t>
      </w:r>
      <w:hyperlink w:anchor="ref-kinda2010">
        <w:r>
          <w:rPr>
            <w:rStyle w:val="Hyperlink"/>
          </w:rPr>
          <w:t>2010</w:t>
        </w:r>
      </w:hyperlink>
      <w:r>
        <w:t xml:space="preserve">) departs from the previous studies in several significant ways. First, </w:t>
      </w:r>
      <w:hyperlink w:anchor="ref-kinda2010">
        <w:r>
          <w:rPr>
            <w:rStyle w:val="Hyperlink"/>
          </w:rPr>
          <w:t>Kinda</w:t>
        </w:r>
      </w:hyperlink>
      <w:r>
        <w:t xml:space="preserve"> (</w:t>
      </w:r>
      <w:hyperlink w:anchor="ref-kinda2010">
        <w:r>
          <w:rPr>
            <w:rStyle w:val="Hyperlink"/>
          </w:rPr>
          <w:t>2010</w:t>
        </w:r>
      </w:hyperlink>
      <w:r>
        <w:t xml:space="preserve">) is the first research article to consider education as its independent variable, meaning it is not levied solely as a statistical control. In addition, while recognizing previous research that sees education as a proxy for human capital (e.g. </w:t>
      </w:r>
      <w:hyperlink w:anchor="ref-jorgenson2003">
        <w:r>
          <w:rPr>
            <w:rStyle w:val="Hyperlink"/>
          </w:rPr>
          <w:t>Jorgenson, 2003</w:t>
        </w:r>
      </w:hyperlink>
      <w:r>
        <w:t xml:space="preserve">, </w:t>
      </w:r>
      <w:hyperlink w:anchor="ref-jorgenson2005">
        <w:r>
          <w:rPr>
            <w:rStyle w:val="Hyperlink"/>
          </w:rPr>
          <w:t>2005</w:t>
        </w:r>
      </w:hyperlink>
      <w:r>
        <w:t xml:space="preserve">), the author frames education as an important factor for a citizenry to understand and demand environmental protections. They argue that rather than education driving consumption, education drives income, and “an increase of income generates the resources that are necessary for pollution abatement,” resulting in an environmental Kuznet’s curve (p.2). Rather than looking at school enrollment, </w:t>
      </w:r>
      <w:hyperlink w:anchor="ref-kinda2010">
        <w:r>
          <w:rPr>
            <w:rStyle w:val="Hyperlink"/>
          </w:rPr>
          <w:t>Kinda</w:t>
        </w:r>
      </w:hyperlink>
      <w:r>
        <w:t xml:space="preserve"> (</w:t>
      </w:r>
      <w:hyperlink w:anchor="ref-kinda2010">
        <w:r>
          <w:rPr>
            <w:rStyle w:val="Hyperlink"/>
          </w:rPr>
          <w:t>2010</w:t>
        </w:r>
      </w:hyperlink>
      <w:r>
        <w:t>) examines education in terms of average years of school. Furthermore, they also examine the interaction between education and institutional quality (i.e., a -10 to +10 autocracy-democracy scale). Data is included for 85 countries from 1970 to 2004.</w:t>
      </w:r>
    </w:p>
    <w:p w14:paraId="60DC5BC6" w14:textId="77777777" w:rsidR="0033629A" w:rsidRDefault="004409CB">
      <w:pPr>
        <w:pStyle w:val="BodyText"/>
      </w:pPr>
      <w:r>
        <w:t xml:space="preserve">On a global level, the author finds no relationship between education and carbon emissions. However, examining emissions separately for developed and developing countries, they find a significant positive relationship for developed nations, suggesting education is related to increases in carbon emissions. No significant relationship was found for developing countries. Moreover, for developed countries, the positive association between emissions and education is altered once institutional quality is introduced. As institutional quality (or democracy) increases, emissions decrease. According to the author, the education level of people living in developed nations “will increase their preferences in favor of a higher level of environmental protection. They will reflect their preference through political institutions” (p. 7). They go on to argue that, in developing nations, education levels are low and political institutions are relatively weak, and, therefore, do not </w:t>
      </w:r>
      <w:proofErr w:type="gramStart"/>
      <w:r>
        <w:t>have an effect on</w:t>
      </w:r>
      <w:proofErr w:type="gramEnd"/>
      <w:r>
        <w:t xml:space="preserve"> carbon emissions.</w:t>
      </w:r>
    </w:p>
    <w:p w14:paraId="00B99FCA" w14:textId="77777777" w:rsidR="0033629A" w:rsidRDefault="00710174">
      <w:pPr>
        <w:pStyle w:val="BodyText"/>
      </w:pPr>
      <w:hyperlink w:anchor="ref-mayer2013">
        <w:r w:rsidR="004409CB">
          <w:rPr>
            <w:rStyle w:val="Hyperlink"/>
          </w:rPr>
          <w:t>Mayer</w:t>
        </w:r>
      </w:hyperlink>
      <w:r w:rsidR="004409CB">
        <w:t xml:space="preserve"> (</w:t>
      </w:r>
      <w:hyperlink w:anchor="ref-mayer2013">
        <w:r w:rsidR="004409CB">
          <w:rPr>
            <w:rStyle w:val="Hyperlink"/>
          </w:rPr>
          <w:t>2013</w:t>
        </w:r>
      </w:hyperlink>
      <w:r w:rsidR="004409CB">
        <w:t>) highlights the paucity of research on the role education may play in national carbon emissions. Responding to this paucity, they implement two models that focus on education from 1998 to 2008. They look at how education relates to both CO</w:t>
      </w:r>
      <w:r w:rsidR="004409CB">
        <w:rPr>
          <w:vertAlign w:val="subscript"/>
        </w:rPr>
        <w:t>2</w:t>
      </w:r>
      <w:r w:rsidR="004409CB">
        <w:t xml:space="preserve"> per capita as in previous research (103 nations) and the percentage of energy consumed that comes from fossil fuels (93 nations). They assess education in terms of tertiary enrollment rate and the percent of the GDP that is spent on educational expenditures. GDP per capita (and its squared form), democracy, and export intensity are also included as controls.</w:t>
      </w:r>
    </w:p>
    <w:p w14:paraId="6C33A83A" w14:textId="77777777" w:rsidR="0033629A" w:rsidRDefault="004409CB">
      <w:pPr>
        <w:pStyle w:val="BodyText"/>
      </w:pPr>
      <w:r>
        <w:t>They find that both enrollment and expenditures are significantly positively associated with fossil fuel energy use. In addition, enrollment is significantly positively related to CO</w:t>
      </w:r>
      <w:r>
        <w:rPr>
          <w:vertAlign w:val="subscript"/>
        </w:rPr>
        <w:t>2</w:t>
      </w:r>
      <w:r>
        <w:t xml:space="preserve"> emissions, while expenditures have a non-significant negative relationship. Overall, increased education is related to emissions, though, as they indicate, it has a minor effect when compared to factors such as economic growth. They also point out two interesting phenomena that have direct bearing on this dissertation. First, as a limitation, they noted that curricular content is not considered - different nations may place different levels of emphasis on environmental issues, and that those with increased emphasis could see greater environmental performance in the aggregate. The PISA and science education in general both often focus on environmental issues and are intimately connected to environmental and climate change education. Thus, this dissertation directly responds to Mayer’s (</w:t>
      </w:r>
      <w:hyperlink w:anchor="ref-mayer2013">
        <w:r>
          <w:rPr>
            <w:rStyle w:val="Hyperlink"/>
          </w:rPr>
          <w:t>2013</w:t>
        </w:r>
      </w:hyperlink>
      <w:r>
        <w:t>) call for future research. In addition, Mayer concludes that education presents a paradox where, at the individual level, education builds environmental concern, but at the national level, education increases environmental degradation. The emphasis on educational quality and achievement that is at the heart of this dissertation can hopefully address this paradox.</w:t>
      </w:r>
    </w:p>
    <w:p w14:paraId="14C99A7B" w14:textId="77777777" w:rsidR="0033629A" w:rsidRDefault="004409CB">
      <w:pPr>
        <w:pStyle w:val="BodyText"/>
      </w:pPr>
      <w:r>
        <w:t xml:space="preserve">More recent research tends to find a more positive role for education on emissions. For example, </w:t>
      </w:r>
      <w:hyperlink w:anchor="ref-jorgenson2018">
        <w:r>
          <w:rPr>
            <w:rStyle w:val="Hyperlink"/>
          </w:rPr>
          <w:t>Jorgenson et al.</w:t>
        </w:r>
      </w:hyperlink>
      <w:r>
        <w:t xml:space="preserve"> (</w:t>
      </w:r>
      <w:hyperlink w:anchor="ref-jorgenson2018">
        <w:r>
          <w:rPr>
            <w:rStyle w:val="Hyperlink"/>
          </w:rPr>
          <w:t>2018</w:t>
        </w:r>
      </w:hyperlink>
      <w:r>
        <w:t xml:space="preserve">) examined the effects of economic inequality in the United States on CIWB for males and females from 2000 to 2010. Included among their independent </w:t>
      </w:r>
      <w:r>
        <w:lastRenderedPageBreak/>
        <w:t xml:space="preserve">and control variables (state Gini, income share of the top 10% per state, percentage of population below poverty line per state, state fossil fuel production, GDP per state, and manufacturing as a percentage of state GDP, state environmentalism (see </w:t>
      </w:r>
      <w:hyperlink w:anchor="ref-dietz2015">
        <w:r>
          <w:rPr>
            <w:rStyle w:val="Hyperlink"/>
          </w:rPr>
          <w:t>Dietz et al., 2015</w:t>
        </w:r>
      </w:hyperlink>
      <w:r>
        <w:t>), they also included a measure of education: the percentage of the population with a 4-year college degree. While traditional economic measures (GDP) and inequality were found to increase CIWB, the authors found that male CIWB decreased as college education increased. This suggests that states with more highly educated populations produce more well-being with fewer carbon emissions. This variable was also found to have the largest effect, even more so than GDP or state environmentalism.</w:t>
      </w:r>
    </w:p>
    <w:p w14:paraId="153824CC" w14:textId="77777777" w:rsidR="0033629A" w:rsidRDefault="004409CB">
      <w:pPr>
        <w:pStyle w:val="BodyText"/>
      </w:pPr>
      <w:r>
        <w:t>Why this effect appeared for males and not females is unclear. The authors suggest higher education may have more well-being benefits for men but provide no evidence for this assertion. It could also be the data. The percentage of college degree holders represented the entire population. Results may have been different if it were delineated for males and females in both CIWB estimations. Nevertheless, this is the first research article that indicates education may not have a negative effect on the environment or CIWB, at least for the United States and other developed nations.</w:t>
      </w:r>
    </w:p>
    <w:p w14:paraId="25E85DDC" w14:textId="77777777" w:rsidR="0033629A" w:rsidRDefault="00710174">
      <w:pPr>
        <w:pStyle w:val="BodyText"/>
      </w:pPr>
      <w:hyperlink w:anchor="ref-kelly2020">
        <w:r w:rsidR="004409CB">
          <w:rPr>
            <w:rStyle w:val="Hyperlink"/>
          </w:rPr>
          <w:t>Kelly</w:t>
        </w:r>
      </w:hyperlink>
      <w:r w:rsidR="004409CB">
        <w:t xml:space="preserve"> (</w:t>
      </w:r>
      <w:hyperlink w:anchor="ref-kelly2020">
        <w:r w:rsidR="004409CB">
          <w:rPr>
            <w:rStyle w:val="Hyperlink"/>
          </w:rPr>
          <w:t>2020</w:t>
        </w:r>
      </w:hyperlink>
      <w:r w:rsidR="004409CB">
        <w:t xml:space="preserve">) also examined CIWB and placed education at the focus of her analysis. Like </w:t>
      </w:r>
      <w:hyperlink w:anchor="ref-kinda2010">
        <w:r w:rsidR="004409CB">
          <w:rPr>
            <w:rStyle w:val="Hyperlink"/>
          </w:rPr>
          <w:t>Kinda</w:t>
        </w:r>
      </w:hyperlink>
      <w:r w:rsidR="004409CB">
        <w:t xml:space="preserve"> (</w:t>
      </w:r>
      <w:hyperlink w:anchor="ref-kinda2010">
        <w:r w:rsidR="004409CB">
          <w:rPr>
            <w:rStyle w:val="Hyperlink"/>
          </w:rPr>
          <w:t>2010</w:t>
        </w:r>
      </w:hyperlink>
      <w:r w:rsidR="004409CB">
        <w:t xml:space="preserve">) and </w:t>
      </w:r>
      <w:hyperlink w:anchor="ref-mayer2013">
        <w:r w:rsidR="004409CB">
          <w:rPr>
            <w:rStyle w:val="Hyperlink"/>
          </w:rPr>
          <w:t>Mayer</w:t>
        </w:r>
      </w:hyperlink>
      <w:r w:rsidR="004409CB">
        <w:t xml:space="preserve"> (</w:t>
      </w:r>
      <w:hyperlink w:anchor="ref-mayer2013">
        <w:r w:rsidR="004409CB">
          <w:rPr>
            <w:rStyle w:val="Hyperlink"/>
          </w:rPr>
          <w:t>2013</w:t>
        </w:r>
      </w:hyperlink>
      <w:r w:rsidR="004409CB">
        <w:t xml:space="preserve">), </w:t>
      </w:r>
      <w:hyperlink w:anchor="ref-kelly2020">
        <w:r w:rsidR="004409CB">
          <w:rPr>
            <w:rStyle w:val="Hyperlink"/>
          </w:rPr>
          <w:t>Kelly</w:t>
        </w:r>
      </w:hyperlink>
      <w:r w:rsidR="004409CB">
        <w:t xml:space="preserve"> (</w:t>
      </w:r>
      <w:hyperlink w:anchor="ref-kelly2020">
        <w:r w:rsidR="004409CB">
          <w:rPr>
            <w:rStyle w:val="Hyperlink"/>
          </w:rPr>
          <w:t>2020</w:t>
        </w:r>
      </w:hyperlink>
      <w:r w:rsidR="004409CB">
        <w:t xml:space="preserve">) takes a non-economic (non-human capital) viewpoint of education, seeing education as a driver of social (rather than economic) well-being. Kelly also draws on ecological modernization theory, which posits that as society modernizes, greater emphasis is placed on environmental issues. They examine the CIWB of 76 countries from 1960 to 2010, controlling for GDP </w:t>
      </w:r>
      <w:proofErr w:type="gramStart"/>
      <w:r w:rsidR="004409CB">
        <w:t>as a means to</w:t>
      </w:r>
      <w:proofErr w:type="gramEnd"/>
      <w:r w:rsidR="004409CB">
        <w:t xml:space="preserve"> decouple “economic growth from natural resource use and sustainable consumption and production patterns (p. 199). They also include an interaction between education and six world regions (advanced economies such as the United States, Canada, and the EU; East Asia and the Pacific; Latin </w:t>
      </w:r>
      <w:r w:rsidR="004409CB">
        <w:lastRenderedPageBreak/>
        <w:t>America and the Caribbean; Middle East and North Africa; South Asia; Sub-Saharan Africa). Education is examined in terms of average years of schooling.</w:t>
      </w:r>
    </w:p>
    <w:p w14:paraId="5E6579CA" w14:textId="77777777" w:rsidR="0033629A" w:rsidRDefault="004409CB">
      <w:pPr>
        <w:pStyle w:val="BodyText"/>
      </w:pPr>
      <w:r>
        <w:t xml:space="preserve">Overall, the results indicate that there is a negative association (what Kelly calls a “desirable” relationship [p. 190]) between education and CIWB except for advanced economies. Increased years of education in general are linked to decreases in CIWB. Overall, the greatest effect of education on CIWB occurred for the South Asian region, with a 1 percent increase in education being associated with a .4 percent decrease in CIWB. Advanced economies, on the other hand, had a .1 percent increase in CIWB for every 1% increase in per capita education. However, examining advanced economies separately and over time, negative associations between CIWB and education can be found. Kelly highlights the East Asian-Pacific region is a good case study for the potential of education, finding that it had the largest effects on CIWB from education, which mostly persisted over the 50-year period. They argue that East Asia underwent substantial social transformations during that </w:t>
      </w:r>
      <w:proofErr w:type="gramStart"/>
      <w:r>
        <w:t>time period</w:t>
      </w:r>
      <w:proofErr w:type="gramEnd"/>
      <w:r>
        <w:t>, aided, in part, by education. The results suggest there were positive ecological outcomes in addition to positive human well-being outcomes. Each region traversed its own unique path over time, but overall, Kelly concludes that “gains in education have had positive spill-over effects into the sustainability of nations between 1960 and 2010” (p. 192).</w:t>
      </w:r>
    </w:p>
    <w:p w14:paraId="75FE3569" w14:textId="77777777" w:rsidR="0033629A" w:rsidRDefault="004409CB">
      <w:pPr>
        <w:pStyle w:val="BodyText"/>
      </w:pPr>
      <w:r>
        <w:t xml:space="preserve">The most recent research that looks at climate change and education is from </w:t>
      </w:r>
      <w:hyperlink w:anchor="ref-ergas2021">
        <w:r>
          <w:rPr>
            <w:rStyle w:val="Hyperlink"/>
          </w:rPr>
          <w:t>Ergas et al.</w:t>
        </w:r>
      </w:hyperlink>
      <w:r>
        <w:t xml:space="preserve"> (</w:t>
      </w:r>
      <w:hyperlink w:anchor="ref-ergas2021">
        <w:r>
          <w:rPr>
            <w:rStyle w:val="Hyperlink"/>
          </w:rPr>
          <w:t>2021</w:t>
        </w:r>
      </w:hyperlink>
      <w:r>
        <w:t xml:space="preserve">). The authors examined the impact of gender inequality on the CIWB of 70 nations from 1995 to 2013. They specifically look at three structural factors of gender inequality, derived from the variables that compose the UN’s Gender Inequality Index: the percentage of women in parliament, the percentage of women with some secondary education, and the percentage of women in the labor force. In terms of education, previous research has indicated that women show higher belief in and concern about climate change (e.g., </w:t>
      </w:r>
      <w:hyperlink w:anchor="ref-hornsey2016">
        <w:r>
          <w:rPr>
            <w:rStyle w:val="Hyperlink"/>
          </w:rPr>
          <w:t>Hornsey et al., 2016</w:t>
        </w:r>
      </w:hyperlink>
      <w:r>
        <w:t xml:space="preserve">) and other environmental issues. In addition, women’s education is related to numerous </w:t>
      </w:r>
      <w:r>
        <w:lastRenderedPageBreak/>
        <w:t>positive health outcomes (</w:t>
      </w:r>
      <w:hyperlink w:anchor="ref-liu2020">
        <w:r>
          <w:rPr>
            <w:rStyle w:val="Hyperlink"/>
          </w:rPr>
          <w:t>Liu &amp; Raftery, 2020</w:t>
        </w:r>
      </w:hyperlink>
      <w:r>
        <w:t xml:space="preserve">) and is associated with greater resilience to climate change-related disasters [e.g., floods or droughts; </w:t>
      </w:r>
      <w:hyperlink w:anchor="ref-frankenberg2013">
        <w:r>
          <w:rPr>
            <w:rStyle w:val="Hyperlink"/>
          </w:rPr>
          <w:t>Frankenberg et al.</w:t>
        </w:r>
      </w:hyperlink>
      <w:r>
        <w:t xml:space="preserve"> (</w:t>
      </w:r>
      <w:hyperlink w:anchor="ref-frankenberg2013">
        <w:r>
          <w:rPr>
            <w:rStyle w:val="Hyperlink"/>
          </w:rPr>
          <w:t>2013</w:t>
        </w:r>
      </w:hyperlink>
      <w:r>
        <w:t xml:space="preserve">); </w:t>
      </w:r>
      <w:hyperlink w:anchor="ref-wheeler2011">
        <w:r>
          <w:rPr>
            <w:rStyle w:val="Hyperlink"/>
          </w:rPr>
          <w:t>Wheeler &amp; Hammer</w:t>
        </w:r>
      </w:hyperlink>
      <w:r>
        <w:t xml:space="preserve"> (</w:t>
      </w:r>
      <w:hyperlink w:anchor="ref-wheeler2011">
        <w:r>
          <w:rPr>
            <w:rStyle w:val="Hyperlink"/>
          </w:rPr>
          <w:t>2011</w:t>
        </w:r>
      </w:hyperlink>
      <w:r>
        <w:t>)].</w:t>
      </w:r>
    </w:p>
    <w:p w14:paraId="34540717" w14:textId="77777777" w:rsidR="0033629A" w:rsidRDefault="004409CB">
      <w:pPr>
        <w:pStyle w:val="BodyText"/>
      </w:pPr>
      <w:r>
        <w:t>The results indicate that across all nations, women’s education (measured by expected years of schooling) has a negative relationship to CIWB - as education increases, CIWB decreases. However, in examining CIWB separately for developed countries (DCs) and less developed countries (LDCs), this relationship only persists for DCs. This specific relationship also persists when examining CIWB’s constituent components separately: education is associated with a decrease in CO</w:t>
      </w:r>
      <w:r>
        <w:rPr>
          <w:vertAlign w:val="subscript"/>
        </w:rPr>
        <w:t>2</w:t>
      </w:r>
      <w:r>
        <w:t xml:space="preserve"> and an increase in life expectancy for DCs. The associations between women in parliament and CIWB/CO</w:t>
      </w:r>
      <w:r>
        <w:rPr>
          <w:vertAlign w:val="subscript"/>
        </w:rPr>
        <w:t>2</w:t>
      </w:r>
      <w:r>
        <w:t xml:space="preserve"> are </w:t>
      </w:r>
      <w:proofErr w:type="gramStart"/>
      <w:r>
        <w:t>similar to</w:t>
      </w:r>
      <w:proofErr w:type="gramEnd"/>
      <w:r>
        <w:t xml:space="preserve"> education, however, this effect only persists for LDCs. While labor force participation increased CIWB/CO</w:t>
      </w:r>
      <w:r>
        <w:rPr>
          <w:vertAlign w:val="subscript"/>
        </w:rPr>
        <w:t>2</w:t>
      </w:r>
      <w:r>
        <w:t xml:space="preserve"> and decreases life expectancy, the moderating effect of women’s education on labor participation reduces its CIWB impact across all nation groupings (and among DCs when considering only CO</w:t>
      </w:r>
      <w:r>
        <w:rPr>
          <w:vertAlign w:val="subscript"/>
        </w:rPr>
        <w:t>2</w:t>
      </w:r>
      <w:r>
        <w:t xml:space="preserve"> emissions).</w:t>
      </w:r>
    </w:p>
    <w:p w14:paraId="16A0C045" w14:textId="65E8D39E" w:rsidR="0033629A" w:rsidRDefault="004409CB">
      <w:pPr>
        <w:pStyle w:val="BodyText"/>
      </w:pPr>
      <w:r>
        <w:t>Ergas et al.’s (</w:t>
      </w:r>
      <w:hyperlink w:anchor="ref-ergas2021">
        <w:r>
          <w:rPr>
            <w:rStyle w:val="Hyperlink"/>
          </w:rPr>
          <w:t>2021</w:t>
        </w:r>
      </w:hyperlink>
      <w:r>
        <w:t>) study demonstrates that sociodemographic impacts on the climate are complex but that improving gender equality can lead to improvements in both well-being and carbon intensity of generating that well-being. While women’s representation in government and women’s education operate somewhat differently depending on development status, both can lead to positive socio-ecological outcomes.</w:t>
      </w:r>
    </w:p>
    <w:p w14:paraId="300B3415" w14:textId="28CBD6CA" w:rsidR="00252DEA" w:rsidRDefault="00252DEA">
      <w:pPr>
        <w:pStyle w:val="BodyText"/>
      </w:pPr>
      <w:r>
        <w:t xml:space="preserve">In summary, the conceptual model that underlies this research is informed broadly by human capital theory and draws on evidence that education can catalyze social transformation. More specifically, the conceptual model suggests emissions reductions </w:t>
      </w:r>
      <w:proofErr w:type="gramStart"/>
      <w:r>
        <w:t>as a result of</w:t>
      </w:r>
      <w:proofErr w:type="gramEnd"/>
      <w:r>
        <w:t xml:space="preserve"> increased educational understanding can occur at individual, familial, and community levels, and this is explained by the theory of planned behavior. Increased </w:t>
      </w:r>
      <w:r>
        <w:lastRenderedPageBreak/>
        <w:t xml:space="preserve">knowledge of, belief in, and concern for climate change can lead to increased pro-environmental and climate-positive behavior. These behaviors can come from the students themselves or they may influence peers or family members, the latter </w:t>
      </w:r>
      <w:proofErr w:type="gramStart"/>
      <w:r>
        <w:t>as a result of</w:t>
      </w:r>
      <w:proofErr w:type="gramEnd"/>
      <w:r>
        <w:t xml:space="preserve"> intergenerational learning. Whether at individual, peer, familiar, or community levels, real emissions reductions can occur through both individual behavior changes, support for systemic changes and other forms of climate action and activism.</w:t>
      </w:r>
    </w:p>
    <w:p w14:paraId="2FFCD269" w14:textId="77777777" w:rsidR="0033629A" w:rsidRDefault="004409CB">
      <w:pPr>
        <w:pStyle w:val="Heading2"/>
      </w:pPr>
      <w:bookmarkStart w:id="48" w:name="_Toc107939111"/>
      <w:bookmarkStart w:id="49" w:name="research-questions"/>
      <w:bookmarkEnd w:id="41"/>
      <w:bookmarkEnd w:id="47"/>
      <w:r>
        <w:t>Research Questions</w:t>
      </w:r>
      <w:bookmarkEnd w:id="48"/>
    </w:p>
    <w:p w14:paraId="1120DA98" w14:textId="77777777" w:rsidR="0033629A" w:rsidRDefault="004409CB">
      <w:pPr>
        <w:pStyle w:val="FirstParagraph"/>
      </w:pPr>
      <w:r>
        <w:t xml:space="preserve">The above literature review has provided a rich body of evidence that explains how individual impacts from education can manifest at the macro level. It has reinforced the </w:t>
      </w:r>
      <w:r>
        <w:rPr>
          <w:i/>
          <w:iCs/>
        </w:rPr>
        <w:t>IPAT</w:t>
      </w:r>
      <w:r>
        <w:t xml:space="preserve"> conceptual model by showing the key drivers of climate change (i.e., population, GDP) while showing how education and other demographic factors may influence the overall equation. </w:t>
      </w:r>
      <w:proofErr w:type="gramStart"/>
      <w:r>
        <w:t>In particular, gender</w:t>
      </w:r>
      <w:proofErr w:type="gramEnd"/>
      <w:r>
        <w:t xml:space="preserve"> has been demonstrated again and again as a key factor of influence at both individual and societal levels. Likewise, development status also appears to be a major factor at the national level. These have important implications for the questions asked in this dissertation.</w:t>
      </w:r>
    </w:p>
    <w:p w14:paraId="346EA188" w14:textId="77777777" w:rsidR="0033629A" w:rsidRDefault="004409CB">
      <w:pPr>
        <w:pStyle w:val="BodyText"/>
      </w:pPr>
      <w:r>
        <w:t xml:space="preserve">Additionally, the literature review has also exposed a large limitation in research on the macro-level impact of education: this research uses broad measures of education, such as literacy rates, expenditures, enrollment rates, or years of education. These measures may be adequate for frameworks that see education’s effect on the environment mainly in economic terms (e.g., an </w:t>
      </w:r>
      <w:proofErr w:type="gramStart"/>
      <w:r>
        <w:t>economics-focused</w:t>
      </w:r>
      <w:proofErr w:type="gramEnd"/>
      <w:r>
        <w:t xml:space="preserve"> HCT). However, analyses that consider the social and political impacts of education, such as the proposed dissertation, which draws on a non-economic form of HCT, require a better measure that may offer nuance into educational achievement (</w:t>
      </w:r>
      <w:hyperlink w:anchor="ref-mayer2013">
        <w:r>
          <w:rPr>
            <w:rStyle w:val="Hyperlink"/>
          </w:rPr>
          <w:t>Mayer, 2013</w:t>
        </w:r>
      </w:hyperlink>
      <w:r>
        <w:t>).</w:t>
      </w:r>
    </w:p>
    <w:p w14:paraId="1337AD9C" w14:textId="77777777" w:rsidR="0033629A" w:rsidRDefault="004409CB">
      <w:pPr>
        <w:pStyle w:val="BodyText"/>
      </w:pPr>
      <w:r>
        <w:lastRenderedPageBreak/>
        <w:t>Therefore, the purpose of this dissertation is to assess the extent to which scientific literacy may have a measurable effect on a nation’s carbon emissions. The proposed dissertation will seek to expand on previous research by using longitudinal PISA scientific literacy scores. PISA scores not only offer a more nuanced approach to measuring educational attainment but specifically measure how adolescents use their knowledge to meet real-life challenges. There is no challenge as great as climate change, and no group more poised to have to deal with its effects than adolescents. To that end, the proposed dissertation will seek to answer the following research questions:</w:t>
      </w:r>
    </w:p>
    <w:p w14:paraId="5A0BECEC" w14:textId="77777777" w:rsidR="0033629A" w:rsidRDefault="004409CB">
      <w:pPr>
        <w:pStyle w:val="Compact"/>
        <w:numPr>
          <w:ilvl w:val="0"/>
          <w:numId w:val="13"/>
        </w:numPr>
      </w:pPr>
      <w:r>
        <w:t>What is the relationship between changes in scientific literacy as measured by the PISA and per capita CO</w:t>
      </w:r>
      <w:r>
        <w:rPr>
          <w:vertAlign w:val="subscript"/>
        </w:rPr>
        <w:t>2</w:t>
      </w:r>
      <w:r>
        <w:t xml:space="preserve"> emissions?</w:t>
      </w:r>
    </w:p>
    <w:p w14:paraId="168CFCDE" w14:textId="77777777" w:rsidR="0033629A" w:rsidRDefault="004409CB">
      <w:pPr>
        <w:pStyle w:val="Compact"/>
        <w:numPr>
          <w:ilvl w:val="0"/>
          <w:numId w:val="13"/>
        </w:numPr>
      </w:pPr>
      <w:r>
        <w:t>Do the above relationships vary for developed and less-developed countries?</w:t>
      </w:r>
    </w:p>
    <w:p w14:paraId="39CD900A" w14:textId="77777777" w:rsidR="0033629A" w:rsidRDefault="004409CB">
      <w:pPr>
        <w:pStyle w:val="Compact"/>
        <w:numPr>
          <w:ilvl w:val="0"/>
          <w:numId w:val="13"/>
        </w:numPr>
      </w:pPr>
      <w:r>
        <w:t>Does this relationship differ when examining changes in male and female scientific literacy rates?</w:t>
      </w:r>
    </w:p>
    <w:p w14:paraId="1E1B9CBD" w14:textId="77777777" w:rsidR="0033629A" w:rsidRDefault="004409CB">
      <w:pPr>
        <w:pStyle w:val="FirstParagraph"/>
      </w:pPr>
      <w:r>
        <w:t>The following chapter will explain the proposed methods to be used to answer these questions.</w:t>
      </w:r>
    </w:p>
    <w:p w14:paraId="2458AE9E" w14:textId="77777777" w:rsidR="0033629A" w:rsidRDefault="004409CB">
      <w:pPr>
        <w:pStyle w:val="BodyText"/>
      </w:pPr>
      <w:r>
        <w:br w:type="page"/>
      </w:r>
    </w:p>
    <w:p w14:paraId="792FA076" w14:textId="77777777" w:rsidR="0033629A" w:rsidRDefault="004409CB">
      <w:pPr>
        <w:pStyle w:val="Heading1"/>
      </w:pPr>
      <w:bookmarkStart w:id="50" w:name="_Toc107939112"/>
      <w:bookmarkStart w:id="51" w:name="X6fdea4d74f507176d01edf2d52e8b0e5cb48e20"/>
      <w:bookmarkEnd w:id="9"/>
      <w:bookmarkEnd w:id="49"/>
      <w:r>
        <w:lastRenderedPageBreak/>
        <w:t>CHAPTER THREE: Research Design and Methods</w:t>
      </w:r>
      <w:bookmarkEnd w:id="50"/>
    </w:p>
    <w:p w14:paraId="332BD07F" w14:textId="77777777" w:rsidR="0033629A" w:rsidRDefault="004409CB">
      <w:pPr>
        <w:pStyle w:val="FirstParagraph"/>
      </w:pPr>
      <w:r>
        <w:t xml:space="preserve">This chapter draws on the conceptual framework and prior research to outline quantitative methods that will be used to answer the primary research questions. </w:t>
      </w:r>
      <w:proofErr w:type="gramStart"/>
      <w:r>
        <w:t>In order to</w:t>
      </w:r>
      <w:proofErr w:type="gramEnd"/>
      <w:r>
        <w:t xml:space="preserve"> answer these questions, the methods are divided into two phases, reflecting micro- and macro-level data. Phase one refers to the estimation of PISA scientific literacy scores per country per three-year cycle. Phase two refers to building a model to estimate CO</w:t>
      </w:r>
      <w:r>
        <w:rPr>
          <w:vertAlign w:val="subscript"/>
        </w:rPr>
        <w:t>2</w:t>
      </w:r>
      <w:r>
        <w:t xml:space="preserve"> emissions over time.</w:t>
      </w:r>
    </w:p>
    <w:p w14:paraId="32EA54E8" w14:textId="77777777" w:rsidR="0033629A" w:rsidRDefault="004409CB">
      <w:pPr>
        <w:pStyle w:val="Heading2"/>
      </w:pPr>
      <w:bookmarkStart w:id="52" w:name="_Toc107939113"/>
      <w:bookmarkStart w:id="53" w:name="X257746a97eef24a73a9a09ccc21289745b83048"/>
      <w:r>
        <w:t>Phase One: PISA Scientific Literacy Scores</w:t>
      </w:r>
      <w:bookmarkEnd w:id="52"/>
    </w:p>
    <w:p w14:paraId="62C807AB" w14:textId="77777777" w:rsidR="0033629A" w:rsidRDefault="004409CB">
      <w:pPr>
        <w:pStyle w:val="FirstParagraph"/>
      </w:pPr>
      <w:proofErr w:type="gramStart"/>
      <w:r>
        <w:t>In order to</w:t>
      </w:r>
      <w:proofErr w:type="gramEnd"/>
      <w:r>
        <w:t xml:space="preserve"> estimate scientific literacy scores accurately, the psychometric and testing properties of the PISA must be taken into account. Recall that the goal of the PISA is to measure the ability of 15-year-olds in applying their reading, math, and science literacy skills to real life, at an international scale. However, the PISA is not a measure of </w:t>
      </w:r>
      <w:r>
        <w:rPr>
          <w:i/>
          <w:iCs/>
        </w:rPr>
        <w:t>individual</w:t>
      </w:r>
      <w:r>
        <w:t xml:space="preserve"> abilities. Instead, PISA results are meant to be representative of the nations and economies from which students are tested.</w:t>
      </w:r>
    </w:p>
    <w:p w14:paraId="2EDB1E96" w14:textId="77777777" w:rsidR="0033629A" w:rsidRDefault="004409CB">
      <w:pPr>
        <w:pStyle w:val="BodyText"/>
      </w:pPr>
      <w:r>
        <w:t>Because the OECD cannot assess every student in every country, the PISA generally employs a two-stage stratified sampling design where schools are sampled within a country and then students are sampled within schools (</w:t>
      </w:r>
      <w:hyperlink w:anchor="ref-oecd2012">
        <w:r>
          <w:rPr>
            <w:rStyle w:val="Hyperlink"/>
          </w:rPr>
          <w:t>OECD, 2012, pp. 61–84</w:t>
        </w:r>
      </w:hyperlink>
      <w:r>
        <w:t>). This ensures nationally representative samples from which inferences can be made. To aid in this analysis, the PISA provides student sampling weights, which scale the sample up to match the population size, and a set of 80 replicate weights to reduce sampling variance (</w:t>
      </w:r>
      <w:hyperlink w:anchor="ref-oecd2012">
        <w:r>
          <w:rPr>
            <w:rStyle w:val="Hyperlink"/>
          </w:rPr>
          <w:t>OECD, 2012</w:t>
        </w:r>
      </w:hyperlink>
      <w:r>
        <w:t>).</w:t>
      </w:r>
    </w:p>
    <w:p w14:paraId="273136D0" w14:textId="77777777" w:rsidR="0033629A" w:rsidRDefault="004409CB">
      <w:pPr>
        <w:pStyle w:val="BodyText"/>
      </w:pPr>
      <w:r>
        <w:t xml:space="preserve">Just as the PISA cannot assess every student, it also cannot ask every question to the students it does assess. Within each assessment cycle, there are hundreds of questions drawn from the major and minor domains. Asking every question of every student would be unfeasible. Instead, students take a subset of questions during a two-hour test period. At the </w:t>
      </w:r>
      <w:r>
        <w:lastRenderedPageBreak/>
        <w:t>end of the assessment cycle, the PISA has generated a mix of observed values - questions students have answered - and missing data - questions students have not answered.</w:t>
      </w:r>
    </w:p>
    <w:p w14:paraId="261086A2" w14:textId="77777777" w:rsidR="0033629A" w:rsidRDefault="004409CB">
      <w:pPr>
        <w:pStyle w:val="BodyText"/>
      </w:pPr>
      <w:r>
        <w:t xml:space="preserve">Using the data generated, the ability of students is modeled using Item Response Theory (IRT). IRT models assess the latent abilities of test-takers by estimating the probability of responding to an item correctly. This probability is derived from the relationships between student answers and various item parameters, such as item difficulty, item discrimination, and guessing. Item difficulty refers to the latent ability of an individual required to have a 50% chance of answering an item correctly. For example, an item with a difficulty of </w:t>
      </w:r>
      <w:r>
        <w:rPr>
          <w:i/>
          <w:iCs/>
        </w:rPr>
        <w:t>b</w:t>
      </w:r>
      <w:r>
        <w:t xml:space="preserve"> = 0 means an individual with a latent ability of </w:t>
      </w:r>
      <m:oMath>
        <m:r>
          <w:rPr>
            <w:rFonts w:ascii="Cambria Math" w:hAnsi="Cambria Math"/>
          </w:rPr>
          <m:t>θ</m:t>
        </m:r>
        <m:r>
          <m:rPr>
            <m:sty m:val="p"/>
          </m:rPr>
          <w:rPr>
            <w:rFonts w:ascii="Cambria Math" w:hAnsi="Cambria Math"/>
          </w:rPr>
          <m:t>=</m:t>
        </m:r>
        <m:r>
          <w:rPr>
            <w:rFonts w:ascii="Cambria Math" w:hAnsi="Cambria Math"/>
          </w:rPr>
          <m:t>0</m:t>
        </m:r>
      </m:oMath>
      <w:r>
        <w:t xml:space="preserve"> (i.e., average ability) has a 50% chance of getting the item correct. Item discrimination refers to the ability of a test item to distinguish between individuals with low and high abilities. Guessing refers to the probability of an individual with a low ability (</w:t>
      </w:r>
      <m:oMath>
        <m:r>
          <w:rPr>
            <w:rFonts w:ascii="Cambria Math" w:hAnsi="Cambria Math"/>
          </w:rPr>
          <m:t>θ</m:t>
        </m:r>
        <m:r>
          <m:rPr>
            <m:sty m:val="p"/>
          </m:rPr>
          <w:rPr>
            <w:rFonts w:ascii="Cambria Math" w:hAnsi="Cambria Math"/>
          </w:rPr>
          <m:t>&lt;</m:t>
        </m:r>
        <m:r>
          <w:rPr>
            <w:rFonts w:ascii="Cambria Math" w:hAnsi="Cambria Math"/>
          </w:rPr>
          <m:t>0</m:t>
        </m:r>
      </m:oMath>
      <w:r>
        <w:t>) getting an answer correct (</w:t>
      </w:r>
      <w:hyperlink w:anchor="ref-desjardins2018">
        <w:r>
          <w:rPr>
            <w:rStyle w:val="Hyperlink"/>
          </w:rPr>
          <w:t>C. D. Desjardins &amp; Bulut, 2018</w:t>
        </w:r>
      </w:hyperlink>
      <w:r>
        <w:t xml:space="preserve">; </w:t>
      </w:r>
      <w:hyperlink w:anchor="ref-furr2014">
        <w:r>
          <w:rPr>
            <w:rStyle w:val="Hyperlink"/>
          </w:rPr>
          <w:t>Furr &amp; Bacharach, 2014</w:t>
        </w:r>
      </w:hyperlink>
      <w:r>
        <w:t>).</w:t>
      </w:r>
    </w:p>
    <w:p w14:paraId="6309A9C0" w14:textId="77777777" w:rsidR="0033629A" w:rsidRDefault="004409CB">
      <w:pPr>
        <w:pStyle w:val="BodyText"/>
      </w:pPr>
      <w:r>
        <w:t>Prior to 2015, the PISA employed two different IRT models: a Rasch model and a partial credit model (PCM). The Rasch model, which is used to estimate latent ability based on only item difficulty, was fit to dichotomous data. The PCM approach, an extension of the Rasch model, was fit to polytomous data (</w:t>
      </w:r>
      <w:hyperlink w:anchor="ref-oecd2015">
        <w:r>
          <w:rPr>
            <w:rStyle w:val="Hyperlink"/>
          </w:rPr>
          <w:t>OECD, 2015</w:t>
        </w:r>
      </w:hyperlink>
      <w:r>
        <w:t>). Since 2015, a hybrid approach has been used that first estimates responses using the Rasch and PCM approaches. During this stage, item fit is estimated and, if poor fit is detected, a model that includes item difficulty and item discrimination is used. For dichotomous data a two-parameter model (2PL) is used while a generalized partial credit model (GPCM) is used for polytomous data. These two models are considered more adept at handling the complexities of PISA data. Items are checked across countries to determine if they are functioning differently for that country (an indication of country differential item functioning [DIF]). If so, national item parameters specific to that country are used for estimation (</w:t>
      </w:r>
      <w:hyperlink w:anchor="ref-oecd2017">
        <w:r>
          <w:rPr>
            <w:rStyle w:val="Hyperlink"/>
          </w:rPr>
          <w:t>OECD, 2017a</w:t>
        </w:r>
      </w:hyperlink>
      <w:r>
        <w:t>).</w:t>
      </w:r>
    </w:p>
    <w:p w14:paraId="04C20DBC" w14:textId="77777777" w:rsidR="0033629A" w:rsidRDefault="004409CB">
      <w:pPr>
        <w:pStyle w:val="BodyText"/>
      </w:pPr>
      <w:proofErr w:type="gramStart"/>
      <w:r>
        <w:lastRenderedPageBreak/>
        <w:t>The end result</w:t>
      </w:r>
      <w:proofErr w:type="gramEnd"/>
      <w:r>
        <w:t xml:space="preserve"> of this process is a model of student responses that can be used to estimate ability. However, recall that students do not answer all questions and there is inherent missingness to PISA data. What this means is that “student proficiencies (or measures) are not observed; they are missing data that must be inferred from the observed item responses” (</w:t>
      </w:r>
      <w:hyperlink w:anchor="ref-oecd2009">
        <w:r>
          <w:rPr>
            <w:rStyle w:val="Hyperlink"/>
          </w:rPr>
          <w:t>OECD, 2009a, p. 153</w:t>
        </w:r>
      </w:hyperlink>
      <w:r>
        <w:t>). Because of this, PISA scores are not meant to represent individual student abilities or to compare individual students but rather be a representative measure of large groups, such as nations (</w:t>
      </w:r>
      <w:hyperlink w:anchor="ref-jerrim2017">
        <w:r>
          <w:rPr>
            <w:rStyle w:val="Hyperlink"/>
          </w:rPr>
          <w:t>Jerrim et al., 2017</w:t>
        </w:r>
      </w:hyperlink>
      <w:r>
        <w:t>).</w:t>
      </w:r>
    </w:p>
    <w:p w14:paraId="239596C0" w14:textId="77777777" w:rsidR="0033629A" w:rsidRDefault="004409CB">
      <w:pPr>
        <w:pStyle w:val="BodyText"/>
      </w:pPr>
      <w:r>
        <w:t>Rather than a single ability score, students get a set of five to ten</w:t>
      </w:r>
      <w:r>
        <w:rPr>
          <w:rStyle w:val="FootnoteReference"/>
        </w:rPr>
        <w:footnoteReference w:id="3"/>
      </w:r>
      <w:r>
        <w:t xml:space="preserve"> </w:t>
      </w:r>
      <w:r>
        <w:rPr>
          <w:i/>
          <w:iCs/>
        </w:rPr>
        <w:t>plausible</w:t>
      </w:r>
      <w:r>
        <w:t xml:space="preserve"> values, which represent predicted proficiency. Plausible values are generated based on the item parameters and a latent regression population model that uses a combination of item response time and student background characteristics. These plausible values are then linearly transformed and placed on a common scale that can be linked across cycles, with a mean of 500 and a standard deviation of 100.</w:t>
      </w:r>
    </w:p>
    <w:p w14:paraId="3CC51918" w14:textId="45A03542" w:rsidR="0033629A" w:rsidRDefault="004409CB">
      <w:pPr>
        <w:pStyle w:val="BodyText"/>
      </w:pPr>
      <w:r>
        <w:t xml:space="preserve">To calculate the final score of a country (or other grouping, e.g., scores for females or males within a country) for a particular PISA assessment, a weighted mean based on the product of plausible values and student weights is calculated. For example, scientific literacy plausible value 1 is multiplied by the full student weights to create a mean score for plausible value 1, </w:t>
      </w:r>
      <m:oMath>
        <m:sSub>
          <m:sSubPr>
            <m:ctrlPr>
              <w:rPr>
                <w:rFonts w:ascii="Cambria Math" w:hAnsi="Cambria Math"/>
              </w:rPr>
            </m:ctrlPr>
          </m:sSubPr>
          <m:e>
            <m:acc>
              <m:accPr>
                <m:ctrlPr>
                  <w:rPr>
                    <w:rFonts w:ascii="Cambria Math" w:hAnsi="Cambria Math"/>
                  </w:rPr>
                </m:ctrlPr>
              </m:accPr>
              <m:e>
                <m:r>
                  <w:rPr>
                    <w:rFonts w:ascii="Cambria Math" w:hAnsi="Cambria Math"/>
                  </w:rPr>
                  <m:t>μ</m:t>
                </m:r>
              </m:e>
            </m:acc>
          </m:e>
          <m:sub>
            <m:r>
              <w:rPr>
                <w:rFonts w:ascii="Cambria Math" w:hAnsi="Cambria Math"/>
              </w:rPr>
              <m:t>1</m:t>
            </m:r>
          </m:sub>
        </m:sSub>
      </m:oMath>
      <w:r>
        <w:t xml:space="preserve">. This is then repeated for the remaining plausible values, </w:t>
      </w:r>
      <m:oMath>
        <m:sSub>
          <m:sSubPr>
            <m:ctrlPr>
              <w:rPr>
                <w:rFonts w:ascii="Cambria Math" w:hAnsi="Cambria Math"/>
              </w:rPr>
            </m:ctrlPr>
          </m:sSubPr>
          <m:e>
            <m:acc>
              <m:accPr>
                <m:ctrlPr>
                  <w:rPr>
                    <w:rFonts w:ascii="Cambria Math" w:hAnsi="Cambria Math"/>
                  </w:rPr>
                </m:ctrlPr>
              </m:accPr>
              <m:e>
                <m:r>
                  <w:rPr>
                    <w:rFonts w:ascii="Cambria Math" w:hAnsi="Cambria Math"/>
                  </w:rPr>
                  <m:t>μ</m:t>
                </m:r>
              </m:e>
            </m:acc>
          </m:e>
          <m:sub>
            <m:r>
              <w:rPr>
                <w:rFonts w:ascii="Cambria Math" w:hAnsi="Cambria Math"/>
              </w:rPr>
              <m:t>2</m:t>
            </m:r>
            <m:r>
              <m:rPr>
                <m:sty m:val="p"/>
              </m:rPr>
              <w:rPr>
                <w:rFonts w:ascii="Cambria Math" w:hAnsi="Cambria Math"/>
              </w:rPr>
              <m:t>...</m:t>
            </m:r>
            <m:r>
              <w:rPr>
                <w:rFonts w:ascii="Cambria Math" w:hAnsi="Cambria Math"/>
              </w:rPr>
              <m:t>n</m:t>
            </m:r>
          </m:sub>
        </m:sSub>
      </m:oMath>
      <w:r>
        <w:t xml:space="preserve">. These values are then averaged across the number of plausible values, </w:t>
      </w:r>
      <w:r>
        <w:rPr>
          <w:i/>
          <w:iCs/>
        </w:rPr>
        <w:t>n</w:t>
      </w:r>
      <w:r>
        <w:t xml:space="preserve">, to get the final estimated score: </w:t>
      </w:r>
      <m:oMath>
        <m:acc>
          <m:accPr>
            <m:ctrlPr>
              <w:rPr>
                <w:rFonts w:ascii="Cambria Math" w:hAnsi="Cambria Math"/>
              </w:rPr>
            </m:ctrlPr>
          </m:accPr>
          <m:e>
            <m:r>
              <w:rPr>
                <w:rFonts w:ascii="Cambria Math" w:hAnsi="Cambria Math"/>
              </w:rPr>
              <m:t>μ</m:t>
            </m:r>
          </m:e>
        </m:acc>
        <m:r>
          <m:rPr>
            <m:sty m:val="p"/>
          </m:rP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n</m:t>
            </m:r>
          </m:den>
        </m:f>
        <m:d>
          <m:dPr>
            <m:ctrlPr>
              <w:rPr>
                <w:rFonts w:ascii="Cambria Math" w:hAnsi="Cambria Math"/>
              </w:rPr>
            </m:ctrlPr>
          </m:dPr>
          <m:e>
            <m:sSub>
              <m:sSubPr>
                <m:ctrlPr>
                  <w:rPr>
                    <w:rFonts w:ascii="Cambria Math" w:hAnsi="Cambria Math"/>
                  </w:rPr>
                </m:ctrlPr>
              </m:sSubPr>
              <m:e>
                <m:acc>
                  <m:accPr>
                    <m:ctrlPr>
                      <w:rPr>
                        <w:rFonts w:ascii="Cambria Math" w:hAnsi="Cambria Math"/>
                      </w:rPr>
                    </m:ctrlPr>
                  </m:accPr>
                  <m:e>
                    <m:r>
                      <w:rPr>
                        <w:rFonts w:ascii="Cambria Math" w:hAnsi="Cambria Math"/>
                      </w:rPr>
                      <m:t>μ</m:t>
                    </m:r>
                  </m:e>
                </m:acc>
              </m:e>
              <m:sub>
                <m:r>
                  <w:rPr>
                    <w:rFonts w:ascii="Cambria Math" w:hAnsi="Cambria Math"/>
                  </w:rPr>
                  <m:t>1</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μ</m:t>
                    </m:r>
                  </m:e>
                </m:acc>
              </m:e>
              <m:sub>
                <m:r>
                  <w:rPr>
                    <w:rFonts w:ascii="Cambria Math" w:hAnsi="Cambria Math"/>
                  </w:rPr>
                  <m:t>2</m:t>
                </m:r>
              </m:sub>
            </m:sSub>
            <m:r>
              <m:rPr>
                <m:sty m:val="p"/>
              </m:rPr>
              <w:rPr>
                <w:rFonts w:ascii="Cambria Math" w:hAnsi="Cambria Math"/>
              </w:rPr>
              <m:t>...+</m:t>
            </m:r>
            <m:sSub>
              <m:sSubPr>
                <m:ctrlPr>
                  <w:rPr>
                    <w:rFonts w:ascii="Cambria Math" w:hAnsi="Cambria Math"/>
                  </w:rPr>
                </m:ctrlPr>
              </m:sSubPr>
              <m:e>
                <m:acc>
                  <m:accPr>
                    <m:ctrlPr>
                      <w:rPr>
                        <w:rFonts w:ascii="Cambria Math" w:hAnsi="Cambria Math"/>
                      </w:rPr>
                    </m:ctrlPr>
                  </m:accPr>
                  <m:e>
                    <m:r>
                      <w:rPr>
                        <w:rFonts w:ascii="Cambria Math" w:hAnsi="Cambria Math"/>
                      </w:rPr>
                      <m:t>μ</m:t>
                    </m:r>
                  </m:e>
                </m:acc>
              </m:e>
              <m:sub>
                <m:r>
                  <w:rPr>
                    <w:rFonts w:ascii="Cambria Math" w:hAnsi="Cambria Math"/>
                  </w:rPr>
                  <m:t>n</m:t>
                </m:r>
              </m:sub>
            </m:sSub>
          </m:e>
        </m:d>
      </m:oMath>
      <w:r>
        <w:t xml:space="preserve">. To generate the error variance of the score requires a combination of the sum of the plausible values’ sampling variances and the imputation (measurement error) </w:t>
      </w:r>
      <w:r>
        <w:lastRenderedPageBreak/>
        <w:t xml:space="preserve">variance (see </w:t>
      </w:r>
      <w:hyperlink w:anchor="ref-caro2017">
        <w:r>
          <w:rPr>
            <w:rStyle w:val="Hyperlink"/>
          </w:rPr>
          <w:t>Caro &amp; Biecek, 2017</w:t>
        </w:r>
      </w:hyperlink>
      <w:r>
        <w:t xml:space="preserve">; </w:t>
      </w:r>
      <w:hyperlink w:anchor="ref-oecd2009a">
        <w:r>
          <w:rPr>
            <w:rStyle w:val="Hyperlink"/>
          </w:rPr>
          <w:t>OECD, 2009b</w:t>
        </w:r>
      </w:hyperlink>
      <w:r>
        <w:t xml:space="preserve"> for formulas). These scores can then be used in further cross-sectional or longitudinal analyses (</w:t>
      </w:r>
      <w:hyperlink w:anchor="ref-aloisi2017">
        <w:r>
          <w:rPr>
            <w:rStyle w:val="Hyperlink"/>
          </w:rPr>
          <w:t>Aloisi &amp; Tymms, 2017</w:t>
        </w:r>
      </w:hyperlink>
      <w:r>
        <w:t xml:space="preserve">; </w:t>
      </w:r>
      <w:hyperlink w:anchor="ref-campbell2021">
        <w:r>
          <w:rPr>
            <w:rStyle w:val="Hyperlink"/>
          </w:rPr>
          <w:t>Campbell et al., 2021</w:t>
        </w:r>
      </w:hyperlink>
      <w:r>
        <w:t xml:space="preserve">; </w:t>
      </w:r>
      <w:hyperlink w:anchor="ref-lam2021">
        <w:r>
          <w:rPr>
            <w:rStyle w:val="Hyperlink"/>
          </w:rPr>
          <w:t>Lam &amp; Zhou, 2021</w:t>
        </w:r>
      </w:hyperlink>
      <w:r>
        <w:t xml:space="preserve">; </w:t>
      </w:r>
      <w:hyperlink w:anchor="ref-nces">
        <w:r>
          <w:rPr>
            <w:rStyle w:val="Hyperlink"/>
          </w:rPr>
          <w:t>NCES, n.d.</w:t>
        </w:r>
      </w:hyperlink>
      <w:r>
        <w:t xml:space="preserve">; </w:t>
      </w:r>
      <w:hyperlink w:anchor="ref-rowley2019a">
        <w:r>
          <w:rPr>
            <w:rStyle w:val="Hyperlink"/>
          </w:rPr>
          <w:t>Rowley et al., 2019</w:t>
        </w:r>
      </w:hyperlink>
      <w:r>
        <w:t>).</w:t>
      </w:r>
    </w:p>
    <w:p w14:paraId="70608349" w14:textId="77777777" w:rsidR="0033629A" w:rsidRDefault="004409CB">
      <w:pPr>
        <w:pStyle w:val="BodyText"/>
      </w:pPr>
      <w:r>
        <w:t xml:space="preserve">Scientific literacy scores are estimated for each cycle following the methods outlined above and using the </w:t>
      </w:r>
      <w:r>
        <w:rPr>
          <w:rStyle w:val="VerbatimChar"/>
        </w:rPr>
        <w:t>intsvy</w:t>
      </w:r>
      <w:r>
        <w:t xml:space="preserve"> R package (</w:t>
      </w:r>
      <w:hyperlink w:anchor="ref-caro2017">
        <w:r>
          <w:rPr>
            <w:rStyle w:val="Hyperlink"/>
          </w:rPr>
          <w:t>Caro &amp; Biecek, 2017</w:t>
        </w:r>
      </w:hyperlink>
      <w:r>
        <w:t>). Scores are estimated for all students in each country, and then separately for males and females within each country.</w:t>
      </w:r>
    </w:p>
    <w:p w14:paraId="419971FE" w14:textId="77777777" w:rsidR="0033629A" w:rsidRDefault="004409CB">
      <w:pPr>
        <w:pStyle w:val="Heading2"/>
      </w:pPr>
      <w:bookmarkStart w:id="54" w:name="_Toc107939114"/>
      <w:bookmarkStart w:id="55" w:name="Xd60947a75408e583b15727d209466d7fe447988"/>
      <w:bookmarkEnd w:id="53"/>
      <w:r>
        <w:t>Phase Two: PISA Scientific Literacy Scores and Emissions Over Time</w:t>
      </w:r>
      <w:bookmarkEnd w:id="54"/>
    </w:p>
    <w:p w14:paraId="36B6FB76" w14:textId="77777777" w:rsidR="0033629A" w:rsidRDefault="004409CB">
      <w:pPr>
        <w:pStyle w:val="FirstParagraph"/>
      </w:pPr>
      <w:r>
        <w:t xml:space="preserve">The research questions suggest a longitudinal model that looks at the relationship between a set of variables over time. Furthermore, the nature of the independent variable, scientific literacy, is represented as repeated measures nested within countries. </w:t>
      </w:r>
      <w:proofErr w:type="gramStart"/>
      <w:r>
        <w:t>Therefore</w:t>
      </w:r>
      <w:proofErr w:type="gramEnd"/>
      <w:r>
        <w:t xml:space="preserve"> the research and data indicate that a multilevel growth model would be most appropriate to answer the key research questions. This method takes advantage of the nested and longitudinal nature of the data, allowing the estimation of fixed and random effects to model different types of change.</w:t>
      </w:r>
    </w:p>
    <w:p w14:paraId="24D99DB5" w14:textId="77777777" w:rsidR="0033629A" w:rsidRDefault="004409CB">
      <w:pPr>
        <w:pStyle w:val="BodyText"/>
      </w:pPr>
      <w:r>
        <w:t>A multilevel growth model has several advantages over other longitudinal analyses. The ability to fit individual growth curves for each country allows estimation of a model that more closely reflects reality. The model allows for missing data and does not require every country to have participated in every measurement occasion (i.e., assessment cycle). In addition, these models can include both time-varying and time-invariant covariates, allowing for statistical control over the independent variable. Finally, growth models typically have higher statistical power than other methods (</w:t>
      </w:r>
      <w:hyperlink w:anchor="ref-hox2018">
        <w:r>
          <w:rPr>
            <w:rStyle w:val="Hyperlink"/>
          </w:rPr>
          <w:t>Hox et al., 2018, pp. 88–89</w:t>
        </w:r>
      </w:hyperlink>
      <w:r>
        <w:t>).</w:t>
      </w:r>
    </w:p>
    <w:p w14:paraId="4B83F94D" w14:textId="77777777" w:rsidR="0033629A" w:rsidRDefault="004409CB">
      <w:pPr>
        <w:pStyle w:val="BodyText"/>
      </w:pPr>
      <w:r>
        <w:t>In the multilevel growth modeling framework, a fixed effect refers to an estimate that is the same across countries. For example, in the models below, the fixed effect for the intercept represents the grand mean of CO</w:t>
      </w:r>
      <w:r>
        <w:rPr>
          <w:vertAlign w:val="subscript"/>
        </w:rPr>
        <w:t>2</w:t>
      </w:r>
      <w:r>
        <w:t xml:space="preserve"> emissions across all countries. The fixed effect for </w:t>
      </w:r>
      <w:r>
        <w:lastRenderedPageBreak/>
        <w:t>time indicates a constant rate of change across all countries, where a one-unit increase in time corresponds to an increase in CO</w:t>
      </w:r>
      <w:r>
        <w:rPr>
          <w:vertAlign w:val="subscript"/>
        </w:rPr>
        <w:t>2</w:t>
      </w:r>
      <w:r>
        <w:t xml:space="preserve"> emissions across all countries equal to the regression coefficient. Random effects allow intercepts and slopes to vary across upper-level units, meaning each country is allowed to have its own intercept and slope. In the multilevel growth model, this is indicated by a random effect variance for the intercept, which estimates between-country variation in CO</w:t>
      </w:r>
      <w:r>
        <w:rPr>
          <w:vertAlign w:val="subscript"/>
        </w:rPr>
        <w:t>2</w:t>
      </w:r>
      <w:r>
        <w:t>, and a random effect for the slope, which indicates within-country variation in the rate of change. Furthermore, a correlation between the intercept and slope can also be estimated, allowing understanding of the relationship between CO</w:t>
      </w:r>
      <w:r>
        <w:rPr>
          <w:vertAlign w:val="subscript"/>
        </w:rPr>
        <w:t>2</w:t>
      </w:r>
      <w:r>
        <w:t xml:space="preserve"> emissions and rate of change as well as their shape and direction. The addition of a random slope for scientific literacy allows estimation of its effects on CO</w:t>
      </w:r>
      <w:r>
        <w:rPr>
          <w:vertAlign w:val="subscript"/>
        </w:rPr>
        <w:t>2</w:t>
      </w:r>
      <w:r>
        <w:t xml:space="preserve"> emissions for individual countries (</w:t>
      </w:r>
      <w:hyperlink w:anchor="ref-grimm2017">
        <w:r>
          <w:rPr>
            <w:rStyle w:val="Hyperlink"/>
          </w:rPr>
          <w:t>Grimm et al., 2017</w:t>
        </w:r>
      </w:hyperlink>
      <w:r>
        <w:t xml:space="preserve">; </w:t>
      </w:r>
      <w:hyperlink w:anchor="ref-hoffman2015">
        <w:r>
          <w:rPr>
            <w:rStyle w:val="Hyperlink"/>
          </w:rPr>
          <w:t>Hoffman, 2015</w:t>
        </w:r>
      </w:hyperlink>
      <w:r>
        <w:t>).</w:t>
      </w:r>
    </w:p>
    <w:p w14:paraId="20FFE2EE" w14:textId="77777777" w:rsidR="0033629A" w:rsidRDefault="004409CB">
      <w:pPr>
        <w:pStyle w:val="BodyText"/>
      </w:pPr>
      <w:r>
        <w:t>Of particular importance for any multilevel model is proper interpretation of the intercept. All variables should be centered such that when the predictor equals zero it has a meaningful interpretation as part of the intercept. There are several common centering strategies for multilevel models. One strategy is grand-mean centering (</w:t>
      </w:r>
      <m:oMath>
        <m:r>
          <w:rPr>
            <w:rFonts w:ascii="Cambria Math" w:hAnsi="Cambria Math"/>
          </w:rPr>
          <m:t>x</m:t>
        </m:r>
        <m:r>
          <m:rPr>
            <m:sty m:val="p"/>
          </m:rPr>
          <w:rPr>
            <w:rFonts w:ascii="Cambria Math" w:hAnsi="Cambria Math"/>
          </w:rPr>
          <m:t>-</m:t>
        </m:r>
        <m:acc>
          <m:accPr>
            <m:chr m:val="‾"/>
            <m:ctrlPr>
              <w:rPr>
                <w:rFonts w:ascii="Cambria Math" w:hAnsi="Cambria Math"/>
              </w:rPr>
            </m:ctrlPr>
          </m:accPr>
          <m:e>
            <m:r>
              <w:rPr>
                <w:rFonts w:ascii="Cambria Math" w:hAnsi="Cambria Math"/>
              </w:rPr>
              <m:t>x</m:t>
            </m:r>
          </m:e>
        </m:acc>
      </m:oMath>
      <w:r>
        <w:t xml:space="preserve">) in which the intercept represents the mean outcome for countries with an average value for predictor </w:t>
      </w:r>
      <w:r>
        <w:rPr>
          <w:i/>
          <w:iCs/>
        </w:rPr>
        <w:t>x</w:t>
      </w:r>
      <w:r>
        <w:t>. Centering can also occur at a specific value (</w:t>
      </w:r>
      <m:oMath>
        <m:r>
          <w:rPr>
            <w:rFonts w:ascii="Cambria Math" w:hAnsi="Cambria Math"/>
          </w:rPr>
          <m:t>x</m:t>
        </m:r>
        <m:r>
          <m:rPr>
            <m:sty m:val="p"/>
          </m:rPr>
          <w:rPr>
            <w:rFonts w:ascii="Cambria Math" w:hAnsi="Cambria Math"/>
          </w:rPr>
          <m:t>-</m:t>
        </m:r>
        <m:r>
          <w:rPr>
            <w:rFonts w:ascii="Cambria Math" w:hAnsi="Cambria Math"/>
          </w:rPr>
          <m:t>C</m:t>
        </m:r>
      </m:oMath>
      <w:r>
        <w:t>) with an intercept interpretation of the mean outcome for countries with that value for the predictor.</w:t>
      </w:r>
    </w:p>
    <w:p w14:paraId="13B183C7" w14:textId="77777777" w:rsidR="0033629A" w:rsidRDefault="004409CB">
      <w:pPr>
        <w:pStyle w:val="BodyText"/>
      </w:pPr>
      <w:r>
        <w:t>A second strategy is country-mean centering (also known as group-mean centering or centering within cluster). This approach is especially suited for longitudinal data (</w:t>
      </w:r>
      <w:hyperlink w:anchor="ref-hoffman2015">
        <w:r>
          <w:rPr>
            <w:rStyle w:val="Hyperlink"/>
          </w:rPr>
          <w:t>Hoffman, 2015</w:t>
        </w:r>
      </w:hyperlink>
      <w:r>
        <w:t xml:space="preserve">). With country-mean centering, the intercept is interpreted as the average outcome for each country. A country-mean centered variable is calculated as </w:t>
      </w:r>
      <m:oMath>
        <m:sSub>
          <m:sSubPr>
            <m:ctrlPr>
              <w:rPr>
                <w:rFonts w:ascii="Cambria Math" w:hAnsi="Cambria Math"/>
              </w:rPr>
            </m:ctrlPr>
          </m:sSubPr>
          <m:e>
            <m:r>
              <w:rPr>
                <w:rFonts w:ascii="Cambria Math" w:hAnsi="Cambria Math"/>
              </w:rPr>
              <m:t>x</m:t>
            </m:r>
          </m:e>
          <m:sub>
            <m:r>
              <w:rPr>
                <w:rFonts w:ascii="Cambria Math" w:hAnsi="Cambria Math"/>
              </w:rPr>
              <m:t>ti</m:t>
            </m:r>
          </m:sub>
        </m:sSub>
        <m:r>
          <m:rPr>
            <m:sty m:val="p"/>
          </m:rPr>
          <w:rPr>
            <w:rFonts w:ascii="Cambria Math" w:hAnsi="Cambria Math"/>
          </w:rPr>
          <m:t>-</m:t>
        </m:r>
        <m:acc>
          <m:accPr>
            <m:chr m:val="‾"/>
            <m:ctrlPr>
              <w:rPr>
                <w:rFonts w:ascii="Cambria Math" w:hAnsi="Cambria Math"/>
              </w:rPr>
            </m:ctrlPr>
          </m:accPr>
          <m:e>
            <m:sSub>
              <m:sSubPr>
                <m:ctrlPr>
                  <w:rPr>
                    <w:rFonts w:ascii="Cambria Math" w:hAnsi="Cambria Math"/>
                  </w:rPr>
                </m:ctrlPr>
              </m:sSubPr>
              <m:e>
                <m:r>
                  <w:rPr>
                    <w:rFonts w:ascii="Cambria Math" w:hAnsi="Cambria Math"/>
                  </w:rPr>
                  <m:t>x</m:t>
                </m:r>
              </m:e>
              <m:sub>
                <m:r>
                  <w:rPr>
                    <w:rFonts w:ascii="Cambria Math" w:hAnsi="Cambria Math"/>
                  </w:rPr>
                  <m:t>i</m:t>
                </m:r>
              </m:sub>
            </m:sSub>
          </m:e>
        </m:acc>
      </m:oMath>
      <w:r>
        <w:t xml:space="preserve">, where the mean of country </w:t>
      </w:r>
      <w:r>
        <w:rPr>
          <w:i/>
          <w:iCs/>
        </w:rPr>
        <w:t>i</w:t>
      </w:r>
      <w:r>
        <w:t xml:space="preserve"> is subtracted from the value for country </w:t>
      </w:r>
      <w:r>
        <w:rPr>
          <w:i/>
          <w:iCs/>
        </w:rPr>
        <w:t>i</w:t>
      </w:r>
      <w:r>
        <w:t xml:space="preserve"> at time </w:t>
      </w:r>
      <w:r>
        <w:rPr>
          <w:i/>
          <w:iCs/>
        </w:rPr>
        <w:t>t</w:t>
      </w:r>
      <w:r>
        <w:t xml:space="preserve">. This represents the level-1 within-country effect of the variable but discards any between-country information. Thus, a level-2 predictor can also be included to represent between-country variation </w:t>
      </w:r>
      <m:oMath>
        <m:acc>
          <m:accPr>
            <m:chr m:val="‾"/>
            <m:ctrlPr>
              <w:rPr>
                <w:rFonts w:ascii="Cambria Math" w:hAnsi="Cambria Math"/>
              </w:rPr>
            </m:ctrlPr>
          </m:accPr>
          <m:e>
            <m:sSub>
              <m:sSubPr>
                <m:ctrlPr>
                  <w:rPr>
                    <w:rFonts w:ascii="Cambria Math" w:hAnsi="Cambria Math"/>
                  </w:rPr>
                </m:ctrlPr>
              </m:sSubPr>
              <m:e>
                <m:r>
                  <w:rPr>
                    <w:rFonts w:ascii="Cambria Math" w:hAnsi="Cambria Math"/>
                  </w:rPr>
                  <m:t>x</m:t>
                </m:r>
              </m:e>
              <m:sub>
                <m:r>
                  <w:rPr>
                    <w:rFonts w:ascii="Cambria Math" w:hAnsi="Cambria Math"/>
                  </w:rPr>
                  <m:t>i</m:t>
                </m:r>
              </m:sub>
            </m:sSub>
          </m:e>
        </m:acc>
      </m:oMath>
      <w:r>
        <w:t xml:space="preserve">. The inclusion </w:t>
      </w:r>
      <w:r>
        <w:lastRenderedPageBreak/>
        <w:t>of both centered predictors in the model allows estimation of these predictors’ main effects separately at both levels.</w:t>
      </w:r>
    </w:p>
    <w:p w14:paraId="1C192F6E" w14:textId="5F0ABDA2" w:rsidR="0033629A" w:rsidRDefault="004409CB">
      <w:pPr>
        <w:pStyle w:val="BodyText"/>
      </w:pPr>
      <w:r>
        <w:t xml:space="preserve">The following section describes the variables that will be included in the growth model along with their centering strategies. </w:t>
      </w:r>
      <w:hyperlink w:anchor="vardesc">
        <w:r>
          <w:fldChar w:fldCharType="begin"/>
        </w:r>
        <w:r>
          <w:instrText xml:space="preserve"> REF vardesc \h</w:instrText>
        </w:r>
        <w:r>
          <w:fldChar w:fldCharType="separate"/>
        </w:r>
        <w:r w:rsidR="00766923">
          <w:rPr>
            <w:b/>
            <w:noProof/>
          </w:rPr>
          <w:t>2</w:t>
        </w:r>
        <w:r>
          <w:fldChar w:fldCharType="end"/>
        </w:r>
      </w:hyperlink>
      <w:r>
        <w:t xml:space="preserve"> presents summary statistics for all continuous variables.</w:t>
      </w:r>
    </w:p>
    <w:p w14:paraId="0D3D430A" w14:textId="77777777" w:rsidR="0033629A" w:rsidRDefault="004409CB">
      <w:pPr>
        <w:pStyle w:val="Heading3"/>
      </w:pPr>
      <w:bookmarkStart w:id="56" w:name="_Toc107939115"/>
      <w:bookmarkStart w:id="57" w:name="key-variables"/>
      <w:r>
        <w:t>Key Variables</w:t>
      </w:r>
      <w:bookmarkEnd w:id="56"/>
    </w:p>
    <w:p w14:paraId="02419354" w14:textId="107F23BF" w:rsidR="0033629A" w:rsidRDefault="004409CB">
      <w:pPr>
        <w:pStyle w:val="FirstParagraph"/>
      </w:pPr>
      <w:r>
        <w:rPr>
          <w:b/>
          <w:bCs/>
        </w:rPr>
        <w:t>Dependent Variable</w:t>
      </w:r>
      <w:r>
        <w:t>. The dependent variable is tons of carbon dioxide (tCO</w:t>
      </w:r>
      <w:r>
        <w:rPr>
          <w:vertAlign w:val="subscript"/>
        </w:rPr>
        <w:t>2</w:t>
      </w:r>
      <w:r>
        <w:t>, referred to simply as CO</w:t>
      </w:r>
      <w:r>
        <w:rPr>
          <w:vertAlign w:val="subscript"/>
        </w:rPr>
        <w:t>2</w:t>
      </w:r>
      <w:r>
        <w:t>) emissions per capita for all countries included in the analysis. Data comes from the Global Carbon Atlas (</w:t>
      </w:r>
      <w:hyperlink r:id="rId19">
        <w:r>
          <w:rPr>
            <w:rStyle w:val="Hyperlink"/>
          </w:rPr>
          <w:t>http://www.globalcarbonatlas.org/</w:t>
        </w:r>
      </w:hyperlink>
      <w:r>
        <w:t>), which provides the most recent data on CO</w:t>
      </w:r>
      <w:r>
        <w:rPr>
          <w:vertAlign w:val="subscript"/>
        </w:rPr>
        <w:t>2</w:t>
      </w:r>
      <w:r>
        <w:t xml:space="preserve"> emissions (</w:t>
      </w:r>
      <w:hyperlink w:anchor="ref-andrew2021">
        <w:r>
          <w:rPr>
            <w:rStyle w:val="Hyperlink"/>
          </w:rPr>
          <w:t>Andrew &amp; Peters, 2021</w:t>
        </w:r>
      </w:hyperlink>
      <w:r>
        <w:t xml:space="preserve">; </w:t>
      </w:r>
      <w:hyperlink w:anchor="ref-friedlingstein2021">
        <w:r>
          <w:rPr>
            <w:rStyle w:val="Hyperlink"/>
          </w:rPr>
          <w:t>Friedlingstein et al., 2021</w:t>
        </w:r>
      </w:hyperlink>
      <w:r>
        <w:t>). Data is included for 2007, 2010, 2013, 2016, and 2019, representing a one-year lag from fall PISA administration dates. For China, the PISA has only been administered to either single cities (e.g., Shanghai in 2009 and 2012) or city/region groupings (e.g., Beijing, Shanghai, Jiangsu, and Zhejiang in 2018). Because city- and region-level emissions data is not readily available, data will be used for the whole of China. Kosovo has complete data for 2008-2018. Data for Kosovo for the years 2007 and 2019 data comes from the International Energy Agency</w:t>
      </w:r>
      <w:r>
        <w:rPr>
          <w:rStyle w:val="FootnoteReference"/>
        </w:rPr>
        <w:footnoteReference w:id="4"/>
      </w:r>
      <w:r>
        <w:t xml:space="preserve">. Figure </w:t>
      </w:r>
      <w:hyperlink w:anchor="co2overtime">
        <w:r>
          <w:fldChar w:fldCharType="begin"/>
        </w:r>
        <w:r>
          <w:instrText xml:space="preserve"> REF co2overtime \h</w:instrText>
        </w:r>
        <w:r>
          <w:fldChar w:fldCharType="separate"/>
        </w:r>
        <w:r w:rsidR="00766923">
          <w:rPr>
            <w:b/>
            <w:noProof/>
          </w:rPr>
          <w:t>5</w:t>
        </w:r>
        <w:r>
          <w:fldChar w:fldCharType="end"/>
        </w:r>
      </w:hyperlink>
      <w:r>
        <w:t xml:space="preserve"> displays a time series of CO</w:t>
      </w:r>
      <w:r>
        <w:rPr>
          <w:vertAlign w:val="subscript"/>
        </w:rPr>
        <w:t>2</w:t>
      </w:r>
      <w:r>
        <w:t xml:space="preserve"> per capita for individual countries by region, with average CO</w:t>
      </w:r>
      <w:r>
        <w:rPr>
          <w:vertAlign w:val="subscript"/>
        </w:rPr>
        <w:t>2</w:t>
      </w:r>
      <w:r>
        <w:t xml:space="preserve"> per capita indicated by the same orange line in each panel. The panels show that over time, CO</w:t>
      </w:r>
      <w:r>
        <w:rPr>
          <w:vertAlign w:val="subscript"/>
        </w:rPr>
        <w:t>2</w:t>
      </w:r>
      <w:r>
        <w:t xml:space="preserve"> per capita emissions are falling for most countries. In addition, </w:t>
      </w:r>
      <w:proofErr w:type="gramStart"/>
      <w:r>
        <w:t>a majority of</w:t>
      </w:r>
      <w:proofErr w:type="gramEnd"/>
      <w:r>
        <w:t xml:space="preserve"> countries have emissions below the average, with the Middle East and North Africa (MENA) and Western Nations (including the US and Western, Northern, and Southern Europe) having </w:t>
      </w:r>
      <w:r>
        <w:lastRenderedPageBreak/>
        <w:t>numerous countries above the average. In general, countries show a mostly linear decline in emissions, though a minority of countries show a slightly different pattern.</w:t>
      </w:r>
    </w:p>
    <w:p w14:paraId="28BDB5F0" w14:textId="3F5750E9" w:rsidR="0033629A" w:rsidRDefault="004409CB">
      <w:pPr>
        <w:pStyle w:val="BodyText"/>
      </w:pPr>
      <w:r>
        <w:rPr>
          <w:b/>
          <w:bCs/>
        </w:rPr>
        <w:t>Independent Variable</w:t>
      </w:r>
      <w:r>
        <w:t xml:space="preserve">. The main independent variable of interest is PISA scientific literacy scores estimated as described in Phase One. For each assessment cycle, individual countries will have a scientific literacy score for all students combined, and separate scores for males and females. Country-mean centering, along with including the country mean at level-2, is used to estimate the pure within- and between-country effects. A level-1 variable of within-country scientific literacy is estimated as the difference between an assessment cycle and the level-2 country mean, </w:t>
      </w:r>
      <m:oMath>
        <m:r>
          <w:rPr>
            <w:rFonts w:ascii="Cambria Math" w:hAnsi="Cambria Math"/>
          </w:rPr>
          <m:t>S</m:t>
        </m:r>
        <m:sSub>
          <m:sSubPr>
            <m:ctrlPr>
              <w:rPr>
                <w:rFonts w:ascii="Cambria Math" w:hAnsi="Cambria Math"/>
              </w:rPr>
            </m:ctrlPr>
          </m:sSubPr>
          <m:e>
            <m:r>
              <w:rPr>
                <w:rFonts w:ascii="Cambria Math" w:hAnsi="Cambria Math"/>
              </w:rPr>
              <m:t>L</m:t>
            </m:r>
          </m:e>
          <m:sub>
            <m:r>
              <w:rPr>
                <w:rFonts w:ascii="Cambria Math" w:hAnsi="Cambria Math"/>
              </w:rPr>
              <m:t>within</m:t>
            </m:r>
          </m:sub>
        </m:sSub>
        <m:r>
          <m:rPr>
            <m:sty m:val="p"/>
          </m:rPr>
          <w:rPr>
            <w:rFonts w:ascii="Cambria Math" w:hAnsi="Cambria Math"/>
          </w:rPr>
          <m:t>=</m:t>
        </m:r>
        <m:r>
          <w:rPr>
            <w:rFonts w:ascii="Cambria Math" w:hAnsi="Cambria Math"/>
          </w:rPr>
          <m:t>s</m:t>
        </m:r>
        <m:sSub>
          <m:sSubPr>
            <m:ctrlPr>
              <w:rPr>
                <w:rFonts w:ascii="Cambria Math" w:hAnsi="Cambria Math"/>
              </w:rPr>
            </m:ctrlPr>
          </m:sSubPr>
          <m:e>
            <m:r>
              <w:rPr>
                <w:rFonts w:ascii="Cambria Math" w:hAnsi="Cambria Math"/>
              </w:rPr>
              <m:t>l</m:t>
            </m:r>
          </m:e>
          <m:sub>
            <m:r>
              <w:rPr>
                <w:rFonts w:ascii="Cambria Math" w:hAnsi="Cambria Math"/>
              </w:rPr>
              <m:t>ti</m:t>
            </m:r>
          </m:sub>
        </m:sSub>
        <m:r>
          <m:rPr>
            <m:sty m:val="p"/>
          </m:rPr>
          <w:rPr>
            <w:rFonts w:ascii="Cambria Math" w:hAnsi="Cambria Math"/>
          </w:rPr>
          <m:t>-</m:t>
        </m:r>
        <m:acc>
          <m:accPr>
            <m:chr m:val="‾"/>
            <m:ctrlPr>
              <w:rPr>
                <w:rFonts w:ascii="Cambria Math" w:hAnsi="Cambria Math"/>
              </w:rPr>
            </m:ctrlPr>
          </m:accPr>
          <m:e>
            <m:r>
              <w:rPr>
                <w:rFonts w:ascii="Cambria Math" w:hAnsi="Cambria Math"/>
              </w:rPr>
              <m:t>s</m:t>
            </m:r>
            <m:sSub>
              <m:sSubPr>
                <m:ctrlPr>
                  <w:rPr>
                    <w:rFonts w:ascii="Cambria Math" w:hAnsi="Cambria Math"/>
                  </w:rPr>
                </m:ctrlPr>
              </m:sSubPr>
              <m:e>
                <m:r>
                  <w:rPr>
                    <w:rFonts w:ascii="Cambria Math" w:hAnsi="Cambria Math"/>
                  </w:rPr>
                  <m:t>l</m:t>
                </m:r>
              </m:e>
              <m:sub>
                <m:r>
                  <w:rPr>
                    <w:rFonts w:ascii="Cambria Math" w:hAnsi="Cambria Math"/>
                  </w:rPr>
                  <m:t>i</m:t>
                </m:r>
              </m:sub>
            </m:sSub>
          </m:e>
        </m:acc>
      </m:oMath>
      <w:r>
        <w:t xml:space="preserve">. A level-2 variable representing the mean scientific literacy score across measurement cycles is estimated as </w:t>
      </w:r>
      <m:oMath>
        <m:r>
          <w:rPr>
            <w:rFonts w:ascii="Cambria Math" w:hAnsi="Cambria Math"/>
          </w:rPr>
          <m:t>S</m:t>
        </m:r>
        <m:sSub>
          <m:sSubPr>
            <m:ctrlPr>
              <w:rPr>
                <w:rFonts w:ascii="Cambria Math" w:hAnsi="Cambria Math"/>
              </w:rPr>
            </m:ctrlPr>
          </m:sSubPr>
          <m:e>
            <m:r>
              <w:rPr>
                <w:rFonts w:ascii="Cambria Math" w:hAnsi="Cambria Math"/>
              </w:rPr>
              <m:t>L</m:t>
            </m:r>
          </m:e>
          <m:sub>
            <m:r>
              <w:rPr>
                <w:rFonts w:ascii="Cambria Math" w:hAnsi="Cambria Math"/>
              </w:rPr>
              <m:t>between</m:t>
            </m:r>
          </m:sub>
        </m:sSub>
        <m:r>
          <m:rPr>
            <m:sty m:val="p"/>
          </m:rPr>
          <w:rPr>
            <w:rFonts w:ascii="Cambria Math" w:hAnsi="Cambria Math"/>
          </w:rPr>
          <m:t>=</m:t>
        </m:r>
        <m:acc>
          <m:accPr>
            <m:chr m:val="‾"/>
            <m:ctrlPr>
              <w:rPr>
                <w:rFonts w:ascii="Cambria Math" w:hAnsi="Cambria Math"/>
              </w:rPr>
            </m:ctrlPr>
          </m:accPr>
          <m:e>
            <m:r>
              <w:rPr>
                <w:rFonts w:ascii="Cambria Math" w:hAnsi="Cambria Math"/>
              </w:rPr>
              <m:t>s</m:t>
            </m:r>
            <m:sSub>
              <m:sSubPr>
                <m:ctrlPr>
                  <w:rPr>
                    <w:rFonts w:ascii="Cambria Math" w:hAnsi="Cambria Math"/>
                  </w:rPr>
                </m:ctrlPr>
              </m:sSubPr>
              <m:e>
                <m:r>
                  <w:rPr>
                    <w:rFonts w:ascii="Cambria Math" w:hAnsi="Cambria Math"/>
                  </w:rPr>
                  <m:t>l</m:t>
                </m:r>
              </m:e>
              <m:sub>
                <m:r>
                  <w:rPr>
                    <w:rFonts w:ascii="Cambria Math" w:hAnsi="Cambria Math"/>
                  </w:rPr>
                  <m:t>i</m:t>
                </m:r>
              </m:sub>
            </m:sSub>
          </m:e>
        </m:acc>
      </m:oMath>
      <w:r>
        <w:t>. Thus, the intercept will refer to average CO</w:t>
      </w:r>
      <w:r>
        <w:rPr>
          <w:vertAlign w:val="subscript"/>
        </w:rPr>
        <w:t>2</w:t>
      </w:r>
      <w:r>
        <w:t xml:space="preserve"> emissions for a country with an average scientific literacy score. Appendix A, </w:t>
      </w:r>
      <w:hyperlink w:anchor="sltable">
        <w:r>
          <w:fldChar w:fldCharType="begin"/>
        </w:r>
        <w:r>
          <w:instrText xml:space="preserve"> REF sltable \h</w:instrText>
        </w:r>
        <w:r>
          <w:fldChar w:fldCharType="separate"/>
        </w:r>
        <w:r w:rsidR="00766923">
          <w:rPr>
            <w:b/>
            <w:i/>
            <w:noProof/>
            <w:sz w:val="20"/>
          </w:rPr>
          <w:t>8</w:t>
        </w:r>
        <w:r>
          <w:fldChar w:fldCharType="end"/>
        </w:r>
      </w:hyperlink>
      <w:r>
        <w:t xml:space="preserve"> shows detailed information on total, female, and male scientific literacy score per country and cycle as well as the number of students who participated in each cycle. Figure </w:t>
      </w:r>
      <w:hyperlink w:anchor="pisascores">
        <w:r>
          <w:fldChar w:fldCharType="begin"/>
        </w:r>
        <w:r>
          <w:instrText xml:space="preserve"> REF pisascores \h</w:instrText>
        </w:r>
        <w:r>
          <w:fldChar w:fldCharType="separate"/>
        </w:r>
        <w:r w:rsidR="00766923">
          <w:rPr>
            <w:b/>
            <w:noProof/>
          </w:rPr>
          <w:t>6</w:t>
        </w:r>
        <w:r>
          <w:fldChar w:fldCharType="end"/>
        </w:r>
      </w:hyperlink>
      <w:r>
        <w:t xml:space="preserve"> displays all countries and their overall PISA scientific literacy score for each year.</w:t>
      </w:r>
    </w:p>
    <w:p w14:paraId="10F9896A" w14:textId="2F134716" w:rsidR="0033629A" w:rsidRDefault="004409CB">
      <w:pPr>
        <w:pStyle w:val="BodyText"/>
      </w:pPr>
      <w:r>
        <w:rPr>
          <w:b/>
          <w:bCs/>
        </w:rPr>
        <w:t>Time</w:t>
      </w:r>
      <w:r>
        <w:t>. The time metric includes the years 2006, 2009, 2012, 2015, and 2018, which reflects the triennial assessment cycles of the PISA. For meaningful interpretation of results, assessment cycle is included as a continuous measurement from 0 to 4, with 0 (and thus the intercept) representing the 2006 cycle (</w:t>
      </w:r>
      <w:hyperlink w:anchor="ref-grimm2017">
        <w:r>
          <w:rPr>
            <w:rStyle w:val="Hyperlink"/>
          </w:rPr>
          <w:t>Grimm et al., 2017</w:t>
        </w:r>
      </w:hyperlink>
      <w:r>
        <w:t>).</w:t>
      </w:r>
    </w:p>
    <w:p w14:paraId="7EAE9D37" w14:textId="77777777" w:rsidR="00D37D1D" w:rsidRDefault="00D37D1D" w:rsidP="00D37D1D">
      <w:pPr>
        <w:pStyle w:val="Heading3"/>
      </w:pPr>
      <w:bookmarkStart w:id="58" w:name="_Toc107939116"/>
      <w:r>
        <w:t>Time-Varying (Level-1) Covariates</w:t>
      </w:r>
      <w:bookmarkEnd w:id="58"/>
    </w:p>
    <w:p w14:paraId="1417837B" w14:textId="77777777" w:rsidR="0029768D" w:rsidRDefault="00D37D1D" w:rsidP="00D37D1D">
      <w:pPr>
        <w:pStyle w:val="FirstParagraph"/>
        <w:sectPr w:rsidR="0029768D" w:rsidSect="00B8133B">
          <w:headerReference w:type="even" r:id="rId20"/>
          <w:headerReference w:type="default" r:id="rId21"/>
          <w:footerReference w:type="even" r:id="rId22"/>
          <w:footerReference w:type="default" r:id="rId23"/>
          <w:headerReference w:type="first" r:id="rId24"/>
          <w:footerReference w:type="first" r:id="rId25"/>
          <w:type w:val="continuous"/>
          <w:pgSz w:w="11952" w:h="16848"/>
          <w:pgMar w:top="1440" w:right="1440" w:bottom="1440" w:left="1440" w:header="720" w:footer="720" w:gutter="0"/>
          <w:pgNumType w:start="0"/>
          <w:cols w:space="720"/>
        </w:sectPr>
      </w:pPr>
      <w:proofErr w:type="gramStart"/>
      <w:r>
        <w:t>In order to</w:t>
      </w:r>
      <w:proofErr w:type="gramEnd"/>
      <w:r>
        <w:t xml:space="preserve"> isolate the effects of education on CO</w:t>
      </w:r>
      <w:r>
        <w:rPr>
          <w:vertAlign w:val="subscript"/>
        </w:rPr>
        <w:t>2</w:t>
      </w:r>
      <w:r>
        <w:t xml:space="preserve"> emissions, control variables are included to account for structural forces that have been found to contribute to climate change.</w:t>
      </w:r>
    </w:p>
    <w:p w14:paraId="181082DB" w14:textId="77777777" w:rsidR="0033629A" w:rsidRDefault="004409CB">
      <w:pPr>
        <w:pStyle w:val="Figure"/>
        <w:jc w:val="center"/>
      </w:pPr>
      <w:r>
        <w:rPr>
          <w:noProof/>
        </w:rPr>
        <w:lastRenderedPageBreak/>
        <w:drawing>
          <wp:inline distT="0" distB="0" distL="0" distR="0" wp14:anchorId="23E8F611" wp14:editId="3B34A85E">
            <wp:extent cx="7132320" cy="5029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26"/>
                    <a:srcRect/>
                    <a:stretch>
                      <a:fillRect/>
                    </a:stretch>
                  </pic:blipFill>
                  <pic:spPr bwMode="auto">
                    <a:xfrm>
                      <a:off x="0" y="0"/>
                      <a:ext cx="99060" cy="69850"/>
                    </a:xfrm>
                    <a:prstGeom prst="rect">
                      <a:avLst/>
                    </a:prstGeom>
                    <a:noFill/>
                  </pic:spPr>
                </pic:pic>
              </a:graphicData>
            </a:graphic>
          </wp:inline>
        </w:drawing>
      </w:r>
    </w:p>
    <w:p w14:paraId="3A691813" w14:textId="51634EC9" w:rsidR="00EC616A" w:rsidRDefault="004409CB" w:rsidP="00EC616A">
      <w:pPr>
        <w:pStyle w:val="ImageCaption"/>
        <w:sectPr w:rsidR="00EC616A" w:rsidSect="00753BF0">
          <w:headerReference w:type="even" r:id="rId27"/>
          <w:headerReference w:type="default" r:id="rId28"/>
          <w:footerReference w:type="even" r:id="rId29"/>
          <w:headerReference w:type="first" r:id="rId30"/>
          <w:footerReference w:type="first" r:id="rId31"/>
          <w:pgSz w:w="16838" w:h="11906" w:orient="landscape"/>
          <w:pgMar w:top="1440" w:right="1440" w:bottom="1440" w:left="1440" w:header="720" w:footer="720" w:gutter="0"/>
          <w:cols w:space="720"/>
          <w:docGrid w:linePitch="326"/>
        </w:sectPr>
      </w:pPr>
      <w:bookmarkStart w:id="59" w:name="_Toc105675520"/>
      <w:r>
        <w:rPr>
          <w:b/>
        </w:rPr>
        <w:t xml:space="preserve">Figure </w:t>
      </w:r>
      <w:bookmarkStart w:id="60" w:name="co2overtime"/>
      <w:r>
        <w:rPr>
          <w:b/>
        </w:rPr>
        <w:fldChar w:fldCharType="begin"/>
      </w:r>
      <w:r>
        <w:rPr>
          <w:b/>
        </w:rPr>
        <w:instrText>SEQ Figure \* Arabic</w:instrText>
      </w:r>
      <w:r>
        <w:rPr>
          <w:b/>
        </w:rPr>
        <w:fldChar w:fldCharType="separate"/>
      </w:r>
      <w:r w:rsidR="00766923">
        <w:rPr>
          <w:b/>
          <w:noProof/>
        </w:rPr>
        <w:t>5</w:t>
      </w:r>
      <w:r>
        <w:rPr>
          <w:b/>
        </w:rPr>
        <w:fldChar w:fldCharType="end"/>
      </w:r>
      <w:bookmarkEnd w:id="60"/>
      <w:r>
        <w:t>: CO</w:t>
      </w:r>
      <w:r>
        <w:rPr>
          <w:vertAlign w:val="subscript"/>
        </w:rPr>
        <w:t>2</w:t>
      </w:r>
      <w:r>
        <w:t xml:space="preserve"> emissions per capita over time by region. Each black line represents an individual country. The orange line represents the mean CO</w:t>
      </w:r>
      <w:r>
        <w:rPr>
          <w:vertAlign w:val="subscript"/>
        </w:rPr>
        <w:t>2</w:t>
      </w:r>
      <w:r>
        <w:t xml:space="preserve"> emissions per capita. This line is the same in each panel.</w:t>
      </w:r>
      <w:bookmarkEnd w:id="59"/>
    </w:p>
    <w:p w14:paraId="14CAE572" w14:textId="22D6AA0D" w:rsidR="0033629A" w:rsidRDefault="004409CB" w:rsidP="00EC616A">
      <w:pPr>
        <w:pStyle w:val="ImageCaption"/>
      </w:pPr>
      <w:r>
        <w:rPr>
          <w:noProof/>
        </w:rPr>
        <w:lastRenderedPageBreak/>
        <w:drawing>
          <wp:inline distT="0" distB="0" distL="0" distR="0" wp14:anchorId="6E2BEED8" wp14:editId="2676C65D">
            <wp:extent cx="5486400" cy="82296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a:picLocks noChangeAspect="1" noChangeArrowheads="1"/>
                    </pic:cNvPicPr>
                  </pic:nvPicPr>
                  <pic:blipFill>
                    <a:blip r:embed="rId32"/>
                    <a:srcRect/>
                    <a:stretch>
                      <a:fillRect/>
                    </a:stretch>
                  </pic:blipFill>
                  <pic:spPr bwMode="auto">
                    <a:xfrm>
                      <a:off x="0" y="0"/>
                      <a:ext cx="76200" cy="114300"/>
                    </a:xfrm>
                    <a:prstGeom prst="rect">
                      <a:avLst/>
                    </a:prstGeom>
                    <a:noFill/>
                  </pic:spPr>
                </pic:pic>
              </a:graphicData>
            </a:graphic>
          </wp:inline>
        </w:drawing>
      </w:r>
    </w:p>
    <w:p w14:paraId="46D1123E" w14:textId="757D7CF7" w:rsidR="0033629A" w:rsidRDefault="004409CB">
      <w:pPr>
        <w:pStyle w:val="ImageCaption"/>
      </w:pPr>
      <w:bookmarkStart w:id="61" w:name="_Toc105675521"/>
      <w:r>
        <w:rPr>
          <w:b/>
        </w:rPr>
        <w:t xml:space="preserve">Figure </w:t>
      </w:r>
      <w:bookmarkStart w:id="62" w:name="pisascores"/>
      <w:r>
        <w:rPr>
          <w:b/>
        </w:rPr>
        <w:fldChar w:fldCharType="begin"/>
      </w:r>
      <w:r>
        <w:rPr>
          <w:b/>
        </w:rPr>
        <w:instrText>SEQ Figure \* Arabic</w:instrText>
      </w:r>
      <w:r>
        <w:rPr>
          <w:b/>
        </w:rPr>
        <w:fldChar w:fldCharType="separate"/>
      </w:r>
      <w:r w:rsidR="00766923">
        <w:rPr>
          <w:b/>
          <w:noProof/>
        </w:rPr>
        <w:t>6</w:t>
      </w:r>
      <w:r>
        <w:rPr>
          <w:b/>
        </w:rPr>
        <w:fldChar w:fldCharType="end"/>
      </w:r>
      <w:bookmarkEnd w:id="62"/>
      <w:r>
        <w:t>: Overall Scientific Literacy score by country, colored by year</w:t>
      </w:r>
      <w:bookmarkEnd w:id="61"/>
    </w:p>
    <w:p w14:paraId="7E2C78C2" w14:textId="77777777" w:rsidR="0033629A" w:rsidRDefault="004409CB">
      <w:pPr>
        <w:pStyle w:val="BodyText"/>
      </w:pPr>
      <w:bookmarkStart w:id="63" w:name="time-varying-level-1-covariates"/>
      <w:bookmarkEnd w:id="57"/>
      <w:r>
        <w:rPr>
          <w:b/>
          <w:bCs/>
        </w:rPr>
        <w:lastRenderedPageBreak/>
        <w:t>Population</w:t>
      </w:r>
      <w:r>
        <w:t xml:space="preserve">. Population is a key variable of the </w:t>
      </w:r>
      <w:r>
        <w:rPr>
          <w:i/>
          <w:iCs/>
        </w:rPr>
        <w:t>IPAT</w:t>
      </w:r>
      <w:r>
        <w:t xml:space="preserve"> formula and a major factor in emissions. All population data comes from the World Bank. Data for Taiwan is based on mid-year (June) estimates provided by the Taiwan National Statistics Office</w:t>
      </w:r>
      <w:r>
        <w:rPr>
          <w:rStyle w:val="FootnoteReference"/>
        </w:rPr>
        <w:footnoteReference w:id="5"/>
      </w:r>
      <w:r>
        <w:t xml:space="preserve"> (</w:t>
      </w:r>
      <w:hyperlink w:anchor="ref-republicofchinataiwan">
        <w:r>
          <w:rPr>
            <w:rStyle w:val="Hyperlink"/>
          </w:rPr>
          <w:t>Republic of China (Taiwan), n.d.</w:t>
        </w:r>
      </w:hyperlink>
      <w:r>
        <w:t xml:space="preserve">). Population data is scaled by 10 million and grand </w:t>
      </w:r>
      <w:proofErr w:type="gramStart"/>
      <w:r>
        <w:t>mean-centered</w:t>
      </w:r>
      <w:proofErr w:type="gramEnd"/>
      <w:r>
        <w:t>. The intercept represents a country with average population.</w:t>
      </w:r>
    </w:p>
    <w:p w14:paraId="0B21ADAE" w14:textId="61E02670" w:rsidR="0033629A" w:rsidRDefault="004409CB">
      <w:pPr>
        <w:pStyle w:val="BodyText"/>
      </w:pPr>
      <w:r>
        <w:rPr>
          <w:b/>
          <w:bCs/>
        </w:rPr>
        <w:t>GDP-PPP Per Capita</w:t>
      </w:r>
      <w:r>
        <w:t>. Gross domestic product (purchasing-power parity) per capita is used to control for the positive relationship between economic growth, education, and emissions. This data comes from the World Bank and is presented in 2015 US dollars. GDP per capita data for Taiwan is missing from the World Bank. Therefore, data from the Taiwanese government’s National Statistics office is used in its place (</w:t>
      </w:r>
      <w:hyperlink w:anchor="ref-republicofchinataiwan">
        <w:r>
          <w:rPr>
            <w:rStyle w:val="Hyperlink"/>
          </w:rPr>
          <w:t>Republic of China (Taiwan), n.d.</w:t>
        </w:r>
      </w:hyperlink>
      <w:r>
        <w:t xml:space="preserve">). This data is in US dollars (no date available). All GDP per capita data is time-varying. It is scaled by $10,000 dollars and </w:t>
      </w:r>
      <w:proofErr w:type="gramStart"/>
      <w:r>
        <w:t>grand-mean</w:t>
      </w:r>
      <w:proofErr w:type="gramEnd"/>
      <w:r>
        <w:t xml:space="preserve"> centered, with the intercept being interpreted as a country with average GDP per capita.</w:t>
      </w:r>
    </w:p>
    <w:p w14:paraId="0ACE9347" w14:textId="77777777" w:rsidR="00993683" w:rsidRDefault="00993683" w:rsidP="00993683">
      <w:pPr>
        <w:pStyle w:val="BodyText"/>
      </w:pPr>
      <w:r>
        <w:rPr>
          <w:b/>
          <w:bCs/>
        </w:rPr>
        <w:t>Exports and Manufacturing as a Percentage of GDP</w:t>
      </w:r>
      <w:r>
        <w:t>. Separate variables for exports as a percentage of GDP and manufacturing as a percentage of GDP serve as additional statistical controls for structural forces of carbon emissions. In particular, they are included as an attempt to control for the offloading of emission-intensive labor to less developed countries (</w:t>
      </w:r>
      <w:hyperlink w:anchor="ref-jorgenson2018">
        <w:r>
          <w:rPr>
            <w:rStyle w:val="Hyperlink"/>
          </w:rPr>
          <w:t>Jorgenson et al., 2018</w:t>
        </w:r>
      </w:hyperlink>
      <w:r>
        <w:t xml:space="preserve">; </w:t>
      </w:r>
      <w:hyperlink w:anchor="ref-jorgenson2013">
        <w:r>
          <w:rPr>
            <w:rStyle w:val="Hyperlink"/>
          </w:rPr>
          <w:t>Jorgenson &amp; Givens, 2013</w:t>
        </w:r>
      </w:hyperlink>
      <w:r>
        <w:t xml:space="preserve">; </w:t>
      </w:r>
      <w:hyperlink w:anchor="ref-liobikiene2018">
        <w:r>
          <w:rPr>
            <w:rStyle w:val="Hyperlink"/>
          </w:rPr>
          <w:t>Liobikienė &amp; Butkus, 2018</w:t>
        </w:r>
      </w:hyperlink>
      <w:r>
        <w:t>) This data comes from the World Bank. These time-varying variables will be grand-mean centered, with the intercept being interpreted as a country with average exports and manufacturing as a percentage of GDP.</w:t>
      </w:r>
    </w:p>
    <w:p w14:paraId="671B70FC" w14:textId="77777777" w:rsidR="0033629A" w:rsidRDefault="004409CB">
      <w:pPr>
        <w:pStyle w:val="Figure"/>
        <w:jc w:val="center"/>
      </w:pPr>
      <w:r>
        <w:rPr>
          <w:noProof/>
        </w:rPr>
        <w:lastRenderedPageBreak/>
        <w:drawing>
          <wp:inline distT="0" distB="0" distL="0" distR="0" wp14:anchorId="35A494DC" wp14:editId="05EF82CF">
            <wp:extent cx="4114800" cy="329184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
                    <pic:cNvPicPr>
                      <a:picLocks noChangeAspect="1" noChangeArrowheads="1"/>
                    </pic:cNvPicPr>
                  </pic:nvPicPr>
                  <pic:blipFill>
                    <a:blip r:embed="rId33"/>
                    <a:srcRect/>
                    <a:stretch>
                      <a:fillRect/>
                    </a:stretch>
                  </pic:blipFill>
                  <pic:spPr bwMode="auto">
                    <a:xfrm>
                      <a:off x="0" y="0"/>
                      <a:ext cx="57150" cy="45720"/>
                    </a:xfrm>
                    <a:prstGeom prst="rect">
                      <a:avLst/>
                    </a:prstGeom>
                    <a:noFill/>
                  </pic:spPr>
                </pic:pic>
              </a:graphicData>
            </a:graphic>
          </wp:inline>
        </w:drawing>
      </w:r>
    </w:p>
    <w:p w14:paraId="22CA7301" w14:textId="1AF1A699" w:rsidR="0033629A" w:rsidRDefault="004409CB">
      <w:pPr>
        <w:pStyle w:val="ImageCaption"/>
      </w:pPr>
      <w:bookmarkStart w:id="64" w:name="_Toc105675522"/>
      <w:r>
        <w:rPr>
          <w:b/>
        </w:rPr>
        <w:t xml:space="preserve">Figure </w:t>
      </w:r>
      <w:bookmarkStart w:id="65" w:name="pop"/>
      <w:r>
        <w:rPr>
          <w:b/>
        </w:rPr>
        <w:fldChar w:fldCharType="begin"/>
      </w:r>
      <w:r>
        <w:rPr>
          <w:b/>
        </w:rPr>
        <w:instrText>SEQ Figure \* Arabic</w:instrText>
      </w:r>
      <w:r>
        <w:rPr>
          <w:b/>
        </w:rPr>
        <w:fldChar w:fldCharType="separate"/>
      </w:r>
      <w:r w:rsidR="00766923">
        <w:rPr>
          <w:b/>
          <w:noProof/>
        </w:rPr>
        <w:t>7</w:t>
      </w:r>
      <w:r>
        <w:rPr>
          <w:b/>
        </w:rPr>
        <w:fldChar w:fldCharType="end"/>
      </w:r>
      <w:bookmarkEnd w:id="65"/>
      <w:r>
        <w:t>: A scatterplot of CO</w:t>
      </w:r>
      <w:r>
        <w:rPr>
          <w:vertAlign w:val="subscript"/>
        </w:rPr>
        <w:t>2</w:t>
      </w:r>
      <w:r>
        <w:t xml:space="preserve"> emissions per capita and population, colored by OECD.</w:t>
      </w:r>
      <w:bookmarkEnd w:id="64"/>
    </w:p>
    <w:p w14:paraId="174F7678" w14:textId="5E80AAE4" w:rsidR="00D37D1D" w:rsidRDefault="00D37D1D">
      <w:pPr>
        <w:pStyle w:val="ImageCaption"/>
      </w:pPr>
    </w:p>
    <w:p w14:paraId="0928C9BE" w14:textId="77777777" w:rsidR="00D37D1D" w:rsidRDefault="00D37D1D">
      <w:pPr>
        <w:pStyle w:val="ImageCaption"/>
      </w:pPr>
    </w:p>
    <w:p w14:paraId="4BAA9FB7" w14:textId="77777777" w:rsidR="0033629A" w:rsidRDefault="004409CB">
      <w:pPr>
        <w:pStyle w:val="Figure"/>
        <w:jc w:val="center"/>
      </w:pPr>
      <w:r>
        <w:rPr>
          <w:noProof/>
        </w:rPr>
        <w:drawing>
          <wp:inline distT="0" distB="0" distL="0" distR="0" wp14:anchorId="5079EC3B" wp14:editId="706873A4">
            <wp:extent cx="4114800" cy="329184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a:picLocks noChangeAspect="1" noChangeArrowheads="1"/>
                    </pic:cNvPicPr>
                  </pic:nvPicPr>
                  <pic:blipFill>
                    <a:blip r:embed="rId34"/>
                    <a:srcRect/>
                    <a:stretch>
                      <a:fillRect/>
                    </a:stretch>
                  </pic:blipFill>
                  <pic:spPr bwMode="auto">
                    <a:xfrm>
                      <a:off x="0" y="0"/>
                      <a:ext cx="57150" cy="45720"/>
                    </a:xfrm>
                    <a:prstGeom prst="rect">
                      <a:avLst/>
                    </a:prstGeom>
                    <a:noFill/>
                  </pic:spPr>
                </pic:pic>
              </a:graphicData>
            </a:graphic>
          </wp:inline>
        </w:drawing>
      </w:r>
    </w:p>
    <w:p w14:paraId="6BBE0BB7" w14:textId="0B8D4D1C" w:rsidR="0033629A" w:rsidRDefault="004409CB">
      <w:pPr>
        <w:pStyle w:val="ImageCaption"/>
      </w:pPr>
      <w:bookmarkStart w:id="66" w:name="_Toc105675523"/>
      <w:r>
        <w:rPr>
          <w:b/>
        </w:rPr>
        <w:t xml:space="preserve">Figure </w:t>
      </w:r>
      <w:bookmarkStart w:id="67" w:name="gdp"/>
      <w:r>
        <w:rPr>
          <w:b/>
        </w:rPr>
        <w:fldChar w:fldCharType="begin"/>
      </w:r>
      <w:r>
        <w:rPr>
          <w:b/>
        </w:rPr>
        <w:instrText>SEQ Figure \* Arabic</w:instrText>
      </w:r>
      <w:r>
        <w:rPr>
          <w:b/>
        </w:rPr>
        <w:fldChar w:fldCharType="separate"/>
      </w:r>
      <w:r w:rsidR="00766923">
        <w:rPr>
          <w:b/>
          <w:noProof/>
        </w:rPr>
        <w:t>8</w:t>
      </w:r>
      <w:r>
        <w:rPr>
          <w:b/>
        </w:rPr>
        <w:fldChar w:fldCharType="end"/>
      </w:r>
      <w:bookmarkEnd w:id="67"/>
      <w:r>
        <w:t>: A scatterplot of CO</w:t>
      </w:r>
      <w:r>
        <w:rPr>
          <w:vertAlign w:val="subscript"/>
        </w:rPr>
        <w:t>2</w:t>
      </w:r>
      <w:r>
        <w:t xml:space="preserve"> emissions per capita and GDP per capita, colored by OECD.</w:t>
      </w:r>
      <w:bookmarkEnd w:id="66"/>
    </w:p>
    <w:p w14:paraId="74D45C52" w14:textId="77777777" w:rsidR="0033629A" w:rsidRDefault="004409CB">
      <w:r>
        <w:br w:type="page"/>
      </w:r>
    </w:p>
    <w:p w14:paraId="58514081" w14:textId="1CE20637" w:rsidR="0033629A" w:rsidRDefault="004409CB">
      <w:pPr>
        <w:pStyle w:val="BodyText"/>
      </w:pPr>
      <w:r>
        <w:rPr>
          <w:b/>
          <w:bCs/>
        </w:rPr>
        <w:lastRenderedPageBreak/>
        <w:t>Gini</w:t>
      </w:r>
      <w:r>
        <w:t xml:space="preserve">. The Gini coefficient is used to measure wealth inequality, as inequality has a </w:t>
      </w:r>
      <w:r w:rsidR="003851A7">
        <w:t>negative</w:t>
      </w:r>
      <w:r>
        <w:t xml:space="preserve"> relationship with emissions where greater inequality is often associated with </w:t>
      </w:r>
      <w:r w:rsidR="003851A7">
        <w:t>lower emissions due to the large gap between the rich and the poor and the number of poor households that emit less than those in wealthier household (</w:t>
      </w:r>
      <w:hyperlink w:anchor="ref-hailemariam2020">
        <w:r w:rsidR="003851A7">
          <w:rPr>
            <w:rStyle w:val="Hyperlink"/>
          </w:rPr>
          <w:t>Hailemariam, 2020</w:t>
        </w:r>
      </w:hyperlink>
      <w:r w:rsidR="003851A7">
        <w:rPr>
          <w:rStyle w:val="Hyperlink"/>
        </w:rPr>
        <w:t>)</w:t>
      </w:r>
      <w:r>
        <w:t xml:space="preserve">. The Gini coefficient is measured on a scale from 0 (perfect equality) to 1 (maximal inequality). Data comes from the Standardized World Income Inequality Database [SWIID version 9.2; </w:t>
      </w:r>
      <w:hyperlink w:anchor="ref-solt2020">
        <w:r>
          <w:rPr>
            <w:rStyle w:val="Hyperlink"/>
          </w:rPr>
          <w:t>Solt</w:t>
        </w:r>
      </w:hyperlink>
      <w:r>
        <w:t xml:space="preserve"> (</w:t>
      </w:r>
      <w:hyperlink w:anchor="ref-solt2020">
        <w:r>
          <w:rPr>
            <w:rStyle w:val="Hyperlink"/>
          </w:rPr>
          <w:t>2020</w:t>
        </w:r>
      </w:hyperlink>
      <w:r>
        <w:t>)]. It provides a standardized and globally comprehensive Gini coefficient that is comparable across time and countries. Time-varying Gini coefficients are grand-mean centered, indicating a country with average wealth inequality.</w:t>
      </w:r>
    </w:p>
    <w:p w14:paraId="4AD951BD" w14:textId="4753B8B9" w:rsidR="00993683" w:rsidRDefault="003B22F8" w:rsidP="00993683">
      <w:pPr>
        <w:pStyle w:val="BodyText"/>
        <w:ind w:firstLine="0"/>
      </w:pPr>
      <w:r>
        <w:rPr>
          <w:b/>
          <w:bCs/>
        </w:rPr>
        <w:t>Left-Right Political Ideology</w:t>
      </w:r>
      <w:r>
        <w:t>. As the literature review highlighted, political ideology has a major influence on climate change beliefs, which can, in turn, affect voting behaviors, policy support, and pro-environemntal behaviors. All of these have the potential to affect carbon emissions. Thus, a measure of political ideology is included in the analysis. Following Czarnek et al.’s (</w:t>
      </w:r>
      <w:hyperlink w:anchor="ref-czarnekRightwingIdeologyReduces2021">
        <w:r>
          <w:rPr>
            <w:rStyle w:val="Hyperlink"/>
          </w:rPr>
          <w:t>2021</w:t>
        </w:r>
      </w:hyperlink>
      <w:r>
        <w:t xml:space="preserve">) methods, data from the Integrated Values Survey (an integration of the European Values Survey and the World Values Survey) is used as a measure of ideology. For their analyses, </w:t>
      </w:r>
      <w:hyperlink w:anchor="ref-czarnekRightwingIdeologyReduces2021">
        <w:r>
          <w:rPr>
            <w:rStyle w:val="Hyperlink"/>
          </w:rPr>
          <w:t>Czarnek et al.</w:t>
        </w:r>
      </w:hyperlink>
      <w:r>
        <w:t xml:space="preserve"> (</w:t>
      </w:r>
      <w:hyperlink w:anchor="ref-czarnekRightwingIdeologyReduces2021">
        <w:r>
          <w:rPr>
            <w:rStyle w:val="Hyperlink"/>
          </w:rPr>
          <w:t>2021</w:t>
        </w:r>
      </w:hyperlink>
      <w:r>
        <w:t xml:space="preserve">) used a single question that asked respondents to place themselves on the left-right scale. </w:t>
      </w:r>
      <w:r w:rsidR="00993683">
        <w:t>However, left-right scale placement questions may not be interpreted the same across countries and cultures (</w:t>
      </w:r>
      <w:hyperlink w:anchor="ref-zuell2019">
        <w:r w:rsidR="00993683">
          <w:rPr>
            <w:rStyle w:val="Hyperlink"/>
          </w:rPr>
          <w:t>Zuell &amp; Scholz, 2019</w:t>
        </w:r>
      </w:hyperlink>
      <w:r w:rsidR="00993683">
        <w:t xml:space="preserve">). </w:t>
      </w:r>
      <w:hyperlink w:anchor="ref-czarnekRightwingIdeologyReduces2021">
        <w:r w:rsidR="00993683">
          <w:rPr>
            <w:rStyle w:val="Hyperlink"/>
          </w:rPr>
          <w:t>Czarnek et al.</w:t>
        </w:r>
      </w:hyperlink>
      <w:r w:rsidR="00993683">
        <w:t xml:space="preserve"> (</w:t>
      </w:r>
      <w:hyperlink w:anchor="ref-czarnekRightwingIdeologyReduces2021">
        <w:r w:rsidR="00993683">
          <w:rPr>
            <w:rStyle w:val="Hyperlink"/>
          </w:rPr>
          <w:t>2021</w:t>
        </w:r>
      </w:hyperlink>
      <w:r w:rsidR="00993683">
        <w:t>) also constructed a scale on a group of questions related to cultural or economic values that could represent the left-right scale. However, no factor analysis was conducted to assess whether the chosen questions represented the same underlying construct.</w:t>
      </w:r>
    </w:p>
    <w:p w14:paraId="71E26A38" w14:textId="1611DE75" w:rsidR="00993683" w:rsidRDefault="00993683" w:rsidP="00993683">
      <w:pPr>
        <w:pStyle w:val="BodyText"/>
      </w:pPr>
      <w:proofErr w:type="gramStart"/>
      <w:r>
        <w:t>In order to</w:t>
      </w:r>
      <w:proofErr w:type="gramEnd"/>
      <w:r>
        <w:t xml:space="preserve"> include a more valid left-right ideology index, the current research builds upon this past work. Eleven questions from the IVS were chosen that closely relate to political ideology, including questions selected by </w:t>
      </w:r>
      <w:hyperlink w:anchor="ref-czarnekRightwingIdeologyReduces2021">
        <w:r>
          <w:rPr>
            <w:rStyle w:val="Hyperlink"/>
          </w:rPr>
          <w:t>Czarnek et al.</w:t>
        </w:r>
      </w:hyperlink>
      <w:r>
        <w:t xml:space="preserve"> (</w:t>
      </w:r>
      <w:hyperlink w:anchor="ref-czarnekRightwingIdeologyReduces2021">
        <w:r>
          <w:rPr>
            <w:rStyle w:val="Hyperlink"/>
          </w:rPr>
          <w:t>2021</w:t>
        </w:r>
      </w:hyperlink>
      <w:r>
        <w:t xml:space="preserve">). A series of factor </w:t>
      </w:r>
      <w:r>
        <w:lastRenderedPageBreak/>
        <w:t>analyses suggested that three questions loaded highly on a single factor that could represent left-right placement (see Appendix B for the details of this analysis).</w:t>
      </w:r>
    </w:p>
    <w:p w14:paraId="54863538" w14:textId="77777777" w:rsidR="0033629A" w:rsidRDefault="004409CB">
      <w:pPr>
        <w:pStyle w:val="Figure"/>
        <w:jc w:val="center"/>
      </w:pPr>
      <w:r>
        <w:rPr>
          <w:noProof/>
        </w:rPr>
        <w:drawing>
          <wp:inline distT="0" distB="0" distL="0" distR="0" wp14:anchorId="72293D1B" wp14:editId="331A2F9E">
            <wp:extent cx="4187952" cy="32918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35"/>
                    <a:srcRect/>
                    <a:stretch>
                      <a:fillRect/>
                    </a:stretch>
                  </pic:blipFill>
                  <pic:spPr bwMode="auto">
                    <a:xfrm>
                      <a:off x="0" y="0"/>
                      <a:ext cx="58166" cy="45720"/>
                    </a:xfrm>
                    <a:prstGeom prst="rect">
                      <a:avLst/>
                    </a:prstGeom>
                    <a:noFill/>
                  </pic:spPr>
                </pic:pic>
              </a:graphicData>
            </a:graphic>
          </wp:inline>
        </w:drawing>
      </w:r>
    </w:p>
    <w:p w14:paraId="3BB49523" w14:textId="3D39102E" w:rsidR="0033629A" w:rsidRDefault="004409CB">
      <w:pPr>
        <w:pStyle w:val="ImageCaption"/>
      </w:pPr>
      <w:bookmarkStart w:id="68" w:name="_Toc105675524"/>
      <w:r>
        <w:rPr>
          <w:b/>
        </w:rPr>
        <w:t xml:space="preserve">Figure </w:t>
      </w:r>
      <w:bookmarkStart w:id="69" w:name="mfg"/>
      <w:r>
        <w:rPr>
          <w:b/>
        </w:rPr>
        <w:fldChar w:fldCharType="begin"/>
      </w:r>
      <w:r>
        <w:rPr>
          <w:b/>
        </w:rPr>
        <w:instrText>SEQ Figure \* Arabic</w:instrText>
      </w:r>
      <w:r>
        <w:rPr>
          <w:b/>
        </w:rPr>
        <w:fldChar w:fldCharType="separate"/>
      </w:r>
      <w:r w:rsidR="00766923">
        <w:rPr>
          <w:b/>
          <w:noProof/>
        </w:rPr>
        <w:t>9</w:t>
      </w:r>
      <w:r>
        <w:rPr>
          <w:b/>
        </w:rPr>
        <w:fldChar w:fldCharType="end"/>
      </w:r>
      <w:bookmarkEnd w:id="69"/>
      <w:r>
        <w:t>: A scatterplot of CO</w:t>
      </w:r>
      <w:r>
        <w:rPr>
          <w:vertAlign w:val="subscript"/>
        </w:rPr>
        <w:t>2</w:t>
      </w:r>
      <w:r>
        <w:t xml:space="preserve"> emissions per capita and exports/manufacturing as a percentage of GDP, colored by OECD.</w:t>
      </w:r>
      <w:bookmarkEnd w:id="68"/>
    </w:p>
    <w:p w14:paraId="0CB5776D" w14:textId="28B33A1C" w:rsidR="003B22F8" w:rsidRDefault="003B22F8">
      <w:pPr>
        <w:pStyle w:val="ImageCaption"/>
      </w:pPr>
    </w:p>
    <w:p w14:paraId="7EC90FC5" w14:textId="77777777" w:rsidR="003B22F8" w:rsidRDefault="003B22F8">
      <w:pPr>
        <w:pStyle w:val="ImageCaption"/>
      </w:pPr>
    </w:p>
    <w:p w14:paraId="19CA39DB" w14:textId="77777777" w:rsidR="0033629A" w:rsidRDefault="004409CB">
      <w:pPr>
        <w:pStyle w:val="Figure"/>
        <w:jc w:val="center"/>
      </w:pPr>
      <w:r>
        <w:rPr>
          <w:noProof/>
        </w:rPr>
        <w:drawing>
          <wp:inline distT="0" distB="0" distL="0" distR="0" wp14:anchorId="0EA18F27" wp14:editId="66FD7AF8">
            <wp:extent cx="4187952" cy="329184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
                    <pic:cNvPicPr>
                      <a:picLocks noChangeAspect="1" noChangeArrowheads="1"/>
                    </pic:cNvPicPr>
                  </pic:nvPicPr>
                  <pic:blipFill>
                    <a:blip r:embed="rId36"/>
                    <a:srcRect/>
                    <a:stretch>
                      <a:fillRect/>
                    </a:stretch>
                  </pic:blipFill>
                  <pic:spPr bwMode="auto">
                    <a:xfrm>
                      <a:off x="0" y="0"/>
                      <a:ext cx="58166" cy="45720"/>
                    </a:xfrm>
                    <a:prstGeom prst="rect">
                      <a:avLst/>
                    </a:prstGeom>
                    <a:noFill/>
                  </pic:spPr>
                </pic:pic>
              </a:graphicData>
            </a:graphic>
          </wp:inline>
        </w:drawing>
      </w:r>
    </w:p>
    <w:p w14:paraId="7E1A4DBD" w14:textId="359E21CB" w:rsidR="0033629A" w:rsidRDefault="004409CB">
      <w:pPr>
        <w:pStyle w:val="ImageCaption"/>
      </w:pPr>
      <w:bookmarkStart w:id="70" w:name="_Toc105675525"/>
      <w:r>
        <w:rPr>
          <w:b/>
        </w:rPr>
        <w:t xml:space="preserve">Figure </w:t>
      </w:r>
      <w:bookmarkStart w:id="71" w:name="gini"/>
      <w:r>
        <w:rPr>
          <w:b/>
        </w:rPr>
        <w:fldChar w:fldCharType="begin"/>
      </w:r>
      <w:r>
        <w:rPr>
          <w:b/>
        </w:rPr>
        <w:instrText>SEQ Figure \* Arabic</w:instrText>
      </w:r>
      <w:r>
        <w:rPr>
          <w:b/>
        </w:rPr>
        <w:fldChar w:fldCharType="separate"/>
      </w:r>
      <w:r w:rsidR="00766923">
        <w:rPr>
          <w:b/>
          <w:noProof/>
        </w:rPr>
        <w:t>10</w:t>
      </w:r>
      <w:r>
        <w:rPr>
          <w:b/>
        </w:rPr>
        <w:fldChar w:fldCharType="end"/>
      </w:r>
      <w:bookmarkEnd w:id="71"/>
      <w:r>
        <w:t>: A scatterplot of CO</w:t>
      </w:r>
      <w:r>
        <w:rPr>
          <w:vertAlign w:val="subscript"/>
        </w:rPr>
        <w:t>2</w:t>
      </w:r>
      <w:r>
        <w:t xml:space="preserve"> emissions per capita and Gini coefficients, colored by OECD.</w:t>
      </w:r>
      <w:bookmarkEnd w:id="70"/>
    </w:p>
    <w:p w14:paraId="6EDBAAF9" w14:textId="2EECA3C6" w:rsidR="0033629A" w:rsidRDefault="004409CB" w:rsidP="00993683">
      <w:pPr>
        <w:pStyle w:val="BodyText"/>
        <w:ind w:firstLine="0"/>
      </w:pPr>
      <w:r>
        <w:lastRenderedPageBreak/>
        <w:t>These questions reflect beliefs about homosexuality, abortion, and women’s right to work. A factor score was constructed by first placing the individual items on a 0-1 scale following Czarnek et al.’s (</w:t>
      </w:r>
      <w:hyperlink w:anchor="ref-czarnekRightwingIdeologyReduces2021">
        <w:r>
          <w:rPr>
            <w:rStyle w:val="Hyperlink"/>
          </w:rPr>
          <w:t>2021</w:t>
        </w:r>
      </w:hyperlink>
      <w:r>
        <w:t>) methods</w:t>
      </w:r>
      <w:r>
        <w:rPr>
          <w:rStyle w:val="FootnoteReference"/>
        </w:rPr>
        <w:footnoteReference w:id="6"/>
      </w:r>
      <w:r>
        <w:t>, averaging across these questions to get each respondent’s placement on the left-right scale. For the final data set, the mean of individuals per country per survey wave is calculated. The Values surveys gather responses from a country during a single year within multi-year waves. Therefore, there is missing data on years not surveyed during a particular wave. Missing data during a wave is filled based on the observation within that wave. For example, the value for a country surveyed in 2011 is applied for all years within the 2010-2014 wave. Their 2016 value would be used for the 2015-2019 wave, and so on. Finally, this variable is grand-mean centered, with the intercept referring to a country with average left-right ideology.</w:t>
      </w:r>
    </w:p>
    <w:p w14:paraId="7C3AFAFB" w14:textId="2940262B" w:rsidR="0033629A" w:rsidRDefault="004409CB">
      <w:pPr>
        <w:pStyle w:val="BodyText"/>
      </w:pPr>
      <w:r>
        <w:rPr>
          <w:b/>
          <w:bCs/>
        </w:rPr>
        <w:t>Democracy Index</w:t>
      </w:r>
      <w:r>
        <w:t>. A democracy index score from the Varieties of Democracies (V-Dem) Project (</w:t>
      </w:r>
      <w:hyperlink w:anchor="ref-VDemV11">
        <w:r>
          <w:rPr>
            <w:rStyle w:val="Hyperlink"/>
          </w:rPr>
          <w:t>Coppedge et al., 2021a</w:t>
        </w:r>
      </w:hyperlink>
      <w:r>
        <w:t xml:space="preserve">; </w:t>
      </w:r>
      <w:hyperlink w:anchor="ref-mm2021">
        <w:r>
          <w:rPr>
            <w:rStyle w:val="Hyperlink"/>
          </w:rPr>
          <w:t>Pemstein et al., 2021</w:t>
        </w:r>
      </w:hyperlink>
      <w:r>
        <w:t>) is included to control for political effects on carbon emissions (</w:t>
      </w:r>
      <w:hyperlink w:anchor="ref-povitkina2018">
        <w:r>
          <w:rPr>
            <w:rStyle w:val="Hyperlink"/>
          </w:rPr>
          <w:t>Povitkina, 2018</w:t>
        </w:r>
      </w:hyperlink>
      <w:r>
        <w:t>). Specifically, the data uses V-Dem’s electoral democracy index (polyarchy). This measure is seen as “an essential element of any other conception of representative democracy” (</w:t>
      </w:r>
      <w:hyperlink w:anchor="ref-Vdemcodebook2021">
        <w:r>
          <w:rPr>
            <w:rStyle w:val="Hyperlink"/>
          </w:rPr>
          <w:t>Coppedge et al., 2021b, p. 43</w:t>
        </w:r>
      </w:hyperlink>
      <w:r>
        <w:t>) and thus the best underlying measure of democracy (</w:t>
      </w:r>
      <w:hyperlink w:anchor="ref-boese2019">
        <w:r>
          <w:rPr>
            <w:rStyle w:val="Hyperlink"/>
          </w:rPr>
          <w:t>Boese, 2019</w:t>
        </w:r>
      </w:hyperlink>
      <w:r>
        <w:t xml:space="preserve">). </w:t>
      </w:r>
      <w:r w:rsidR="003851A7">
        <w:t>It is an aggregate index comprised of measur</w:t>
      </w:r>
      <w:r w:rsidR="00370382">
        <w:t xml:space="preserve">es of clean and fair elections, freedom of association (the ability to form and participate in political parties), freedom of expression, male and female suffrage, and weather the chief executive is elected via popular elections (directly or indirectly; </w:t>
      </w:r>
      <w:hyperlink w:anchor="ref-Vdemcodebook2021">
        <w:r w:rsidR="00370382">
          <w:rPr>
            <w:rStyle w:val="Hyperlink"/>
          </w:rPr>
          <w:t>Coppedge et al., 2021b</w:t>
        </w:r>
      </w:hyperlink>
      <w:r w:rsidR="00370382">
        <w:t xml:space="preserve">).  </w:t>
      </w:r>
      <w:r>
        <w:t>The index ranges from 0 to 1, indicating a range of low (or no) to high electoral</w:t>
      </w:r>
      <w:r w:rsidR="003E1682">
        <w:t xml:space="preserve"> </w:t>
      </w:r>
      <w:r>
        <w:lastRenderedPageBreak/>
        <w:t xml:space="preserve">democracy. Data is </w:t>
      </w:r>
      <w:proofErr w:type="gramStart"/>
      <w:r>
        <w:t>grand-mean</w:t>
      </w:r>
      <w:proofErr w:type="gramEnd"/>
      <w:r>
        <w:t xml:space="preserve"> centered, with the intercept referring to a country with an average democracy score.</w:t>
      </w:r>
    </w:p>
    <w:p w14:paraId="7DBB5801" w14:textId="77777777" w:rsidR="0033629A" w:rsidRDefault="004409CB">
      <w:pPr>
        <w:pStyle w:val="BodyText"/>
      </w:pPr>
      <w:r>
        <w:rPr>
          <w:b/>
          <w:bCs/>
        </w:rPr>
        <w:t>Political Corruption Index</w:t>
      </w:r>
      <w:r>
        <w:t>. The Political Corruption Index also comes from the V-Dem Project and was cited as an influential variable in understanding the extent to which a government may influence emissions (</w:t>
      </w:r>
      <w:hyperlink w:anchor="ref-povitkina2018">
        <w:r>
          <w:rPr>
            <w:rStyle w:val="Hyperlink"/>
          </w:rPr>
          <w:t>Povitkina, 2018</w:t>
        </w:r>
      </w:hyperlink>
      <w:r>
        <w:t>). This data is also time-varying and grand-mean centered.</w:t>
      </w:r>
    </w:p>
    <w:p w14:paraId="172C2310" w14:textId="77777777" w:rsidR="0033629A" w:rsidRDefault="004409CB">
      <w:pPr>
        <w:pStyle w:val="BodyText"/>
      </w:pPr>
      <w:r>
        <w:rPr>
          <w:b/>
          <w:bCs/>
        </w:rPr>
        <w:t>Net Enrollment in Secondary Education</w:t>
      </w:r>
      <w:r>
        <w:t>. Net enrollment of secondary students refers to the ratio of secondary students enrolled to the population of secondary school-aged children. This data comes from both the World Bank and the PISA Coverage Index 3. The Coverage Index 3 refers to the percentage of the 15-year-old population within a country that is assessed by the PISA exam. Lower rates indicate a lower percentage of the population is enrolled in school (</w:t>
      </w:r>
      <w:hyperlink w:anchor="ref-gamboa2015">
        <w:r>
          <w:rPr>
            <w:rStyle w:val="Hyperlink"/>
          </w:rPr>
          <w:t>Gamboa &amp; Waltenberg, 2015</w:t>
        </w:r>
      </w:hyperlink>
      <w:r>
        <w:t>). Because both sources of net enrollment have extensive missing data (30% or higher), and because they are similar in definition and share a high correlation (</w:t>
      </w:r>
      <w:r>
        <w:rPr>
          <w:i/>
          <w:iCs/>
        </w:rPr>
        <w:t>r</w:t>
      </w:r>
      <w:r>
        <w:t xml:space="preserve"> = .72, averaged across years), missing data from the PISA coverage index was replaced with World Bank net enrollment data. This provides a more complete data set with only 10% missing data. This time-varying variable is grand-mean centered, referring to countries with average net enrollment.</w:t>
      </w:r>
    </w:p>
    <w:p w14:paraId="1349EAAB" w14:textId="71D3B7B2" w:rsidR="0033629A" w:rsidRDefault="004409CB">
      <w:pPr>
        <w:pStyle w:val="BodyText"/>
      </w:pPr>
      <w:r>
        <w:rPr>
          <w:b/>
          <w:bCs/>
        </w:rPr>
        <w:t>OECD</w:t>
      </w:r>
      <w:r>
        <w:t xml:space="preserve">. Past research has used various indicators to model or control for effects of a country’s development status (e.g., </w:t>
      </w:r>
      <w:hyperlink w:anchor="ref-czarnekRightwingIdeologyReduces2021">
        <w:r>
          <w:rPr>
            <w:rStyle w:val="Hyperlink"/>
          </w:rPr>
          <w:t>Czarnek et al., 2021</w:t>
        </w:r>
      </w:hyperlink>
      <w:r>
        <w:t xml:space="preserve">; </w:t>
      </w:r>
      <w:hyperlink w:anchor="ref-kelly2020">
        <w:r>
          <w:rPr>
            <w:rStyle w:val="Hyperlink"/>
          </w:rPr>
          <w:t>Kelly, 2020</w:t>
        </w:r>
      </w:hyperlink>
      <w:r>
        <w:t xml:space="preserve">; </w:t>
      </w:r>
      <w:hyperlink w:anchor="ref-lee2020">
        <w:r>
          <w:rPr>
            <w:rStyle w:val="Hyperlink"/>
          </w:rPr>
          <w:t>Lee et al., 2020</w:t>
        </w:r>
      </w:hyperlink>
      <w:r>
        <w:t xml:space="preserve">; </w:t>
      </w:r>
      <w:hyperlink w:anchor="ref-mcgee2020">
        <w:r>
          <w:rPr>
            <w:rStyle w:val="Hyperlink"/>
          </w:rPr>
          <w:t>McGee et al., 2020</w:t>
        </w:r>
      </w:hyperlink>
      <w:r>
        <w:t>). Countries that are members of the OECD are typically more developed, higher-income countries in the Global North (</w:t>
      </w:r>
      <w:hyperlink w:anchor="ref-oecdlist">
        <w:r>
          <w:rPr>
            <w:rStyle w:val="Hyperlink"/>
          </w:rPr>
          <w:t>OECD, n.d.</w:t>
        </w:r>
      </w:hyperlink>
      <w:r>
        <w:t xml:space="preserve">). The PISA designates countries as OECD countries or as partner countries </w:t>
      </w:r>
      <w:proofErr w:type="gramStart"/>
      <w:r>
        <w:t>in order to</w:t>
      </w:r>
      <w:proofErr w:type="gramEnd"/>
      <w:r>
        <w:t xml:space="preserve"> represent their development status within their models and results (</w:t>
      </w:r>
      <w:hyperlink w:anchor="ref-bloem2013">
        <w:r>
          <w:rPr>
            <w:rStyle w:val="Hyperlink"/>
          </w:rPr>
          <w:t>Bloem, 2013</w:t>
        </w:r>
      </w:hyperlink>
      <w:r>
        <w:t xml:space="preserve">). Thus, OECD status in this research serves as a key measure of development. This variable indicates whether a country is a member of the OECD </w:t>
      </w:r>
      <w:r>
        <w:lastRenderedPageBreak/>
        <w:t xml:space="preserve">or not, as classified by the PISA. For </w:t>
      </w:r>
      <w:proofErr w:type="gramStart"/>
      <w:r>
        <w:t>a majority of</w:t>
      </w:r>
      <w:proofErr w:type="gramEnd"/>
      <w:r>
        <w:t xml:space="preserve"> countries included over this 12-year period, OECD has been time-invariant. However, several countries became OECD members during this period, especially in 2010. Therefore, OECD status is treated as time-varying. </w:t>
      </w:r>
      <w:hyperlink w:anchor="sltable">
        <w:r>
          <w:fldChar w:fldCharType="begin"/>
        </w:r>
        <w:r>
          <w:instrText xml:space="preserve"> REF sltable \h</w:instrText>
        </w:r>
        <w:r>
          <w:fldChar w:fldCharType="separate"/>
        </w:r>
        <w:r w:rsidR="00766923">
          <w:rPr>
            <w:b/>
            <w:i/>
            <w:noProof/>
            <w:sz w:val="20"/>
          </w:rPr>
          <w:t>8</w:t>
        </w:r>
        <w:r>
          <w:fldChar w:fldCharType="end"/>
        </w:r>
      </w:hyperlink>
      <w:r>
        <w:t xml:space="preserve"> in Appendix A lists each country’s OECD status.</w:t>
      </w:r>
    </w:p>
    <w:p w14:paraId="5766F442" w14:textId="77777777" w:rsidR="00371DDA" w:rsidRDefault="00371DDA" w:rsidP="00371DDA">
      <w:pPr>
        <w:pStyle w:val="Heading3"/>
      </w:pPr>
      <w:bookmarkStart w:id="72" w:name="_Toc107939117"/>
      <w:r>
        <w:t>Time-Invariant (Level-2) Variables</w:t>
      </w:r>
      <w:bookmarkEnd w:id="72"/>
    </w:p>
    <w:p w14:paraId="7EFB6719" w14:textId="18F2AB94" w:rsidR="003B22F8" w:rsidRDefault="00371DDA" w:rsidP="003B22F8">
      <w:pPr>
        <w:pStyle w:val="BodyText"/>
      </w:pPr>
      <w:r>
        <w:rPr>
          <w:b/>
          <w:bCs/>
        </w:rPr>
        <w:t>Country</w:t>
      </w:r>
      <w:r>
        <w:t xml:space="preserve">. In total, 98 countries have participated in the PISA at least once since 2006, 65 have participated at least three times, and 51 have participated in all five assessment cycles being analyzed. </w:t>
      </w:r>
      <w:hyperlink w:anchor="ref-hox2018">
        <w:r>
          <w:rPr>
            <w:rStyle w:val="Hyperlink"/>
          </w:rPr>
          <w:t>Hox et al.</w:t>
        </w:r>
      </w:hyperlink>
      <w:r>
        <w:t xml:space="preserve"> (</w:t>
      </w:r>
      <w:hyperlink w:anchor="ref-hox2018">
        <w:r>
          <w:rPr>
            <w:rStyle w:val="Hyperlink"/>
          </w:rPr>
          <w:t>2018</w:t>
        </w:r>
      </w:hyperlink>
      <w:r>
        <w:t xml:space="preserve">) recommend keeping all cases with missing data, as this data can still contribute to the multilevel analysis (p. 97). Maximum effort has been taken to ensure as much complete data as possible is included in this analysis. The data set for this analysis is long, with each row representing a country within a particular year. If a country is missing </w:t>
      </w:r>
      <w:r w:rsidR="003B22F8">
        <w:t xml:space="preserve">data on the dependent variable, it will be removed for that year only. Countries are retained </w:t>
      </w:r>
      <w:proofErr w:type="gramStart"/>
      <w:r w:rsidR="003B22F8">
        <w:t>whether or not</w:t>
      </w:r>
      <w:proofErr w:type="gramEnd"/>
      <w:r w:rsidR="003B22F8">
        <w:t xml:space="preserve"> they are missing data on the independent variables. A total of 82 countries are retained for the models</w:t>
      </w:r>
      <w:r w:rsidR="003B22F8">
        <w:rPr>
          <w:rStyle w:val="FootnoteReference"/>
        </w:rPr>
        <w:footnoteReference w:id="7"/>
      </w:r>
      <w:r w:rsidR="003B22F8">
        <w:t xml:space="preserve">. The complete list of countries is available in Appendix A, Table </w:t>
      </w:r>
      <w:hyperlink w:anchor="sltable">
        <w:r w:rsidR="003B22F8">
          <w:fldChar w:fldCharType="begin"/>
        </w:r>
        <w:r w:rsidR="003B22F8">
          <w:instrText xml:space="preserve"> REF sltable \h</w:instrText>
        </w:r>
        <w:r w:rsidR="003B22F8">
          <w:fldChar w:fldCharType="separate"/>
        </w:r>
        <w:r w:rsidR="00766923">
          <w:rPr>
            <w:b/>
            <w:i/>
            <w:noProof/>
            <w:sz w:val="20"/>
          </w:rPr>
          <w:t>8</w:t>
        </w:r>
        <w:r w:rsidR="003B22F8">
          <w:fldChar w:fldCharType="end"/>
        </w:r>
      </w:hyperlink>
      <w:r w:rsidR="003B22F8">
        <w:t>.</w:t>
      </w:r>
    </w:p>
    <w:p w14:paraId="01206BD5" w14:textId="77777777" w:rsidR="00EC66B6" w:rsidRDefault="00993683" w:rsidP="00993683">
      <w:pPr>
        <w:pStyle w:val="BodyText"/>
      </w:pPr>
      <w:r>
        <w:rPr>
          <w:b/>
          <w:bCs/>
        </w:rPr>
        <w:t>Collectivism-Individualism</w:t>
      </w:r>
      <w:r>
        <w:t>. Previous research indicates ideology and worldview play an important role in influencing a number of climate-change-related issues: beliefs, behaviors, mitigation, and emissions (</w:t>
      </w:r>
      <w:hyperlink w:anchor="ref-czarnekRightwingIdeologyReduces2021">
        <w:r>
          <w:rPr>
            <w:rStyle w:val="Hyperlink"/>
          </w:rPr>
          <w:t>Czarnek et al., 2021</w:t>
        </w:r>
      </w:hyperlink>
      <w:r>
        <w:t xml:space="preserve">; </w:t>
      </w:r>
      <w:hyperlink w:anchor="ref-dietz2007a">
        <w:r>
          <w:rPr>
            <w:rStyle w:val="Hyperlink"/>
          </w:rPr>
          <w:t>Dietz, Dan, et al., 2007</w:t>
        </w:r>
      </w:hyperlink>
      <w:r>
        <w:t xml:space="preserve">; </w:t>
      </w:r>
      <w:hyperlink w:anchor="ref-guy2014">
        <w:r>
          <w:rPr>
            <w:rStyle w:val="Hyperlink"/>
          </w:rPr>
          <w:t>Guy et al., 2014</w:t>
        </w:r>
      </w:hyperlink>
      <w:r>
        <w:t xml:space="preserve">; </w:t>
      </w:r>
      <w:hyperlink w:anchor="ref-hornsey2016">
        <w:r>
          <w:rPr>
            <w:rStyle w:val="Hyperlink"/>
          </w:rPr>
          <w:t>Hornsey et al., 2016</w:t>
        </w:r>
      </w:hyperlink>
      <w:r>
        <w:t xml:space="preserve">; </w:t>
      </w:r>
      <w:hyperlink w:anchor="ref-kahan2013">
        <w:r>
          <w:rPr>
            <w:rStyle w:val="Hyperlink"/>
          </w:rPr>
          <w:t>Kahan, 2013</w:t>
        </w:r>
      </w:hyperlink>
      <w:r>
        <w:t xml:space="preserve">). While this research covers many permutations of ideology and worldview, most can be categorized as a continuum with the terms left, liberal, egalitarian, communitarian, collectivist on one end and right, conservative, hierarchical, individualist on the other. While </w:t>
      </w:r>
      <w:proofErr w:type="gramStart"/>
      <w:r>
        <w:t>similar to</w:t>
      </w:r>
      <w:proofErr w:type="gramEnd"/>
      <w:r>
        <w:t xml:space="preserve"> the left-right political ideology scale, </w:t>
      </w:r>
      <w:r>
        <w:lastRenderedPageBreak/>
        <w:t>the Collectivism-Individualism scale serves as a stable measure of a nation’s worldview beyond politics.</w:t>
      </w:r>
      <w:r w:rsidR="00EC66B6">
        <w:t xml:space="preserve"> </w:t>
      </w:r>
    </w:p>
    <w:p w14:paraId="328E2953" w14:textId="435A7AA9" w:rsidR="00993683" w:rsidRDefault="00993683" w:rsidP="00993683">
      <w:pPr>
        <w:pStyle w:val="BodyText"/>
      </w:pPr>
      <w:r>
        <w:t xml:space="preserve">Hofstede’s cultural dimensions serve as a potential measure at this level. These dimensions form a framework for understanding cultural values. </w:t>
      </w:r>
    </w:p>
    <w:p w14:paraId="7397527C" w14:textId="77777777" w:rsidR="0033629A" w:rsidRDefault="004409CB">
      <w:pPr>
        <w:pStyle w:val="Figure"/>
        <w:jc w:val="center"/>
      </w:pPr>
      <w:r>
        <w:rPr>
          <w:noProof/>
        </w:rPr>
        <w:drawing>
          <wp:inline distT="0" distB="0" distL="0" distR="0" wp14:anchorId="256377F4" wp14:editId="73FD88C7">
            <wp:extent cx="4187952" cy="329184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
                    <pic:cNvPicPr>
                      <a:picLocks noChangeAspect="1" noChangeArrowheads="1"/>
                    </pic:cNvPicPr>
                  </pic:nvPicPr>
                  <pic:blipFill>
                    <a:blip r:embed="rId37"/>
                    <a:srcRect/>
                    <a:stretch>
                      <a:fillRect/>
                    </a:stretch>
                  </pic:blipFill>
                  <pic:spPr bwMode="auto">
                    <a:xfrm>
                      <a:off x="0" y="0"/>
                      <a:ext cx="58166" cy="45720"/>
                    </a:xfrm>
                    <a:prstGeom prst="rect">
                      <a:avLst/>
                    </a:prstGeom>
                    <a:noFill/>
                  </pic:spPr>
                </pic:pic>
              </a:graphicData>
            </a:graphic>
          </wp:inline>
        </w:drawing>
      </w:r>
    </w:p>
    <w:p w14:paraId="0F44646C" w14:textId="67259240" w:rsidR="0033629A" w:rsidRDefault="004409CB">
      <w:pPr>
        <w:pStyle w:val="ImageCaption"/>
      </w:pPr>
      <w:bookmarkStart w:id="73" w:name="_Toc105675526"/>
      <w:r>
        <w:rPr>
          <w:b/>
        </w:rPr>
        <w:t xml:space="preserve">Figure </w:t>
      </w:r>
      <w:bookmarkStart w:id="74" w:name="lr"/>
      <w:r>
        <w:rPr>
          <w:b/>
        </w:rPr>
        <w:fldChar w:fldCharType="begin"/>
      </w:r>
      <w:r>
        <w:rPr>
          <w:b/>
        </w:rPr>
        <w:instrText>SEQ Figure \* Arabic</w:instrText>
      </w:r>
      <w:r>
        <w:rPr>
          <w:b/>
        </w:rPr>
        <w:fldChar w:fldCharType="separate"/>
      </w:r>
      <w:r w:rsidR="00766923">
        <w:rPr>
          <w:b/>
          <w:noProof/>
        </w:rPr>
        <w:t>11</w:t>
      </w:r>
      <w:r>
        <w:rPr>
          <w:b/>
        </w:rPr>
        <w:fldChar w:fldCharType="end"/>
      </w:r>
      <w:bookmarkEnd w:id="74"/>
      <w:r>
        <w:t>: A scatterplot of CO</w:t>
      </w:r>
      <w:r>
        <w:rPr>
          <w:vertAlign w:val="subscript"/>
        </w:rPr>
        <w:t>2</w:t>
      </w:r>
      <w:r>
        <w:t xml:space="preserve"> emissions per capita and Left-Right Orientation, colored by OECD.</w:t>
      </w:r>
      <w:bookmarkEnd w:id="73"/>
    </w:p>
    <w:p w14:paraId="1AB70772" w14:textId="7AA55B9B" w:rsidR="003B22F8" w:rsidRDefault="003B22F8">
      <w:pPr>
        <w:pStyle w:val="ImageCaption"/>
      </w:pPr>
    </w:p>
    <w:p w14:paraId="34B8362E" w14:textId="77777777" w:rsidR="003B22F8" w:rsidRDefault="003B22F8">
      <w:pPr>
        <w:pStyle w:val="ImageCaption"/>
      </w:pPr>
    </w:p>
    <w:p w14:paraId="4DCD42FF" w14:textId="77777777" w:rsidR="0033629A" w:rsidRDefault="004409CB">
      <w:pPr>
        <w:pStyle w:val="Figure"/>
        <w:jc w:val="center"/>
      </w:pPr>
      <w:r>
        <w:rPr>
          <w:noProof/>
        </w:rPr>
        <w:lastRenderedPageBreak/>
        <w:drawing>
          <wp:inline distT="0" distB="0" distL="0" distR="0" wp14:anchorId="607542E3" wp14:editId="0D93DD67">
            <wp:extent cx="4187952" cy="32918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
                    <pic:cNvPicPr>
                      <a:picLocks noChangeAspect="1" noChangeArrowheads="1"/>
                    </pic:cNvPicPr>
                  </pic:nvPicPr>
                  <pic:blipFill>
                    <a:blip r:embed="rId38"/>
                    <a:srcRect/>
                    <a:stretch>
                      <a:fillRect/>
                    </a:stretch>
                  </pic:blipFill>
                  <pic:spPr bwMode="auto">
                    <a:xfrm>
                      <a:off x="0" y="0"/>
                      <a:ext cx="58166" cy="45720"/>
                    </a:xfrm>
                    <a:prstGeom prst="rect">
                      <a:avLst/>
                    </a:prstGeom>
                    <a:noFill/>
                  </pic:spPr>
                </pic:pic>
              </a:graphicData>
            </a:graphic>
          </wp:inline>
        </w:drawing>
      </w:r>
    </w:p>
    <w:p w14:paraId="56902094" w14:textId="1EE3F028" w:rsidR="0033629A" w:rsidRDefault="004409CB">
      <w:pPr>
        <w:pStyle w:val="ImageCaption"/>
      </w:pPr>
      <w:bookmarkStart w:id="75" w:name="_Toc105675527"/>
      <w:r>
        <w:rPr>
          <w:b/>
        </w:rPr>
        <w:t xml:space="preserve">Figure </w:t>
      </w:r>
      <w:bookmarkStart w:id="76" w:name="demo"/>
      <w:r>
        <w:rPr>
          <w:b/>
        </w:rPr>
        <w:fldChar w:fldCharType="begin"/>
      </w:r>
      <w:r>
        <w:rPr>
          <w:b/>
        </w:rPr>
        <w:instrText>SEQ Figure \* Arabic</w:instrText>
      </w:r>
      <w:r>
        <w:rPr>
          <w:b/>
        </w:rPr>
        <w:fldChar w:fldCharType="separate"/>
      </w:r>
      <w:r w:rsidR="00766923">
        <w:rPr>
          <w:b/>
          <w:noProof/>
        </w:rPr>
        <w:t>12</w:t>
      </w:r>
      <w:r>
        <w:rPr>
          <w:b/>
        </w:rPr>
        <w:fldChar w:fldCharType="end"/>
      </w:r>
      <w:bookmarkEnd w:id="76"/>
      <w:r>
        <w:t>: A scatterplot of CO</w:t>
      </w:r>
      <w:r>
        <w:rPr>
          <w:vertAlign w:val="subscript"/>
        </w:rPr>
        <w:t>2</w:t>
      </w:r>
      <w:r>
        <w:t xml:space="preserve"> emissions per capita and Democracy Index, colored by OECD.</w:t>
      </w:r>
      <w:bookmarkEnd w:id="75"/>
    </w:p>
    <w:p w14:paraId="723EB5D7" w14:textId="77777777" w:rsidR="0033629A" w:rsidRDefault="004409CB">
      <w:r>
        <w:br w:type="page"/>
      </w:r>
    </w:p>
    <w:p w14:paraId="6AD2DE68" w14:textId="77777777" w:rsidR="0033629A" w:rsidRDefault="004409CB">
      <w:pPr>
        <w:pStyle w:val="Figure"/>
        <w:jc w:val="center"/>
      </w:pPr>
      <w:r>
        <w:rPr>
          <w:noProof/>
        </w:rPr>
        <w:lastRenderedPageBreak/>
        <w:drawing>
          <wp:inline distT="0" distB="0" distL="0" distR="0" wp14:anchorId="7CA17136" wp14:editId="588118AE">
            <wp:extent cx="4187952" cy="32918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a:picLocks noChangeAspect="1" noChangeArrowheads="1"/>
                    </pic:cNvPicPr>
                  </pic:nvPicPr>
                  <pic:blipFill>
                    <a:blip r:embed="rId39"/>
                    <a:srcRect/>
                    <a:stretch>
                      <a:fillRect/>
                    </a:stretch>
                  </pic:blipFill>
                  <pic:spPr bwMode="auto">
                    <a:xfrm>
                      <a:off x="0" y="0"/>
                      <a:ext cx="58166" cy="45720"/>
                    </a:xfrm>
                    <a:prstGeom prst="rect">
                      <a:avLst/>
                    </a:prstGeom>
                    <a:noFill/>
                  </pic:spPr>
                </pic:pic>
              </a:graphicData>
            </a:graphic>
          </wp:inline>
        </w:drawing>
      </w:r>
    </w:p>
    <w:p w14:paraId="36AB2BCD" w14:textId="3632FC39" w:rsidR="0033629A" w:rsidRDefault="004409CB">
      <w:pPr>
        <w:pStyle w:val="ImageCaption"/>
      </w:pPr>
      <w:bookmarkStart w:id="77" w:name="_Toc105675528"/>
      <w:r>
        <w:rPr>
          <w:b/>
        </w:rPr>
        <w:t xml:space="preserve">Figure </w:t>
      </w:r>
      <w:bookmarkStart w:id="78" w:name="corrup"/>
      <w:r>
        <w:rPr>
          <w:b/>
        </w:rPr>
        <w:fldChar w:fldCharType="begin"/>
      </w:r>
      <w:r>
        <w:rPr>
          <w:b/>
        </w:rPr>
        <w:instrText>SEQ Figure \* Arabic</w:instrText>
      </w:r>
      <w:r>
        <w:rPr>
          <w:b/>
        </w:rPr>
        <w:fldChar w:fldCharType="separate"/>
      </w:r>
      <w:r w:rsidR="00766923">
        <w:rPr>
          <w:b/>
          <w:noProof/>
        </w:rPr>
        <w:t>13</w:t>
      </w:r>
      <w:r>
        <w:rPr>
          <w:b/>
        </w:rPr>
        <w:fldChar w:fldCharType="end"/>
      </w:r>
      <w:bookmarkEnd w:id="78"/>
      <w:r>
        <w:t>: A scatterplot of CO</w:t>
      </w:r>
      <w:r>
        <w:rPr>
          <w:vertAlign w:val="subscript"/>
        </w:rPr>
        <w:t>2</w:t>
      </w:r>
      <w:r>
        <w:t xml:space="preserve"> emissions per capita and Political Corruption Index, colored by OECD.</w:t>
      </w:r>
      <w:bookmarkEnd w:id="77"/>
    </w:p>
    <w:p w14:paraId="54287301" w14:textId="2ED0BD04" w:rsidR="001B638A" w:rsidRDefault="001B638A">
      <w:pPr>
        <w:pStyle w:val="ImageCaption"/>
      </w:pPr>
    </w:p>
    <w:p w14:paraId="18F0049E" w14:textId="77777777" w:rsidR="001B638A" w:rsidRDefault="001B638A">
      <w:pPr>
        <w:pStyle w:val="ImageCaption"/>
      </w:pPr>
    </w:p>
    <w:p w14:paraId="5FBC203A" w14:textId="77777777" w:rsidR="0033629A" w:rsidRDefault="004409CB">
      <w:pPr>
        <w:pStyle w:val="Figure"/>
        <w:jc w:val="center"/>
      </w:pPr>
      <w:r>
        <w:rPr>
          <w:noProof/>
        </w:rPr>
        <w:drawing>
          <wp:inline distT="0" distB="0" distL="0" distR="0" wp14:anchorId="6B9CB2FC" wp14:editId="758B5D56">
            <wp:extent cx="4187952" cy="329184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
                    <pic:cNvPicPr>
                      <a:picLocks noChangeAspect="1" noChangeArrowheads="1"/>
                    </pic:cNvPicPr>
                  </pic:nvPicPr>
                  <pic:blipFill>
                    <a:blip r:embed="rId40"/>
                    <a:srcRect/>
                    <a:stretch>
                      <a:fillRect/>
                    </a:stretch>
                  </pic:blipFill>
                  <pic:spPr bwMode="auto">
                    <a:xfrm>
                      <a:off x="0" y="0"/>
                      <a:ext cx="58166" cy="45720"/>
                    </a:xfrm>
                    <a:prstGeom prst="rect">
                      <a:avLst/>
                    </a:prstGeom>
                    <a:noFill/>
                  </pic:spPr>
                </pic:pic>
              </a:graphicData>
            </a:graphic>
          </wp:inline>
        </w:drawing>
      </w:r>
    </w:p>
    <w:p w14:paraId="4F2D3938" w14:textId="0D66C3BD" w:rsidR="0033629A" w:rsidRDefault="004409CB">
      <w:pPr>
        <w:pStyle w:val="ImageCaption"/>
      </w:pPr>
      <w:bookmarkStart w:id="79" w:name="_Toc105675529"/>
      <w:r>
        <w:rPr>
          <w:b/>
        </w:rPr>
        <w:t xml:space="preserve">Figure </w:t>
      </w:r>
      <w:bookmarkStart w:id="80" w:name="net"/>
      <w:r>
        <w:rPr>
          <w:b/>
        </w:rPr>
        <w:fldChar w:fldCharType="begin"/>
      </w:r>
      <w:r>
        <w:rPr>
          <w:b/>
        </w:rPr>
        <w:instrText>SEQ Figure \* Arabic</w:instrText>
      </w:r>
      <w:r>
        <w:rPr>
          <w:b/>
        </w:rPr>
        <w:fldChar w:fldCharType="separate"/>
      </w:r>
      <w:r w:rsidR="00766923">
        <w:rPr>
          <w:b/>
          <w:noProof/>
        </w:rPr>
        <w:t>14</w:t>
      </w:r>
      <w:r>
        <w:rPr>
          <w:b/>
        </w:rPr>
        <w:fldChar w:fldCharType="end"/>
      </w:r>
      <w:bookmarkEnd w:id="80"/>
      <w:r>
        <w:t>: A scatterplot of CO</w:t>
      </w:r>
      <w:r>
        <w:rPr>
          <w:vertAlign w:val="subscript"/>
        </w:rPr>
        <w:t>2</w:t>
      </w:r>
      <w:r>
        <w:t xml:space="preserve"> emissions per capita and net enrollment in secondary education, colored by OECD.</w:t>
      </w:r>
      <w:bookmarkEnd w:id="79"/>
    </w:p>
    <w:p w14:paraId="14F9059E" w14:textId="77777777" w:rsidR="0033629A" w:rsidRDefault="004409CB">
      <w:r>
        <w:br w:type="page"/>
      </w:r>
    </w:p>
    <w:p w14:paraId="2D59B5FE" w14:textId="2549680F" w:rsidR="0033629A" w:rsidRDefault="00EC66B6" w:rsidP="00EC66B6">
      <w:pPr>
        <w:pStyle w:val="BodyText"/>
      </w:pPr>
      <w:bookmarkStart w:id="81" w:name="time-invariant-level-2-variables"/>
      <w:bookmarkEnd w:id="63"/>
      <w:r>
        <w:lastRenderedPageBreak/>
        <w:t>Of the six dimensions</w:t>
      </w:r>
      <w:r>
        <w:rPr>
          <w:rStyle w:val="FootnoteReference"/>
        </w:rPr>
        <w:footnoteReference w:id="8"/>
      </w:r>
      <w:r>
        <w:t xml:space="preserve">, the individualism-collectivism continuum has been found to relate the most with climate change, </w:t>
      </w:r>
      <w:r w:rsidR="004409CB">
        <w:t>with those with more individualism having higher skepticism (</w:t>
      </w:r>
      <w:hyperlink w:anchor="ref-pelham2018">
        <w:r w:rsidR="004409CB">
          <w:rPr>
            <w:rStyle w:val="Hyperlink"/>
          </w:rPr>
          <w:t>Pelham, 2018</w:t>
        </w:r>
      </w:hyperlink>
      <w:r w:rsidR="004409CB">
        <w:t>), less concern (</w:t>
      </w:r>
      <w:hyperlink w:anchor="ref-shi2015">
        <w:r w:rsidR="004409CB">
          <w:rPr>
            <w:rStyle w:val="Hyperlink"/>
          </w:rPr>
          <w:t>Shi et al., 2015</w:t>
        </w:r>
      </w:hyperlink>
      <w:r w:rsidR="004409CB">
        <w:t>), and less likely to adapt to natural hazards (</w:t>
      </w:r>
      <w:hyperlink w:anchor="ref-noll2020">
        <w:r w:rsidR="004409CB">
          <w:rPr>
            <w:rStyle w:val="Hyperlink"/>
          </w:rPr>
          <w:t>Noll et al., 2020</w:t>
        </w:r>
      </w:hyperlink>
      <w:r w:rsidR="004409CB">
        <w:t>). Given the above, data for national individualism-collectivism will be used to control for worldview. Though Hofstede’s data (</w:t>
      </w:r>
      <w:hyperlink w:anchor="ref-hofstede2015">
        <w:r w:rsidR="004409CB">
          <w:rPr>
            <w:rStyle w:val="Hyperlink"/>
          </w:rPr>
          <w:t>Hofstede, 2015</w:t>
        </w:r>
      </w:hyperlink>
      <w:r w:rsidR="004409CB">
        <w:t>) is a popular source, it is outdated (collected between the 1960s and 1970s) and its validity is lacking (</w:t>
      </w:r>
      <w:hyperlink w:anchor="ref-blodgett2008">
        <w:r w:rsidR="004409CB">
          <w:rPr>
            <w:rStyle w:val="Hyperlink"/>
          </w:rPr>
          <w:t>Blodgett et al., 2008</w:t>
        </w:r>
      </w:hyperlink>
      <w:r w:rsidR="004409CB">
        <w:t xml:space="preserve">; </w:t>
      </w:r>
      <w:hyperlink w:anchor="ref-gerlach2021">
        <w:r w:rsidR="004409CB">
          <w:rPr>
            <w:rStyle w:val="Hyperlink"/>
          </w:rPr>
          <w:t>Gerlach &amp; Eriksson, 2021</w:t>
        </w:r>
      </w:hyperlink>
      <w:r w:rsidR="004409CB">
        <w:t>). A more recent dataset synthesizing Hofstede’s dimensions with others’ and validated using the World and European Values Surveys is used for this dissertation (</w:t>
      </w:r>
      <w:hyperlink w:anchor="ref-beugelsdijk2018">
        <w:r w:rsidR="004409CB">
          <w:rPr>
            <w:rStyle w:val="Hyperlink"/>
          </w:rPr>
          <w:t>Beugelsdijk &amp; Welzel, 2018</w:t>
        </w:r>
      </w:hyperlink>
      <w:r w:rsidR="004409CB">
        <w:t>). The measure ranges from 0 to 100, with 0 being a completely collectivist society and 100 being a completely individualist society. Missing data for several countries (Costa Rica, Israel, Luxembourg, and Panama) is based on the collectivism-individualism index from the Hofstede 2015 data matrix (</w:t>
      </w:r>
      <w:hyperlink w:anchor="ref-hofstede2015">
        <w:r w:rsidR="004409CB">
          <w:rPr>
            <w:rStyle w:val="Hyperlink"/>
          </w:rPr>
          <w:t>Hofstede, 2015</w:t>
        </w:r>
      </w:hyperlink>
      <w:r w:rsidR="004409CB">
        <w:t>). Missing data for other countries is imputed. Final data will be grand mean-centered, with the intercept reflecting a country with average individualism-collectivism. Because this data is cross-sectional, it is considered time-invariant.</w:t>
      </w:r>
    </w:p>
    <w:p w14:paraId="033B4936" w14:textId="474313A4" w:rsidR="009170BB" w:rsidRDefault="009170BB" w:rsidP="009170BB">
      <w:pPr>
        <w:pStyle w:val="BodyText"/>
      </w:pPr>
      <w:r>
        <w:rPr>
          <w:b/>
          <w:bCs/>
        </w:rPr>
        <w:t>Region</w:t>
      </w:r>
      <w:r>
        <w:t>. There is the possibility that countries located near each other may exhibit similar patterns in terms of either CO</w:t>
      </w:r>
      <w:r>
        <w:rPr>
          <w:vertAlign w:val="subscript"/>
        </w:rPr>
        <w:t>2</w:t>
      </w:r>
      <w:r>
        <w:t xml:space="preserve"> emissions or scientific literacy scores. This may be due to shared culture, language, economic, or education systems. To control for this potential neighbor influence, countries are grouped into UN sub regions (</w:t>
      </w:r>
      <w:hyperlink w:anchor="ref-unregions">
        <w:r>
          <w:rPr>
            <w:rStyle w:val="Hyperlink"/>
          </w:rPr>
          <w:t>UN, n.d.</w:t>
        </w:r>
      </w:hyperlink>
      <w:r>
        <w:t xml:space="preserve">). Each country’s region is indicated in </w:t>
      </w:r>
      <w:hyperlink w:anchor="sltable">
        <w:r>
          <w:fldChar w:fldCharType="begin"/>
        </w:r>
        <w:r>
          <w:instrText xml:space="preserve"> REF sltable \h</w:instrText>
        </w:r>
        <w:r>
          <w:fldChar w:fldCharType="separate"/>
        </w:r>
        <w:r w:rsidR="00766923">
          <w:rPr>
            <w:b/>
            <w:i/>
            <w:noProof/>
            <w:sz w:val="20"/>
          </w:rPr>
          <w:t>8</w:t>
        </w:r>
        <w:r>
          <w:fldChar w:fldCharType="end"/>
        </w:r>
      </w:hyperlink>
      <w:r>
        <w:t xml:space="preserve"> in Appendix A.</w:t>
      </w:r>
    </w:p>
    <w:p w14:paraId="1474533E" w14:textId="77777777" w:rsidR="009170BB" w:rsidRDefault="009170BB" w:rsidP="009170BB">
      <w:pPr>
        <w:pStyle w:val="Heading2"/>
      </w:pPr>
      <w:bookmarkStart w:id="82" w:name="_Toc107939118"/>
      <w:r>
        <w:lastRenderedPageBreak/>
        <w:t>Descriptive Statistics for Variables</w:t>
      </w:r>
      <w:bookmarkEnd w:id="82"/>
    </w:p>
    <w:p w14:paraId="4DAA34F6" w14:textId="59CF92B9" w:rsidR="009170BB" w:rsidRDefault="00710174" w:rsidP="009170BB">
      <w:pPr>
        <w:pStyle w:val="FirstParagraph"/>
      </w:pPr>
      <w:hyperlink w:anchor="vardesc">
        <w:r w:rsidR="009170BB">
          <w:fldChar w:fldCharType="begin"/>
        </w:r>
        <w:r w:rsidR="009170BB">
          <w:instrText xml:space="preserve"> REF vardesc \h</w:instrText>
        </w:r>
        <w:r w:rsidR="009170BB">
          <w:fldChar w:fldCharType="separate"/>
        </w:r>
        <w:r w:rsidR="00766923">
          <w:rPr>
            <w:b/>
            <w:noProof/>
          </w:rPr>
          <w:t>2</w:t>
        </w:r>
        <w:r w:rsidR="009170BB">
          <w:fldChar w:fldCharType="end"/>
        </w:r>
      </w:hyperlink>
      <w:r w:rsidR="009170BB">
        <w:t xml:space="preserve"> shows key descriptive statistics for each variable selected for this dissertation. Statistics are calculated based on un-centered values in their original metrics. As indicated in the histogram column, most data </w:t>
      </w:r>
      <w:proofErr w:type="gramStart"/>
      <w:r w:rsidR="009170BB">
        <w:t>is</w:t>
      </w:r>
      <w:proofErr w:type="gramEnd"/>
      <w:r w:rsidR="009170BB">
        <w:t xml:space="preserve"> right- or left-skewed or otherwise non-normal in appearance. This is not an issue, as the normal distribution of data is not an assumption of multilevel models. Therefore, no further transformations of the data are necessary.</w:t>
      </w:r>
    </w:p>
    <w:p w14:paraId="15BE9E22" w14:textId="7927CDD8" w:rsidR="009170BB" w:rsidRDefault="009170BB" w:rsidP="009170BB">
      <w:pPr>
        <w:pStyle w:val="BodyText"/>
      </w:pPr>
      <w:r>
        <w:t xml:space="preserve">Correlation matrices were estimated separately per year and then averaged. Figure </w:t>
      </w:r>
      <w:hyperlink w:anchor="allcor">
        <w:r>
          <w:fldChar w:fldCharType="begin"/>
        </w:r>
        <w:r>
          <w:instrText xml:space="preserve"> REF allcor \h</w:instrText>
        </w:r>
        <w:r>
          <w:fldChar w:fldCharType="separate"/>
        </w:r>
        <w:r w:rsidR="00766923">
          <w:rPr>
            <w:b/>
            <w:noProof/>
          </w:rPr>
          <w:t>16</w:t>
        </w:r>
        <w:r>
          <w:fldChar w:fldCharType="end"/>
        </w:r>
      </w:hyperlink>
      <w:r>
        <w:t xml:space="preserve"> shows a correlation plot for all continuous variables. Circles are depicted in the upper triangle of the correlation plot. Both the darkness of the color and size of the circle indicate the strength of the correlation. Purples indicate a positive correlation whereas browns indicate a negative correlation. Correlation values are indicated in the lower triangle.</w:t>
      </w:r>
    </w:p>
    <w:p w14:paraId="0F230D7A" w14:textId="4943D276" w:rsidR="00EC66B6" w:rsidRDefault="00EC66B6" w:rsidP="00EC66B6">
      <w:pPr>
        <w:pStyle w:val="BodyText"/>
      </w:pPr>
      <w:r>
        <w:t>CO</w:t>
      </w:r>
      <w:r>
        <w:rPr>
          <w:vertAlign w:val="subscript"/>
        </w:rPr>
        <w:t>2</w:t>
      </w:r>
      <w:r>
        <w:t xml:space="preserve"> per capita shows a small correlation (.15) with scientific literacy. It has a moderate correlation with GDP (.55) and small to moderate correlations with Gini (-.21) and corruption (-.29). The largest correlations occur among covariates. Several variables show moderate to high correlations. For example, collectivism-individualism shows a high negative correlation with left-right orientation and moderate to high correlations with corruption, democracy, Gini, GDP, and scientific literacy. Corruption, democracy, and left-right orientation also indicate several moderate to high correlations. These high correlations indicate the possible presence of multicollinearity. This will be assessed in Chapter 4.</w:t>
      </w:r>
    </w:p>
    <w:p w14:paraId="453D49F7" w14:textId="77777777" w:rsidR="00EC66B6" w:rsidRDefault="00EC66B6" w:rsidP="00EC66B6">
      <w:pPr>
        <w:pStyle w:val="Heading2"/>
      </w:pPr>
      <w:bookmarkStart w:id="83" w:name="_Toc107939119"/>
      <w:r>
        <w:t>Missing Data</w:t>
      </w:r>
      <w:bookmarkEnd w:id="83"/>
    </w:p>
    <w:p w14:paraId="65A7A63D" w14:textId="4F383B17" w:rsidR="0033629A" w:rsidRDefault="00EC66B6" w:rsidP="00EC66B6">
      <w:pPr>
        <w:pStyle w:val="FirstParagraph"/>
      </w:pPr>
      <w:r>
        <w:t>Missing data ranges from 2% to almost 10%. Neither CO</w:t>
      </w:r>
      <w:r>
        <w:rPr>
          <w:vertAlign w:val="subscript"/>
        </w:rPr>
        <w:t>2</w:t>
      </w:r>
      <w:r>
        <w:t xml:space="preserve"> per capita nor scientific literacy have missing data. Most other variables are missing less than 3% of their values, which is usually not considered problematic (</w:t>
      </w:r>
      <w:hyperlink w:anchor="ref-garson2015">
        <w:r>
          <w:rPr>
            <w:rStyle w:val="Hyperlink"/>
          </w:rPr>
          <w:t>Garson, 2015</w:t>
        </w:r>
      </w:hyperlink>
      <w:r>
        <w:t xml:space="preserve">). However, Gini coefficients, left-right orientation, and net enrollment have larger percentages of missing data. </w:t>
      </w:r>
      <w:r w:rsidR="004409CB">
        <w:br w:type="page"/>
      </w:r>
    </w:p>
    <w:p w14:paraId="6BA1719C" w14:textId="77777777" w:rsidR="0033629A" w:rsidRDefault="004409CB">
      <w:pPr>
        <w:pStyle w:val="Figure"/>
        <w:jc w:val="center"/>
      </w:pPr>
      <w:r>
        <w:rPr>
          <w:noProof/>
        </w:rPr>
        <w:lastRenderedPageBreak/>
        <w:drawing>
          <wp:inline distT="0" distB="0" distL="0" distR="0" wp14:anchorId="7E88ACBE" wp14:editId="5C57E2A4">
            <wp:extent cx="4187952" cy="329184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
                    <pic:cNvPicPr>
                      <a:picLocks noChangeAspect="1" noChangeArrowheads="1"/>
                    </pic:cNvPicPr>
                  </pic:nvPicPr>
                  <pic:blipFill>
                    <a:blip r:embed="rId41"/>
                    <a:srcRect/>
                    <a:stretch>
                      <a:fillRect/>
                    </a:stretch>
                  </pic:blipFill>
                  <pic:spPr bwMode="auto">
                    <a:xfrm>
                      <a:off x="0" y="0"/>
                      <a:ext cx="58166" cy="45720"/>
                    </a:xfrm>
                    <a:prstGeom prst="rect">
                      <a:avLst/>
                    </a:prstGeom>
                    <a:noFill/>
                  </pic:spPr>
                </pic:pic>
              </a:graphicData>
            </a:graphic>
          </wp:inline>
        </w:drawing>
      </w:r>
    </w:p>
    <w:p w14:paraId="2B906CC0" w14:textId="6ECFD42E" w:rsidR="0033629A" w:rsidRDefault="004409CB">
      <w:pPr>
        <w:pStyle w:val="ImageCaption"/>
      </w:pPr>
      <w:bookmarkStart w:id="84" w:name="_Toc105675530"/>
      <w:r>
        <w:rPr>
          <w:b/>
        </w:rPr>
        <w:t xml:space="preserve">Figure </w:t>
      </w:r>
      <w:bookmarkStart w:id="85" w:name="coll"/>
      <w:r>
        <w:rPr>
          <w:b/>
        </w:rPr>
        <w:fldChar w:fldCharType="begin"/>
      </w:r>
      <w:r>
        <w:rPr>
          <w:b/>
        </w:rPr>
        <w:instrText>SEQ Figure \* Arabic</w:instrText>
      </w:r>
      <w:r>
        <w:rPr>
          <w:b/>
        </w:rPr>
        <w:fldChar w:fldCharType="separate"/>
      </w:r>
      <w:r w:rsidR="00766923">
        <w:rPr>
          <w:b/>
          <w:noProof/>
        </w:rPr>
        <w:t>15</w:t>
      </w:r>
      <w:r>
        <w:rPr>
          <w:b/>
        </w:rPr>
        <w:fldChar w:fldCharType="end"/>
      </w:r>
      <w:bookmarkEnd w:id="85"/>
      <w:r>
        <w:t>: A scatterplot of CO</w:t>
      </w:r>
      <w:r>
        <w:rPr>
          <w:vertAlign w:val="subscript"/>
        </w:rPr>
        <w:t>2</w:t>
      </w:r>
      <w:r>
        <w:t xml:space="preserve"> emissions per capita and collectivism-individualism, colored by OECD.</w:t>
      </w:r>
      <w:bookmarkEnd w:id="84"/>
    </w:p>
    <w:p w14:paraId="04731AE0" w14:textId="35E6BBD3" w:rsidR="0033629A" w:rsidRDefault="004409CB" w:rsidP="00EC66B6">
      <w:r>
        <w:br w:type="page"/>
      </w:r>
      <w:bookmarkStart w:id="86" w:name="descriptive-statistics-for-variables"/>
      <w:bookmarkEnd w:id="55"/>
      <w:bookmarkEnd w:id="81"/>
    </w:p>
    <w:p w14:paraId="17C955A8" w14:textId="550B31F9" w:rsidR="00EC66B6" w:rsidRDefault="00EC66B6" w:rsidP="00EC66B6">
      <w:pPr>
        <w:pStyle w:val="FirstParagraph"/>
        <w:ind w:firstLine="0"/>
      </w:pPr>
      <w:r>
        <w:lastRenderedPageBreak/>
        <w:t xml:space="preserve">Due to the presence of missing data across </w:t>
      </w:r>
      <w:proofErr w:type="gramStart"/>
      <w:r>
        <w:t>a number of</w:t>
      </w:r>
      <w:proofErr w:type="gramEnd"/>
      <w:r>
        <w:t xml:space="preserve"> important covariates, missing data needs to be addressed.</w:t>
      </w:r>
    </w:p>
    <w:p w14:paraId="0DEC55A4" w14:textId="2350A203" w:rsidR="009170BB" w:rsidRDefault="009170BB" w:rsidP="002320C8">
      <w:pPr>
        <w:pStyle w:val="BodyText"/>
      </w:pPr>
      <w:r>
        <w:t xml:space="preserve">There are three missing data mechanisms: missing completely at random (MCAR), missing at random (MAR), and missing not at random (MNAR). Data that is MCAR simply means the probability of missing data is neither dependent on the missing value nor on any of the observed or unobserved variables. MNAR, on the other hand, can be seen as the probability of missingness being related to the missing data itself. MCAR missingness is ignorable - or “treatable” - with listwise deletion, multiple imputation, and other methods. MNAR is nonignorable and requires more data collection or extreme caution regarding interpretation. </w:t>
      </w:r>
    </w:p>
    <w:p w14:paraId="64D361B5" w14:textId="0232B45D" w:rsidR="002320C8" w:rsidRDefault="002320C8" w:rsidP="002320C8">
      <w:pPr>
        <w:pStyle w:val="BodyText"/>
      </w:pPr>
      <w:r>
        <w:t>A third missing data mechanism, MAR, means that missingness is related to some of the observed variables and thus can be predicted. This is a very common type of missing data, especially since much of statistics deals with variables that are related. None of these missingness mechanisms can be empirically proven; rather, evidence must be gathered to make a strong case for one of them (</w:t>
      </w:r>
      <w:hyperlink w:anchor="ref-heymans2019">
        <w:r>
          <w:rPr>
            <w:rStyle w:val="Hyperlink"/>
          </w:rPr>
          <w:t>Heymans &amp; Eekhout, 2019</w:t>
        </w:r>
      </w:hyperlink>
      <w:r>
        <w:t xml:space="preserve">; </w:t>
      </w:r>
      <w:hyperlink w:anchor="ref-schafer2002">
        <w:r>
          <w:rPr>
            <w:rStyle w:val="Hyperlink"/>
          </w:rPr>
          <w:t>Schafer &amp; Graham, 2002</w:t>
        </w:r>
      </w:hyperlink>
      <w:r>
        <w:t>).</w:t>
      </w:r>
    </w:p>
    <w:p w14:paraId="2CE7E2E7" w14:textId="24F3F097" w:rsidR="0029768D" w:rsidRDefault="002320C8" w:rsidP="0029768D">
      <w:pPr>
        <w:pStyle w:val="BodyText"/>
        <w:rPr>
          <w:b/>
        </w:rPr>
      </w:pPr>
      <w:r>
        <w:t xml:space="preserve">The missing data here are considered MAR. Figure </w:t>
      </w:r>
      <w:hyperlink w:anchor="missing">
        <w:r>
          <w:fldChar w:fldCharType="begin"/>
        </w:r>
        <w:r>
          <w:instrText xml:space="preserve"> REF missing \h</w:instrText>
        </w:r>
        <w:r>
          <w:fldChar w:fldCharType="separate"/>
        </w:r>
        <w:r w:rsidR="00766923">
          <w:rPr>
            <w:b/>
            <w:noProof/>
          </w:rPr>
          <w:t>17</w:t>
        </w:r>
        <w:r>
          <w:fldChar w:fldCharType="end"/>
        </w:r>
      </w:hyperlink>
      <w:r>
        <w:t xml:space="preserve"> shows a missing values pair plot. This graphic allows the visual inspection of patterns between complete (blue) and missing (grey) data for each combination of variables. Box plots are used for continuous variable pairs and bar charts are used for factor-continuous pairs. Based on the visual, there is a clear relationship between OECD category and missingness, as the OECD column clearly shows </w:t>
      </w:r>
      <w:proofErr w:type="gramStart"/>
      <w:r>
        <w:t>Non-OECD</w:t>
      </w:r>
      <w:proofErr w:type="gramEnd"/>
      <w:r>
        <w:t xml:space="preserve"> countries tend to have more missing values. Many other continuous variable pairs share similar value distributions and/or median values when comparing missing and complete data. Some, such as Gini and Democracy Index or Gini and Left-Right orientation indicate drastically different values between complete and missing dat</w:t>
      </w:r>
      <w:r w:rsidR="0029768D">
        <w:t>a.</w:t>
      </w:r>
      <w:bookmarkStart w:id="87" w:name="_Toc105675506"/>
    </w:p>
    <w:p w14:paraId="21C50B07" w14:textId="04B3B138" w:rsidR="0029768D" w:rsidRPr="0029768D" w:rsidRDefault="0029768D" w:rsidP="0029768D">
      <w:pPr>
        <w:tabs>
          <w:tab w:val="left" w:pos="12233"/>
        </w:tabs>
        <w:sectPr w:rsidR="0029768D" w:rsidRPr="0029768D" w:rsidSect="00EC616A">
          <w:pgSz w:w="11906" w:h="16838"/>
          <w:pgMar w:top="1440" w:right="1440" w:bottom="1440" w:left="1440" w:header="720" w:footer="720" w:gutter="0"/>
          <w:cols w:space="720"/>
          <w:docGrid w:linePitch="326"/>
        </w:sectPr>
      </w:pPr>
    </w:p>
    <w:p w14:paraId="1B9FFFEC" w14:textId="10EB83DC" w:rsidR="0033629A" w:rsidRPr="00BE5913" w:rsidRDefault="004409CB" w:rsidP="00011B94">
      <w:pPr>
        <w:pStyle w:val="TableCaption"/>
        <w:spacing w:line="480" w:lineRule="auto"/>
        <w:rPr>
          <w:vanish/>
        </w:rPr>
      </w:pPr>
      <w:r>
        <w:rPr>
          <w:b/>
        </w:rPr>
        <w:lastRenderedPageBreak/>
        <w:t xml:space="preserve">Table </w:t>
      </w:r>
      <w:bookmarkStart w:id="88" w:name="vardesc"/>
      <w:r>
        <w:rPr>
          <w:b/>
        </w:rPr>
        <w:fldChar w:fldCharType="begin"/>
      </w:r>
      <w:r>
        <w:rPr>
          <w:b/>
        </w:rPr>
        <w:instrText>SEQ tab \* Arabic</w:instrText>
      </w:r>
      <w:r>
        <w:rPr>
          <w:b/>
        </w:rPr>
        <w:fldChar w:fldCharType="separate"/>
      </w:r>
      <w:r w:rsidR="00766923">
        <w:rPr>
          <w:b/>
          <w:noProof/>
        </w:rPr>
        <w:t>2</w:t>
      </w:r>
      <w:r>
        <w:rPr>
          <w:b/>
        </w:rPr>
        <w:fldChar w:fldCharType="end"/>
      </w:r>
      <w:bookmarkEnd w:id="88"/>
      <w:r>
        <w:t>: Descriptive statistics for all data</w:t>
      </w:r>
      <w:bookmarkEnd w:id="87"/>
    </w:p>
    <w:tbl>
      <w:tblPr>
        <w:tblW w:w="13717" w:type="dxa"/>
        <w:tblLook w:val="0420" w:firstRow="1" w:lastRow="0" w:firstColumn="0" w:lastColumn="0" w:noHBand="0" w:noVBand="1"/>
      </w:tblPr>
      <w:tblGrid>
        <w:gridCol w:w="2867"/>
        <w:gridCol w:w="1746"/>
        <w:gridCol w:w="1577"/>
        <w:gridCol w:w="1693"/>
        <w:gridCol w:w="1285"/>
        <w:gridCol w:w="1460"/>
        <w:gridCol w:w="1869"/>
        <w:gridCol w:w="1220"/>
      </w:tblGrid>
      <w:tr w:rsidR="0033629A" w:rsidRPr="00011B94" w14:paraId="2491401D" w14:textId="77777777" w:rsidTr="00262BF8">
        <w:trPr>
          <w:cantSplit/>
          <w:trHeight w:val="216"/>
          <w:tblHeader/>
        </w:trPr>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429C49E"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Variable</w:t>
            </w:r>
            <w:r w:rsidRPr="00011B94">
              <w:rPr>
                <w:rFonts w:eastAsia="Times New Roman"/>
                <w:color w:val="000000"/>
                <w:sz w:val="20"/>
                <w:szCs w:val="20"/>
                <w:vertAlign w:val="superscript"/>
              </w:rPr>
              <w:t>a</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168D0F8"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Percent Missing</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D257F54"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Mean</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2928D10"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SD</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B3A6699"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Min</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A7EAF82"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Median</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91FE358"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Max</w:t>
            </w:r>
          </w:p>
        </w:tc>
        <w:tc>
          <w:tcPr>
            <w:tcW w:w="0" w:type="auto"/>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7618DFE"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Histogram</w:t>
            </w:r>
          </w:p>
        </w:tc>
      </w:tr>
      <w:tr w:rsidR="00262BF8" w:rsidRPr="00011B94" w14:paraId="1D7839EC" w14:textId="77777777" w:rsidTr="00262BF8">
        <w:trPr>
          <w:cantSplit/>
          <w:trHeight w:val="233"/>
        </w:trPr>
        <w:tc>
          <w:tcPr>
            <w:tcW w:w="0" w:type="auto"/>
            <w:shd w:val="clear" w:color="auto" w:fill="FFFFFF"/>
            <w:tcMar>
              <w:top w:w="0" w:type="dxa"/>
              <w:left w:w="0" w:type="dxa"/>
              <w:bottom w:w="0" w:type="dxa"/>
              <w:right w:w="0" w:type="dxa"/>
            </w:tcMar>
            <w:vAlign w:val="center"/>
          </w:tcPr>
          <w:p w14:paraId="0799D581" w14:textId="201DE455" w:rsidR="00262BF8" w:rsidRPr="00011B94" w:rsidRDefault="00262BF8" w:rsidP="00262BF8">
            <w:pPr>
              <w:keepNext/>
              <w:spacing w:before="0" w:after="0" w:line="240" w:lineRule="auto"/>
              <w:ind w:left="100" w:right="100" w:firstLine="0"/>
              <w:rPr>
                <w:rFonts w:eastAsia="Times New Roman"/>
                <w:b/>
                <w:bCs/>
                <w:color w:val="000000"/>
                <w:sz w:val="20"/>
                <w:szCs w:val="20"/>
              </w:rPr>
            </w:pPr>
            <w:r w:rsidRPr="00011B94">
              <w:rPr>
                <w:rFonts w:eastAsia="Times New Roman"/>
                <w:b/>
                <w:bCs/>
                <w:color w:val="000000"/>
                <w:sz w:val="20"/>
                <w:szCs w:val="20"/>
              </w:rPr>
              <w:t>Dependent Variable</w:t>
            </w:r>
          </w:p>
        </w:tc>
        <w:tc>
          <w:tcPr>
            <w:tcW w:w="0" w:type="auto"/>
            <w:shd w:val="clear" w:color="auto" w:fill="FFFFFF"/>
            <w:tcMar>
              <w:top w:w="0" w:type="dxa"/>
              <w:left w:w="0" w:type="dxa"/>
              <w:bottom w:w="0" w:type="dxa"/>
              <w:right w:w="0" w:type="dxa"/>
            </w:tcMar>
            <w:vAlign w:val="center"/>
          </w:tcPr>
          <w:p w14:paraId="33A0576F" w14:textId="77777777" w:rsidR="00262BF8" w:rsidRPr="00011B94" w:rsidRDefault="00262BF8" w:rsidP="00262BF8">
            <w:pPr>
              <w:keepNext/>
              <w:spacing w:before="0" w:after="0" w:line="240" w:lineRule="auto"/>
              <w:ind w:left="100" w:right="100" w:firstLine="0"/>
              <w:rPr>
                <w:rFonts w:eastAsia="Times New Roman"/>
                <w:b/>
                <w:bCs/>
                <w:color w:val="000000"/>
                <w:sz w:val="20"/>
                <w:szCs w:val="20"/>
              </w:rPr>
            </w:pPr>
          </w:p>
        </w:tc>
        <w:tc>
          <w:tcPr>
            <w:tcW w:w="0" w:type="auto"/>
            <w:shd w:val="clear" w:color="auto" w:fill="FFFFFF"/>
            <w:tcMar>
              <w:top w:w="0" w:type="dxa"/>
              <w:left w:w="0" w:type="dxa"/>
              <w:bottom w:w="0" w:type="dxa"/>
              <w:right w:w="0" w:type="dxa"/>
            </w:tcMar>
            <w:vAlign w:val="center"/>
          </w:tcPr>
          <w:p w14:paraId="2946FF30" w14:textId="77777777" w:rsidR="00262BF8" w:rsidRPr="00011B94" w:rsidRDefault="00262BF8" w:rsidP="00262BF8">
            <w:pPr>
              <w:keepNext/>
              <w:spacing w:before="0" w:after="0" w:line="240" w:lineRule="auto"/>
              <w:ind w:left="100" w:right="100" w:firstLine="0"/>
              <w:jc w:val="right"/>
              <w:rPr>
                <w:rFonts w:eastAsia="Times New Roman"/>
                <w:b/>
                <w:bCs/>
                <w:color w:val="000000"/>
                <w:sz w:val="20"/>
                <w:szCs w:val="20"/>
              </w:rPr>
            </w:pPr>
          </w:p>
        </w:tc>
        <w:tc>
          <w:tcPr>
            <w:tcW w:w="0" w:type="auto"/>
            <w:shd w:val="clear" w:color="auto" w:fill="FFFFFF"/>
            <w:tcMar>
              <w:top w:w="0" w:type="dxa"/>
              <w:left w:w="0" w:type="dxa"/>
              <w:bottom w:w="0" w:type="dxa"/>
              <w:right w:w="0" w:type="dxa"/>
            </w:tcMar>
            <w:vAlign w:val="center"/>
          </w:tcPr>
          <w:p w14:paraId="23B8A151" w14:textId="77777777" w:rsidR="00262BF8" w:rsidRPr="00011B94" w:rsidRDefault="00262BF8" w:rsidP="00262BF8">
            <w:pPr>
              <w:keepNext/>
              <w:spacing w:before="0" w:after="0" w:line="240" w:lineRule="auto"/>
              <w:ind w:left="100" w:right="100" w:firstLine="0"/>
              <w:jc w:val="right"/>
              <w:rPr>
                <w:rFonts w:eastAsia="Times New Roman"/>
                <w:b/>
                <w:bCs/>
                <w:color w:val="000000"/>
                <w:sz w:val="20"/>
                <w:szCs w:val="20"/>
              </w:rPr>
            </w:pPr>
          </w:p>
        </w:tc>
        <w:tc>
          <w:tcPr>
            <w:tcW w:w="0" w:type="auto"/>
            <w:shd w:val="clear" w:color="auto" w:fill="FFFFFF"/>
            <w:tcMar>
              <w:top w:w="0" w:type="dxa"/>
              <w:left w:w="0" w:type="dxa"/>
              <w:bottom w:w="0" w:type="dxa"/>
              <w:right w:w="0" w:type="dxa"/>
            </w:tcMar>
            <w:vAlign w:val="center"/>
          </w:tcPr>
          <w:p w14:paraId="7D1161D6" w14:textId="77777777" w:rsidR="00262BF8" w:rsidRPr="00011B94" w:rsidRDefault="00262BF8" w:rsidP="00262BF8">
            <w:pPr>
              <w:keepNext/>
              <w:spacing w:before="0" w:after="0" w:line="240" w:lineRule="auto"/>
              <w:ind w:left="100" w:right="100" w:firstLine="0"/>
              <w:jc w:val="right"/>
              <w:rPr>
                <w:rFonts w:eastAsia="Times New Roman"/>
                <w:b/>
                <w:bCs/>
                <w:color w:val="000000"/>
                <w:sz w:val="20"/>
                <w:szCs w:val="20"/>
              </w:rPr>
            </w:pPr>
          </w:p>
        </w:tc>
        <w:tc>
          <w:tcPr>
            <w:tcW w:w="0" w:type="auto"/>
            <w:shd w:val="clear" w:color="auto" w:fill="FFFFFF"/>
            <w:tcMar>
              <w:top w:w="0" w:type="dxa"/>
              <w:left w:w="0" w:type="dxa"/>
              <w:bottom w:w="0" w:type="dxa"/>
              <w:right w:w="0" w:type="dxa"/>
            </w:tcMar>
            <w:vAlign w:val="center"/>
          </w:tcPr>
          <w:p w14:paraId="1EE33E8A" w14:textId="77777777" w:rsidR="00262BF8" w:rsidRPr="00011B94" w:rsidRDefault="00262BF8" w:rsidP="00262BF8">
            <w:pPr>
              <w:keepNext/>
              <w:spacing w:before="0" w:after="0" w:line="240" w:lineRule="auto"/>
              <w:ind w:left="100" w:right="100" w:firstLine="0"/>
              <w:jc w:val="right"/>
              <w:rPr>
                <w:rFonts w:eastAsia="Times New Roman"/>
                <w:b/>
                <w:bCs/>
                <w:color w:val="000000"/>
                <w:sz w:val="20"/>
                <w:szCs w:val="20"/>
              </w:rPr>
            </w:pPr>
          </w:p>
        </w:tc>
        <w:tc>
          <w:tcPr>
            <w:tcW w:w="0" w:type="auto"/>
            <w:shd w:val="clear" w:color="auto" w:fill="FFFFFF"/>
            <w:tcMar>
              <w:top w:w="0" w:type="dxa"/>
              <w:left w:w="0" w:type="dxa"/>
              <w:bottom w:w="0" w:type="dxa"/>
              <w:right w:w="0" w:type="dxa"/>
            </w:tcMar>
            <w:vAlign w:val="center"/>
          </w:tcPr>
          <w:p w14:paraId="0EE2E7E9" w14:textId="77777777" w:rsidR="00262BF8" w:rsidRPr="00011B94" w:rsidRDefault="00262BF8" w:rsidP="00262BF8">
            <w:pPr>
              <w:keepNext/>
              <w:spacing w:before="0" w:after="0" w:line="240" w:lineRule="auto"/>
              <w:ind w:left="100" w:right="100" w:firstLine="0"/>
              <w:jc w:val="right"/>
              <w:rPr>
                <w:rFonts w:eastAsia="Times New Roman"/>
                <w:b/>
                <w:bCs/>
                <w:color w:val="000000"/>
                <w:sz w:val="20"/>
                <w:szCs w:val="20"/>
              </w:rPr>
            </w:pPr>
          </w:p>
        </w:tc>
        <w:tc>
          <w:tcPr>
            <w:tcW w:w="0" w:type="auto"/>
            <w:shd w:val="clear" w:color="auto" w:fill="FFFFFF"/>
            <w:tcMar>
              <w:top w:w="0" w:type="dxa"/>
              <w:left w:w="0" w:type="dxa"/>
              <w:bottom w:w="0" w:type="dxa"/>
              <w:right w:w="0" w:type="dxa"/>
            </w:tcMar>
            <w:vAlign w:val="center"/>
          </w:tcPr>
          <w:p w14:paraId="31E79CD4" w14:textId="77777777" w:rsidR="00262BF8" w:rsidRPr="00011B94" w:rsidRDefault="00262BF8" w:rsidP="00262BF8">
            <w:pPr>
              <w:keepNext/>
              <w:spacing w:before="0" w:after="0" w:line="240" w:lineRule="auto"/>
              <w:ind w:left="100" w:right="100" w:firstLine="0"/>
              <w:rPr>
                <w:rFonts w:eastAsia="Times New Roman"/>
                <w:b/>
                <w:bCs/>
                <w:color w:val="000000"/>
                <w:sz w:val="20"/>
                <w:szCs w:val="20"/>
              </w:rPr>
            </w:pPr>
          </w:p>
        </w:tc>
      </w:tr>
      <w:tr w:rsidR="0033629A" w:rsidRPr="00011B94" w14:paraId="381ACDD2" w14:textId="77777777" w:rsidTr="00262BF8">
        <w:trPr>
          <w:cantSplit/>
          <w:trHeight w:val="233"/>
        </w:trPr>
        <w:tc>
          <w:tcPr>
            <w:tcW w:w="0" w:type="auto"/>
            <w:shd w:val="clear" w:color="auto" w:fill="FFFFFF"/>
            <w:tcMar>
              <w:top w:w="0" w:type="dxa"/>
              <w:left w:w="0" w:type="dxa"/>
              <w:bottom w:w="0" w:type="dxa"/>
              <w:right w:w="0" w:type="dxa"/>
            </w:tcMar>
            <w:vAlign w:val="center"/>
          </w:tcPr>
          <w:p w14:paraId="73554F28" w14:textId="600BE0E9"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CO</w:t>
            </w:r>
            <w:r w:rsidRPr="00011B94">
              <w:rPr>
                <w:rFonts w:eastAsia="Times New Roman"/>
                <w:color w:val="000000"/>
                <w:sz w:val="20"/>
                <w:szCs w:val="20"/>
                <w:vertAlign w:val="subscript"/>
              </w:rPr>
              <w:t>2</w:t>
            </w:r>
            <w:r w:rsidRPr="00011B94">
              <w:rPr>
                <w:rFonts w:eastAsia="Times New Roman"/>
                <w:color w:val="000000"/>
                <w:sz w:val="20"/>
                <w:szCs w:val="20"/>
              </w:rPr>
              <w:t xml:space="preserve"> per capita (1 year lag)</w:t>
            </w:r>
          </w:p>
        </w:tc>
        <w:tc>
          <w:tcPr>
            <w:tcW w:w="0" w:type="auto"/>
            <w:shd w:val="clear" w:color="auto" w:fill="FFFFFF"/>
            <w:tcMar>
              <w:top w:w="0" w:type="dxa"/>
              <w:left w:w="0" w:type="dxa"/>
              <w:bottom w:w="0" w:type="dxa"/>
              <w:right w:w="0" w:type="dxa"/>
            </w:tcMar>
            <w:vAlign w:val="center"/>
          </w:tcPr>
          <w:p w14:paraId="2ACA9B55"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0%</w:t>
            </w:r>
          </w:p>
        </w:tc>
        <w:tc>
          <w:tcPr>
            <w:tcW w:w="0" w:type="auto"/>
            <w:shd w:val="clear" w:color="auto" w:fill="FFFFFF"/>
            <w:tcMar>
              <w:top w:w="0" w:type="dxa"/>
              <w:left w:w="0" w:type="dxa"/>
              <w:bottom w:w="0" w:type="dxa"/>
              <w:right w:w="0" w:type="dxa"/>
            </w:tcMar>
            <w:vAlign w:val="center"/>
          </w:tcPr>
          <w:p w14:paraId="39B5D1A3"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7.78</w:t>
            </w:r>
          </w:p>
        </w:tc>
        <w:tc>
          <w:tcPr>
            <w:tcW w:w="0" w:type="auto"/>
            <w:shd w:val="clear" w:color="auto" w:fill="FFFFFF"/>
            <w:tcMar>
              <w:top w:w="0" w:type="dxa"/>
              <w:left w:w="0" w:type="dxa"/>
              <w:bottom w:w="0" w:type="dxa"/>
              <w:right w:w="0" w:type="dxa"/>
            </w:tcMar>
            <w:vAlign w:val="center"/>
          </w:tcPr>
          <w:p w14:paraId="0F38382E"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6.44</w:t>
            </w:r>
          </w:p>
        </w:tc>
        <w:tc>
          <w:tcPr>
            <w:tcW w:w="0" w:type="auto"/>
            <w:shd w:val="clear" w:color="auto" w:fill="FFFFFF"/>
            <w:tcMar>
              <w:top w:w="0" w:type="dxa"/>
              <w:left w:w="0" w:type="dxa"/>
              <w:bottom w:w="0" w:type="dxa"/>
              <w:right w:w="0" w:type="dxa"/>
            </w:tcMar>
            <w:vAlign w:val="center"/>
          </w:tcPr>
          <w:p w14:paraId="7ACFE7A4"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1.16</w:t>
            </w:r>
          </w:p>
        </w:tc>
        <w:tc>
          <w:tcPr>
            <w:tcW w:w="0" w:type="auto"/>
            <w:shd w:val="clear" w:color="auto" w:fill="FFFFFF"/>
            <w:tcMar>
              <w:top w:w="0" w:type="dxa"/>
              <w:left w:w="0" w:type="dxa"/>
              <w:bottom w:w="0" w:type="dxa"/>
              <w:right w:w="0" w:type="dxa"/>
            </w:tcMar>
            <w:vAlign w:val="center"/>
          </w:tcPr>
          <w:p w14:paraId="14F681DB"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6.19</w:t>
            </w:r>
          </w:p>
        </w:tc>
        <w:tc>
          <w:tcPr>
            <w:tcW w:w="0" w:type="auto"/>
            <w:shd w:val="clear" w:color="auto" w:fill="FFFFFF"/>
            <w:tcMar>
              <w:top w:w="0" w:type="dxa"/>
              <w:left w:w="0" w:type="dxa"/>
              <w:bottom w:w="0" w:type="dxa"/>
              <w:right w:w="0" w:type="dxa"/>
            </w:tcMar>
            <w:vAlign w:val="center"/>
          </w:tcPr>
          <w:p w14:paraId="4FE06B06"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51.62</w:t>
            </w:r>
          </w:p>
        </w:tc>
        <w:tc>
          <w:tcPr>
            <w:tcW w:w="0" w:type="auto"/>
            <w:shd w:val="clear" w:color="auto" w:fill="FFFFFF"/>
            <w:tcMar>
              <w:top w:w="0" w:type="dxa"/>
              <w:left w:w="0" w:type="dxa"/>
              <w:bottom w:w="0" w:type="dxa"/>
              <w:right w:w="0" w:type="dxa"/>
            </w:tcMar>
            <w:vAlign w:val="center"/>
          </w:tcPr>
          <w:p w14:paraId="6F76B56B" w14:textId="77777777" w:rsidR="0033629A" w:rsidRPr="00011B94" w:rsidRDefault="004409CB">
            <w:pPr>
              <w:keepNext/>
              <w:spacing w:before="100" w:after="100" w:line="240" w:lineRule="auto"/>
              <w:ind w:left="100" w:right="100" w:firstLine="0"/>
              <w:rPr>
                <w:sz w:val="20"/>
                <w:szCs w:val="20"/>
              </w:rPr>
            </w:pPr>
            <w:r w:rsidRPr="00011B94">
              <w:rPr>
                <w:rFonts w:ascii="MS Gothic" w:eastAsia="MS Gothic" w:hAnsi="MS Gothic" w:cs="MS Gothic" w:hint="eastAsia"/>
                <w:color w:val="000000"/>
                <w:sz w:val="20"/>
                <w:szCs w:val="20"/>
              </w:rPr>
              <w:t>▇▁▁▁▁</w:t>
            </w:r>
          </w:p>
        </w:tc>
      </w:tr>
      <w:tr w:rsidR="00262BF8" w:rsidRPr="00011B94" w14:paraId="16DDEC33" w14:textId="77777777" w:rsidTr="00262BF8">
        <w:trPr>
          <w:cantSplit/>
          <w:trHeight w:val="233"/>
        </w:trPr>
        <w:tc>
          <w:tcPr>
            <w:tcW w:w="0" w:type="auto"/>
            <w:shd w:val="clear" w:color="auto" w:fill="FFFFFF"/>
            <w:tcMar>
              <w:top w:w="0" w:type="dxa"/>
              <w:left w:w="0" w:type="dxa"/>
              <w:bottom w:w="0" w:type="dxa"/>
              <w:right w:w="0" w:type="dxa"/>
            </w:tcMar>
            <w:vAlign w:val="center"/>
          </w:tcPr>
          <w:p w14:paraId="35CE2E28" w14:textId="2C2FBF75" w:rsidR="00262BF8" w:rsidRPr="00011B94" w:rsidRDefault="00262BF8" w:rsidP="00262BF8">
            <w:pPr>
              <w:keepNext/>
              <w:spacing w:before="0" w:after="0" w:line="240" w:lineRule="auto"/>
              <w:ind w:left="100" w:right="100" w:firstLine="0"/>
              <w:rPr>
                <w:rFonts w:eastAsia="Times New Roman"/>
                <w:b/>
                <w:bCs/>
                <w:color w:val="000000"/>
                <w:sz w:val="20"/>
                <w:szCs w:val="20"/>
              </w:rPr>
            </w:pPr>
            <w:r w:rsidRPr="00011B94">
              <w:rPr>
                <w:rFonts w:eastAsia="Times New Roman"/>
                <w:b/>
                <w:bCs/>
                <w:color w:val="000000"/>
                <w:sz w:val="20"/>
                <w:szCs w:val="20"/>
              </w:rPr>
              <w:t>Independent Variables</w:t>
            </w:r>
          </w:p>
        </w:tc>
        <w:tc>
          <w:tcPr>
            <w:tcW w:w="0" w:type="auto"/>
            <w:shd w:val="clear" w:color="auto" w:fill="FFFFFF"/>
            <w:tcMar>
              <w:top w:w="0" w:type="dxa"/>
              <w:left w:w="0" w:type="dxa"/>
              <w:bottom w:w="0" w:type="dxa"/>
              <w:right w:w="0" w:type="dxa"/>
            </w:tcMar>
            <w:vAlign w:val="center"/>
          </w:tcPr>
          <w:p w14:paraId="41CD8694" w14:textId="77777777" w:rsidR="00262BF8" w:rsidRPr="00011B94" w:rsidRDefault="00262BF8" w:rsidP="00262BF8">
            <w:pPr>
              <w:keepNext/>
              <w:spacing w:before="0" w:after="0" w:line="240" w:lineRule="auto"/>
              <w:ind w:left="100" w:right="100" w:firstLine="0"/>
              <w:rPr>
                <w:rFonts w:eastAsia="Times New Roman"/>
                <w:color w:val="000000"/>
                <w:sz w:val="20"/>
                <w:szCs w:val="20"/>
              </w:rPr>
            </w:pPr>
          </w:p>
        </w:tc>
        <w:tc>
          <w:tcPr>
            <w:tcW w:w="0" w:type="auto"/>
            <w:shd w:val="clear" w:color="auto" w:fill="FFFFFF"/>
            <w:tcMar>
              <w:top w:w="0" w:type="dxa"/>
              <w:left w:w="0" w:type="dxa"/>
              <w:bottom w:w="0" w:type="dxa"/>
              <w:right w:w="0" w:type="dxa"/>
            </w:tcMar>
            <w:vAlign w:val="center"/>
          </w:tcPr>
          <w:p w14:paraId="04B0B1A3" w14:textId="77777777" w:rsidR="00262BF8" w:rsidRPr="00011B94" w:rsidRDefault="00262BF8" w:rsidP="00262BF8">
            <w:pPr>
              <w:keepNext/>
              <w:spacing w:before="0" w:after="0" w:line="240" w:lineRule="auto"/>
              <w:ind w:left="100" w:right="100" w:firstLine="0"/>
              <w:jc w:val="right"/>
              <w:rPr>
                <w:rFonts w:eastAsia="Times New Roman"/>
                <w:color w:val="000000"/>
                <w:sz w:val="20"/>
                <w:szCs w:val="20"/>
              </w:rPr>
            </w:pPr>
          </w:p>
        </w:tc>
        <w:tc>
          <w:tcPr>
            <w:tcW w:w="0" w:type="auto"/>
            <w:shd w:val="clear" w:color="auto" w:fill="FFFFFF"/>
            <w:tcMar>
              <w:top w:w="0" w:type="dxa"/>
              <w:left w:w="0" w:type="dxa"/>
              <w:bottom w:w="0" w:type="dxa"/>
              <w:right w:w="0" w:type="dxa"/>
            </w:tcMar>
            <w:vAlign w:val="center"/>
          </w:tcPr>
          <w:p w14:paraId="099B73D7" w14:textId="77777777" w:rsidR="00262BF8" w:rsidRPr="00011B94" w:rsidRDefault="00262BF8" w:rsidP="00262BF8">
            <w:pPr>
              <w:keepNext/>
              <w:spacing w:before="0" w:after="0" w:line="240" w:lineRule="auto"/>
              <w:ind w:left="100" w:right="100" w:firstLine="0"/>
              <w:jc w:val="right"/>
              <w:rPr>
                <w:rFonts w:eastAsia="Times New Roman"/>
                <w:color w:val="000000"/>
                <w:sz w:val="20"/>
                <w:szCs w:val="20"/>
              </w:rPr>
            </w:pPr>
          </w:p>
        </w:tc>
        <w:tc>
          <w:tcPr>
            <w:tcW w:w="0" w:type="auto"/>
            <w:shd w:val="clear" w:color="auto" w:fill="FFFFFF"/>
            <w:tcMar>
              <w:top w:w="0" w:type="dxa"/>
              <w:left w:w="0" w:type="dxa"/>
              <w:bottom w:w="0" w:type="dxa"/>
              <w:right w:w="0" w:type="dxa"/>
            </w:tcMar>
            <w:vAlign w:val="center"/>
          </w:tcPr>
          <w:p w14:paraId="2BB7A65F" w14:textId="77777777" w:rsidR="00262BF8" w:rsidRPr="00011B94" w:rsidRDefault="00262BF8" w:rsidP="00262BF8">
            <w:pPr>
              <w:keepNext/>
              <w:spacing w:before="0" w:after="0" w:line="240" w:lineRule="auto"/>
              <w:ind w:left="100" w:right="100" w:firstLine="0"/>
              <w:jc w:val="right"/>
              <w:rPr>
                <w:rFonts w:eastAsia="Times New Roman"/>
                <w:color w:val="000000"/>
                <w:sz w:val="20"/>
                <w:szCs w:val="20"/>
              </w:rPr>
            </w:pPr>
          </w:p>
        </w:tc>
        <w:tc>
          <w:tcPr>
            <w:tcW w:w="0" w:type="auto"/>
            <w:shd w:val="clear" w:color="auto" w:fill="FFFFFF"/>
            <w:tcMar>
              <w:top w:w="0" w:type="dxa"/>
              <w:left w:w="0" w:type="dxa"/>
              <w:bottom w:w="0" w:type="dxa"/>
              <w:right w:w="0" w:type="dxa"/>
            </w:tcMar>
            <w:vAlign w:val="center"/>
          </w:tcPr>
          <w:p w14:paraId="3F7644E2" w14:textId="77777777" w:rsidR="00262BF8" w:rsidRPr="00011B94" w:rsidRDefault="00262BF8" w:rsidP="00262BF8">
            <w:pPr>
              <w:keepNext/>
              <w:spacing w:before="0" w:after="0" w:line="240" w:lineRule="auto"/>
              <w:ind w:left="100" w:right="100" w:firstLine="0"/>
              <w:jc w:val="right"/>
              <w:rPr>
                <w:rFonts w:eastAsia="Times New Roman"/>
                <w:color w:val="000000"/>
                <w:sz w:val="20"/>
                <w:szCs w:val="20"/>
              </w:rPr>
            </w:pPr>
          </w:p>
        </w:tc>
        <w:tc>
          <w:tcPr>
            <w:tcW w:w="0" w:type="auto"/>
            <w:shd w:val="clear" w:color="auto" w:fill="FFFFFF"/>
            <w:tcMar>
              <w:top w:w="0" w:type="dxa"/>
              <w:left w:w="0" w:type="dxa"/>
              <w:bottom w:w="0" w:type="dxa"/>
              <w:right w:w="0" w:type="dxa"/>
            </w:tcMar>
            <w:vAlign w:val="center"/>
          </w:tcPr>
          <w:p w14:paraId="373D58AF" w14:textId="77777777" w:rsidR="00262BF8" w:rsidRPr="00011B94" w:rsidRDefault="00262BF8" w:rsidP="00262BF8">
            <w:pPr>
              <w:keepNext/>
              <w:spacing w:before="0" w:after="0" w:line="240" w:lineRule="auto"/>
              <w:ind w:left="100" w:right="100" w:firstLine="0"/>
              <w:jc w:val="right"/>
              <w:rPr>
                <w:rFonts w:eastAsia="Times New Roman"/>
                <w:color w:val="000000"/>
                <w:sz w:val="20"/>
                <w:szCs w:val="20"/>
              </w:rPr>
            </w:pPr>
          </w:p>
        </w:tc>
        <w:tc>
          <w:tcPr>
            <w:tcW w:w="0" w:type="auto"/>
            <w:shd w:val="clear" w:color="auto" w:fill="FFFFFF"/>
            <w:tcMar>
              <w:top w:w="0" w:type="dxa"/>
              <w:left w:w="0" w:type="dxa"/>
              <w:bottom w:w="0" w:type="dxa"/>
              <w:right w:w="0" w:type="dxa"/>
            </w:tcMar>
            <w:vAlign w:val="center"/>
          </w:tcPr>
          <w:p w14:paraId="47800F76" w14:textId="77777777" w:rsidR="00262BF8" w:rsidRPr="00011B94" w:rsidRDefault="00262BF8" w:rsidP="00262BF8">
            <w:pPr>
              <w:keepNext/>
              <w:spacing w:before="0" w:after="0" w:line="240" w:lineRule="auto"/>
              <w:ind w:left="100" w:right="100" w:firstLine="0"/>
              <w:rPr>
                <w:rFonts w:eastAsia="Times New Roman"/>
                <w:color w:val="000000"/>
                <w:sz w:val="20"/>
                <w:szCs w:val="20"/>
              </w:rPr>
            </w:pPr>
          </w:p>
        </w:tc>
      </w:tr>
      <w:tr w:rsidR="0033629A" w:rsidRPr="00011B94" w14:paraId="0C8A1DAD" w14:textId="77777777" w:rsidTr="00262BF8">
        <w:trPr>
          <w:cantSplit/>
          <w:trHeight w:val="233"/>
        </w:trPr>
        <w:tc>
          <w:tcPr>
            <w:tcW w:w="0" w:type="auto"/>
            <w:shd w:val="clear" w:color="auto" w:fill="FFFFFF"/>
            <w:tcMar>
              <w:top w:w="0" w:type="dxa"/>
              <w:left w:w="0" w:type="dxa"/>
              <w:bottom w:w="0" w:type="dxa"/>
              <w:right w:w="0" w:type="dxa"/>
            </w:tcMar>
            <w:vAlign w:val="center"/>
          </w:tcPr>
          <w:p w14:paraId="7756C62E"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Scientific Literacy (All)</w:t>
            </w:r>
          </w:p>
        </w:tc>
        <w:tc>
          <w:tcPr>
            <w:tcW w:w="0" w:type="auto"/>
            <w:shd w:val="clear" w:color="auto" w:fill="FFFFFF"/>
            <w:tcMar>
              <w:top w:w="0" w:type="dxa"/>
              <w:left w:w="0" w:type="dxa"/>
              <w:bottom w:w="0" w:type="dxa"/>
              <w:right w:w="0" w:type="dxa"/>
            </w:tcMar>
            <w:vAlign w:val="center"/>
          </w:tcPr>
          <w:p w14:paraId="56FDCB32"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0%</w:t>
            </w:r>
          </w:p>
        </w:tc>
        <w:tc>
          <w:tcPr>
            <w:tcW w:w="0" w:type="auto"/>
            <w:shd w:val="clear" w:color="auto" w:fill="FFFFFF"/>
            <w:tcMar>
              <w:top w:w="0" w:type="dxa"/>
              <w:left w:w="0" w:type="dxa"/>
              <w:bottom w:w="0" w:type="dxa"/>
              <w:right w:w="0" w:type="dxa"/>
            </w:tcMar>
            <w:vAlign w:val="center"/>
          </w:tcPr>
          <w:p w14:paraId="61691A00"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468.20</w:t>
            </w:r>
          </w:p>
        </w:tc>
        <w:tc>
          <w:tcPr>
            <w:tcW w:w="0" w:type="auto"/>
            <w:shd w:val="clear" w:color="auto" w:fill="FFFFFF"/>
            <w:tcMar>
              <w:top w:w="0" w:type="dxa"/>
              <w:left w:w="0" w:type="dxa"/>
              <w:bottom w:w="0" w:type="dxa"/>
              <w:right w:w="0" w:type="dxa"/>
            </w:tcMar>
            <w:vAlign w:val="center"/>
          </w:tcPr>
          <w:p w14:paraId="18174DDD"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52.88</w:t>
            </w:r>
          </w:p>
        </w:tc>
        <w:tc>
          <w:tcPr>
            <w:tcW w:w="0" w:type="auto"/>
            <w:shd w:val="clear" w:color="auto" w:fill="FFFFFF"/>
            <w:tcMar>
              <w:top w:w="0" w:type="dxa"/>
              <w:left w:w="0" w:type="dxa"/>
              <w:bottom w:w="0" w:type="dxa"/>
              <w:right w:w="0" w:type="dxa"/>
            </w:tcMar>
            <w:vAlign w:val="center"/>
          </w:tcPr>
          <w:p w14:paraId="5112E549"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322.03</w:t>
            </w:r>
          </w:p>
        </w:tc>
        <w:tc>
          <w:tcPr>
            <w:tcW w:w="0" w:type="auto"/>
            <w:shd w:val="clear" w:color="auto" w:fill="FFFFFF"/>
            <w:tcMar>
              <w:top w:w="0" w:type="dxa"/>
              <w:left w:w="0" w:type="dxa"/>
              <w:bottom w:w="0" w:type="dxa"/>
              <w:right w:w="0" w:type="dxa"/>
            </w:tcMar>
            <w:vAlign w:val="center"/>
          </w:tcPr>
          <w:p w14:paraId="5CF2FEBB"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484.80</w:t>
            </w:r>
          </w:p>
        </w:tc>
        <w:tc>
          <w:tcPr>
            <w:tcW w:w="0" w:type="auto"/>
            <w:shd w:val="clear" w:color="auto" w:fill="FFFFFF"/>
            <w:tcMar>
              <w:top w:w="0" w:type="dxa"/>
              <w:left w:w="0" w:type="dxa"/>
              <w:bottom w:w="0" w:type="dxa"/>
              <w:right w:w="0" w:type="dxa"/>
            </w:tcMar>
            <w:vAlign w:val="center"/>
          </w:tcPr>
          <w:p w14:paraId="71232445"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590.45</w:t>
            </w:r>
          </w:p>
        </w:tc>
        <w:tc>
          <w:tcPr>
            <w:tcW w:w="0" w:type="auto"/>
            <w:shd w:val="clear" w:color="auto" w:fill="FFFFFF"/>
            <w:tcMar>
              <w:top w:w="0" w:type="dxa"/>
              <w:left w:w="0" w:type="dxa"/>
              <w:bottom w:w="0" w:type="dxa"/>
              <w:right w:w="0" w:type="dxa"/>
            </w:tcMar>
            <w:vAlign w:val="center"/>
          </w:tcPr>
          <w:p w14:paraId="6C337130" w14:textId="77777777" w:rsidR="0033629A" w:rsidRPr="00011B94" w:rsidRDefault="004409CB">
            <w:pPr>
              <w:keepNext/>
              <w:spacing w:before="100" w:after="100" w:line="240" w:lineRule="auto"/>
              <w:ind w:left="100" w:right="100" w:firstLine="0"/>
              <w:rPr>
                <w:sz w:val="20"/>
                <w:szCs w:val="20"/>
              </w:rPr>
            </w:pPr>
            <w:r w:rsidRPr="00011B94">
              <w:rPr>
                <w:rFonts w:ascii="Cambria Math" w:eastAsia="Times New Roman" w:hAnsi="Cambria Math" w:cs="Cambria Math"/>
                <w:color w:val="000000"/>
                <w:sz w:val="20"/>
                <w:szCs w:val="20"/>
              </w:rPr>
              <w:t>▁</w:t>
            </w:r>
            <w:r w:rsidRPr="00011B94">
              <w:rPr>
                <w:rFonts w:ascii="MS Gothic" w:eastAsia="MS Gothic" w:hAnsi="MS Gothic" w:cs="MS Gothic" w:hint="eastAsia"/>
                <w:color w:val="000000"/>
                <w:sz w:val="20"/>
                <w:szCs w:val="20"/>
              </w:rPr>
              <w:t>▅▃▇▁</w:t>
            </w:r>
          </w:p>
        </w:tc>
      </w:tr>
      <w:tr w:rsidR="0033629A" w:rsidRPr="00011B94" w14:paraId="0971BF60" w14:textId="77777777" w:rsidTr="00262BF8">
        <w:trPr>
          <w:cantSplit/>
          <w:trHeight w:val="233"/>
        </w:trPr>
        <w:tc>
          <w:tcPr>
            <w:tcW w:w="0" w:type="auto"/>
            <w:shd w:val="clear" w:color="auto" w:fill="FFFFFF"/>
            <w:tcMar>
              <w:top w:w="0" w:type="dxa"/>
              <w:left w:w="0" w:type="dxa"/>
              <w:bottom w:w="0" w:type="dxa"/>
              <w:right w:w="0" w:type="dxa"/>
            </w:tcMar>
            <w:vAlign w:val="center"/>
          </w:tcPr>
          <w:p w14:paraId="29A1243B"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Scientific Literacy (Female)</w:t>
            </w:r>
          </w:p>
        </w:tc>
        <w:tc>
          <w:tcPr>
            <w:tcW w:w="0" w:type="auto"/>
            <w:shd w:val="clear" w:color="auto" w:fill="FFFFFF"/>
            <w:tcMar>
              <w:top w:w="0" w:type="dxa"/>
              <w:left w:w="0" w:type="dxa"/>
              <w:bottom w:w="0" w:type="dxa"/>
              <w:right w:w="0" w:type="dxa"/>
            </w:tcMar>
            <w:vAlign w:val="center"/>
          </w:tcPr>
          <w:p w14:paraId="25F7AF9F"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0%</w:t>
            </w:r>
          </w:p>
        </w:tc>
        <w:tc>
          <w:tcPr>
            <w:tcW w:w="0" w:type="auto"/>
            <w:shd w:val="clear" w:color="auto" w:fill="FFFFFF"/>
            <w:tcMar>
              <w:top w:w="0" w:type="dxa"/>
              <w:left w:w="0" w:type="dxa"/>
              <w:bottom w:w="0" w:type="dxa"/>
              <w:right w:w="0" w:type="dxa"/>
            </w:tcMar>
            <w:vAlign w:val="center"/>
          </w:tcPr>
          <w:p w14:paraId="2A19257A"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469.51</w:t>
            </w:r>
          </w:p>
        </w:tc>
        <w:tc>
          <w:tcPr>
            <w:tcW w:w="0" w:type="auto"/>
            <w:shd w:val="clear" w:color="auto" w:fill="FFFFFF"/>
            <w:tcMar>
              <w:top w:w="0" w:type="dxa"/>
              <w:left w:w="0" w:type="dxa"/>
              <w:bottom w:w="0" w:type="dxa"/>
              <w:right w:w="0" w:type="dxa"/>
            </w:tcMar>
            <w:vAlign w:val="center"/>
          </w:tcPr>
          <w:p w14:paraId="21BF946F"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51.45</w:t>
            </w:r>
          </w:p>
        </w:tc>
        <w:tc>
          <w:tcPr>
            <w:tcW w:w="0" w:type="auto"/>
            <w:shd w:val="clear" w:color="auto" w:fill="FFFFFF"/>
            <w:tcMar>
              <w:top w:w="0" w:type="dxa"/>
              <w:left w:w="0" w:type="dxa"/>
              <w:bottom w:w="0" w:type="dxa"/>
              <w:right w:w="0" w:type="dxa"/>
            </w:tcMar>
            <w:vAlign w:val="center"/>
          </w:tcPr>
          <w:p w14:paraId="4DAE3B5E"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324.85</w:t>
            </w:r>
          </w:p>
        </w:tc>
        <w:tc>
          <w:tcPr>
            <w:tcW w:w="0" w:type="auto"/>
            <w:shd w:val="clear" w:color="auto" w:fill="FFFFFF"/>
            <w:tcMar>
              <w:top w:w="0" w:type="dxa"/>
              <w:left w:w="0" w:type="dxa"/>
              <w:bottom w:w="0" w:type="dxa"/>
              <w:right w:w="0" w:type="dxa"/>
            </w:tcMar>
            <w:vAlign w:val="center"/>
          </w:tcPr>
          <w:p w14:paraId="30286535"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483.48</w:t>
            </w:r>
          </w:p>
        </w:tc>
        <w:tc>
          <w:tcPr>
            <w:tcW w:w="0" w:type="auto"/>
            <w:shd w:val="clear" w:color="auto" w:fill="FFFFFF"/>
            <w:tcMar>
              <w:top w:w="0" w:type="dxa"/>
              <w:left w:w="0" w:type="dxa"/>
              <w:bottom w:w="0" w:type="dxa"/>
              <w:right w:w="0" w:type="dxa"/>
            </w:tcMar>
            <w:vAlign w:val="center"/>
          </w:tcPr>
          <w:p w14:paraId="18BF76DA"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584.15</w:t>
            </w:r>
          </w:p>
        </w:tc>
        <w:tc>
          <w:tcPr>
            <w:tcW w:w="0" w:type="auto"/>
            <w:shd w:val="clear" w:color="auto" w:fill="FFFFFF"/>
            <w:tcMar>
              <w:top w:w="0" w:type="dxa"/>
              <w:left w:w="0" w:type="dxa"/>
              <w:bottom w:w="0" w:type="dxa"/>
              <w:right w:w="0" w:type="dxa"/>
            </w:tcMar>
            <w:vAlign w:val="center"/>
          </w:tcPr>
          <w:p w14:paraId="043F3F73" w14:textId="77777777" w:rsidR="0033629A" w:rsidRPr="00011B94" w:rsidRDefault="004409CB">
            <w:pPr>
              <w:keepNext/>
              <w:spacing w:before="100" w:after="100" w:line="240" w:lineRule="auto"/>
              <w:ind w:left="100" w:right="100" w:firstLine="0"/>
              <w:rPr>
                <w:sz w:val="20"/>
                <w:szCs w:val="20"/>
              </w:rPr>
            </w:pPr>
            <w:r w:rsidRPr="00011B94">
              <w:rPr>
                <w:rFonts w:ascii="Cambria Math" w:eastAsia="Times New Roman" w:hAnsi="Cambria Math" w:cs="Cambria Math"/>
                <w:color w:val="000000"/>
                <w:sz w:val="20"/>
                <w:szCs w:val="20"/>
              </w:rPr>
              <w:t>▁</w:t>
            </w:r>
            <w:r w:rsidRPr="00011B94">
              <w:rPr>
                <w:rFonts w:ascii="MS Gothic" w:eastAsia="MS Gothic" w:hAnsi="MS Gothic" w:cs="MS Gothic" w:hint="eastAsia"/>
                <w:color w:val="000000"/>
                <w:sz w:val="20"/>
                <w:szCs w:val="20"/>
              </w:rPr>
              <w:t>▅▅▇▂</w:t>
            </w:r>
          </w:p>
        </w:tc>
      </w:tr>
      <w:tr w:rsidR="0033629A" w:rsidRPr="00011B94" w14:paraId="40CDEEB6" w14:textId="77777777" w:rsidTr="00262BF8">
        <w:trPr>
          <w:cantSplit/>
          <w:trHeight w:val="227"/>
        </w:trPr>
        <w:tc>
          <w:tcPr>
            <w:tcW w:w="0" w:type="auto"/>
            <w:shd w:val="clear" w:color="auto" w:fill="FFFFFF"/>
            <w:tcMar>
              <w:top w:w="0" w:type="dxa"/>
              <w:left w:w="0" w:type="dxa"/>
              <w:bottom w:w="0" w:type="dxa"/>
              <w:right w:w="0" w:type="dxa"/>
            </w:tcMar>
            <w:vAlign w:val="center"/>
          </w:tcPr>
          <w:p w14:paraId="6BC779DF"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Scientific Literacy (Male)</w:t>
            </w:r>
          </w:p>
        </w:tc>
        <w:tc>
          <w:tcPr>
            <w:tcW w:w="0" w:type="auto"/>
            <w:shd w:val="clear" w:color="auto" w:fill="FFFFFF"/>
            <w:tcMar>
              <w:top w:w="0" w:type="dxa"/>
              <w:left w:w="0" w:type="dxa"/>
              <w:bottom w:w="0" w:type="dxa"/>
              <w:right w:w="0" w:type="dxa"/>
            </w:tcMar>
            <w:vAlign w:val="center"/>
          </w:tcPr>
          <w:p w14:paraId="5E9B6276"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0%</w:t>
            </w:r>
          </w:p>
        </w:tc>
        <w:tc>
          <w:tcPr>
            <w:tcW w:w="0" w:type="auto"/>
            <w:shd w:val="clear" w:color="auto" w:fill="FFFFFF"/>
            <w:tcMar>
              <w:top w:w="0" w:type="dxa"/>
              <w:left w:w="0" w:type="dxa"/>
              <w:bottom w:w="0" w:type="dxa"/>
              <w:right w:w="0" w:type="dxa"/>
            </w:tcMar>
            <w:vAlign w:val="center"/>
          </w:tcPr>
          <w:p w14:paraId="0A1D2BDA"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466.89</w:t>
            </w:r>
          </w:p>
        </w:tc>
        <w:tc>
          <w:tcPr>
            <w:tcW w:w="0" w:type="auto"/>
            <w:shd w:val="clear" w:color="auto" w:fill="FFFFFF"/>
            <w:tcMar>
              <w:top w:w="0" w:type="dxa"/>
              <w:left w:w="0" w:type="dxa"/>
              <w:bottom w:w="0" w:type="dxa"/>
              <w:right w:w="0" w:type="dxa"/>
            </w:tcMar>
            <w:vAlign w:val="center"/>
          </w:tcPr>
          <w:p w14:paraId="1C27FBA7"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54.77</w:t>
            </w:r>
          </w:p>
        </w:tc>
        <w:tc>
          <w:tcPr>
            <w:tcW w:w="0" w:type="auto"/>
            <w:shd w:val="clear" w:color="auto" w:fill="FFFFFF"/>
            <w:tcMar>
              <w:top w:w="0" w:type="dxa"/>
              <w:left w:w="0" w:type="dxa"/>
              <w:bottom w:w="0" w:type="dxa"/>
              <w:right w:w="0" w:type="dxa"/>
            </w:tcMar>
            <w:vAlign w:val="center"/>
          </w:tcPr>
          <w:p w14:paraId="44EDE4A6"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318.45</w:t>
            </w:r>
          </w:p>
        </w:tc>
        <w:tc>
          <w:tcPr>
            <w:tcW w:w="0" w:type="auto"/>
            <w:shd w:val="clear" w:color="auto" w:fill="FFFFFF"/>
            <w:tcMar>
              <w:top w:w="0" w:type="dxa"/>
              <w:left w:w="0" w:type="dxa"/>
              <w:bottom w:w="0" w:type="dxa"/>
              <w:right w:w="0" w:type="dxa"/>
            </w:tcMar>
            <w:vAlign w:val="center"/>
          </w:tcPr>
          <w:p w14:paraId="756989DF"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483.53</w:t>
            </w:r>
          </w:p>
        </w:tc>
        <w:tc>
          <w:tcPr>
            <w:tcW w:w="0" w:type="auto"/>
            <w:shd w:val="clear" w:color="auto" w:fill="FFFFFF"/>
            <w:tcMar>
              <w:top w:w="0" w:type="dxa"/>
              <w:left w:w="0" w:type="dxa"/>
              <w:bottom w:w="0" w:type="dxa"/>
              <w:right w:w="0" w:type="dxa"/>
            </w:tcMar>
            <w:vAlign w:val="center"/>
          </w:tcPr>
          <w:p w14:paraId="6CDB1A7B"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596.21</w:t>
            </w:r>
          </w:p>
        </w:tc>
        <w:tc>
          <w:tcPr>
            <w:tcW w:w="0" w:type="auto"/>
            <w:shd w:val="clear" w:color="auto" w:fill="FFFFFF"/>
            <w:tcMar>
              <w:top w:w="0" w:type="dxa"/>
              <w:left w:w="0" w:type="dxa"/>
              <w:bottom w:w="0" w:type="dxa"/>
              <w:right w:w="0" w:type="dxa"/>
            </w:tcMar>
            <w:vAlign w:val="center"/>
          </w:tcPr>
          <w:p w14:paraId="2C93E53C" w14:textId="77777777" w:rsidR="0033629A" w:rsidRPr="00011B94" w:rsidRDefault="004409CB">
            <w:pPr>
              <w:keepNext/>
              <w:spacing w:before="100" w:after="100" w:line="240" w:lineRule="auto"/>
              <w:ind w:left="100" w:right="100" w:firstLine="0"/>
              <w:rPr>
                <w:sz w:val="20"/>
                <w:szCs w:val="20"/>
              </w:rPr>
            </w:pPr>
            <w:r w:rsidRPr="00011B94">
              <w:rPr>
                <w:rFonts w:ascii="Cambria Math" w:eastAsia="Times New Roman" w:hAnsi="Cambria Math" w:cs="Cambria Math"/>
                <w:color w:val="000000"/>
                <w:sz w:val="20"/>
                <w:szCs w:val="20"/>
              </w:rPr>
              <w:t>▁</w:t>
            </w:r>
            <w:r w:rsidRPr="00011B94">
              <w:rPr>
                <w:rFonts w:ascii="MS Gothic" w:eastAsia="MS Gothic" w:hAnsi="MS Gothic" w:cs="MS Gothic" w:hint="eastAsia"/>
                <w:color w:val="000000"/>
                <w:sz w:val="20"/>
                <w:szCs w:val="20"/>
              </w:rPr>
              <w:t>▅▃▇▁</w:t>
            </w:r>
          </w:p>
        </w:tc>
      </w:tr>
      <w:tr w:rsidR="00262BF8" w:rsidRPr="00011B94" w14:paraId="78E16CF7" w14:textId="77777777" w:rsidTr="00262BF8">
        <w:trPr>
          <w:cantSplit/>
          <w:trHeight w:val="144"/>
        </w:trPr>
        <w:tc>
          <w:tcPr>
            <w:tcW w:w="0" w:type="auto"/>
            <w:shd w:val="clear" w:color="auto" w:fill="FFFFFF"/>
            <w:tcMar>
              <w:top w:w="0" w:type="dxa"/>
              <w:left w:w="0" w:type="dxa"/>
              <w:bottom w:w="0" w:type="dxa"/>
              <w:right w:w="0" w:type="dxa"/>
            </w:tcMar>
            <w:vAlign w:val="center"/>
          </w:tcPr>
          <w:p w14:paraId="617C51FB" w14:textId="3E3E8E93" w:rsidR="00262BF8" w:rsidRPr="00011B94" w:rsidRDefault="00262BF8" w:rsidP="00262BF8">
            <w:pPr>
              <w:keepNext/>
              <w:spacing w:before="0" w:after="0" w:line="240" w:lineRule="auto"/>
              <w:ind w:left="101" w:right="101" w:firstLine="0"/>
              <w:rPr>
                <w:rFonts w:eastAsia="Times New Roman"/>
                <w:b/>
                <w:bCs/>
                <w:color w:val="000000"/>
                <w:sz w:val="20"/>
                <w:szCs w:val="20"/>
              </w:rPr>
            </w:pPr>
            <w:r w:rsidRPr="00011B94">
              <w:rPr>
                <w:rFonts w:eastAsia="Times New Roman"/>
                <w:b/>
                <w:bCs/>
                <w:color w:val="000000"/>
                <w:sz w:val="20"/>
                <w:szCs w:val="20"/>
              </w:rPr>
              <w:t>Control Variables</w:t>
            </w:r>
          </w:p>
        </w:tc>
        <w:tc>
          <w:tcPr>
            <w:tcW w:w="0" w:type="auto"/>
            <w:shd w:val="clear" w:color="auto" w:fill="FFFFFF"/>
            <w:tcMar>
              <w:top w:w="0" w:type="dxa"/>
              <w:left w:w="0" w:type="dxa"/>
              <w:bottom w:w="0" w:type="dxa"/>
              <w:right w:w="0" w:type="dxa"/>
            </w:tcMar>
            <w:vAlign w:val="center"/>
          </w:tcPr>
          <w:p w14:paraId="79620404" w14:textId="77777777" w:rsidR="00262BF8" w:rsidRPr="00011B94" w:rsidRDefault="00262BF8" w:rsidP="00262BF8">
            <w:pPr>
              <w:keepNext/>
              <w:spacing w:before="0" w:after="0" w:line="240" w:lineRule="auto"/>
              <w:ind w:left="101" w:right="101" w:firstLine="0"/>
              <w:rPr>
                <w:rFonts w:eastAsia="Times New Roman"/>
                <w:color w:val="000000"/>
                <w:sz w:val="20"/>
                <w:szCs w:val="20"/>
              </w:rPr>
            </w:pPr>
          </w:p>
        </w:tc>
        <w:tc>
          <w:tcPr>
            <w:tcW w:w="0" w:type="auto"/>
            <w:shd w:val="clear" w:color="auto" w:fill="FFFFFF"/>
            <w:tcMar>
              <w:top w:w="0" w:type="dxa"/>
              <w:left w:w="0" w:type="dxa"/>
              <w:bottom w:w="0" w:type="dxa"/>
              <w:right w:w="0" w:type="dxa"/>
            </w:tcMar>
            <w:vAlign w:val="center"/>
          </w:tcPr>
          <w:p w14:paraId="4040F4A1" w14:textId="77777777" w:rsidR="00262BF8" w:rsidRPr="00011B94" w:rsidRDefault="00262BF8" w:rsidP="00262BF8">
            <w:pPr>
              <w:keepNext/>
              <w:spacing w:before="0" w:after="0" w:line="240" w:lineRule="auto"/>
              <w:ind w:left="101" w:right="101" w:firstLine="0"/>
              <w:jc w:val="right"/>
              <w:rPr>
                <w:rFonts w:eastAsia="Times New Roman"/>
                <w:color w:val="000000"/>
                <w:sz w:val="20"/>
                <w:szCs w:val="20"/>
              </w:rPr>
            </w:pPr>
          </w:p>
        </w:tc>
        <w:tc>
          <w:tcPr>
            <w:tcW w:w="0" w:type="auto"/>
            <w:shd w:val="clear" w:color="auto" w:fill="FFFFFF"/>
            <w:tcMar>
              <w:top w:w="0" w:type="dxa"/>
              <w:left w:w="0" w:type="dxa"/>
              <w:bottom w:w="0" w:type="dxa"/>
              <w:right w:w="0" w:type="dxa"/>
            </w:tcMar>
            <w:vAlign w:val="center"/>
          </w:tcPr>
          <w:p w14:paraId="16F5A2FA" w14:textId="77777777" w:rsidR="00262BF8" w:rsidRPr="00011B94" w:rsidRDefault="00262BF8" w:rsidP="00262BF8">
            <w:pPr>
              <w:keepNext/>
              <w:spacing w:before="0" w:after="0" w:line="240" w:lineRule="auto"/>
              <w:ind w:left="101" w:right="101" w:firstLine="0"/>
              <w:jc w:val="right"/>
              <w:rPr>
                <w:rFonts w:eastAsia="Times New Roman"/>
                <w:color w:val="000000"/>
                <w:sz w:val="20"/>
                <w:szCs w:val="20"/>
              </w:rPr>
            </w:pPr>
          </w:p>
        </w:tc>
        <w:tc>
          <w:tcPr>
            <w:tcW w:w="0" w:type="auto"/>
            <w:shd w:val="clear" w:color="auto" w:fill="FFFFFF"/>
            <w:tcMar>
              <w:top w:w="0" w:type="dxa"/>
              <w:left w:w="0" w:type="dxa"/>
              <w:bottom w:w="0" w:type="dxa"/>
              <w:right w:w="0" w:type="dxa"/>
            </w:tcMar>
            <w:vAlign w:val="center"/>
          </w:tcPr>
          <w:p w14:paraId="687A062B" w14:textId="77777777" w:rsidR="00262BF8" w:rsidRPr="00011B94" w:rsidRDefault="00262BF8" w:rsidP="00262BF8">
            <w:pPr>
              <w:keepNext/>
              <w:spacing w:before="0" w:after="0" w:line="240" w:lineRule="auto"/>
              <w:ind w:left="101" w:right="101" w:firstLine="0"/>
              <w:jc w:val="right"/>
              <w:rPr>
                <w:rFonts w:eastAsia="Times New Roman"/>
                <w:color w:val="000000"/>
                <w:sz w:val="20"/>
                <w:szCs w:val="20"/>
              </w:rPr>
            </w:pPr>
          </w:p>
        </w:tc>
        <w:tc>
          <w:tcPr>
            <w:tcW w:w="0" w:type="auto"/>
            <w:shd w:val="clear" w:color="auto" w:fill="FFFFFF"/>
            <w:tcMar>
              <w:top w:w="0" w:type="dxa"/>
              <w:left w:w="0" w:type="dxa"/>
              <w:bottom w:w="0" w:type="dxa"/>
              <w:right w:w="0" w:type="dxa"/>
            </w:tcMar>
            <w:vAlign w:val="center"/>
          </w:tcPr>
          <w:p w14:paraId="2C4B860D" w14:textId="77777777" w:rsidR="00262BF8" w:rsidRPr="00011B94" w:rsidRDefault="00262BF8" w:rsidP="00262BF8">
            <w:pPr>
              <w:keepNext/>
              <w:spacing w:before="0" w:after="0" w:line="240" w:lineRule="auto"/>
              <w:ind w:left="101" w:right="101" w:firstLine="0"/>
              <w:jc w:val="right"/>
              <w:rPr>
                <w:rFonts w:eastAsia="Times New Roman"/>
                <w:color w:val="000000"/>
                <w:sz w:val="20"/>
                <w:szCs w:val="20"/>
              </w:rPr>
            </w:pPr>
          </w:p>
        </w:tc>
        <w:tc>
          <w:tcPr>
            <w:tcW w:w="0" w:type="auto"/>
            <w:shd w:val="clear" w:color="auto" w:fill="FFFFFF"/>
            <w:tcMar>
              <w:top w:w="0" w:type="dxa"/>
              <w:left w:w="0" w:type="dxa"/>
              <w:bottom w:w="0" w:type="dxa"/>
              <w:right w:w="0" w:type="dxa"/>
            </w:tcMar>
            <w:vAlign w:val="center"/>
          </w:tcPr>
          <w:p w14:paraId="68625FCF" w14:textId="77777777" w:rsidR="00262BF8" w:rsidRPr="00011B94" w:rsidRDefault="00262BF8" w:rsidP="00262BF8">
            <w:pPr>
              <w:keepNext/>
              <w:spacing w:before="0" w:after="0" w:line="240" w:lineRule="auto"/>
              <w:ind w:left="101" w:right="101" w:firstLine="0"/>
              <w:jc w:val="right"/>
              <w:rPr>
                <w:rFonts w:eastAsia="Times New Roman"/>
                <w:color w:val="000000"/>
                <w:sz w:val="20"/>
                <w:szCs w:val="20"/>
              </w:rPr>
            </w:pPr>
          </w:p>
        </w:tc>
        <w:tc>
          <w:tcPr>
            <w:tcW w:w="0" w:type="auto"/>
            <w:shd w:val="clear" w:color="auto" w:fill="FFFFFF"/>
            <w:tcMar>
              <w:top w:w="0" w:type="dxa"/>
              <w:left w:w="0" w:type="dxa"/>
              <w:bottom w:w="0" w:type="dxa"/>
              <w:right w:w="0" w:type="dxa"/>
            </w:tcMar>
            <w:vAlign w:val="center"/>
          </w:tcPr>
          <w:p w14:paraId="21028628" w14:textId="77777777" w:rsidR="00262BF8" w:rsidRPr="00011B94" w:rsidRDefault="00262BF8" w:rsidP="00262BF8">
            <w:pPr>
              <w:keepNext/>
              <w:spacing w:before="0" w:after="0" w:line="240" w:lineRule="auto"/>
              <w:ind w:left="101" w:right="101" w:firstLine="0"/>
              <w:rPr>
                <w:rFonts w:eastAsia="Times New Roman"/>
                <w:color w:val="000000"/>
                <w:sz w:val="20"/>
                <w:szCs w:val="20"/>
              </w:rPr>
            </w:pPr>
          </w:p>
        </w:tc>
      </w:tr>
      <w:tr w:rsidR="0033629A" w:rsidRPr="00011B94" w14:paraId="550DB784" w14:textId="77777777" w:rsidTr="00262BF8">
        <w:trPr>
          <w:cantSplit/>
          <w:trHeight w:val="233"/>
        </w:trPr>
        <w:tc>
          <w:tcPr>
            <w:tcW w:w="0" w:type="auto"/>
            <w:shd w:val="clear" w:color="auto" w:fill="FFFFFF"/>
            <w:tcMar>
              <w:top w:w="0" w:type="dxa"/>
              <w:left w:w="0" w:type="dxa"/>
              <w:bottom w:w="0" w:type="dxa"/>
              <w:right w:w="0" w:type="dxa"/>
            </w:tcMar>
            <w:vAlign w:val="center"/>
          </w:tcPr>
          <w:p w14:paraId="374B93A2"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Population</w:t>
            </w:r>
          </w:p>
        </w:tc>
        <w:tc>
          <w:tcPr>
            <w:tcW w:w="0" w:type="auto"/>
            <w:shd w:val="clear" w:color="auto" w:fill="FFFFFF"/>
            <w:tcMar>
              <w:top w:w="0" w:type="dxa"/>
              <w:left w:w="0" w:type="dxa"/>
              <w:bottom w:w="0" w:type="dxa"/>
              <w:right w:w="0" w:type="dxa"/>
            </w:tcMar>
            <w:vAlign w:val="center"/>
          </w:tcPr>
          <w:p w14:paraId="696B8DAF"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0%</w:t>
            </w:r>
          </w:p>
        </w:tc>
        <w:tc>
          <w:tcPr>
            <w:tcW w:w="0" w:type="auto"/>
            <w:shd w:val="clear" w:color="auto" w:fill="FFFFFF"/>
            <w:tcMar>
              <w:top w:w="0" w:type="dxa"/>
              <w:left w:w="0" w:type="dxa"/>
              <w:bottom w:w="0" w:type="dxa"/>
              <w:right w:w="0" w:type="dxa"/>
            </w:tcMar>
            <w:vAlign w:val="center"/>
          </w:tcPr>
          <w:p w14:paraId="5E2758A0"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50,609,412.02</w:t>
            </w:r>
          </w:p>
        </w:tc>
        <w:tc>
          <w:tcPr>
            <w:tcW w:w="0" w:type="auto"/>
            <w:shd w:val="clear" w:color="auto" w:fill="FFFFFF"/>
            <w:tcMar>
              <w:top w:w="0" w:type="dxa"/>
              <w:left w:w="0" w:type="dxa"/>
              <w:bottom w:w="0" w:type="dxa"/>
              <w:right w:w="0" w:type="dxa"/>
            </w:tcMar>
            <w:vAlign w:val="center"/>
          </w:tcPr>
          <w:p w14:paraId="267FDB1A"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156,556,072.43</w:t>
            </w:r>
          </w:p>
        </w:tc>
        <w:tc>
          <w:tcPr>
            <w:tcW w:w="0" w:type="auto"/>
            <w:shd w:val="clear" w:color="auto" w:fill="FFFFFF"/>
            <w:tcMar>
              <w:top w:w="0" w:type="dxa"/>
              <w:left w:w="0" w:type="dxa"/>
              <w:bottom w:w="0" w:type="dxa"/>
              <w:right w:w="0" w:type="dxa"/>
            </w:tcMar>
            <w:vAlign w:val="center"/>
          </w:tcPr>
          <w:p w14:paraId="12053A48"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303,782.00</w:t>
            </w:r>
          </w:p>
        </w:tc>
        <w:tc>
          <w:tcPr>
            <w:tcW w:w="0" w:type="auto"/>
            <w:shd w:val="clear" w:color="auto" w:fill="FFFFFF"/>
            <w:tcMar>
              <w:top w:w="0" w:type="dxa"/>
              <w:left w:w="0" w:type="dxa"/>
              <w:bottom w:w="0" w:type="dxa"/>
              <w:right w:w="0" w:type="dxa"/>
            </w:tcMar>
            <w:vAlign w:val="center"/>
          </w:tcPr>
          <w:p w14:paraId="6D999AB8"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9,939,771.00</w:t>
            </w:r>
          </w:p>
        </w:tc>
        <w:tc>
          <w:tcPr>
            <w:tcW w:w="0" w:type="auto"/>
            <w:shd w:val="clear" w:color="auto" w:fill="FFFFFF"/>
            <w:tcMar>
              <w:top w:w="0" w:type="dxa"/>
              <w:left w:w="0" w:type="dxa"/>
              <w:bottom w:w="0" w:type="dxa"/>
              <w:right w:w="0" w:type="dxa"/>
            </w:tcMar>
            <w:vAlign w:val="center"/>
          </w:tcPr>
          <w:p w14:paraId="38D17862"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1,402,760,000.00</w:t>
            </w:r>
          </w:p>
        </w:tc>
        <w:tc>
          <w:tcPr>
            <w:tcW w:w="0" w:type="auto"/>
            <w:shd w:val="clear" w:color="auto" w:fill="FFFFFF"/>
            <w:tcMar>
              <w:top w:w="0" w:type="dxa"/>
              <w:left w:w="0" w:type="dxa"/>
              <w:bottom w:w="0" w:type="dxa"/>
              <w:right w:w="0" w:type="dxa"/>
            </w:tcMar>
            <w:vAlign w:val="center"/>
          </w:tcPr>
          <w:p w14:paraId="57042509" w14:textId="77777777" w:rsidR="0033629A" w:rsidRPr="00011B94" w:rsidRDefault="004409CB">
            <w:pPr>
              <w:keepNext/>
              <w:spacing w:before="100" w:after="100" w:line="240" w:lineRule="auto"/>
              <w:ind w:left="100" w:right="100" w:firstLine="0"/>
              <w:rPr>
                <w:sz w:val="20"/>
                <w:szCs w:val="20"/>
              </w:rPr>
            </w:pPr>
            <w:r w:rsidRPr="00011B94">
              <w:rPr>
                <w:rFonts w:ascii="MS Gothic" w:eastAsia="MS Gothic" w:hAnsi="MS Gothic" w:cs="MS Gothic" w:hint="eastAsia"/>
                <w:color w:val="000000"/>
                <w:sz w:val="20"/>
                <w:szCs w:val="20"/>
              </w:rPr>
              <w:t>▇▁▁▁▁</w:t>
            </w:r>
          </w:p>
        </w:tc>
      </w:tr>
      <w:tr w:rsidR="0033629A" w:rsidRPr="00011B94" w14:paraId="781845AE" w14:textId="77777777" w:rsidTr="00262BF8">
        <w:trPr>
          <w:cantSplit/>
          <w:trHeight w:val="227"/>
        </w:trPr>
        <w:tc>
          <w:tcPr>
            <w:tcW w:w="0" w:type="auto"/>
            <w:shd w:val="clear" w:color="auto" w:fill="FFFFFF"/>
            <w:tcMar>
              <w:top w:w="0" w:type="dxa"/>
              <w:left w:w="0" w:type="dxa"/>
              <w:bottom w:w="0" w:type="dxa"/>
              <w:right w:w="0" w:type="dxa"/>
            </w:tcMar>
            <w:vAlign w:val="center"/>
          </w:tcPr>
          <w:p w14:paraId="0A46165A"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GDP-PPP (US$2015)</w:t>
            </w:r>
          </w:p>
        </w:tc>
        <w:tc>
          <w:tcPr>
            <w:tcW w:w="0" w:type="auto"/>
            <w:shd w:val="clear" w:color="auto" w:fill="FFFFFF"/>
            <w:tcMar>
              <w:top w:w="0" w:type="dxa"/>
              <w:left w:w="0" w:type="dxa"/>
              <w:bottom w:w="0" w:type="dxa"/>
              <w:right w:w="0" w:type="dxa"/>
            </w:tcMar>
            <w:vAlign w:val="center"/>
          </w:tcPr>
          <w:p w14:paraId="3DD4348A"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0%</w:t>
            </w:r>
          </w:p>
        </w:tc>
        <w:tc>
          <w:tcPr>
            <w:tcW w:w="0" w:type="auto"/>
            <w:shd w:val="clear" w:color="auto" w:fill="FFFFFF"/>
            <w:tcMar>
              <w:top w:w="0" w:type="dxa"/>
              <w:left w:w="0" w:type="dxa"/>
              <w:bottom w:w="0" w:type="dxa"/>
              <w:right w:w="0" w:type="dxa"/>
            </w:tcMar>
            <w:vAlign w:val="center"/>
          </w:tcPr>
          <w:p w14:paraId="10F074AB"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26,374.32</w:t>
            </w:r>
          </w:p>
        </w:tc>
        <w:tc>
          <w:tcPr>
            <w:tcW w:w="0" w:type="auto"/>
            <w:shd w:val="clear" w:color="auto" w:fill="FFFFFF"/>
            <w:tcMar>
              <w:top w:w="0" w:type="dxa"/>
              <w:left w:w="0" w:type="dxa"/>
              <w:bottom w:w="0" w:type="dxa"/>
              <w:right w:w="0" w:type="dxa"/>
            </w:tcMar>
            <w:vAlign w:val="center"/>
          </w:tcPr>
          <w:p w14:paraId="73B87220"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22,414.51</w:t>
            </w:r>
          </w:p>
        </w:tc>
        <w:tc>
          <w:tcPr>
            <w:tcW w:w="0" w:type="auto"/>
            <w:shd w:val="clear" w:color="auto" w:fill="FFFFFF"/>
            <w:tcMar>
              <w:top w:w="0" w:type="dxa"/>
              <w:left w:w="0" w:type="dxa"/>
              <w:bottom w:w="0" w:type="dxa"/>
              <w:right w:w="0" w:type="dxa"/>
            </w:tcMar>
            <w:vAlign w:val="center"/>
          </w:tcPr>
          <w:p w14:paraId="05FF23B3"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837.13</w:t>
            </w:r>
          </w:p>
        </w:tc>
        <w:tc>
          <w:tcPr>
            <w:tcW w:w="0" w:type="auto"/>
            <w:shd w:val="clear" w:color="auto" w:fill="FFFFFF"/>
            <w:tcMar>
              <w:top w:w="0" w:type="dxa"/>
              <w:left w:w="0" w:type="dxa"/>
              <w:bottom w:w="0" w:type="dxa"/>
              <w:right w:w="0" w:type="dxa"/>
            </w:tcMar>
            <w:vAlign w:val="center"/>
          </w:tcPr>
          <w:p w14:paraId="28093710"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17,618.83</w:t>
            </w:r>
          </w:p>
        </w:tc>
        <w:tc>
          <w:tcPr>
            <w:tcW w:w="0" w:type="auto"/>
            <w:shd w:val="clear" w:color="auto" w:fill="FFFFFF"/>
            <w:tcMar>
              <w:top w:w="0" w:type="dxa"/>
              <w:left w:w="0" w:type="dxa"/>
              <w:bottom w:w="0" w:type="dxa"/>
              <w:right w:w="0" w:type="dxa"/>
            </w:tcMar>
            <w:vAlign w:val="center"/>
          </w:tcPr>
          <w:p w14:paraId="04921AA9"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104,261.94</w:t>
            </w:r>
          </w:p>
        </w:tc>
        <w:tc>
          <w:tcPr>
            <w:tcW w:w="0" w:type="auto"/>
            <w:shd w:val="clear" w:color="auto" w:fill="FFFFFF"/>
            <w:tcMar>
              <w:top w:w="0" w:type="dxa"/>
              <w:left w:w="0" w:type="dxa"/>
              <w:bottom w:w="0" w:type="dxa"/>
              <w:right w:w="0" w:type="dxa"/>
            </w:tcMar>
            <w:vAlign w:val="center"/>
          </w:tcPr>
          <w:p w14:paraId="7415818F" w14:textId="77777777" w:rsidR="0033629A" w:rsidRPr="00011B94" w:rsidRDefault="004409CB">
            <w:pPr>
              <w:keepNext/>
              <w:spacing w:before="100" w:after="100" w:line="240" w:lineRule="auto"/>
              <w:ind w:left="100" w:right="100" w:firstLine="0"/>
              <w:rPr>
                <w:sz w:val="20"/>
                <w:szCs w:val="20"/>
              </w:rPr>
            </w:pPr>
            <w:r w:rsidRPr="00011B94">
              <w:rPr>
                <w:rFonts w:ascii="MS Gothic" w:eastAsia="MS Gothic" w:hAnsi="MS Gothic" w:cs="MS Gothic" w:hint="eastAsia"/>
                <w:color w:val="000000"/>
                <w:sz w:val="20"/>
                <w:szCs w:val="20"/>
              </w:rPr>
              <w:t>▇▂▃▁▁</w:t>
            </w:r>
          </w:p>
        </w:tc>
      </w:tr>
      <w:tr w:rsidR="0033629A" w:rsidRPr="00011B94" w14:paraId="586FDE58" w14:textId="77777777" w:rsidTr="00262BF8">
        <w:trPr>
          <w:cantSplit/>
          <w:trHeight w:val="233"/>
        </w:trPr>
        <w:tc>
          <w:tcPr>
            <w:tcW w:w="0" w:type="auto"/>
            <w:shd w:val="clear" w:color="auto" w:fill="FFFFFF"/>
            <w:tcMar>
              <w:top w:w="0" w:type="dxa"/>
              <w:left w:w="0" w:type="dxa"/>
              <w:bottom w:w="0" w:type="dxa"/>
              <w:right w:w="0" w:type="dxa"/>
            </w:tcMar>
            <w:vAlign w:val="center"/>
          </w:tcPr>
          <w:p w14:paraId="5636126E"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Exports as % of GDP</w:t>
            </w:r>
          </w:p>
        </w:tc>
        <w:tc>
          <w:tcPr>
            <w:tcW w:w="0" w:type="auto"/>
            <w:shd w:val="clear" w:color="auto" w:fill="FFFFFF"/>
            <w:tcMar>
              <w:top w:w="0" w:type="dxa"/>
              <w:left w:w="0" w:type="dxa"/>
              <w:bottom w:w="0" w:type="dxa"/>
              <w:right w:w="0" w:type="dxa"/>
            </w:tcMar>
            <w:vAlign w:val="center"/>
          </w:tcPr>
          <w:p w14:paraId="736DE74A"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2%</w:t>
            </w:r>
          </w:p>
        </w:tc>
        <w:tc>
          <w:tcPr>
            <w:tcW w:w="0" w:type="auto"/>
            <w:shd w:val="clear" w:color="auto" w:fill="FFFFFF"/>
            <w:tcMar>
              <w:top w:w="0" w:type="dxa"/>
              <w:left w:w="0" w:type="dxa"/>
              <w:bottom w:w="0" w:type="dxa"/>
              <w:right w:w="0" w:type="dxa"/>
            </w:tcMar>
            <w:vAlign w:val="center"/>
          </w:tcPr>
          <w:p w14:paraId="5A4F0036"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0.52</w:t>
            </w:r>
          </w:p>
        </w:tc>
        <w:tc>
          <w:tcPr>
            <w:tcW w:w="0" w:type="auto"/>
            <w:shd w:val="clear" w:color="auto" w:fill="FFFFFF"/>
            <w:tcMar>
              <w:top w:w="0" w:type="dxa"/>
              <w:left w:w="0" w:type="dxa"/>
              <w:bottom w:w="0" w:type="dxa"/>
              <w:right w:w="0" w:type="dxa"/>
            </w:tcMar>
            <w:vAlign w:val="center"/>
          </w:tcPr>
          <w:p w14:paraId="23C7FB0D"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0.38</w:t>
            </w:r>
          </w:p>
        </w:tc>
        <w:tc>
          <w:tcPr>
            <w:tcW w:w="0" w:type="auto"/>
            <w:shd w:val="clear" w:color="auto" w:fill="FFFFFF"/>
            <w:tcMar>
              <w:top w:w="0" w:type="dxa"/>
              <w:left w:w="0" w:type="dxa"/>
              <w:bottom w:w="0" w:type="dxa"/>
              <w:right w:w="0" w:type="dxa"/>
            </w:tcMar>
            <w:vAlign w:val="center"/>
          </w:tcPr>
          <w:p w14:paraId="49F6D69F"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0.11</w:t>
            </w:r>
          </w:p>
        </w:tc>
        <w:tc>
          <w:tcPr>
            <w:tcW w:w="0" w:type="auto"/>
            <w:shd w:val="clear" w:color="auto" w:fill="FFFFFF"/>
            <w:tcMar>
              <w:top w:w="0" w:type="dxa"/>
              <w:left w:w="0" w:type="dxa"/>
              <w:bottom w:w="0" w:type="dxa"/>
              <w:right w:w="0" w:type="dxa"/>
            </w:tcMar>
            <w:vAlign w:val="center"/>
          </w:tcPr>
          <w:p w14:paraId="1D9474BF"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0.41</w:t>
            </w:r>
          </w:p>
        </w:tc>
        <w:tc>
          <w:tcPr>
            <w:tcW w:w="0" w:type="auto"/>
            <w:shd w:val="clear" w:color="auto" w:fill="FFFFFF"/>
            <w:tcMar>
              <w:top w:w="0" w:type="dxa"/>
              <w:left w:w="0" w:type="dxa"/>
              <w:bottom w:w="0" w:type="dxa"/>
              <w:right w:w="0" w:type="dxa"/>
            </w:tcMar>
            <w:vAlign w:val="center"/>
          </w:tcPr>
          <w:p w14:paraId="634F74D6"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2.21</w:t>
            </w:r>
          </w:p>
        </w:tc>
        <w:tc>
          <w:tcPr>
            <w:tcW w:w="0" w:type="auto"/>
            <w:shd w:val="clear" w:color="auto" w:fill="FFFFFF"/>
            <w:tcMar>
              <w:top w:w="0" w:type="dxa"/>
              <w:left w:w="0" w:type="dxa"/>
              <w:bottom w:w="0" w:type="dxa"/>
              <w:right w:w="0" w:type="dxa"/>
            </w:tcMar>
            <w:vAlign w:val="center"/>
          </w:tcPr>
          <w:p w14:paraId="7A423172" w14:textId="77777777" w:rsidR="0033629A" w:rsidRPr="00011B94" w:rsidRDefault="004409CB">
            <w:pPr>
              <w:keepNext/>
              <w:spacing w:before="100" w:after="100" w:line="240" w:lineRule="auto"/>
              <w:ind w:left="100" w:right="100" w:firstLine="0"/>
              <w:rPr>
                <w:sz w:val="20"/>
                <w:szCs w:val="20"/>
              </w:rPr>
            </w:pPr>
            <w:r w:rsidRPr="00011B94">
              <w:rPr>
                <w:rFonts w:ascii="MS Gothic" w:eastAsia="MS Gothic" w:hAnsi="MS Gothic" w:cs="MS Gothic" w:hint="eastAsia"/>
                <w:color w:val="000000"/>
                <w:sz w:val="20"/>
                <w:szCs w:val="20"/>
              </w:rPr>
              <w:t>▇▃▁▁▁</w:t>
            </w:r>
          </w:p>
        </w:tc>
      </w:tr>
      <w:tr w:rsidR="0033629A" w:rsidRPr="00011B94" w14:paraId="18109CFF" w14:textId="77777777" w:rsidTr="00262BF8">
        <w:trPr>
          <w:cantSplit/>
          <w:trHeight w:val="233"/>
        </w:trPr>
        <w:tc>
          <w:tcPr>
            <w:tcW w:w="0" w:type="auto"/>
            <w:shd w:val="clear" w:color="auto" w:fill="FFFFFF"/>
            <w:tcMar>
              <w:top w:w="0" w:type="dxa"/>
              <w:left w:w="0" w:type="dxa"/>
              <w:bottom w:w="0" w:type="dxa"/>
              <w:right w:w="0" w:type="dxa"/>
            </w:tcMar>
            <w:vAlign w:val="center"/>
          </w:tcPr>
          <w:p w14:paraId="56B1C097"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Mfg. as % of GDP</w:t>
            </w:r>
          </w:p>
        </w:tc>
        <w:tc>
          <w:tcPr>
            <w:tcW w:w="0" w:type="auto"/>
            <w:shd w:val="clear" w:color="auto" w:fill="FFFFFF"/>
            <w:tcMar>
              <w:top w:w="0" w:type="dxa"/>
              <w:left w:w="0" w:type="dxa"/>
              <w:bottom w:w="0" w:type="dxa"/>
              <w:right w:w="0" w:type="dxa"/>
            </w:tcMar>
            <w:vAlign w:val="center"/>
          </w:tcPr>
          <w:p w14:paraId="7C364CE6"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3%</w:t>
            </w:r>
          </w:p>
        </w:tc>
        <w:tc>
          <w:tcPr>
            <w:tcW w:w="0" w:type="auto"/>
            <w:shd w:val="clear" w:color="auto" w:fill="FFFFFF"/>
            <w:tcMar>
              <w:top w:w="0" w:type="dxa"/>
              <w:left w:w="0" w:type="dxa"/>
              <w:bottom w:w="0" w:type="dxa"/>
              <w:right w:w="0" w:type="dxa"/>
            </w:tcMar>
            <w:vAlign w:val="center"/>
          </w:tcPr>
          <w:p w14:paraId="4A3110E9"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0.14</w:t>
            </w:r>
          </w:p>
        </w:tc>
        <w:tc>
          <w:tcPr>
            <w:tcW w:w="0" w:type="auto"/>
            <w:shd w:val="clear" w:color="auto" w:fill="FFFFFF"/>
            <w:tcMar>
              <w:top w:w="0" w:type="dxa"/>
              <w:left w:w="0" w:type="dxa"/>
              <w:bottom w:w="0" w:type="dxa"/>
              <w:right w:w="0" w:type="dxa"/>
            </w:tcMar>
            <w:vAlign w:val="center"/>
          </w:tcPr>
          <w:p w14:paraId="57629023"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0.06</w:t>
            </w:r>
          </w:p>
        </w:tc>
        <w:tc>
          <w:tcPr>
            <w:tcW w:w="0" w:type="auto"/>
            <w:shd w:val="clear" w:color="auto" w:fill="FFFFFF"/>
            <w:tcMar>
              <w:top w:w="0" w:type="dxa"/>
              <w:left w:w="0" w:type="dxa"/>
              <w:bottom w:w="0" w:type="dxa"/>
              <w:right w:w="0" w:type="dxa"/>
            </w:tcMar>
            <w:vAlign w:val="center"/>
          </w:tcPr>
          <w:p w14:paraId="7B407237"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0.00</w:t>
            </w:r>
          </w:p>
        </w:tc>
        <w:tc>
          <w:tcPr>
            <w:tcW w:w="0" w:type="auto"/>
            <w:shd w:val="clear" w:color="auto" w:fill="FFFFFF"/>
            <w:tcMar>
              <w:top w:w="0" w:type="dxa"/>
              <w:left w:w="0" w:type="dxa"/>
              <w:bottom w:w="0" w:type="dxa"/>
              <w:right w:w="0" w:type="dxa"/>
            </w:tcMar>
            <w:vAlign w:val="center"/>
          </w:tcPr>
          <w:p w14:paraId="726AB092"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0.14</w:t>
            </w:r>
          </w:p>
        </w:tc>
        <w:tc>
          <w:tcPr>
            <w:tcW w:w="0" w:type="auto"/>
            <w:shd w:val="clear" w:color="auto" w:fill="FFFFFF"/>
            <w:tcMar>
              <w:top w:w="0" w:type="dxa"/>
              <w:left w:w="0" w:type="dxa"/>
              <w:bottom w:w="0" w:type="dxa"/>
              <w:right w:w="0" w:type="dxa"/>
            </w:tcMar>
            <w:vAlign w:val="center"/>
          </w:tcPr>
          <w:p w14:paraId="0204D657"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0.35</w:t>
            </w:r>
          </w:p>
        </w:tc>
        <w:tc>
          <w:tcPr>
            <w:tcW w:w="0" w:type="auto"/>
            <w:shd w:val="clear" w:color="auto" w:fill="FFFFFF"/>
            <w:tcMar>
              <w:top w:w="0" w:type="dxa"/>
              <w:left w:w="0" w:type="dxa"/>
              <w:bottom w:w="0" w:type="dxa"/>
              <w:right w:w="0" w:type="dxa"/>
            </w:tcMar>
            <w:vAlign w:val="center"/>
          </w:tcPr>
          <w:p w14:paraId="0E9F807B" w14:textId="77777777" w:rsidR="0033629A" w:rsidRPr="00011B94" w:rsidRDefault="004409CB">
            <w:pPr>
              <w:keepNext/>
              <w:spacing w:before="100" w:after="100" w:line="240" w:lineRule="auto"/>
              <w:ind w:left="100" w:right="100" w:firstLine="0"/>
              <w:rPr>
                <w:sz w:val="20"/>
                <w:szCs w:val="20"/>
              </w:rPr>
            </w:pPr>
            <w:r w:rsidRPr="00011B94">
              <w:rPr>
                <w:rFonts w:ascii="MS Gothic" w:eastAsia="MS Gothic" w:hAnsi="MS Gothic" w:cs="MS Gothic" w:hint="eastAsia"/>
                <w:color w:val="000000"/>
                <w:sz w:val="20"/>
                <w:szCs w:val="20"/>
              </w:rPr>
              <w:t>▂▇▆▁▁</w:t>
            </w:r>
          </w:p>
        </w:tc>
      </w:tr>
      <w:tr w:rsidR="0033629A" w:rsidRPr="00011B94" w14:paraId="0178BBDF" w14:textId="77777777" w:rsidTr="00262BF8">
        <w:trPr>
          <w:cantSplit/>
          <w:trHeight w:val="227"/>
        </w:trPr>
        <w:tc>
          <w:tcPr>
            <w:tcW w:w="0" w:type="auto"/>
            <w:shd w:val="clear" w:color="auto" w:fill="FFFFFF"/>
            <w:tcMar>
              <w:top w:w="0" w:type="dxa"/>
              <w:left w:w="0" w:type="dxa"/>
              <w:bottom w:w="0" w:type="dxa"/>
              <w:right w:w="0" w:type="dxa"/>
            </w:tcMar>
            <w:vAlign w:val="center"/>
          </w:tcPr>
          <w:p w14:paraId="5063907E"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Gini (income inequality)</w:t>
            </w:r>
          </w:p>
        </w:tc>
        <w:tc>
          <w:tcPr>
            <w:tcW w:w="0" w:type="auto"/>
            <w:shd w:val="clear" w:color="auto" w:fill="FFFFFF"/>
            <w:tcMar>
              <w:top w:w="0" w:type="dxa"/>
              <w:left w:w="0" w:type="dxa"/>
              <w:bottom w:w="0" w:type="dxa"/>
              <w:right w:w="0" w:type="dxa"/>
            </w:tcMar>
            <w:vAlign w:val="center"/>
          </w:tcPr>
          <w:p w14:paraId="16AB11E9"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5%</w:t>
            </w:r>
          </w:p>
        </w:tc>
        <w:tc>
          <w:tcPr>
            <w:tcW w:w="0" w:type="auto"/>
            <w:shd w:val="clear" w:color="auto" w:fill="FFFFFF"/>
            <w:tcMar>
              <w:top w:w="0" w:type="dxa"/>
              <w:left w:w="0" w:type="dxa"/>
              <w:bottom w:w="0" w:type="dxa"/>
              <w:right w:w="0" w:type="dxa"/>
            </w:tcMar>
            <w:vAlign w:val="center"/>
          </w:tcPr>
          <w:p w14:paraId="3BDACCD8"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0.34</w:t>
            </w:r>
          </w:p>
        </w:tc>
        <w:tc>
          <w:tcPr>
            <w:tcW w:w="0" w:type="auto"/>
            <w:shd w:val="clear" w:color="auto" w:fill="FFFFFF"/>
            <w:tcMar>
              <w:top w:w="0" w:type="dxa"/>
              <w:left w:w="0" w:type="dxa"/>
              <w:bottom w:w="0" w:type="dxa"/>
              <w:right w:w="0" w:type="dxa"/>
            </w:tcMar>
            <w:vAlign w:val="center"/>
          </w:tcPr>
          <w:p w14:paraId="53F152F5"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0.07</w:t>
            </w:r>
          </w:p>
        </w:tc>
        <w:tc>
          <w:tcPr>
            <w:tcW w:w="0" w:type="auto"/>
            <w:shd w:val="clear" w:color="auto" w:fill="FFFFFF"/>
            <w:tcMar>
              <w:top w:w="0" w:type="dxa"/>
              <w:left w:w="0" w:type="dxa"/>
              <w:bottom w:w="0" w:type="dxa"/>
              <w:right w:w="0" w:type="dxa"/>
            </w:tcMar>
            <w:vAlign w:val="center"/>
          </w:tcPr>
          <w:p w14:paraId="6C086EB2"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0.23</w:t>
            </w:r>
          </w:p>
        </w:tc>
        <w:tc>
          <w:tcPr>
            <w:tcW w:w="0" w:type="auto"/>
            <w:shd w:val="clear" w:color="auto" w:fill="FFFFFF"/>
            <w:tcMar>
              <w:top w:w="0" w:type="dxa"/>
              <w:left w:w="0" w:type="dxa"/>
              <w:bottom w:w="0" w:type="dxa"/>
              <w:right w:w="0" w:type="dxa"/>
            </w:tcMar>
            <w:vAlign w:val="center"/>
          </w:tcPr>
          <w:p w14:paraId="1A8B9FDF"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0.33</w:t>
            </w:r>
          </w:p>
        </w:tc>
        <w:tc>
          <w:tcPr>
            <w:tcW w:w="0" w:type="auto"/>
            <w:shd w:val="clear" w:color="auto" w:fill="FFFFFF"/>
            <w:tcMar>
              <w:top w:w="0" w:type="dxa"/>
              <w:left w:w="0" w:type="dxa"/>
              <w:bottom w:w="0" w:type="dxa"/>
              <w:right w:w="0" w:type="dxa"/>
            </w:tcMar>
            <w:vAlign w:val="center"/>
          </w:tcPr>
          <w:p w14:paraId="7980F591"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0.52</w:t>
            </w:r>
          </w:p>
        </w:tc>
        <w:tc>
          <w:tcPr>
            <w:tcW w:w="0" w:type="auto"/>
            <w:shd w:val="clear" w:color="auto" w:fill="FFFFFF"/>
            <w:tcMar>
              <w:top w:w="0" w:type="dxa"/>
              <w:left w:w="0" w:type="dxa"/>
              <w:bottom w:w="0" w:type="dxa"/>
              <w:right w:w="0" w:type="dxa"/>
            </w:tcMar>
            <w:vAlign w:val="center"/>
          </w:tcPr>
          <w:p w14:paraId="6359A76C" w14:textId="77777777" w:rsidR="0033629A" w:rsidRPr="00011B94" w:rsidRDefault="004409CB">
            <w:pPr>
              <w:keepNext/>
              <w:spacing w:before="100" w:after="100" w:line="240" w:lineRule="auto"/>
              <w:ind w:left="100" w:right="100" w:firstLine="0"/>
              <w:rPr>
                <w:sz w:val="20"/>
                <w:szCs w:val="20"/>
              </w:rPr>
            </w:pPr>
            <w:r w:rsidRPr="00011B94">
              <w:rPr>
                <w:rFonts w:ascii="MS Gothic" w:eastAsia="MS Gothic" w:hAnsi="MS Gothic" w:cs="MS Gothic" w:hint="eastAsia"/>
                <w:color w:val="000000"/>
                <w:sz w:val="20"/>
                <w:szCs w:val="20"/>
              </w:rPr>
              <w:t>▅▇▅▃▂</w:t>
            </w:r>
          </w:p>
        </w:tc>
      </w:tr>
      <w:tr w:rsidR="0033629A" w:rsidRPr="00011B94" w14:paraId="78973EDC" w14:textId="77777777" w:rsidTr="00262BF8">
        <w:trPr>
          <w:cantSplit/>
          <w:trHeight w:val="233"/>
        </w:trPr>
        <w:tc>
          <w:tcPr>
            <w:tcW w:w="0" w:type="auto"/>
            <w:shd w:val="clear" w:color="auto" w:fill="FFFFFF"/>
            <w:tcMar>
              <w:top w:w="0" w:type="dxa"/>
              <w:left w:w="0" w:type="dxa"/>
              <w:bottom w:w="0" w:type="dxa"/>
              <w:right w:w="0" w:type="dxa"/>
            </w:tcMar>
            <w:vAlign w:val="center"/>
          </w:tcPr>
          <w:p w14:paraId="0FCC0121"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Left-Right Orientation</w:t>
            </w:r>
          </w:p>
        </w:tc>
        <w:tc>
          <w:tcPr>
            <w:tcW w:w="0" w:type="auto"/>
            <w:shd w:val="clear" w:color="auto" w:fill="FFFFFF"/>
            <w:tcMar>
              <w:top w:w="0" w:type="dxa"/>
              <w:left w:w="0" w:type="dxa"/>
              <w:bottom w:w="0" w:type="dxa"/>
              <w:right w:w="0" w:type="dxa"/>
            </w:tcMar>
            <w:vAlign w:val="center"/>
          </w:tcPr>
          <w:p w14:paraId="2053FB6D"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8%</w:t>
            </w:r>
          </w:p>
        </w:tc>
        <w:tc>
          <w:tcPr>
            <w:tcW w:w="0" w:type="auto"/>
            <w:shd w:val="clear" w:color="auto" w:fill="FFFFFF"/>
            <w:tcMar>
              <w:top w:w="0" w:type="dxa"/>
              <w:left w:w="0" w:type="dxa"/>
              <w:bottom w:w="0" w:type="dxa"/>
              <w:right w:w="0" w:type="dxa"/>
            </w:tcMar>
            <w:vAlign w:val="center"/>
          </w:tcPr>
          <w:p w14:paraId="50E1388F"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4.55</w:t>
            </w:r>
          </w:p>
        </w:tc>
        <w:tc>
          <w:tcPr>
            <w:tcW w:w="0" w:type="auto"/>
            <w:shd w:val="clear" w:color="auto" w:fill="FFFFFF"/>
            <w:tcMar>
              <w:top w:w="0" w:type="dxa"/>
              <w:left w:w="0" w:type="dxa"/>
              <w:bottom w:w="0" w:type="dxa"/>
              <w:right w:w="0" w:type="dxa"/>
            </w:tcMar>
            <w:vAlign w:val="center"/>
          </w:tcPr>
          <w:p w14:paraId="6B43B1BB"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1.21</w:t>
            </w:r>
          </w:p>
        </w:tc>
        <w:tc>
          <w:tcPr>
            <w:tcW w:w="0" w:type="auto"/>
            <w:shd w:val="clear" w:color="auto" w:fill="FFFFFF"/>
            <w:tcMar>
              <w:top w:w="0" w:type="dxa"/>
              <w:left w:w="0" w:type="dxa"/>
              <w:bottom w:w="0" w:type="dxa"/>
              <w:right w:w="0" w:type="dxa"/>
            </w:tcMar>
            <w:vAlign w:val="center"/>
          </w:tcPr>
          <w:p w14:paraId="1F064B1F"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0.23</w:t>
            </w:r>
          </w:p>
        </w:tc>
        <w:tc>
          <w:tcPr>
            <w:tcW w:w="0" w:type="auto"/>
            <w:shd w:val="clear" w:color="auto" w:fill="FFFFFF"/>
            <w:tcMar>
              <w:top w:w="0" w:type="dxa"/>
              <w:left w:w="0" w:type="dxa"/>
              <w:bottom w:w="0" w:type="dxa"/>
              <w:right w:w="0" w:type="dxa"/>
            </w:tcMar>
            <w:vAlign w:val="center"/>
          </w:tcPr>
          <w:p w14:paraId="4F7CA539"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4.65</w:t>
            </w:r>
          </w:p>
        </w:tc>
        <w:tc>
          <w:tcPr>
            <w:tcW w:w="0" w:type="auto"/>
            <w:shd w:val="clear" w:color="auto" w:fill="FFFFFF"/>
            <w:tcMar>
              <w:top w:w="0" w:type="dxa"/>
              <w:left w:w="0" w:type="dxa"/>
              <w:bottom w:w="0" w:type="dxa"/>
              <w:right w:w="0" w:type="dxa"/>
            </w:tcMar>
            <w:vAlign w:val="center"/>
          </w:tcPr>
          <w:p w14:paraId="7BDB680D"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6.86</w:t>
            </w:r>
          </w:p>
        </w:tc>
        <w:tc>
          <w:tcPr>
            <w:tcW w:w="0" w:type="auto"/>
            <w:shd w:val="clear" w:color="auto" w:fill="FFFFFF"/>
            <w:tcMar>
              <w:top w:w="0" w:type="dxa"/>
              <w:left w:w="0" w:type="dxa"/>
              <w:bottom w:w="0" w:type="dxa"/>
              <w:right w:w="0" w:type="dxa"/>
            </w:tcMar>
            <w:vAlign w:val="center"/>
          </w:tcPr>
          <w:p w14:paraId="2B33AD97" w14:textId="77777777" w:rsidR="0033629A" w:rsidRPr="00011B94" w:rsidRDefault="004409CB">
            <w:pPr>
              <w:keepNext/>
              <w:spacing w:before="100" w:after="100" w:line="240" w:lineRule="auto"/>
              <w:ind w:left="100" w:right="100" w:firstLine="0"/>
              <w:rPr>
                <w:sz w:val="20"/>
                <w:szCs w:val="20"/>
              </w:rPr>
            </w:pPr>
            <w:r w:rsidRPr="00011B94">
              <w:rPr>
                <w:rFonts w:ascii="Cambria Math" w:eastAsia="Times New Roman" w:hAnsi="Cambria Math" w:cs="Cambria Math"/>
                <w:color w:val="000000"/>
                <w:sz w:val="20"/>
                <w:szCs w:val="20"/>
              </w:rPr>
              <w:t>▁</w:t>
            </w:r>
            <w:r w:rsidRPr="00011B94">
              <w:rPr>
                <w:rFonts w:ascii="MS Gothic" w:eastAsia="MS Gothic" w:hAnsi="MS Gothic" w:cs="MS Gothic" w:hint="eastAsia"/>
                <w:color w:val="000000"/>
                <w:sz w:val="20"/>
                <w:szCs w:val="20"/>
              </w:rPr>
              <w:t>▂▆▇▅</w:t>
            </w:r>
          </w:p>
        </w:tc>
      </w:tr>
      <w:tr w:rsidR="0033629A" w:rsidRPr="00011B94" w14:paraId="7929D66C" w14:textId="77777777" w:rsidTr="00262BF8">
        <w:trPr>
          <w:cantSplit/>
          <w:trHeight w:val="227"/>
        </w:trPr>
        <w:tc>
          <w:tcPr>
            <w:tcW w:w="0" w:type="auto"/>
            <w:shd w:val="clear" w:color="auto" w:fill="FFFFFF"/>
            <w:tcMar>
              <w:top w:w="0" w:type="dxa"/>
              <w:left w:w="0" w:type="dxa"/>
              <w:bottom w:w="0" w:type="dxa"/>
              <w:right w:w="0" w:type="dxa"/>
            </w:tcMar>
            <w:vAlign w:val="center"/>
          </w:tcPr>
          <w:p w14:paraId="5D538949"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Democracy Index</w:t>
            </w:r>
          </w:p>
        </w:tc>
        <w:tc>
          <w:tcPr>
            <w:tcW w:w="0" w:type="auto"/>
            <w:shd w:val="clear" w:color="auto" w:fill="FFFFFF"/>
            <w:tcMar>
              <w:top w:w="0" w:type="dxa"/>
              <w:left w:w="0" w:type="dxa"/>
              <w:bottom w:w="0" w:type="dxa"/>
              <w:right w:w="0" w:type="dxa"/>
            </w:tcMar>
            <w:vAlign w:val="center"/>
          </w:tcPr>
          <w:p w14:paraId="68C6B006"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2%</w:t>
            </w:r>
          </w:p>
        </w:tc>
        <w:tc>
          <w:tcPr>
            <w:tcW w:w="0" w:type="auto"/>
            <w:shd w:val="clear" w:color="auto" w:fill="FFFFFF"/>
            <w:tcMar>
              <w:top w:w="0" w:type="dxa"/>
              <w:left w:w="0" w:type="dxa"/>
              <w:bottom w:w="0" w:type="dxa"/>
              <w:right w:w="0" w:type="dxa"/>
            </w:tcMar>
            <w:vAlign w:val="center"/>
          </w:tcPr>
          <w:p w14:paraId="295BD5B6"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0.70</w:t>
            </w:r>
          </w:p>
        </w:tc>
        <w:tc>
          <w:tcPr>
            <w:tcW w:w="0" w:type="auto"/>
            <w:shd w:val="clear" w:color="auto" w:fill="FFFFFF"/>
            <w:tcMar>
              <w:top w:w="0" w:type="dxa"/>
              <w:left w:w="0" w:type="dxa"/>
              <w:bottom w:w="0" w:type="dxa"/>
              <w:right w:w="0" w:type="dxa"/>
            </w:tcMar>
            <w:vAlign w:val="center"/>
          </w:tcPr>
          <w:p w14:paraId="43226070"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0.25</w:t>
            </w:r>
          </w:p>
        </w:tc>
        <w:tc>
          <w:tcPr>
            <w:tcW w:w="0" w:type="auto"/>
            <w:shd w:val="clear" w:color="auto" w:fill="FFFFFF"/>
            <w:tcMar>
              <w:top w:w="0" w:type="dxa"/>
              <w:left w:w="0" w:type="dxa"/>
              <w:bottom w:w="0" w:type="dxa"/>
              <w:right w:w="0" w:type="dxa"/>
            </w:tcMar>
            <w:vAlign w:val="center"/>
          </w:tcPr>
          <w:p w14:paraId="18DA80CE"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0.02</w:t>
            </w:r>
          </w:p>
        </w:tc>
        <w:tc>
          <w:tcPr>
            <w:tcW w:w="0" w:type="auto"/>
            <w:shd w:val="clear" w:color="auto" w:fill="FFFFFF"/>
            <w:tcMar>
              <w:top w:w="0" w:type="dxa"/>
              <w:left w:w="0" w:type="dxa"/>
              <w:bottom w:w="0" w:type="dxa"/>
              <w:right w:w="0" w:type="dxa"/>
            </w:tcMar>
            <w:vAlign w:val="center"/>
          </w:tcPr>
          <w:p w14:paraId="118C29B1"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0.83</w:t>
            </w:r>
          </w:p>
        </w:tc>
        <w:tc>
          <w:tcPr>
            <w:tcW w:w="0" w:type="auto"/>
            <w:shd w:val="clear" w:color="auto" w:fill="FFFFFF"/>
            <w:tcMar>
              <w:top w:w="0" w:type="dxa"/>
              <w:left w:w="0" w:type="dxa"/>
              <w:bottom w:w="0" w:type="dxa"/>
              <w:right w:w="0" w:type="dxa"/>
            </w:tcMar>
            <w:vAlign w:val="center"/>
          </w:tcPr>
          <w:p w14:paraId="49283062"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0.92</w:t>
            </w:r>
          </w:p>
        </w:tc>
        <w:tc>
          <w:tcPr>
            <w:tcW w:w="0" w:type="auto"/>
            <w:shd w:val="clear" w:color="auto" w:fill="FFFFFF"/>
            <w:tcMar>
              <w:top w:w="0" w:type="dxa"/>
              <w:left w:w="0" w:type="dxa"/>
              <w:bottom w:w="0" w:type="dxa"/>
              <w:right w:w="0" w:type="dxa"/>
            </w:tcMar>
            <w:vAlign w:val="center"/>
          </w:tcPr>
          <w:p w14:paraId="25D50B93" w14:textId="77777777" w:rsidR="0033629A" w:rsidRPr="00011B94" w:rsidRDefault="004409CB">
            <w:pPr>
              <w:keepNext/>
              <w:spacing w:before="100" w:after="100" w:line="240" w:lineRule="auto"/>
              <w:ind w:left="100" w:right="100" w:firstLine="0"/>
              <w:rPr>
                <w:sz w:val="20"/>
                <w:szCs w:val="20"/>
              </w:rPr>
            </w:pPr>
            <w:r w:rsidRPr="00011B94">
              <w:rPr>
                <w:rFonts w:ascii="Cambria Math" w:eastAsia="Times New Roman" w:hAnsi="Cambria Math" w:cs="Cambria Math"/>
                <w:color w:val="000000"/>
                <w:sz w:val="20"/>
                <w:szCs w:val="20"/>
              </w:rPr>
              <w:t>▁▁▁</w:t>
            </w:r>
            <w:r w:rsidRPr="00011B94">
              <w:rPr>
                <w:rFonts w:ascii="MS Gothic" w:eastAsia="MS Gothic" w:hAnsi="MS Gothic" w:cs="MS Gothic" w:hint="eastAsia"/>
                <w:color w:val="000000"/>
                <w:sz w:val="20"/>
                <w:szCs w:val="20"/>
              </w:rPr>
              <w:t>▂▇</w:t>
            </w:r>
          </w:p>
        </w:tc>
      </w:tr>
      <w:tr w:rsidR="0033629A" w:rsidRPr="00011B94" w14:paraId="5CE30AC6" w14:textId="77777777" w:rsidTr="00262BF8">
        <w:trPr>
          <w:cantSplit/>
          <w:trHeight w:val="233"/>
        </w:trPr>
        <w:tc>
          <w:tcPr>
            <w:tcW w:w="0" w:type="auto"/>
            <w:shd w:val="clear" w:color="auto" w:fill="FFFFFF"/>
            <w:tcMar>
              <w:top w:w="0" w:type="dxa"/>
              <w:left w:w="0" w:type="dxa"/>
              <w:bottom w:w="0" w:type="dxa"/>
              <w:right w:w="0" w:type="dxa"/>
            </w:tcMar>
            <w:vAlign w:val="center"/>
          </w:tcPr>
          <w:p w14:paraId="5513ED23"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Corruption Index</w:t>
            </w:r>
          </w:p>
        </w:tc>
        <w:tc>
          <w:tcPr>
            <w:tcW w:w="0" w:type="auto"/>
            <w:shd w:val="clear" w:color="auto" w:fill="FFFFFF"/>
            <w:tcMar>
              <w:top w:w="0" w:type="dxa"/>
              <w:left w:w="0" w:type="dxa"/>
              <w:bottom w:w="0" w:type="dxa"/>
              <w:right w:w="0" w:type="dxa"/>
            </w:tcMar>
            <w:vAlign w:val="center"/>
          </w:tcPr>
          <w:p w14:paraId="787D33F3"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2%</w:t>
            </w:r>
          </w:p>
        </w:tc>
        <w:tc>
          <w:tcPr>
            <w:tcW w:w="0" w:type="auto"/>
            <w:shd w:val="clear" w:color="auto" w:fill="FFFFFF"/>
            <w:tcMar>
              <w:top w:w="0" w:type="dxa"/>
              <w:left w:w="0" w:type="dxa"/>
              <w:bottom w:w="0" w:type="dxa"/>
              <w:right w:w="0" w:type="dxa"/>
            </w:tcMar>
            <w:vAlign w:val="center"/>
          </w:tcPr>
          <w:p w14:paraId="763EE21E"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0.29</w:t>
            </w:r>
          </w:p>
        </w:tc>
        <w:tc>
          <w:tcPr>
            <w:tcW w:w="0" w:type="auto"/>
            <w:shd w:val="clear" w:color="auto" w:fill="FFFFFF"/>
            <w:tcMar>
              <w:top w:w="0" w:type="dxa"/>
              <w:left w:w="0" w:type="dxa"/>
              <w:bottom w:w="0" w:type="dxa"/>
              <w:right w:w="0" w:type="dxa"/>
            </w:tcMar>
            <w:vAlign w:val="center"/>
          </w:tcPr>
          <w:p w14:paraId="65758804"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0.27</w:t>
            </w:r>
          </w:p>
        </w:tc>
        <w:tc>
          <w:tcPr>
            <w:tcW w:w="0" w:type="auto"/>
            <w:shd w:val="clear" w:color="auto" w:fill="FFFFFF"/>
            <w:tcMar>
              <w:top w:w="0" w:type="dxa"/>
              <w:left w:w="0" w:type="dxa"/>
              <w:bottom w:w="0" w:type="dxa"/>
              <w:right w:w="0" w:type="dxa"/>
            </w:tcMar>
            <w:vAlign w:val="center"/>
          </w:tcPr>
          <w:p w14:paraId="68EFE9AD"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0.00</w:t>
            </w:r>
          </w:p>
        </w:tc>
        <w:tc>
          <w:tcPr>
            <w:tcW w:w="0" w:type="auto"/>
            <w:shd w:val="clear" w:color="auto" w:fill="FFFFFF"/>
            <w:tcMar>
              <w:top w:w="0" w:type="dxa"/>
              <w:left w:w="0" w:type="dxa"/>
              <w:bottom w:w="0" w:type="dxa"/>
              <w:right w:w="0" w:type="dxa"/>
            </w:tcMar>
            <w:vAlign w:val="center"/>
          </w:tcPr>
          <w:p w14:paraId="56E48516"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0.19</w:t>
            </w:r>
          </w:p>
        </w:tc>
        <w:tc>
          <w:tcPr>
            <w:tcW w:w="0" w:type="auto"/>
            <w:shd w:val="clear" w:color="auto" w:fill="FFFFFF"/>
            <w:tcMar>
              <w:top w:w="0" w:type="dxa"/>
              <w:left w:w="0" w:type="dxa"/>
              <w:bottom w:w="0" w:type="dxa"/>
              <w:right w:w="0" w:type="dxa"/>
            </w:tcMar>
            <w:vAlign w:val="center"/>
          </w:tcPr>
          <w:p w14:paraId="17D284C5"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0.96</w:t>
            </w:r>
          </w:p>
        </w:tc>
        <w:tc>
          <w:tcPr>
            <w:tcW w:w="0" w:type="auto"/>
            <w:shd w:val="clear" w:color="auto" w:fill="FFFFFF"/>
            <w:tcMar>
              <w:top w:w="0" w:type="dxa"/>
              <w:left w:w="0" w:type="dxa"/>
              <w:bottom w:w="0" w:type="dxa"/>
              <w:right w:w="0" w:type="dxa"/>
            </w:tcMar>
            <w:vAlign w:val="center"/>
          </w:tcPr>
          <w:p w14:paraId="023C4300" w14:textId="77777777" w:rsidR="0033629A" w:rsidRPr="00011B94" w:rsidRDefault="004409CB">
            <w:pPr>
              <w:keepNext/>
              <w:spacing w:before="100" w:after="100" w:line="240" w:lineRule="auto"/>
              <w:ind w:left="100" w:right="100" w:firstLine="0"/>
              <w:rPr>
                <w:sz w:val="20"/>
                <w:szCs w:val="20"/>
              </w:rPr>
            </w:pPr>
            <w:r w:rsidRPr="00011B94">
              <w:rPr>
                <w:rFonts w:ascii="MS Gothic" w:eastAsia="MS Gothic" w:hAnsi="MS Gothic" w:cs="MS Gothic" w:hint="eastAsia"/>
                <w:color w:val="000000"/>
                <w:sz w:val="20"/>
                <w:szCs w:val="20"/>
              </w:rPr>
              <w:t>▇▂▂▂▁</w:t>
            </w:r>
          </w:p>
        </w:tc>
      </w:tr>
      <w:tr w:rsidR="0033629A" w:rsidRPr="00011B94" w14:paraId="706E2247" w14:textId="77777777" w:rsidTr="00262BF8">
        <w:trPr>
          <w:cantSplit/>
          <w:trHeight w:val="233"/>
        </w:trPr>
        <w:tc>
          <w:tcPr>
            <w:tcW w:w="0" w:type="auto"/>
            <w:shd w:val="clear" w:color="auto" w:fill="FFFFFF"/>
            <w:tcMar>
              <w:top w:w="0" w:type="dxa"/>
              <w:left w:w="0" w:type="dxa"/>
              <w:bottom w:w="0" w:type="dxa"/>
              <w:right w:w="0" w:type="dxa"/>
            </w:tcMar>
            <w:vAlign w:val="center"/>
          </w:tcPr>
          <w:p w14:paraId="0D213B7B"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Net Enrollment</w:t>
            </w:r>
          </w:p>
        </w:tc>
        <w:tc>
          <w:tcPr>
            <w:tcW w:w="0" w:type="auto"/>
            <w:shd w:val="clear" w:color="auto" w:fill="FFFFFF"/>
            <w:tcMar>
              <w:top w:w="0" w:type="dxa"/>
              <w:left w:w="0" w:type="dxa"/>
              <w:bottom w:w="0" w:type="dxa"/>
              <w:right w:w="0" w:type="dxa"/>
            </w:tcMar>
            <w:vAlign w:val="center"/>
          </w:tcPr>
          <w:p w14:paraId="4EF3973A"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10%</w:t>
            </w:r>
          </w:p>
        </w:tc>
        <w:tc>
          <w:tcPr>
            <w:tcW w:w="0" w:type="auto"/>
            <w:shd w:val="clear" w:color="auto" w:fill="FFFFFF"/>
            <w:tcMar>
              <w:top w:w="0" w:type="dxa"/>
              <w:left w:w="0" w:type="dxa"/>
              <w:bottom w:w="0" w:type="dxa"/>
              <w:right w:w="0" w:type="dxa"/>
            </w:tcMar>
            <w:vAlign w:val="center"/>
          </w:tcPr>
          <w:p w14:paraId="71FD7917"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0.84</w:t>
            </w:r>
          </w:p>
        </w:tc>
        <w:tc>
          <w:tcPr>
            <w:tcW w:w="0" w:type="auto"/>
            <w:shd w:val="clear" w:color="auto" w:fill="FFFFFF"/>
            <w:tcMar>
              <w:top w:w="0" w:type="dxa"/>
              <w:left w:w="0" w:type="dxa"/>
              <w:bottom w:w="0" w:type="dxa"/>
              <w:right w:w="0" w:type="dxa"/>
            </w:tcMar>
            <w:vAlign w:val="center"/>
          </w:tcPr>
          <w:p w14:paraId="241B4C36"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0.11</w:t>
            </w:r>
          </w:p>
        </w:tc>
        <w:tc>
          <w:tcPr>
            <w:tcW w:w="0" w:type="auto"/>
            <w:shd w:val="clear" w:color="auto" w:fill="FFFFFF"/>
            <w:tcMar>
              <w:top w:w="0" w:type="dxa"/>
              <w:left w:w="0" w:type="dxa"/>
              <w:bottom w:w="0" w:type="dxa"/>
              <w:right w:w="0" w:type="dxa"/>
            </w:tcMar>
            <w:vAlign w:val="center"/>
          </w:tcPr>
          <w:p w14:paraId="464779FA"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0.47</w:t>
            </w:r>
          </w:p>
        </w:tc>
        <w:tc>
          <w:tcPr>
            <w:tcW w:w="0" w:type="auto"/>
            <w:shd w:val="clear" w:color="auto" w:fill="FFFFFF"/>
            <w:tcMar>
              <w:top w:w="0" w:type="dxa"/>
              <w:left w:w="0" w:type="dxa"/>
              <w:bottom w:w="0" w:type="dxa"/>
              <w:right w:w="0" w:type="dxa"/>
            </w:tcMar>
            <w:vAlign w:val="center"/>
          </w:tcPr>
          <w:p w14:paraId="3F1F34CD"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0.88</w:t>
            </w:r>
          </w:p>
        </w:tc>
        <w:tc>
          <w:tcPr>
            <w:tcW w:w="0" w:type="auto"/>
            <w:shd w:val="clear" w:color="auto" w:fill="FFFFFF"/>
            <w:tcMar>
              <w:top w:w="0" w:type="dxa"/>
              <w:left w:w="0" w:type="dxa"/>
              <w:bottom w:w="0" w:type="dxa"/>
              <w:right w:w="0" w:type="dxa"/>
            </w:tcMar>
            <w:vAlign w:val="center"/>
          </w:tcPr>
          <w:p w14:paraId="2B39732B"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1.03</w:t>
            </w:r>
          </w:p>
        </w:tc>
        <w:tc>
          <w:tcPr>
            <w:tcW w:w="0" w:type="auto"/>
            <w:shd w:val="clear" w:color="auto" w:fill="FFFFFF"/>
            <w:tcMar>
              <w:top w:w="0" w:type="dxa"/>
              <w:left w:w="0" w:type="dxa"/>
              <w:bottom w:w="0" w:type="dxa"/>
              <w:right w:w="0" w:type="dxa"/>
            </w:tcMar>
            <w:vAlign w:val="center"/>
          </w:tcPr>
          <w:p w14:paraId="5603F22A" w14:textId="77777777" w:rsidR="0033629A" w:rsidRPr="00011B94" w:rsidRDefault="004409CB">
            <w:pPr>
              <w:keepNext/>
              <w:spacing w:before="100" w:after="100" w:line="240" w:lineRule="auto"/>
              <w:ind w:left="100" w:right="100" w:firstLine="0"/>
              <w:rPr>
                <w:sz w:val="20"/>
                <w:szCs w:val="20"/>
              </w:rPr>
            </w:pPr>
            <w:r w:rsidRPr="00011B94">
              <w:rPr>
                <w:rFonts w:ascii="Cambria Math" w:eastAsia="Times New Roman" w:hAnsi="Cambria Math" w:cs="Cambria Math"/>
                <w:color w:val="000000"/>
                <w:sz w:val="20"/>
                <w:szCs w:val="20"/>
              </w:rPr>
              <w:t>▁</w:t>
            </w:r>
            <w:r w:rsidRPr="00011B94">
              <w:rPr>
                <w:rFonts w:ascii="MS Gothic" w:eastAsia="MS Gothic" w:hAnsi="MS Gothic" w:cs="MS Gothic" w:hint="eastAsia"/>
                <w:color w:val="000000"/>
                <w:sz w:val="20"/>
                <w:szCs w:val="20"/>
              </w:rPr>
              <w:t>▂▂▇▅</w:t>
            </w:r>
          </w:p>
        </w:tc>
      </w:tr>
      <w:tr w:rsidR="0033629A" w:rsidRPr="00011B94" w14:paraId="727E8701" w14:textId="77777777" w:rsidTr="00262BF8">
        <w:trPr>
          <w:cantSplit/>
          <w:trHeight w:val="227"/>
        </w:trPr>
        <w:tc>
          <w:tcPr>
            <w:tcW w:w="0" w:type="auto"/>
            <w:tcBorders>
              <w:bottom w:val="single" w:sz="16" w:space="0" w:color="666666"/>
            </w:tcBorders>
            <w:shd w:val="clear" w:color="auto" w:fill="FFFFFF"/>
            <w:tcMar>
              <w:top w:w="0" w:type="dxa"/>
              <w:left w:w="0" w:type="dxa"/>
              <w:bottom w:w="0" w:type="dxa"/>
              <w:right w:w="0" w:type="dxa"/>
            </w:tcMar>
            <w:vAlign w:val="center"/>
          </w:tcPr>
          <w:p w14:paraId="4C25E2A5"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Collectivism-Individualism</w:t>
            </w:r>
          </w:p>
        </w:tc>
        <w:tc>
          <w:tcPr>
            <w:tcW w:w="0" w:type="auto"/>
            <w:tcBorders>
              <w:bottom w:val="single" w:sz="16" w:space="0" w:color="666666"/>
            </w:tcBorders>
            <w:shd w:val="clear" w:color="auto" w:fill="FFFFFF"/>
            <w:tcMar>
              <w:top w:w="0" w:type="dxa"/>
              <w:left w:w="0" w:type="dxa"/>
              <w:bottom w:w="0" w:type="dxa"/>
              <w:right w:w="0" w:type="dxa"/>
            </w:tcMar>
            <w:vAlign w:val="center"/>
          </w:tcPr>
          <w:p w14:paraId="6474C0A9" w14:textId="77777777" w:rsidR="0033629A" w:rsidRPr="00011B94" w:rsidRDefault="004409CB">
            <w:pPr>
              <w:keepNext/>
              <w:spacing w:before="100" w:after="100" w:line="240" w:lineRule="auto"/>
              <w:ind w:left="100" w:right="100" w:firstLine="0"/>
              <w:rPr>
                <w:sz w:val="20"/>
                <w:szCs w:val="20"/>
              </w:rPr>
            </w:pPr>
            <w:r w:rsidRPr="00011B94">
              <w:rPr>
                <w:rFonts w:eastAsia="Times New Roman"/>
                <w:color w:val="000000"/>
                <w:sz w:val="20"/>
                <w:szCs w:val="20"/>
              </w:rPr>
              <w:t>2%</w:t>
            </w:r>
          </w:p>
        </w:tc>
        <w:tc>
          <w:tcPr>
            <w:tcW w:w="0" w:type="auto"/>
            <w:tcBorders>
              <w:bottom w:val="single" w:sz="16" w:space="0" w:color="666666"/>
            </w:tcBorders>
            <w:shd w:val="clear" w:color="auto" w:fill="FFFFFF"/>
            <w:tcMar>
              <w:top w:w="0" w:type="dxa"/>
              <w:left w:w="0" w:type="dxa"/>
              <w:bottom w:w="0" w:type="dxa"/>
              <w:right w:w="0" w:type="dxa"/>
            </w:tcMar>
            <w:vAlign w:val="center"/>
          </w:tcPr>
          <w:p w14:paraId="6E1002BC"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0.42</w:t>
            </w:r>
          </w:p>
        </w:tc>
        <w:tc>
          <w:tcPr>
            <w:tcW w:w="0" w:type="auto"/>
            <w:tcBorders>
              <w:bottom w:val="single" w:sz="16" w:space="0" w:color="666666"/>
            </w:tcBorders>
            <w:shd w:val="clear" w:color="auto" w:fill="FFFFFF"/>
            <w:tcMar>
              <w:top w:w="0" w:type="dxa"/>
              <w:left w:w="0" w:type="dxa"/>
              <w:bottom w:w="0" w:type="dxa"/>
              <w:right w:w="0" w:type="dxa"/>
            </w:tcMar>
            <w:vAlign w:val="center"/>
          </w:tcPr>
          <w:p w14:paraId="7745E359"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0.22</w:t>
            </w:r>
          </w:p>
        </w:tc>
        <w:tc>
          <w:tcPr>
            <w:tcW w:w="0" w:type="auto"/>
            <w:tcBorders>
              <w:bottom w:val="single" w:sz="16" w:space="0" w:color="666666"/>
            </w:tcBorders>
            <w:shd w:val="clear" w:color="auto" w:fill="FFFFFF"/>
            <w:tcMar>
              <w:top w:w="0" w:type="dxa"/>
              <w:left w:w="0" w:type="dxa"/>
              <w:bottom w:w="0" w:type="dxa"/>
              <w:right w:w="0" w:type="dxa"/>
            </w:tcMar>
            <w:vAlign w:val="center"/>
          </w:tcPr>
          <w:p w14:paraId="4F2FD3AE"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0.00</w:t>
            </w:r>
          </w:p>
        </w:tc>
        <w:tc>
          <w:tcPr>
            <w:tcW w:w="0" w:type="auto"/>
            <w:tcBorders>
              <w:bottom w:val="single" w:sz="16" w:space="0" w:color="666666"/>
            </w:tcBorders>
            <w:shd w:val="clear" w:color="auto" w:fill="FFFFFF"/>
            <w:tcMar>
              <w:top w:w="0" w:type="dxa"/>
              <w:left w:w="0" w:type="dxa"/>
              <w:bottom w:w="0" w:type="dxa"/>
              <w:right w:w="0" w:type="dxa"/>
            </w:tcMar>
            <w:vAlign w:val="center"/>
          </w:tcPr>
          <w:p w14:paraId="78D887E9"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0.41</w:t>
            </w:r>
          </w:p>
        </w:tc>
        <w:tc>
          <w:tcPr>
            <w:tcW w:w="0" w:type="auto"/>
            <w:tcBorders>
              <w:bottom w:val="single" w:sz="16" w:space="0" w:color="666666"/>
            </w:tcBorders>
            <w:shd w:val="clear" w:color="auto" w:fill="FFFFFF"/>
            <w:tcMar>
              <w:top w:w="0" w:type="dxa"/>
              <w:left w:w="0" w:type="dxa"/>
              <w:bottom w:w="0" w:type="dxa"/>
              <w:right w:w="0" w:type="dxa"/>
            </w:tcMar>
            <w:vAlign w:val="center"/>
          </w:tcPr>
          <w:p w14:paraId="25E2DD59" w14:textId="77777777" w:rsidR="0033629A" w:rsidRPr="00011B94" w:rsidRDefault="004409CB">
            <w:pPr>
              <w:keepNext/>
              <w:spacing w:before="100" w:after="100" w:line="240" w:lineRule="auto"/>
              <w:ind w:left="100" w:right="100" w:firstLine="0"/>
              <w:jc w:val="right"/>
              <w:rPr>
                <w:sz w:val="20"/>
                <w:szCs w:val="20"/>
              </w:rPr>
            </w:pPr>
            <w:r w:rsidRPr="00011B94">
              <w:rPr>
                <w:rFonts w:eastAsia="Times New Roman"/>
                <w:color w:val="000000"/>
                <w:sz w:val="20"/>
                <w:szCs w:val="20"/>
              </w:rPr>
              <w:t>1.00</w:t>
            </w:r>
          </w:p>
        </w:tc>
        <w:tc>
          <w:tcPr>
            <w:tcW w:w="0" w:type="auto"/>
            <w:tcBorders>
              <w:bottom w:val="single" w:sz="16" w:space="0" w:color="666666"/>
            </w:tcBorders>
            <w:shd w:val="clear" w:color="auto" w:fill="FFFFFF"/>
            <w:tcMar>
              <w:top w:w="0" w:type="dxa"/>
              <w:left w:w="0" w:type="dxa"/>
              <w:bottom w:w="0" w:type="dxa"/>
              <w:right w:w="0" w:type="dxa"/>
            </w:tcMar>
            <w:vAlign w:val="center"/>
          </w:tcPr>
          <w:p w14:paraId="0B5261CC" w14:textId="77777777" w:rsidR="0033629A" w:rsidRPr="00011B94" w:rsidRDefault="004409CB">
            <w:pPr>
              <w:keepNext/>
              <w:spacing w:before="100" w:after="100" w:line="240" w:lineRule="auto"/>
              <w:ind w:left="100" w:right="100" w:firstLine="0"/>
              <w:rPr>
                <w:sz w:val="20"/>
                <w:szCs w:val="20"/>
              </w:rPr>
            </w:pPr>
            <w:r w:rsidRPr="00011B94">
              <w:rPr>
                <w:rFonts w:ascii="MS Gothic" w:eastAsia="MS Gothic" w:hAnsi="MS Gothic" w:cs="MS Gothic" w:hint="eastAsia"/>
                <w:color w:val="000000"/>
                <w:sz w:val="20"/>
                <w:szCs w:val="20"/>
              </w:rPr>
              <w:t>▅▇▇▅▁</w:t>
            </w:r>
          </w:p>
        </w:tc>
      </w:tr>
      <w:tr w:rsidR="0033629A" w:rsidRPr="00011B94" w14:paraId="67B63A45" w14:textId="77777777" w:rsidTr="00262BF8">
        <w:trPr>
          <w:cantSplit/>
          <w:trHeight w:val="222"/>
        </w:trPr>
        <w:tc>
          <w:tcPr>
            <w:tcW w:w="0" w:type="auto"/>
            <w:gridSpan w:val="8"/>
            <w:shd w:val="clear" w:color="auto" w:fill="FFFFFF"/>
            <w:tcMar>
              <w:top w:w="0" w:type="dxa"/>
              <w:left w:w="0" w:type="dxa"/>
              <w:bottom w:w="0" w:type="dxa"/>
              <w:right w:w="0" w:type="dxa"/>
            </w:tcMar>
            <w:vAlign w:val="center"/>
          </w:tcPr>
          <w:p w14:paraId="7B0E1E88" w14:textId="77777777" w:rsidR="0033629A" w:rsidRPr="00011B94" w:rsidRDefault="004409CB">
            <w:pPr>
              <w:keepNext/>
              <w:spacing w:before="100" w:after="100" w:line="240" w:lineRule="auto"/>
              <w:ind w:left="100" w:right="100" w:firstLine="0"/>
              <w:rPr>
                <w:sz w:val="20"/>
                <w:szCs w:val="20"/>
              </w:rPr>
            </w:pPr>
            <w:r w:rsidRPr="00011B94">
              <w:rPr>
                <w:rFonts w:eastAsia="Arial"/>
                <w:color w:val="000000"/>
                <w:sz w:val="18"/>
                <w:szCs w:val="18"/>
                <w:vertAlign w:val="superscript"/>
              </w:rPr>
              <w:t>a</w:t>
            </w:r>
            <w:r w:rsidRPr="00011B94">
              <w:rPr>
                <w:rFonts w:eastAsia="Arial"/>
                <w:color w:val="000000"/>
                <w:sz w:val="18"/>
                <w:szCs w:val="18"/>
              </w:rPr>
              <w:t>All variables in this table are in their original metric. Variable transformations are discussed in Chapters 3 and 4.</w:t>
            </w:r>
          </w:p>
        </w:tc>
      </w:tr>
    </w:tbl>
    <w:p w14:paraId="54E65470" w14:textId="77777777" w:rsidR="00BE5913" w:rsidRPr="00BE5913" w:rsidRDefault="00BE5913" w:rsidP="0029768D">
      <w:pPr>
        <w:tabs>
          <w:tab w:val="left" w:pos="5265"/>
        </w:tabs>
        <w:ind w:firstLine="0"/>
        <w:sectPr w:rsidR="00BE5913" w:rsidRPr="00BE5913" w:rsidSect="0029768D">
          <w:pgSz w:w="16838" w:h="11906" w:orient="landscape"/>
          <w:pgMar w:top="1440" w:right="1440" w:bottom="1440" w:left="1440" w:header="720" w:footer="720" w:gutter="0"/>
          <w:cols w:space="720"/>
        </w:sectPr>
      </w:pPr>
    </w:p>
    <w:p w14:paraId="234231B1" w14:textId="77777777" w:rsidR="0033629A" w:rsidRDefault="004409CB" w:rsidP="008333B2">
      <w:pPr>
        <w:pStyle w:val="Figure"/>
        <w:ind w:left="0"/>
        <w:jc w:val="center"/>
      </w:pPr>
      <w:r>
        <w:rPr>
          <w:noProof/>
        </w:rPr>
        <w:lastRenderedPageBreak/>
        <w:drawing>
          <wp:inline distT="0" distB="0" distL="0" distR="0" wp14:anchorId="329EA3E4" wp14:editId="7AD2A5D6">
            <wp:extent cx="5605016" cy="474864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
                    <pic:cNvPicPr>
                      <a:picLocks noChangeAspect="1" noChangeArrowheads="1"/>
                    </pic:cNvPicPr>
                  </pic:nvPicPr>
                  <pic:blipFill>
                    <a:blip r:embed="rId42"/>
                    <a:srcRect/>
                    <a:stretch>
                      <a:fillRect/>
                    </a:stretch>
                  </pic:blipFill>
                  <pic:spPr bwMode="auto">
                    <a:xfrm>
                      <a:off x="0" y="0"/>
                      <a:ext cx="78077" cy="66148"/>
                    </a:xfrm>
                    <a:prstGeom prst="rect">
                      <a:avLst/>
                    </a:prstGeom>
                    <a:noFill/>
                  </pic:spPr>
                </pic:pic>
              </a:graphicData>
            </a:graphic>
          </wp:inline>
        </w:drawing>
      </w:r>
    </w:p>
    <w:p w14:paraId="3D792772" w14:textId="0A215E4B" w:rsidR="0033629A" w:rsidRDefault="004409CB">
      <w:pPr>
        <w:pStyle w:val="ImageCaption"/>
      </w:pPr>
      <w:bookmarkStart w:id="89" w:name="_Toc105675531"/>
      <w:r>
        <w:rPr>
          <w:b/>
        </w:rPr>
        <w:t xml:space="preserve">Figure </w:t>
      </w:r>
      <w:bookmarkStart w:id="90" w:name="allcor"/>
      <w:r>
        <w:rPr>
          <w:b/>
        </w:rPr>
        <w:fldChar w:fldCharType="begin"/>
      </w:r>
      <w:r>
        <w:rPr>
          <w:b/>
        </w:rPr>
        <w:instrText>SEQ Figure \* Arabic</w:instrText>
      </w:r>
      <w:r>
        <w:rPr>
          <w:b/>
        </w:rPr>
        <w:fldChar w:fldCharType="separate"/>
      </w:r>
      <w:r w:rsidR="00766923">
        <w:rPr>
          <w:b/>
          <w:noProof/>
        </w:rPr>
        <w:t>16</w:t>
      </w:r>
      <w:r>
        <w:rPr>
          <w:b/>
        </w:rPr>
        <w:fldChar w:fldCharType="end"/>
      </w:r>
      <w:bookmarkEnd w:id="90"/>
      <w:r>
        <w:t>: A correlation table (lower triangle) and correlation plot (upper triangle) of all continuous variables. Correlations are averaged over time.</w:t>
      </w:r>
      <w:bookmarkEnd w:id="89"/>
    </w:p>
    <w:p w14:paraId="6BEB1994" w14:textId="77777777" w:rsidR="0033629A" w:rsidRDefault="004409CB">
      <w:r>
        <w:br w:type="page"/>
      </w:r>
    </w:p>
    <w:p w14:paraId="295BE55D" w14:textId="1CA33E76" w:rsidR="002320C8" w:rsidRDefault="002320C8" w:rsidP="002320C8">
      <w:pPr>
        <w:pStyle w:val="BodyText"/>
        <w:ind w:firstLine="0"/>
      </w:pPr>
      <w:bookmarkStart w:id="91" w:name="missing-data"/>
      <w:bookmarkEnd w:id="86"/>
      <w:r>
        <w:lastRenderedPageBreak/>
        <w:t xml:space="preserve">However, as these values are moderately or highly correlated, it is likely there is an observed relationship between these variables. </w:t>
      </w:r>
      <w:proofErr w:type="gramStart"/>
      <w:r>
        <w:t>All of</w:t>
      </w:r>
      <w:proofErr w:type="gramEnd"/>
      <w:r>
        <w:t xml:space="preserve"> this evidence taken together strongly indicates the missingness mechanism is MAR and, thus, imputation can be safely undertaken.</w:t>
      </w:r>
    </w:p>
    <w:p w14:paraId="3E2CF53A" w14:textId="1F054CB1" w:rsidR="0033629A" w:rsidRDefault="004409CB">
      <w:pPr>
        <w:pStyle w:val="BodyText"/>
      </w:pPr>
      <w:r>
        <w:t>Typically, this is done through multiple imputation. There are a variety of approaches to missing data appropriate for cross-sectional data. However, for longitudinal data, standard imputation methods may not be sufficient. Joint modeling has been found to produce the least biased results for data measured at regular intervals (</w:t>
      </w:r>
      <w:hyperlink w:anchor="ref-huque2018">
        <w:r>
          <w:rPr>
            <w:rStyle w:val="Hyperlink"/>
          </w:rPr>
          <w:t>Huque et al., 2018</w:t>
        </w:r>
      </w:hyperlink>
      <w:r>
        <w:t xml:space="preserve">). Therefore, missing data will be imputed following a Bayesian joint modeling approach using the </w:t>
      </w:r>
      <w:r>
        <w:rPr>
          <w:rStyle w:val="VerbatimChar"/>
        </w:rPr>
        <w:t>JointAI</w:t>
      </w:r>
      <w:r>
        <w:t xml:space="preserve"> R package (</w:t>
      </w:r>
      <w:hyperlink w:anchor="ref-erler2021">
        <w:r>
          <w:rPr>
            <w:rStyle w:val="Hyperlink"/>
          </w:rPr>
          <w:t>Erler et al., 2021</w:t>
        </w:r>
      </w:hyperlink>
      <w:r>
        <w:t>).</w:t>
      </w:r>
    </w:p>
    <w:p w14:paraId="5DC87E92" w14:textId="0BCB9BDA" w:rsidR="0033629A" w:rsidRDefault="004409CB">
      <w:pPr>
        <w:pStyle w:val="BodyText"/>
      </w:pPr>
      <w:r>
        <w:t>This approach imputes values one variable at a time, starting with the variable with the least amount of missing data. To predict these values, the joint distribution of all other variables in the model is used. These additional variables are specified as predictors in a submodel specified as a linear or non-linear model. All level-1 time-varying covariates are imputed using linear mixed models while level-2 country-level variables are imputed with a linear model. These models are estimated based on Markov Chain Monte Carlo (MCMC) sampling using 10 MCMC chains with 10,000 sampling iterations each. Convergence of the imputations was assessed by examining traceplots, Gelman-Rubin criterion estimates, and Monte Carlo error. Traceplots allow visual inspection of the convergence of individual chains at each iteration. Convergence is roughly determined when chains mix and follow a similar path (</w:t>
      </w:r>
      <w:hyperlink w:anchor="ref-vanbuuren2018">
        <w:r>
          <w:rPr>
            <w:rStyle w:val="Hyperlink"/>
          </w:rPr>
          <w:t>van Buuren, 2018</w:t>
        </w:r>
      </w:hyperlink>
      <w:r>
        <w:t>). The Gelman-Rubin criterion assesses chain within- and between-chain variability, with values near 1 indicating convergence. The Monte Carlo error compares the Monte Carlo sampling error to the posterior sample’s standard error, the ratio of which should be less than 5% (</w:t>
      </w:r>
      <w:hyperlink w:anchor="ref-erler2021">
        <w:r>
          <w:rPr>
            <w:rStyle w:val="Hyperlink"/>
          </w:rPr>
          <w:t>Erler et al., 2021</w:t>
        </w:r>
      </w:hyperlink>
      <w:r>
        <w:t xml:space="preserve">). The imputation using </w:t>
      </w:r>
      <w:r>
        <w:rPr>
          <w:rStyle w:val="VerbatimChar"/>
        </w:rPr>
        <w:t>JointAI</w:t>
      </w:r>
      <w:r>
        <w:t xml:space="preserve"> met </w:t>
      </w:r>
      <w:proofErr w:type="gramStart"/>
      <w:r>
        <w:t>all of</w:t>
      </w:r>
      <w:proofErr w:type="gramEnd"/>
      <w:r>
        <w:t xml:space="preserve"> the above criteria (see Appendix C for diagnostic information). Once imputation was assessed, imputed datasets were extracted by randomly sampling from 20 MCMC iterations and were </w:t>
      </w:r>
      <w:r>
        <w:lastRenderedPageBreak/>
        <w:t xml:space="preserve">used in subsequent analysis with </w:t>
      </w:r>
      <w:r>
        <w:rPr>
          <w:rStyle w:val="VerbatimChar"/>
        </w:rPr>
        <w:t>mice</w:t>
      </w:r>
      <w:r>
        <w:t xml:space="preserve"> (</w:t>
      </w:r>
      <w:hyperlink w:anchor="ref-buuren2011">
        <w:r>
          <w:rPr>
            <w:rStyle w:val="Hyperlink"/>
          </w:rPr>
          <w:t>van Buuren &amp; Groothuis-Oudshoorn, 2011</w:t>
        </w:r>
      </w:hyperlink>
      <w:r>
        <w:t xml:space="preserve">) and </w:t>
      </w:r>
      <w:r>
        <w:rPr>
          <w:rStyle w:val="VerbatimChar"/>
        </w:rPr>
        <w:t>mitml</w:t>
      </w:r>
      <w:r>
        <w:t xml:space="preserve"> (</w:t>
      </w:r>
      <w:hyperlink w:anchor="ref-grund2021">
        <w:r>
          <w:rPr>
            <w:rStyle w:val="Hyperlink"/>
          </w:rPr>
          <w:t>Grund et al., 2021</w:t>
        </w:r>
      </w:hyperlink>
      <w:r>
        <w:t>) R packages.</w:t>
      </w:r>
    </w:p>
    <w:p w14:paraId="707F8A0A" w14:textId="77777777" w:rsidR="002A4E8A" w:rsidRDefault="002A4E8A" w:rsidP="002A4E8A">
      <w:pPr>
        <w:pStyle w:val="Heading2"/>
      </w:pPr>
      <w:bookmarkStart w:id="92" w:name="_Toc107939120"/>
      <w:r>
        <w:t>Data Analysis and Model Building</w:t>
      </w:r>
      <w:bookmarkEnd w:id="92"/>
    </w:p>
    <w:p w14:paraId="67DFA4E8" w14:textId="35AF8378" w:rsidR="002A4E8A" w:rsidRDefault="002A4E8A" w:rsidP="002A4E8A">
      <w:pPr>
        <w:pStyle w:val="FirstParagraph"/>
      </w:pPr>
      <w:r>
        <w:t xml:space="preserve">All data cleaning and analyses were conducted in R using various packages. Key packages are specified throughout chapters 3 and 4. For a complete list of packages used across this dissertation, please see Appendix D. All data and code for this dissertation are available at </w:t>
      </w:r>
      <w:hyperlink r:id="rId43">
        <w:r>
          <w:rPr>
            <w:rStyle w:val="Hyperlink"/>
          </w:rPr>
          <w:t>https://github.com/acircleda/dissertation</w:t>
        </w:r>
      </w:hyperlink>
      <w:r>
        <w:t>.</w:t>
      </w:r>
    </w:p>
    <w:p w14:paraId="7DB36FAD" w14:textId="77777777" w:rsidR="00DE6159" w:rsidRDefault="00DE6159" w:rsidP="00DE6159">
      <w:pPr>
        <w:pStyle w:val="BodyText"/>
      </w:pPr>
      <w:r>
        <w:t>Data analysis began with univariate data exploration, specifically data visualizations of growth over time for carbon emissions and scientific literacy. The purpose of these visualizations is to assess whether growth in scientific literacy is linear or takes on other shapes, such as quadratic or cubic. Any non-linear patterns will be accounted for and tested in the modeling process using likelihood ratio tests.</w:t>
      </w:r>
    </w:p>
    <w:p w14:paraId="300BD899" w14:textId="731742E5" w:rsidR="0052325D" w:rsidRDefault="00DE6159" w:rsidP="00DE6159">
      <w:pPr>
        <w:pStyle w:val="BodyText"/>
        <w:sectPr w:rsidR="0052325D" w:rsidSect="00B713AA">
          <w:headerReference w:type="even" r:id="rId44"/>
          <w:headerReference w:type="default" r:id="rId45"/>
          <w:footerReference w:type="even" r:id="rId46"/>
          <w:footerReference w:type="default" r:id="rId47"/>
          <w:headerReference w:type="first" r:id="rId48"/>
          <w:footerReference w:type="first" r:id="rId49"/>
          <w:pgSz w:w="11906" w:h="16838"/>
          <w:pgMar w:top="1440" w:right="1440" w:bottom="1440" w:left="1440" w:header="720" w:footer="720" w:gutter="0"/>
          <w:cols w:space="720"/>
          <w:docGrid w:linePitch="326"/>
        </w:sectPr>
      </w:pPr>
      <w:r>
        <w:t xml:space="preserve">All modeling was completed using the </w:t>
      </w:r>
      <w:r>
        <w:rPr>
          <w:rStyle w:val="VerbatimChar"/>
        </w:rPr>
        <w:t>lme4</w:t>
      </w:r>
      <w:r>
        <w:t xml:space="preserve"> (</w:t>
      </w:r>
      <w:hyperlink w:anchor="ref-bates2010">
        <w:r>
          <w:rPr>
            <w:rStyle w:val="Hyperlink"/>
          </w:rPr>
          <w:t>Bates, 2010</w:t>
        </w:r>
      </w:hyperlink>
      <w:r>
        <w:t xml:space="preserve">) and </w:t>
      </w:r>
      <w:r>
        <w:rPr>
          <w:rStyle w:val="VerbatimChar"/>
        </w:rPr>
        <w:t>lmerTest</w:t>
      </w:r>
      <w:r>
        <w:t xml:space="preserve"> (</w:t>
      </w:r>
      <w:hyperlink w:anchor="ref-kuznetsova2017">
        <w:r>
          <w:rPr>
            <w:rStyle w:val="Hyperlink"/>
          </w:rPr>
          <w:t>Kuznetsova et al., 2017</w:t>
        </w:r>
      </w:hyperlink>
      <w:r>
        <w:t xml:space="preserve">) R packages. Models using imputed data have their estimates pooled following Rubin’s rules using the </w:t>
      </w:r>
      <w:r>
        <w:rPr>
          <w:rStyle w:val="VerbatimChar"/>
        </w:rPr>
        <w:t>mitml</w:t>
      </w:r>
      <w:r>
        <w:t xml:space="preserve"> R package (</w:t>
      </w:r>
      <w:hyperlink w:anchor="ref-grund2021">
        <w:r>
          <w:rPr>
            <w:rStyle w:val="Hyperlink"/>
          </w:rPr>
          <w:t>Grund et al., 2021</w:t>
        </w:r>
      </w:hyperlink>
      <w:r>
        <w:t>). All models are fit using maximum likelihood (ML) estimation, which is appropriate for comparing models fit with different fixed effects (</w:t>
      </w:r>
      <w:hyperlink w:anchor="ref-hoffman2015">
        <w:r>
          <w:rPr>
            <w:rStyle w:val="Hyperlink"/>
          </w:rPr>
          <w:t>Hoffman, 2015, p. 294</w:t>
        </w:r>
      </w:hyperlink>
      <w:r>
        <w:t xml:space="preserve">; </w:t>
      </w:r>
      <w:hyperlink w:anchor="ref-peugh2010">
        <w:r>
          <w:rPr>
            <w:rStyle w:val="Hyperlink"/>
          </w:rPr>
          <w:t>Peugh, 2010</w:t>
        </w:r>
      </w:hyperlink>
      <w:r>
        <w:t xml:space="preserve">). A model-building process was followed in which a baseline model is fit followed by subsequent models of increasing complexity. Each model is tested against a previous model using likelihood ratio tests to ensure proper model fit. The intraclass correlation (ICC) is calculated before adding random effects </w:t>
      </w:r>
      <w:proofErr w:type="gramStart"/>
      <w:r>
        <w:t>in order to</w:t>
      </w:r>
      <w:proofErr w:type="gramEnd"/>
      <w:r>
        <w:t xml:space="preserve"> determine the percentage of variation in CO</w:t>
      </w:r>
      <w:r>
        <w:rPr>
          <w:vertAlign w:val="subscript"/>
        </w:rPr>
        <w:t>2</w:t>
      </w:r>
      <w:r>
        <w:t xml:space="preserve"> between and within countries, controlling for time (</w:t>
      </w:r>
      <w:hyperlink w:anchor="ref-hoffman2015">
        <w:r>
          <w:rPr>
            <w:rStyle w:val="Hyperlink"/>
          </w:rPr>
          <w:t>Hoffman, 2015, p. 162</w:t>
        </w:r>
      </w:hyperlink>
      <w:r>
        <w:t xml:space="preserve">). </w:t>
      </w:r>
      <m:oMath>
        <m:sSup>
          <m:sSupPr>
            <m:ctrlPr>
              <w:rPr>
                <w:rFonts w:ascii="Cambria Math" w:hAnsi="Cambria Math"/>
              </w:rPr>
            </m:ctrlPr>
          </m:sSupPr>
          <m:e>
            <m:r>
              <w:rPr>
                <w:rFonts w:ascii="Cambria Math" w:hAnsi="Cambria Math"/>
              </w:rPr>
              <m:t>R</m:t>
            </m:r>
          </m:e>
          <m:sup>
            <m:r>
              <w:rPr>
                <w:rFonts w:ascii="Cambria Math" w:hAnsi="Cambria Math"/>
              </w:rPr>
              <m:t>2</m:t>
            </m:r>
          </m:sup>
        </m:sSup>
      </m:oMath>
      <w:r>
        <w:t xml:space="preserve"> values are calculated, when appropriate, to assess the explantory power of some of the models. Interactions are probed based on estimated marginal means using the </w:t>
      </w:r>
      <w:r>
        <w:rPr>
          <w:rStyle w:val="VerbatimChar"/>
        </w:rPr>
        <w:t>ggeffects</w:t>
      </w:r>
      <w:r>
        <w:t xml:space="preserve"> R package (</w:t>
      </w:r>
      <w:hyperlink w:anchor="ref-ludecke2018">
        <w:r>
          <w:rPr>
            <w:rStyle w:val="Hyperlink"/>
          </w:rPr>
          <w:t>Lüdecke, 2018</w:t>
        </w:r>
      </w:hyperlink>
      <w:r>
        <w:t>)</w:t>
      </w:r>
    </w:p>
    <w:p w14:paraId="4A613B22" w14:textId="3CFE8807" w:rsidR="0033629A" w:rsidRDefault="004409CB" w:rsidP="002A4E8A">
      <w:r>
        <w:rPr>
          <w:noProof/>
        </w:rPr>
        <w:lastRenderedPageBreak/>
        <w:drawing>
          <wp:inline distT="0" distB="0" distL="0" distR="0" wp14:anchorId="6EA10D56" wp14:editId="79C14A28">
            <wp:extent cx="7881620" cy="5050374"/>
            <wp:effectExtent l="0" t="0" r="508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
                    <pic:cNvPicPr>
                      <a:picLocks noChangeAspect="1" noChangeArrowheads="1"/>
                    </pic:cNvPicPr>
                  </pic:nvPicPr>
                  <pic:blipFill rotWithShape="1">
                    <a:blip r:embed="rId50"/>
                    <a:srcRect t="3883"/>
                    <a:stretch/>
                  </pic:blipFill>
                  <pic:spPr bwMode="auto">
                    <a:xfrm>
                      <a:off x="0" y="0"/>
                      <a:ext cx="7889325" cy="5055311"/>
                    </a:xfrm>
                    <a:prstGeom prst="rect">
                      <a:avLst/>
                    </a:prstGeom>
                    <a:noFill/>
                    <a:ln>
                      <a:noFill/>
                    </a:ln>
                    <a:extLst>
                      <a:ext uri="{53640926-AAD7-44D8-BBD7-CCE9431645EC}">
                        <a14:shadowObscured xmlns:a14="http://schemas.microsoft.com/office/drawing/2010/main"/>
                      </a:ext>
                    </a:extLst>
                  </pic:spPr>
                </pic:pic>
              </a:graphicData>
            </a:graphic>
          </wp:inline>
        </w:drawing>
      </w:r>
    </w:p>
    <w:p w14:paraId="5CCD8EA1" w14:textId="2D4DC198" w:rsidR="0052325D" w:rsidRDefault="004409CB" w:rsidP="0052325D">
      <w:pPr>
        <w:pStyle w:val="ImageCaption"/>
        <w:sectPr w:rsidR="0052325D" w:rsidSect="00D01347">
          <w:headerReference w:type="even" r:id="rId51"/>
          <w:headerReference w:type="default" r:id="rId52"/>
          <w:footerReference w:type="even" r:id="rId53"/>
          <w:footerReference w:type="default" r:id="rId54"/>
          <w:headerReference w:type="first" r:id="rId55"/>
          <w:footerReference w:type="first" r:id="rId56"/>
          <w:pgSz w:w="16838" w:h="11906" w:orient="landscape"/>
          <w:pgMar w:top="1440" w:right="1440" w:bottom="1440" w:left="1440" w:header="720" w:footer="720" w:gutter="0"/>
          <w:cols w:space="720"/>
          <w:docGrid w:linePitch="326"/>
        </w:sectPr>
      </w:pPr>
      <w:bookmarkStart w:id="93" w:name="_Toc105675532"/>
      <w:r>
        <w:rPr>
          <w:b/>
        </w:rPr>
        <w:t xml:space="preserve">Figure </w:t>
      </w:r>
      <w:bookmarkStart w:id="94" w:name="missing"/>
      <w:r>
        <w:rPr>
          <w:b/>
        </w:rPr>
        <w:fldChar w:fldCharType="begin"/>
      </w:r>
      <w:r>
        <w:rPr>
          <w:b/>
        </w:rPr>
        <w:instrText>SEQ Figure \* Arabic</w:instrText>
      </w:r>
      <w:r>
        <w:rPr>
          <w:b/>
        </w:rPr>
        <w:fldChar w:fldCharType="separate"/>
      </w:r>
      <w:r w:rsidR="00766923">
        <w:rPr>
          <w:b/>
          <w:noProof/>
        </w:rPr>
        <w:t>17</w:t>
      </w:r>
      <w:r>
        <w:rPr>
          <w:b/>
        </w:rPr>
        <w:fldChar w:fldCharType="end"/>
      </w:r>
      <w:bookmarkEnd w:id="94"/>
      <w:r>
        <w:t>: A missing values pairs plot showing complete (blue) and missing (grey) data for each combination of variabl</w:t>
      </w:r>
      <w:bookmarkEnd w:id="93"/>
      <w:r w:rsidR="0052325D">
        <w:t>e.</w:t>
      </w:r>
      <w:bookmarkStart w:id="95" w:name="data-analysis-and-model-building"/>
      <w:bookmarkEnd w:id="91"/>
    </w:p>
    <w:p w14:paraId="5B66A23B" w14:textId="09576EF4" w:rsidR="0033629A" w:rsidRDefault="004409CB" w:rsidP="0052325D">
      <w:r>
        <w:lastRenderedPageBreak/>
        <w:t>The goal of the model-building process is to arrive at a well-fitting conditional growth model with time-varying and time-invariant predictors that directly address the first two research questions. This model estimates 1) the relationship between scientific literacy and CO</w:t>
      </w:r>
      <w:r>
        <w:rPr>
          <w:vertAlign w:val="subscript"/>
        </w:rPr>
        <w:t>2</w:t>
      </w:r>
      <w:r>
        <w:t xml:space="preserve"> emissions per capita, controlling for other factors; and 2) whether this relationship varies for developed and less-developed countries, which is assessed using an interaction effect between OECD and scientific literacy. This model, which includes a set of time-varying statistical controls, </w:t>
      </w:r>
      <w:r>
        <w:rPr>
          <w:i/>
          <w:iCs/>
        </w:rPr>
        <w:t>X</w:t>
      </w:r>
      <w:r>
        <w:t>, is initially specified as follows:</w:t>
      </w:r>
    </w:p>
    <w:p w14:paraId="0B6AA25B" w14:textId="77777777" w:rsidR="0033629A" w:rsidRDefault="004409CB">
      <w:pPr>
        <w:pStyle w:val="EquationArea"/>
      </w:pPr>
      <w:r>
        <w:rPr>
          <w:b/>
          <w:bCs/>
        </w:rPr>
        <w:t>Level 1</w:t>
      </w:r>
      <w:r>
        <w:t xml:space="preserve">: </w:t>
      </w:r>
      <m:oMath>
        <m:r>
          <w:rPr>
            <w:rFonts w:ascii="Cambria Math" w:hAnsi="Cambria Math"/>
          </w:rPr>
          <m:t>C</m:t>
        </m:r>
        <m:sSub>
          <m:sSubPr>
            <m:ctrlPr>
              <w:rPr>
                <w:rFonts w:ascii="Cambria Math" w:hAnsi="Cambria Math"/>
              </w:rPr>
            </m:ctrlPr>
          </m:sSubPr>
          <m:e>
            <m:r>
              <w:rPr>
                <w:rFonts w:ascii="Cambria Math" w:hAnsi="Cambria Math"/>
              </w:rPr>
              <m:t>O</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0i</m:t>
            </m:r>
          </m:sub>
        </m:sSub>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1i</m:t>
            </m:r>
          </m:sub>
        </m:sSub>
        <m:d>
          <m:dPr>
            <m:ctrlPr>
              <w:rPr>
                <w:rFonts w:ascii="Cambria Math" w:hAnsi="Cambria Math"/>
              </w:rPr>
            </m:ctrlPr>
          </m:dPr>
          <m:e>
            <m:r>
              <w:rPr>
                <w:rFonts w:ascii="Cambria Math" w:hAnsi="Cambria Math"/>
              </w:rPr>
              <m:t>TIME</m:t>
            </m:r>
          </m:e>
        </m:d>
        <m:r>
          <m:rPr>
            <m:sty m:val="p"/>
          </m:rPr>
          <w:rPr>
            <w:rFonts w:ascii="Cambria Math" w:hAnsi="Cambria Math"/>
          </w:rPr>
          <m:t>+</m:t>
        </m:r>
        <m:sSub>
          <m:sSubPr>
            <m:ctrlPr>
              <w:rPr>
                <w:rFonts w:ascii="Cambria Math" w:hAnsi="Cambria Math"/>
              </w:rPr>
            </m:ctrlPr>
          </m:sSubPr>
          <m:e>
            <m:r>
              <w:rPr>
                <w:rFonts w:ascii="Cambria Math" w:hAnsi="Cambria Math"/>
              </w:rPr>
              <m:t>β</m:t>
            </m:r>
          </m:e>
          <m:sub>
            <m:r>
              <w:rPr>
                <w:rFonts w:ascii="Cambria Math" w:hAnsi="Cambria Math"/>
              </w:rPr>
              <m:t>2i</m:t>
            </m:r>
          </m:sub>
        </m:sSub>
        <m:d>
          <m:dPr>
            <m:ctrlPr>
              <w:rPr>
                <w:rFonts w:ascii="Cambria Math" w:hAnsi="Cambria Math"/>
              </w:rPr>
            </m:ctrlPr>
          </m:dPr>
          <m:e>
            <m:r>
              <w:rPr>
                <w:rFonts w:ascii="Cambria Math" w:hAnsi="Cambria Math"/>
              </w:rPr>
              <m:t>S</m:t>
            </m:r>
            <m:sSub>
              <m:sSubPr>
                <m:ctrlPr>
                  <w:rPr>
                    <w:rFonts w:ascii="Cambria Math" w:hAnsi="Cambria Math"/>
                  </w:rPr>
                </m:ctrlPr>
              </m:sSubPr>
              <m:e>
                <m:r>
                  <w:rPr>
                    <w:rFonts w:ascii="Cambria Math" w:hAnsi="Cambria Math"/>
                  </w:rPr>
                  <m:t>L</m:t>
                </m:r>
              </m:e>
              <m:sub>
                <m:r>
                  <w:rPr>
                    <w:rFonts w:ascii="Cambria Math" w:hAnsi="Cambria Math"/>
                  </w:rPr>
                  <m:t>within</m:t>
                </m:r>
              </m:sub>
            </m:sSub>
          </m:e>
        </m:d>
        <m:r>
          <m:rPr>
            <m:sty m:val="p"/>
          </m:rP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ti</m:t>
            </m:r>
          </m:sub>
        </m:sSub>
      </m:oMath>
    </w:p>
    <w:p w14:paraId="14E32646" w14:textId="77777777" w:rsidR="0033629A" w:rsidRDefault="004409CB">
      <w:pPr>
        <w:pStyle w:val="EquationArea"/>
      </w:pPr>
      <w:r>
        <w:rPr>
          <w:b/>
          <w:bCs/>
        </w:rPr>
        <w:t>Level 2</w:t>
      </w:r>
      <w:r>
        <w:t xml:space="preserve">: </w:t>
      </w:r>
      <m:oMath>
        <m:sSub>
          <m:sSubPr>
            <m:ctrlPr>
              <w:rPr>
                <w:rFonts w:ascii="Cambria Math" w:hAnsi="Cambria Math"/>
              </w:rPr>
            </m:ctrlPr>
          </m:sSubPr>
          <m:e>
            <m:r>
              <w:rPr>
                <w:rFonts w:ascii="Cambria Math" w:hAnsi="Cambria Math"/>
              </w:rPr>
              <m:t>β</m:t>
            </m:r>
          </m:e>
          <m:sub>
            <m:r>
              <w:rPr>
                <w:rFonts w:ascii="Cambria Math" w:hAnsi="Cambria Math"/>
              </w:rPr>
              <m:t>0i</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00</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01</m:t>
            </m:r>
          </m:sub>
        </m:sSub>
        <m:d>
          <m:dPr>
            <m:ctrlPr>
              <w:rPr>
                <w:rFonts w:ascii="Cambria Math" w:hAnsi="Cambria Math"/>
              </w:rPr>
            </m:ctrlPr>
          </m:dPr>
          <m:e>
            <m:r>
              <w:rPr>
                <w:rFonts w:ascii="Cambria Math" w:hAnsi="Cambria Math"/>
              </w:rPr>
              <m:t>S</m:t>
            </m:r>
            <m:sSub>
              <m:sSubPr>
                <m:ctrlPr>
                  <w:rPr>
                    <w:rFonts w:ascii="Cambria Math" w:hAnsi="Cambria Math"/>
                  </w:rPr>
                </m:ctrlPr>
              </m:sSubPr>
              <m:e>
                <m:r>
                  <w:rPr>
                    <w:rFonts w:ascii="Cambria Math" w:hAnsi="Cambria Math"/>
                  </w:rPr>
                  <m:t>L</m:t>
                </m:r>
              </m:e>
              <m:sub>
                <m:r>
                  <w:rPr>
                    <w:rFonts w:ascii="Cambria Math" w:hAnsi="Cambria Math"/>
                  </w:rPr>
                  <m:t>between</m:t>
                </m:r>
              </m:sub>
            </m:sSub>
          </m:e>
        </m:d>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02</m:t>
            </m:r>
          </m:sub>
        </m:sSub>
        <m:d>
          <m:dPr>
            <m:ctrlPr>
              <w:rPr>
                <w:rFonts w:ascii="Cambria Math" w:hAnsi="Cambria Math"/>
              </w:rPr>
            </m:ctrlPr>
          </m:dPr>
          <m:e>
            <m:r>
              <w:rPr>
                <w:rFonts w:ascii="Cambria Math" w:hAnsi="Cambria Math"/>
              </w:rPr>
              <m:t>OECD</m:t>
            </m:r>
          </m:e>
        </m:d>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03</m:t>
            </m:r>
          </m:sub>
        </m:sSub>
        <m:d>
          <m:dPr>
            <m:ctrlPr>
              <w:rPr>
                <w:rFonts w:ascii="Cambria Math" w:hAnsi="Cambria Math"/>
              </w:rPr>
            </m:ctrlPr>
          </m:dPr>
          <m:e>
            <m:r>
              <w:rPr>
                <w:rFonts w:ascii="Cambria Math" w:hAnsi="Cambria Math"/>
              </w:rPr>
              <m:t>OECD</m:t>
            </m:r>
            <m:r>
              <m:rPr>
                <m:sty m:val="p"/>
              </m:rPr>
              <w:rPr>
                <w:rFonts w:ascii="Cambria Math" w:hAnsi="Cambria Math"/>
              </w:rPr>
              <m:t>×</m:t>
            </m:r>
            <m:r>
              <w:rPr>
                <w:rFonts w:ascii="Cambria Math" w:hAnsi="Cambria Math"/>
              </w:rPr>
              <m:t>S</m:t>
            </m:r>
            <m:sSub>
              <m:sSubPr>
                <m:ctrlPr>
                  <w:rPr>
                    <w:rFonts w:ascii="Cambria Math" w:hAnsi="Cambria Math"/>
                  </w:rPr>
                </m:ctrlPr>
              </m:sSubPr>
              <m:e>
                <m:r>
                  <w:rPr>
                    <w:rFonts w:ascii="Cambria Math" w:hAnsi="Cambria Math"/>
                  </w:rPr>
                  <m:t>L</m:t>
                </m:r>
              </m:e>
              <m:sub>
                <m:r>
                  <w:rPr>
                    <w:rFonts w:ascii="Cambria Math" w:hAnsi="Cambria Math"/>
                  </w:rPr>
                  <m:t>within</m:t>
                </m:r>
              </m:sub>
            </m:sSub>
          </m:e>
        </m:d>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4</m:t>
            </m:r>
            <m:r>
              <m:rPr>
                <m:sty m:val="p"/>
              </m:rPr>
              <w:rPr>
                <w:rFonts w:ascii="Cambria Math" w:hAnsi="Cambria Math"/>
              </w:rPr>
              <m:t>...</m:t>
            </m:r>
            <m:r>
              <w:rPr>
                <w:rFonts w:ascii="Cambria Math" w:hAnsi="Cambria Math"/>
              </w:rPr>
              <m:t>n</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0i</m:t>
            </m:r>
          </m:sub>
        </m:sSub>
      </m:oMath>
    </w:p>
    <w:p w14:paraId="693FFB28" w14:textId="77777777" w:rsidR="0033629A" w:rsidRDefault="00710174">
      <w:pPr>
        <w:pStyle w:val="EquationArea"/>
      </w:pPr>
      <m:oMathPara>
        <m:oMath>
          <m:sSub>
            <m:sSubPr>
              <m:ctrlPr>
                <w:rPr>
                  <w:rFonts w:ascii="Cambria Math" w:hAnsi="Cambria Math"/>
                </w:rPr>
              </m:ctrlPr>
            </m:sSubPr>
            <m:e>
              <m:r>
                <w:rPr>
                  <w:rFonts w:ascii="Cambria Math" w:hAnsi="Cambria Math"/>
                </w:rPr>
                <m:t>β</m:t>
              </m:r>
            </m:e>
            <m:sub>
              <m:r>
                <w:rPr>
                  <w:rFonts w:ascii="Cambria Math" w:hAnsi="Cambria Math"/>
                </w:rPr>
                <m:t>1i</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10</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1i</m:t>
              </m:r>
            </m:sub>
          </m:sSub>
          <m:d>
            <m:dPr>
              <m:ctrlPr>
                <w:rPr>
                  <w:rFonts w:ascii="Cambria Math" w:hAnsi="Cambria Math"/>
                </w:rPr>
              </m:ctrlPr>
            </m:dPr>
            <m:e>
              <m:r>
                <w:rPr>
                  <w:rFonts w:ascii="Cambria Math" w:hAnsi="Cambria Math"/>
                </w:rPr>
                <m:t>TIME</m:t>
              </m:r>
            </m:e>
          </m:d>
        </m:oMath>
      </m:oMathPara>
    </w:p>
    <w:p w14:paraId="5693226B" w14:textId="77777777" w:rsidR="0033629A" w:rsidRDefault="00710174">
      <w:pPr>
        <w:pStyle w:val="EquationArea"/>
      </w:pPr>
      <m:oMathPara>
        <m:oMath>
          <m:sSub>
            <m:sSubPr>
              <m:ctrlPr>
                <w:rPr>
                  <w:rFonts w:ascii="Cambria Math" w:hAnsi="Cambria Math"/>
                </w:rPr>
              </m:ctrlPr>
            </m:sSubPr>
            <m:e>
              <m:r>
                <w:rPr>
                  <w:rFonts w:ascii="Cambria Math" w:hAnsi="Cambria Math"/>
                </w:rPr>
                <m:t>β</m:t>
              </m:r>
            </m:e>
            <m:sub>
              <m:r>
                <w:rPr>
                  <w:rFonts w:ascii="Cambria Math" w:hAnsi="Cambria Math"/>
                </w:rPr>
                <m:t>2i</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20</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2i</m:t>
              </m:r>
            </m:sub>
          </m:sSub>
          <m:d>
            <m:dPr>
              <m:ctrlPr>
                <w:rPr>
                  <w:rFonts w:ascii="Cambria Math" w:hAnsi="Cambria Math"/>
                </w:rPr>
              </m:ctrlPr>
            </m:dPr>
            <m:e>
              <m:r>
                <w:rPr>
                  <w:rFonts w:ascii="Cambria Math" w:hAnsi="Cambria Math"/>
                </w:rPr>
                <m:t>S</m:t>
              </m:r>
              <m:sSub>
                <m:sSubPr>
                  <m:ctrlPr>
                    <w:rPr>
                      <w:rFonts w:ascii="Cambria Math" w:hAnsi="Cambria Math"/>
                    </w:rPr>
                  </m:ctrlPr>
                </m:sSubPr>
                <m:e>
                  <m:r>
                    <w:rPr>
                      <w:rFonts w:ascii="Cambria Math" w:hAnsi="Cambria Math"/>
                    </w:rPr>
                    <m:t>L</m:t>
                  </m:r>
                </m:e>
                <m:sub>
                  <m:r>
                    <w:rPr>
                      <w:rFonts w:ascii="Cambria Math" w:hAnsi="Cambria Math"/>
                    </w:rPr>
                    <m:t>within</m:t>
                  </m:r>
                </m:sub>
              </m:sSub>
            </m:e>
          </m:d>
        </m:oMath>
      </m:oMathPara>
    </w:p>
    <w:p w14:paraId="659C4A7F" w14:textId="77777777" w:rsidR="0033629A" w:rsidRDefault="004409CB">
      <w:pPr>
        <w:pStyle w:val="EquationArea"/>
      </w:pPr>
      <w:r>
        <w:rPr>
          <w:b/>
          <w:bCs/>
        </w:rPr>
        <w:t>Composite</w:t>
      </w:r>
      <w:r>
        <w:t xml:space="preserve">: </w:t>
      </w:r>
      <m:oMath>
        <m:r>
          <w:rPr>
            <w:rFonts w:ascii="Cambria Math" w:hAnsi="Cambria Math"/>
          </w:rPr>
          <m:t>C</m:t>
        </m:r>
        <m:sSub>
          <m:sSubPr>
            <m:ctrlPr>
              <w:rPr>
                <w:rFonts w:ascii="Cambria Math" w:hAnsi="Cambria Math"/>
              </w:rPr>
            </m:ctrlPr>
          </m:sSubPr>
          <m:e>
            <m:r>
              <w:rPr>
                <w:rFonts w:ascii="Cambria Math" w:hAnsi="Cambria Math"/>
              </w:rPr>
              <m:t>O</m:t>
            </m:r>
          </m:e>
          <m:sub>
            <m: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00</m:t>
            </m:r>
          </m:sub>
        </m:sSub>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10</m:t>
            </m:r>
          </m:sub>
        </m:sSub>
        <m:d>
          <m:dPr>
            <m:ctrlPr>
              <w:rPr>
                <w:rFonts w:ascii="Cambria Math" w:hAnsi="Cambria Math"/>
              </w:rPr>
            </m:ctrlPr>
          </m:dPr>
          <m:e>
            <m:r>
              <w:rPr>
                <w:rFonts w:ascii="Cambria Math" w:hAnsi="Cambria Math"/>
              </w:rPr>
              <m:t>TIME</m:t>
            </m:r>
          </m:e>
        </m:d>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20</m:t>
            </m:r>
          </m:sub>
        </m:sSub>
        <m:d>
          <m:dPr>
            <m:ctrlPr>
              <w:rPr>
                <w:rFonts w:ascii="Cambria Math" w:hAnsi="Cambria Math"/>
              </w:rPr>
            </m:ctrlPr>
          </m:dPr>
          <m:e>
            <m:r>
              <w:rPr>
                <w:rFonts w:ascii="Cambria Math" w:hAnsi="Cambria Math"/>
              </w:rPr>
              <m:t>S</m:t>
            </m:r>
            <m:sSub>
              <m:sSubPr>
                <m:ctrlPr>
                  <w:rPr>
                    <w:rFonts w:ascii="Cambria Math" w:hAnsi="Cambria Math"/>
                  </w:rPr>
                </m:ctrlPr>
              </m:sSubPr>
              <m:e>
                <m:r>
                  <w:rPr>
                    <w:rFonts w:ascii="Cambria Math" w:hAnsi="Cambria Math"/>
                  </w:rPr>
                  <m:t>L</m:t>
                </m:r>
              </m:e>
              <m:sub>
                <m:r>
                  <w:rPr>
                    <w:rFonts w:ascii="Cambria Math" w:hAnsi="Cambria Math"/>
                  </w:rPr>
                  <m:t>within</m:t>
                </m:r>
              </m:sub>
            </m:sSub>
          </m:e>
        </m:d>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01</m:t>
            </m:r>
          </m:sub>
        </m:sSub>
        <m:d>
          <m:dPr>
            <m:ctrlPr>
              <w:rPr>
                <w:rFonts w:ascii="Cambria Math" w:hAnsi="Cambria Math"/>
              </w:rPr>
            </m:ctrlPr>
          </m:dPr>
          <m:e>
            <m:r>
              <w:rPr>
                <w:rFonts w:ascii="Cambria Math" w:hAnsi="Cambria Math"/>
              </w:rPr>
              <m:t>S</m:t>
            </m:r>
            <m:sSub>
              <m:sSubPr>
                <m:ctrlPr>
                  <w:rPr>
                    <w:rFonts w:ascii="Cambria Math" w:hAnsi="Cambria Math"/>
                  </w:rPr>
                </m:ctrlPr>
              </m:sSubPr>
              <m:e>
                <m:r>
                  <w:rPr>
                    <w:rFonts w:ascii="Cambria Math" w:hAnsi="Cambria Math"/>
                  </w:rPr>
                  <m:t>L</m:t>
                </m:r>
              </m:e>
              <m:sub>
                <m:r>
                  <w:rPr>
                    <w:rFonts w:ascii="Cambria Math" w:hAnsi="Cambria Math"/>
                  </w:rPr>
                  <m:t>between</m:t>
                </m:r>
              </m:sub>
            </m:sSub>
          </m:e>
        </m:d>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02</m:t>
            </m:r>
          </m:sub>
        </m:sSub>
        <m:d>
          <m:dPr>
            <m:ctrlPr>
              <w:rPr>
                <w:rFonts w:ascii="Cambria Math" w:hAnsi="Cambria Math"/>
              </w:rPr>
            </m:ctrlPr>
          </m:dPr>
          <m:e>
            <m:r>
              <w:rPr>
                <w:rFonts w:ascii="Cambria Math" w:hAnsi="Cambria Math"/>
              </w:rPr>
              <m:t>OECD</m:t>
            </m:r>
          </m:e>
        </m:d>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03</m:t>
            </m:r>
          </m:sub>
        </m:sSub>
        <m:d>
          <m:dPr>
            <m:ctrlPr>
              <w:rPr>
                <w:rFonts w:ascii="Cambria Math" w:hAnsi="Cambria Math"/>
              </w:rPr>
            </m:ctrlPr>
          </m:dPr>
          <m:e>
            <m:r>
              <w:rPr>
                <w:rFonts w:ascii="Cambria Math" w:hAnsi="Cambria Math"/>
              </w:rPr>
              <m:t>OECD</m:t>
            </m:r>
            <m:r>
              <m:rPr>
                <m:sty m:val="p"/>
              </m:rPr>
              <w:rPr>
                <w:rFonts w:ascii="Cambria Math" w:hAnsi="Cambria Math"/>
              </w:rPr>
              <m:t>×</m:t>
            </m:r>
            <m:r>
              <w:rPr>
                <w:rFonts w:ascii="Cambria Math" w:hAnsi="Cambria Math"/>
              </w:rPr>
              <m:t>S</m:t>
            </m:r>
            <m:sSub>
              <m:sSubPr>
                <m:ctrlPr>
                  <w:rPr>
                    <w:rFonts w:ascii="Cambria Math" w:hAnsi="Cambria Math"/>
                  </w:rPr>
                </m:ctrlPr>
              </m:sSubPr>
              <m:e>
                <m:r>
                  <w:rPr>
                    <w:rFonts w:ascii="Cambria Math" w:hAnsi="Cambria Math"/>
                  </w:rPr>
                  <m:t>L</m:t>
                </m:r>
              </m:e>
              <m:sub>
                <m:r>
                  <w:rPr>
                    <w:rFonts w:ascii="Cambria Math" w:hAnsi="Cambria Math"/>
                  </w:rPr>
                  <m:t>within</m:t>
                </m:r>
              </m:sub>
            </m:sSub>
          </m:e>
        </m:d>
        <m:r>
          <m:rPr>
            <m:sty m:val="p"/>
          </m:rPr>
          <w:rPr>
            <w:rFonts w:ascii="Cambria Math" w:hAnsi="Cambria Math"/>
          </w:rPr>
          <m:t>+</m:t>
        </m:r>
        <m:sSub>
          <m:sSubPr>
            <m:ctrlPr>
              <w:rPr>
                <w:rFonts w:ascii="Cambria Math" w:hAnsi="Cambria Math"/>
              </w:rPr>
            </m:ctrlPr>
          </m:sSubPr>
          <m:e>
            <m:r>
              <w:rPr>
                <w:rFonts w:ascii="Cambria Math" w:hAnsi="Cambria Math"/>
              </w:rPr>
              <m:t>γ</m:t>
            </m:r>
          </m:e>
          <m:sub>
            <m:r>
              <w:rPr>
                <w:rFonts w:ascii="Cambria Math" w:hAnsi="Cambria Math"/>
              </w:rPr>
              <m:t>4</m:t>
            </m:r>
            <m:r>
              <m:rPr>
                <m:sty m:val="p"/>
              </m:rPr>
              <w:rPr>
                <w:rFonts w:ascii="Cambria Math" w:hAnsi="Cambria Math"/>
              </w:rPr>
              <m:t>...</m:t>
            </m:r>
            <m:r>
              <w:rPr>
                <w:rFonts w:ascii="Cambria Math" w:hAnsi="Cambria Math"/>
              </w:rPr>
              <m:t>n</m:t>
            </m:r>
          </m:sub>
        </m:sSub>
        <m:d>
          <m:dPr>
            <m:ctrlPr>
              <w:rPr>
                <w:rFonts w:ascii="Cambria Math" w:hAnsi="Cambria Math"/>
              </w:rPr>
            </m:ctrlPr>
          </m:dPr>
          <m:e>
            <m: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ti</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0i</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1i</m:t>
            </m:r>
          </m:sub>
        </m:sSub>
        <m:d>
          <m:dPr>
            <m:ctrlPr>
              <w:rPr>
                <w:rFonts w:ascii="Cambria Math" w:hAnsi="Cambria Math"/>
              </w:rPr>
            </m:ctrlPr>
          </m:dPr>
          <m:e>
            <m:r>
              <w:rPr>
                <w:rFonts w:ascii="Cambria Math" w:hAnsi="Cambria Math"/>
              </w:rPr>
              <m:t>TIME</m:t>
            </m:r>
          </m:e>
        </m:d>
        <m:r>
          <m:rPr>
            <m:sty m:val="p"/>
          </m:rPr>
          <w:rPr>
            <w:rFonts w:ascii="Cambria Math" w:hAnsi="Cambria Math"/>
          </w:rPr>
          <m:t>+</m:t>
        </m:r>
        <m:sSub>
          <m:sSubPr>
            <m:ctrlPr>
              <w:rPr>
                <w:rFonts w:ascii="Cambria Math" w:hAnsi="Cambria Math"/>
              </w:rPr>
            </m:ctrlPr>
          </m:sSubPr>
          <m:e>
            <m:r>
              <w:rPr>
                <w:rFonts w:ascii="Cambria Math" w:hAnsi="Cambria Math"/>
              </w:rPr>
              <m:t>U</m:t>
            </m:r>
          </m:e>
          <m:sub>
            <m:r>
              <w:rPr>
                <w:rFonts w:ascii="Cambria Math" w:hAnsi="Cambria Math"/>
              </w:rPr>
              <m:t>2i</m:t>
            </m:r>
          </m:sub>
        </m:sSub>
        <m:d>
          <m:dPr>
            <m:ctrlPr>
              <w:rPr>
                <w:rFonts w:ascii="Cambria Math" w:hAnsi="Cambria Math"/>
              </w:rPr>
            </m:ctrlPr>
          </m:dPr>
          <m:e>
            <m:r>
              <w:rPr>
                <w:rFonts w:ascii="Cambria Math" w:hAnsi="Cambria Math"/>
              </w:rPr>
              <m:t>S</m:t>
            </m:r>
            <m:sSub>
              <m:sSubPr>
                <m:ctrlPr>
                  <w:rPr>
                    <w:rFonts w:ascii="Cambria Math" w:hAnsi="Cambria Math"/>
                  </w:rPr>
                </m:ctrlPr>
              </m:sSubPr>
              <m:e>
                <m:r>
                  <w:rPr>
                    <w:rFonts w:ascii="Cambria Math" w:hAnsi="Cambria Math"/>
                  </w:rPr>
                  <m:t>L</m:t>
                </m:r>
              </m:e>
              <m:sub>
                <m:r>
                  <w:rPr>
                    <w:rFonts w:ascii="Cambria Math" w:hAnsi="Cambria Math"/>
                  </w:rPr>
                  <m:t>within</m:t>
                </m:r>
              </m:sub>
            </m:sSub>
          </m:e>
        </m:d>
      </m:oMath>
      <w:r>
        <w:t>.</w:t>
      </w:r>
    </w:p>
    <w:p w14:paraId="37E2CBFE" w14:textId="77777777" w:rsidR="0033629A" w:rsidRDefault="004409CB">
      <w:pPr>
        <w:pStyle w:val="BodyText2"/>
      </w:pPr>
      <w:r>
        <w:t>Chapter 4 details the model building process and changes to the above model, as well as model results.</w:t>
      </w:r>
    </w:p>
    <w:p w14:paraId="12B8B1A8" w14:textId="77777777" w:rsidR="0033629A" w:rsidRDefault="004409CB">
      <w:pPr>
        <w:pStyle w:val="BodyText"/>
      </w:pPr>
      <w:r>
        <w:t xml:space="preserve">To address research question three regarding the effects of gender, two additional models (a male model and a female model) are estimated with gender-specific scientific literacy scores rather than overall country scores. These are based on the final models from the model building process. A formal </w:t>
      </w:r>
      <w:r>
        <w:rPr>
          <w:i/>
          <w:iCs/>
        </w:rPr>
        <w:t>Z</w:t>
      </w:r>
      <w:r>
        <w:t xml:space="preserve">-test for the equality of regression coefficients will be conducted to assess if there are any differential effects between male and female scientific </w:t>
      </w:r>
      <w:r>
        <w:lastRenderedPageBreak/>
        <w:t>literacy scores on CO</w:t>
      </w:r>
      <w:r>
        <w:rPr>
          <w:vertAlign w:val="subscript"/>
        </w:rPr>
        <w:t>2</w:t>
      </w:r>
      <w:r>
        <w:t xml:space="preserve"> per capita holding all other variables constant (</w:t>
      </w:r>
      <w:hyperlink w:anchor="ref-clogg1995">
        <w:r>
          <w:rPr>
            <w:rStyle w:val="Hyperlink"/>
          </w:rPr>
          <w:t>Clogg et al., 1995</w:t>
        </w:r>
      </w:hyperlink>
      <w:r>
        <w:t xml:space="preserve">; </w:t>
      </w:r>
      <w:hyperlink w:anchor="ref-piquero2016">
        <w:r>
          <w:rPr>
            <w:rStyle w:val="Hyperlink"/>
          </w:rPr>
          <w:t>Piquero et al., 2016</w:t>
        </w:r>
      </w:hyperlink>
      <w:r>
        <w:t xml:space="preserve">). The </w:t>
      </w:r>
      <w:r>
        <w:rPr>
          <w:i/>
          <w:iCs/>
        </w:rPr>
        <w:t>Z</w:t>
      </w:r>
      <w:r>
        <w:t>-test will be specified as follows:</w:t>
      </w:r>
    </w:p>
    <w:p w14:paraId="52844077" w14:textId="77777777" w:rsidR="0033629A" w:rsidRDefault="004409CB">
      <w:pPr>
        <w:pStyle w:val="Equation"/>
      </w:pPr>
      <m:oMath>
        <m:r>
          <m:t>Z=</m:t>
        </m:r>
        <m:f>
          <m:fPr>
            <m:ctrlPr/>
          </m:fPr>
          <m:num>
            <m:sSub>
              <m:sSubPr>
                <m:ctrlPr/>
              </m:sSubPr>
              <m:e>
                <m:r>
                  <m:t>β</m:t>
                </m:r>
              </m:e>
              <m:sub>
                <m:r>
                  <m:t>slf</m:t>
                </m:r>
              </m:sub>
            </m:sSub>
            <m:r>
              <m:t>-</m:t>
            </m:r>
            <m:sSub>
              <m:sSubPr>
                <m:ctrlPr/>
              </m:sSubPr>
              <m:e>
                <m:r>
                  <m:t>β</m:t>
                </m:r>
              </m:e>
              <m:sub>
                <m:r>
                  <m:t>slm</m:t>
                </m:r>
              </m:sub>
            </m:sSub>
          </m:num>
          <m:den>
            <m:rad>
              <m:radPr>
                <m:degHide m:val="1"/>
                <m:ctrlPr/>
              </m:radPr>
              <m:deg/>
              <m:e>
                <m:r>
                  <m:t>SE</m:t>
                </m:r>
                <m:sSubSup>
                  <m:sSubSupPr>
                    <m:ctrlPr/>
                  </m:sSubSupPr>
                  <m:e>
                    <m:r>
                      <m:t>β</m:t>
                    </m:r>
                  </m:e>
                  <m:sub>
                    <m:r>
                      <m:t>slf</m:t>
                    </m:r>
                  </m:sub>
                  <m:sup>
                    <m:r>
                      <m:t>2</m:t>
                    </m:r>
                  </m:sup>
                </m:sSubSup>
                <m:r>
                  <m:t>-SE</m:t>
                </m:r>
                <m:sSubSup>
                  <m:sSubSupPr>
                    <m:ctrlPr/>
                  </m:sSubSupPr>
                  <m:e>
                    <m:r>
                      <m:t>β</m:t>
                    </m:r>
                  </m:e>
                  <m:sub>
                    <m:r>
                      <m:t>slm</m:t>
                    </m:r>
                  </m:sub>
                  <m:sup>
                    <m:r>
                      <m:t>2</m:t>
                    </m:r>
                  </m:sup>
                </m:sSubSup>
              </m:e>
            </m:rad>
          </m:den>
        </m:f>
      </m:oMath>
      <w:r>
        <w:t>,</w:t>
      </w:r>
    </w:p>
    <w:p w14:paraId="36A9E52E" w14:textId="77777777" w:rsidR="0033629A" w:rsidRDefault="004409CB">
      <w:pPr>
        <w:pStyle w:val="BodyText2"/>
      </w:pPr>
      <w:r>
        <w:t xml:space="preserve">where </w:t>
      </w:r>
      <m:oMath>
        <m:r>
          <w:rPr>
            <w:rFonts w:ascii="Cambria Math" w:hAnsi="Cambria Math"/>
          </w:rPr>
          <m:t>β</m:t>
        </m:r>
      </m:oMath>
      <w:r>
        <w:t xml:space="preserve"> refers to the regression coefficient for female (</w:t>
      </w:r>
      <w:r>
        <w:rPr>
          <w:i/>
          <w:iCs/>
        </w:rPr>
        <w:t>slf</w:t>
      </w:r>
      <w:r>
        <w:t>) or male (</w:t>
      </w:r>
      <w:r>
        <w:rPr>
          <w:i/>
          <w:iCs/>
        </w:rPr>
        <w:t>slm</w:t>
      </w:r>
      <w:r>
        <w:t xml:space="preserve">) scientific literacy), and </w:t>
      </w:r>
      <m:oMath>
        <m:r>
          <w:rPr>
            <w:rFonts w:ascii="Cambria Math" w:hAnsi="Cambria Math"/>
          </w:rPr>
          <m:t>SEβ</m:t>
        </m:r>
      </m:oMath>
      <w:r>
        <w:t xml:space="preserve"> refers to regression standard errors. This </w:t>
      </w:r>
      <w:r>
        <w:rPr>
          <w:i/>
          <w:iCs/>
        </w:rPr>
        <w:t>Z</w:t>
      </w:r>
      <w:r>
        <w:t>-test is based on recommendations in Piquero et al. (2016; equation 4).</w:t>
      </w:r>
    </w:p>
    <w:p w14:paraId="12E0F271" w14:textId="77777777" w:rsidR="0033629A" w:rsidRDefault="004409CB" w:rsidP="00B8133B">
      <w:pPr>
        <w:pStyle w:val="BodyText"/>
        <w:ind w:firstLine="0"/>
      </w:pPr>
      <w:r>
        <w:br w:type="page"/>
      </w:r>
    </w:p>
    <w:p w14:paraId="5AC19C2F" w14:textId="77777777" w:rsidR="0033629A" w:rsidRDefault="004409CB">
      <w:pPr>
        <w:pStyle w:val="Heading1"/>
      </w:pPr>
      <w:bookmarkStart w:id="96" w:name="_Toc107939121"/>
      <w:bookmarkStart w:id="97" w:name="chapter-four-results"/>
      <w:bookmarkEnd w:id="51"/>
      <w:bookmarkEnd w:id="95"/>
      <w:r>
        <w:lastRenderedPageBreak/>
        <w:t>CHAPTER FOUR: Results</w:t>
      </w:r>
      <w:bookmarkEnd w:id="96"/>
    </w:p>
    <w:p w14:paraId="5091ADAF" w14:textId="77777777" w:rsidR="0033629A" w:rsidRDefault="004409CB">
      <w:pPr>
        <w:pStyle w:val="FirstParagraph"/>
      </w:pPr>
      <w:r>
        <w:t xml:space="preserve">This chapter begins with a detailed account of the model-building process and the interpretation of their results. Before further discussion of the results, the statistical and contextual limitations of their inference are first discussed </w:t>
      </w:r>
      <w:proofErr w:type="gramStart"/>
      <w:r>
        <w:t>in order to</w:t>
      </w:r>
      <w:proofErr w:type="gramEnd"/>
      <w:r>
        <w:t xml:space="preserve"> cast any necessary air of caution over the ensuing discussion. Following, model results are then used to provide insight into this dissertation’s research questions. Implications of these findings for future research, educators, and those interested in addressing the climate crisis concludes this chapter.</w:t>
      </w:r>
    </w:p>
    <w:p w14:paraId="7FC10104" w14:textId="77777777" w:rsidR="0033629A" w:rsidRDefault="004409CB">
      <w:pPr>
        <w:pStyle w:val="Heading2"/>
      </w:pPr>
      <w:bookmarkStart w:id="98" w:name="_Toc107939122"/>
      <w:bookmarkStart w:id="99" w:name="results"/>
      <w:r>
        <w:t>Results</w:t>
      </w:r>
      <w:bookmarkEnd w:id="98"/>
    </w:p>
    <w:p w14:paraId="2A50EC9E" w14:textId="77777777" w:rsidR="0033629A" w:rsidRDefault="004409CB">
      <w:pPr>
        <w:pStyle w:val="Heading3"/>
      </w:pPr>
      <w:bookmarkStart w:id="100" w:name="_Toc107939123"/>
      <w:bookmarkStart w:id="101" w:name="variable-selection"/>
      <w:r>
        <w:t>Variable Selection</w:t>
      </w:r>
      <w:bookmarkEnd w:id="100"/>
    </w:p>
    <w:p w14:paraId="7D922E1B" w14:textId="77777777" w:rsidR="0033629A" w:rsidRDefault="004409CB">
      <w:pPr>
        <w:pStyle w:val="FirstParagraph"/>
      </w:pPr>
      <w:r>
        <w:t>Before the model building process begins, it is necessary to examine a key requirement of general linear models: multicollinearity. If variables are highly correlated with each other, they may inflate standard errors and could lead to wayward interpretations of results. The variance inflation factor (VIF) is one method of assessing multicollinearity. The VIF estimates the increase in a standard error compared to if it were not correlated with other predictors. Using Darlington and Hayes’ (</w:t>
      </w:r>
      <w:hyperlink w:anchor="ref-darlington2017">
        <w:r>
          <w:rPr>
            <w:rStyle w:val="Hyperlink"/>
          </w:rPr>
          <w:t>2017</w:t>
        </w:r>
      </w:hyperlink>
      <w:r>
        <w:t>) example, if predictor x has a VIF of 2.5, the square root of the VIF (</w:t>
      </w:r>
      <m:oMath>
        <m:rad>
          <m:radPr>
            <m:degHide m:val="1"/>
            <m:ctrlPr>
              <w:rPr>
                <w:rFonts w:ascii="Cambria Math" w:hAnsi="Cambria Math"/>
              </w:rPr>
            </m:ctrlPr>
          </m:radPr>
          <m:deg/>
          <m:e>
            <m:r>
              <w:rPr>
                <w:rFonts w:ascii="Cambria Math" w:hAnsi="Cambria Math"/>
              </w:rPr>
              <m:t>2.5</m:t>
            </m:r>
          </m:e>
        </m:rad>
        <m:r>
          <m:rPr>
            <m:sty m:val="p"/>
          </m:rPr>
          <w:rPr>
            <w:rFonts w:ascii="Cambria Math" w:hAnsi="Cambria Math"/>
          </w:rPr>
          <m:t>=</m:t>
        </m:r>
        <m:r>
          <w:rPr>
            <w:rFonts w:ascii="Cambria Math" w:hAnsi="Cambria Math"/>
          </w:rPr>
          <m:t>1.58</m:t>
        </m:r>
      </m:oMath>
      <w:r>
        <w:t xml:space="preserve">) indicates standard errors would be </w:t>
      </w:r>
      <w:r>
        <w:rPr>
          <w:i/>
          <w:iCs/>
        </w:rPr>
        <w:t>inflated</w:t>
      </w:r>
      <w:r>
        <w:t xml:space="preserve"> 1.58 times higher than if the predictor were uncorrelated with other predictors.</w:t>
      </w:r>
    </w:p>
    <w:p w14:paraId="6BFFB14D" w14:textId="43D99564" w:rsidR="0033629A" w:rsidRDefault="004409CB">
      <w:pPr>
        <w:pStyle w:val="BodyText"/>
      </w:pPr>
      <w:r>
        <w:t xml:space="preserve">To assess multicollinearity, a series of ordinary least squares regression models were estimated with the full, un-imputed data set </w:t>
      </w:r>
      <w:proofErr w:type="gramStart"/>
      <w:r>
        <w:t>( Table</w:t>
      </w:r>
      <w:proofErr w:type="gramEnd"/>
      <w:r>
        <w:t xml:space="preserve"> </w:t>
      </w:r>
      <w:hyperlink w:anchor="viftable">
        <w:r>
          <w:fldChar w:fldCharType="begin"/>
        </w:r>
        <w:r>
          <w:instrText xml:space="preserve"> REF viftable \h</w:instrText>
        </w:r>
        <w:r>
          <w:fldChar w:fldCharType="separate"/>
        </w:r>
        <w:r w:rsidR="00766923">
          <w:rPr>
            <w:b/>
            <w:noProof/>
          </w:rPr>
          <w:t>3</w:t>
        </w:r>
        <w:r>
          <w:fldChar w:fldCharType="end"/>
        </w:r>
      </w:hyperlink>
      <w:r>
        <w:t xml:space="preserve">). The VIF results of Model 1 indicate several variables with high VIFs: collectivism-individualism (8.00), corruption (5.55), left-right orientation (5.54). Several rules of thumb can be used to determine whether these VIFs should cause alarm, with VIFs below 10 typically considered acceptable. However, given the need to reduce standard error bias as much as possible, especially in the key independent </w:t>
      </w:r>
      <w:r>
        <w:lastRenderedPageBreak/>
        <w:t xml:space="preserve">variables of scientific literacy (3.93), it was decided to remove very high VIFs, beginning with removing collectivism-individualism. With this variable removed (Model 2), no change occurred in the corruption </w:t>
      </w:r>
      <w:proofErr w:type="gramStart"/>
      <w:r>
        <w:t>index</w:t>
      </w:r>
      <w:proofErr w:type="gramEnd"/>
      <w:r>
        <w:t xml:space="preserve"> and little occurred within scientific literacy. Model 3 retains collectivism and removes the corruption index. Here, collectivism is still high at 8. Whereas in Model 2 the left-right index was 3.11, in Model 3 it is increased to 5.52. However, </w:t>
      </w:r>
      <w:r w:rsidR="00CB2249">
        <w:t xml:space="preserve">the </w:t>
      </w:r>
      <w:r>
        <w:t xml:space="preserve">scientific literacy between VIF falls to 2.63, which is good. Model 4 removes both corruption and collectivism, finding that all VIFs have decreased again, </w:t>
      </w:r>
      <w:proofErr w:type="gramStart"/>
      <w:r>
        <w:t>in particular scientific</w:t>
      </w:r>
      <w:proofErr w:type="gramEnd"/>
      <w:r>
        <w:t xml:space="preserve"> literacy between. As suspected, the VIFs reflect what is depicted in Figure </w:t>
      </w:r>
      <w:hyperlink w:anchor="allcor">
        <w:r>
          <w:fldChar w:fldCharType="begin"/>
        </w:r>
        <w:r>
          <w:instrText xml:space="preserve"> REF allcor \h</w:instrText>
        </w:r>
        <w:r>
          <w:fldChar w:fldCharType="separate"/>
        </w:r>
        <w:r w:rsidR="00766923">
          <w:rPr>
            <w:b/>
            <w:noProof/>
          </w:rPr>
          <w:t>16</w:t>
        </w:r>
        <w:r>
          <w:fldChar w:fldCharType="end"/>
        </w:r>
      </w:hyperlink>
      <w:r>
        <w:t xml:space="preserve"> - a number of these variables are highly correlated with each other. The multicollinearity analysis allows one to see the impact these high correlations could have on standard errors. It was decided to remove both collectivism-individualism and the corruption index from analyses.</w:t>
      </w:r>
    </w:p>
    <w:p w14:paraId="4B41BB9A" w14:textId="779CFD15" w:rsidR="0033629A" w:rsidRDefault="004409CB">
      <w:pPr>
        <w:pStyle w:val="BodyText"/>
      </w:pPr>
      <w:r>
        <w:t xml:space="preserve">As a final multicollinearity check, the region variable is included in Model 5. The inclusion of this model increases all VIFs once again and here large VIFs can be found for </w:t>
      </w:r>
      <w:proofErr w:type="gramStart"/>
      <w:r>
        <w:t>particular regions</w:t>
      </w:r>
      <w:proofErr w:type="gramEnd"/>
      <w:r>
        <w:t>, especially Western Nations and Latin America/Caribbean/Other. As a single region of this variable cannot be removed because that would entail removing all other data associated with countries in that region, it was decided to remove region entirely from further modeling</w:t>
      </w:r>
      <w:r>
        <w:rPr>
          <w:rStyle w:val="FootnoteReference"/>
        </w:rPr>
        <w:footnoteReference w:id="9"/>
      </w:r>
      <w:r>
        <w:t>.</w:t>
      </w:r>
    </w:p>
    <w:p w14:paraId="693D9701" w14:textId="77777777" w:rsidR="002A4E8A" w:rsidRDefault="002A4E8A" w:rsidP="002A4E8A">
      <w:pPr>
        <w:pStyle w:val="Heading3"/>
      </w:pPr>
      <w:bookmarkStart w:id="102" w:name="_Toc107939124"/>
      <w:r>
        <w:t>Models</w:t>
      </w:r>
      <w:bookmarkEnd w:id="102"/>
    </w:p>
    <w:p w14:paraId="3BB0CB47" w14:textId="43770EE7" w:rsidR="00652338" w:rsidRDefault="002A4E8A" w:rsidP="00652338">
      <w:pPr>
        <w:pStyle w:val="FirstParagraph"/>
        <w:ind w:firstLine="0"/>
      </w:pPr>
      <w:r>
        <w:rPr>
          <w:b/>
          <w:bCs/>
        </w:rPr>
        <w:t>Unconditional Model</w:t>
      </w:r>
      <w:r>
        <w:t xml:space="preserve">. Model results for the initial models are presented in Table </w:t>
      </w:r>
      <w:hyperlink w:anchor="modeltableone">
        <w:r>
          <w:fldChar w:fldCharType="begin"/>
        </w:r>
        <w:r>
          <w:instrText xml:space="preserve"> REF modeltableone \h</w:instrText>
        </w:r>
        <w:r>
          <w:fldChar w:fldCharType="separate"/>
        </w:r>
        <w:r w:rsidR="00766923">
          <w:rPr>
            <w:b/>
            <w:noProof/>
          </w:rPr>
          <w:t>5</w:t>
        </w:r>
        <w:r>
          <w:fldChar w:fldCharType="end"/>
        </w:r>
      </w:hyperlink>
      <w:r>
        <w:t xml:space="preserve">. The first model fit was the unconditional model (Model 0), which serves as a baseline model that contains only time and a random intercept for each country. The intraclass correlation (ICC) </w:t>
      </w:r>
      <w:r>
        <w:lastRenderedPageBreak/>
        <w:t>serves as a measure of the variation of CO</w:t>
      </w:r>
      <w:r>
        <w:rPr>
          <w:vertAlign w:val="subscript"/>
        </w:rPr>
        <w:t>2</w:t>
      </w:r>
      <w:r>
        <w:t xml:space="preserve"> within and between countries after</w:t>
      </w:r>
      <w:r w:rsidR="00652338">
        <w:t xml:space="preserve"> controlling for time (</w:t>
      </w:r>
      <w:hyperlink w:anchor="ref-hoffman2015">
        <w:r w:rsidR="00652338">
          <w:rPr>
            <w:rStyle w:val="Hyperlink"/>
          </w:rPr>
          <w:t>Hoffman, 2015</w:t>
        </w:r>
      </w:hyperlink>
      <w:r w:rsidR="00652338">
        <w:t>). The null model’s ICC of .965 indicates most of the variation (97%) of CO</w:t>
      </w:r>
      <w:r w:rsidR="00652338">
        <w:rPr>
          <w:vertAlign w:val="subscript"/>
        </w:rPr>
        <w:t>2</w:t>
      </w:r>
      <w:r w:rsidR="00652338">
        <w:t xml:space="preserve"> is between countries. Conversely, this also indicates that only about 3% of the variation of CO</w:t>
      </w:r>
      <w:r w:rsidR="00652338">
        <w:rPr>
          <w:vertAlign w:val="subscript"/>
        </w:rPr>
        <w:t>2</w:t>
      </w:r>
      <w:r w:rsidR="00652338">
        <w:t xml:space="preserve"> can be accounted for by within-country variation in CO</w:t>
      </w:r>
      <w:r w:rsidR="00652338">
        <w:rPr>
          <w:vertAlign w:val="subscript"/>
        </w:rPr>
        <w:t>2</w:t>
      </w:r>
      <w:r w:rsidR="00652338">
        <w:t xml:space="preserve"> over time. In other words, CO</w:t>
      </w:r>
      <w:r w:rsidR="00652338">
        <w:rPr>
          <w:vertAlign w:val="subscript"/>
        </w:rPr>
        <w:t>2</w:t>
      </w:r>
      <w:r w:rsidR="00652338">
        <w:t xml:space="preserve"> emissions per capita over the tweleve-year time span of this research do not vary much within each country.</w:t>
      </w:r>
    </w:p>
    <w:p w14:paraId="087339CA" w14:textId="77777777" w:rsidR="00652338" w:rsidRDefault="00652338" w:rsidP="00652338">
      <w:pPr>
        <w:pStyle w:val="BodyText"/>
      </w:pPr>
      <w:r>
        <w:t>Turning to the fixed parameter estimates for Model 0, the intercept indicates the average CO</w:t>
      </w:r>
      <w:r>
        <w:rPr>
          <w:vertAlign w:val="subscript"/>
        </w:rPr>
        <w:t>2</w:t>
      </w:r>
      <w:r>
        <w:t xml:space="preserve"> emissions per capita for the 82 countries included was 8.56 tCO</w:t>
      </w:r>
      <w:r>
        <w:rPr>
          <w:vertAlign w:val="subscript"/>
        </w:rPr>
        <w:t>2</w:t>
      </w:r>
      <w:r>
        <w:t xml:space="preserve"> in 2006. The estimate for time, </w:t>
      </w:r>
      <m:oMath>
        <m:r>
          <w:rPr>
            <w:rFonts w:ascii="Cambria Math" w:hAnsi="Cambria Math"/>
          </w:rPr>
          <m:t>γ</m:t>
        </m:r>
        <m:r>
          <m:rPr>
            <m:sty m:val="p"/>
          </m:rPr>
          <w:rPr>
            <w:rFonts w:ascii="Cambria Math" w:hAnsi="Cambria Math"/>
          </w:rPr>
          <m:t>=-</m:t>
        </m:r>
        <m:r>
          <w:rPr>
            <w:rFonts w:ascii="Cambria Math" w:hAnsi="Cambria Math"/>
          </w:rPr>
          <m:t>.397</m:t>
        </m:r>
      </m:oMath>
      <w:r>
        <w:t>, suggests that every three years, this estimate decreases by about .40 tCO</w:t>
      </w:r>
      <w:r>
        <w:rPr>
          <w:vertAlign w:val="subscript"/>
        </w:rPr>
        <w:t>2</w:t>
      </w:r>
      <w:r>
        <w:t xml:space="preserve">, and this is statistically significant. In terms of the random effects, </w:t>
      </w:r>
      <m:oMath>
        <m:sSup>
          <m:sSupPr>
            <m:ctrlPr>
              <w:rPr>
                <w:rFonts w:ascii="Cambria Math" w:hAnsi="Cambria Math"/>
              </w:rPr>
            </m:ctrlPr>
          </m:sSupPr>
          <m:e>
            <m:r>
              <w:rPr>
                <w:rFonts w:ascii="Cambria Math" w:hAnsi="Cambria Math"/>
              </w:rPr>
              <m:t>σ</m:t>
            </m:r>
          </m:e>
          <m:sup>
            <m:r>
              <w:rPr>
                <w:rFonts w:ascii="Cambria Math" w:hAnsi="Cambria Math"/>
              </w:rPr>
              <m:t>2</m:t>
            </m:r>
          </m:sup>
        </m:sSup>
      </m:oMath>
      <w:r>
        <w:t xml:space="preserve"> represents the within-country variation of CO</w:t>
      </w:r>
      <w:r>
        <w:rPr>
          <w:vertAlign w:val="subscript"/>
        </w:rPr>
        <w:t>2</w:t>
      </w:r>
      <w:r>
        <w:t xml:space="preserve"> per capita over time. </w:t>
      </w:r>
      <m:oMath>
        <m:sSub>
          <m:sSubPr>
            <m:ctrlPr>
              <w:rPr>
                <w:rFonts w:ascii="Cambria Math" w:hAnsi="Cambria Math"/>
              </w:rPr>
            </m:ctrlPr>
          </m:sSubPr>
          <m:e>
            <m:r>
              <w:rPr>
                <w:rFonts w:ascii="Cambria Math" w:hAnsi="Cambria Math"/>
              </w:rPr>
              <m:t>τ</m:t>
            </m:r>
          </m:e>
          <m:sub>
            <m:r>
              <w:rPr>
                <w:rFonts w:ascii="Cambria Math" w:hAnsi="Cambria Math"/>
              </w:rPr>
              <m:t>00</m:t>
            </m:r>
          </m:sub>
        </m:sSub>
      </m:oMath>
      <w:r>
        <w:t xml:space="preserve"> represents the variation in the intercept, which is CO</w:t>
      </w:r>
      <w:r>
        <w:rPr>
          <w:vertAlign w:val="subscript"/>
        </w:rPr>
        <w:t>2</w:t>
      </w:r>
      <w:r>
        <w:t xml:space="preserve"> emissions in 2006. Compared to </w:t>
      </w:r>
      <m:oMath>
        <m:sSub>
          <m:sSubPr>
            <m:ctrlPr>
              <w:rPr>
                <w:rFonts w:ascii="Cambria Math" w:hAnsi="Cambria Math"/>
              </w:rPr>
            </m:ctrlPr>
          </m:sSubPr>
          <m:e>
            <m:r>
              <w:rPr>
                <w:rFonts w:ascii="Cambria Math" w:hAnsi="Cambria Math"/>
              </w:rPr>
              <m:t>τ</m:t>
            </m:r>
          </m:e>
          <m:sub>
            <m:r>
              <w:rPr>
                <w:rFonts w:ascii="Cambria Math" w:hAnsi="Cambria Math"/>
              </w:rPr>
              <m:t>00</m:t>
            </m:r>
          </m:sub>
        </m:sSub>
        <m:r>
          <m:rPr>
            <m:sty m:val="p"/>
          </m:rPr>
          <w:rPr>
            <w:rFonts w:ascii="Cambria Math" w:hAnsi="Cambria Math"/>
          </w:rPr>
          <m:t>=</m:t>
        </m:r>
        <m:r>
          <w:rPr>
            <w:rFonts w:ascii="Cambria Math" w:hAnsi="Cambria Math"/>
          </w:rPr>
          <m:t>6.6</m:t>
        </m:r>
      </m:oMath>
      <w:r>
        <w:t>, the within-country variation (</w:t>
      </w:r>
      <m:oMath>
        <m:r>
          <w:rPr>
            <w:rFonts w:ascii="Cambria Math" w:hAnsi="Cambria Math"/>
          </w:rPr>
          <m:t>σ</m:t>
        </m:r>
        <m:r>
          <m:rPr>
            <m:sty m:val="p"/>
          </m:rPr>
          <w:rPr>
            <w:rFonts w:ascii="Cambria Math" w:hAnsi="Cambria Math"/>
          </w:rPr>
          <m:t>=</m:t>
        </m:r>
        <m:r>
          <w:rPr>
            <w:rFonts w:ascii="Cambria Math" w:hAnsi="Cambria Math"/>
          </w:rPr>
          <m:t>1.25</m:t>
        </m:r>
      </m:oMath>
      <w:r>
        <w:t>) is quite small.</w:t>
      </w:r>
    </w:p>
    <w:p w14:paraId="44A9CEDE" w14:textId="44B9E401" w:rsidR="00652338" w:rsidRDefault="00710174" w:rsidP="00652338">
      <w:pPr>
        <w:pStyle w:val="BodyText"/>
        <w:sectPr w:rsidR="00652338" w:rsidSect="0052325D">
          <w:pgSz w:w="11906" w:h="16838"/>
          <w:pgMar w:top="1440" w:right="1440" w:bottom="1440" w:left="1440" w:header="720" w:footer="720" w:gutter="0"/>
          <w:cols w:space="720"/>
          <w:docGrid w:linePitch="326"/>
        </w:sectPr>
      </w:pPr>
      <m:oMath>
        <m:sSup>
          <m:sSupPr>
            <m:ctrlPr>
              <w:rPr>
                <w:rFonts w:ascii="Cambria Math" w:hAnsi="Cambria Math"/>
              </w:rPr>
            </m:ctrlPr>
          </m:sSupPr>
          <m:e>
            <m:r>
              <w:rPr>
                <w:rFonts w:ascii="Cambria Math" w:hAnsi="Cambria Math"/>
              </w:rPr>
              <m:t>R</m:t>
            </m:r>
          </m:e>
          <m:sup>
            <m:r>
              <w:rPr>
                <w:rFonts w:ascii="Cambria Math" w:hAnsi="Cambria Math"/>
              </w:rPr>
              <m:t>2</m:t>
            </m:r>
          </m:sup>
        </m:sSup>
      </m:oMath>
      <w:r w:rsidR="00652338">
        <w:t xml:space="preserve"> is typically used in linear models to assess the percent of variation in the outcome variable that can be attributed to the predictors. However, </w:t>
      </w:r>
      <m:oMath>
        <m:sSup>
          <m:sSupPr>
            <m:ctrlPr>
              <w:rPr>
                <w:rFonts w:ascii="Cambria Math" w:hAnsi="Cambria Math"/>
              </w:rPr>
            </m:ctrlPr>
          </m:sSupPr>
          <m:e>
            <m:r>
              <w:rPr>
                <w:rFonts w:ascii="Cambria Math" w:hAnsi="Cambria Math"/>
              </w:rPr>
              <m:t>R</m:t>
            </m:r>
          </m:e>
          <m:sup>
            <m:r>
              <w:rPr>
                <w:rFonts w:ascii="Cambria Math" w:hAnsi="Cambria Math"/>
              </w:rPr>
              <m:t>2</m:t>
            </m:r>
          </m:sup>
        </m:sSup>
      </m:oMath>
      <w:r w:rsidR="00652338">
        <w:t xml:space="preserve"> does not have the same meaning for models with nested data and random effects. For multilevel models, several different pseudo-</w:t>
      </w:r>
      <m:oMath>
        <m:sSup>
          <m:sSupPr>
            <m:ctrlPr>
              <w:rPr>
                <w:rFonts w:ascii="Cambria Math" w:hAnsi="Cambria Math"/>
              </w:rPr>
            </m:ctrlPr>
          </m:sSupPr>
          <m:e>
            <m:r>
              <w:rPr>
                <w:rFonts w:ascii="Cambria Math" w:hAnsi="Cambria Math"/>
              </w:rPr>
              <m:t>R</m:t>
            </m:r>
          </m:e>
          <m:sup>
            <m:r>
              <w:rPr>
                <w:rFonts w:ascii="Cambria Math" w:hAnsi="Cambria Math"/>
              </w:rPr>
              <m:t>2</m:t>
            </m:r>
          </m:sup>
        </m:sSup>
      </m:oMath>
      <w:r w:rsidR="00652338">
        <w:t xml:space="preserve"> measures have been developed (</w:t>
      </w:r>
      <w:hyperlink w:anchor="ref-lahuis2014">
        <w:r w:rsidR="00652338">
          <w:rPr>
            <w:rStyle w:val="Hyperlink"/>
          </w:rPr>
          <w:t>LaHuis et al., 2014</w:t>
        </w:r>
      </w:hyperlink>
      <w:r w:rsidR="00652338">
        <w:t xml:space="preserve">; </w:t>
      </w:r>
      <w:hyperlink w:anchor="ref-nakagawa2017">
        <w:r w:rsidR="00652338">
          <w:rPr>
            <w:rStyle w:val="Hyperlink"/>
          </w:rPr>
          <w:t>Nakagawa et al., 2017</w:t>
        </w:r>
      </w:hyperlink>
      <w:r w:rsidR="00652338">
        <w:t xml:space="preserve">; </w:t>
      </w:r>
      <w:hyperlink w:anchor="ref-peugh2010">
        <w:r w:rsidR="00652338">
          <w:rPr>
            <w:rStyle w:val="Hyperlink"/>
          </w:rPr>
          <w:t>Peugh, 2010</w:t>
        </w:r>
      </w:hyperlink>
      <w:r w:rsidR="00652338">
        <w:t xml:space="preserve">). To explain variance in these models, marginal </w:t>
      </w:r>
      <m:oMath>
        <m:sSubSup>
          <m:sSubSupPr>
            <m:ctrlPr>
              <w:rPr>
                <w:rFonts w:ascii="Cambria Math" w:hAnsi="Cambria Math"/>
              </w:rPr>
            </m:ctrlPr>
          </m:sSubSupPr>
          <m:e>
            <m:r>
              <w:rPr>
                <w:rFonts w:ascii="Cambria Math" w:hAnsi="Cambria Math"/>
              </w:rPr>
              <m:t>R</m:t>
            </m:r>
          </m:e>
          <m:sub>
            <m:r>
              <w:rPr>
                <w:rFonts w:ascii="Cambria Math" w:hAnsi="Cambria Math"/>
              </w:rPr>
              <m:t>1</m:t>
            </m:r>
          </m:sub>
          <m:sup>
            <m:r>
              <w:rPr>
                <w:rFonts w:ascii="Cambria Math" w:hAnsi="Cambria Math"/>
              </w:rPr>
              <m:t>2</m:t>
            </m:r>
          </m:sup>
        </m:sSubSup>
      </m:oMath>
      <w:r w:rsidR="00652338">
        <w:t xml:space="preserve"> is estimated using the </w:t>
      </w:r>
      <w:r w:rsidR="00652338">
        <w:rPr>
          <w:rStyle w:val="VerbatimChar"/>
        </w:rPr>
        <w:t>performance</w:t>
      </w:r>
      <w:r w:rsidR="00652338">
        <w:t xml:space="preserve"> R package (</w:t>
      </w:r>
      <w:hyperlink w:anchor="ref-ludecke2021">
        <w:r w:rsidR="00652338">
          <w:rPr>
            <w:rStyle w:val="Hyperlink"/>
          </w:rPr>
          <w:t>Lüdecke et al., 2021</w:t>
        </w:r>
      </w:hyperlink>
      <w:r w:rsidR="00652338">
        <w:t xml:space="preserve">). Marginal </w:t>
      </w:r>
      <m:oMath>
        <m:sSup>
          <m:sSupPr>
            <m:ctrlPr>
              <w:rPr>
                <w:rFonts w:ascii="Cambria Math" w:hAnsi="Cambria Math"/>
              </w:rPr>
            </m:ctrlPr>
          </m:sSupPr>
          <m:e>
            <m:r>
              <w:rPr>
                <w:rFonts w:ascii="Cambria Math" w:hAnsi="Cambria Math"/>
              </w:rPr>
              <m:t>R</m:t>
            </m:r>
          </m:e>
          <m:sup>
            <m:r>
              <w:rPr>
                <w:rFonts w:ascii="Cambria Math" w:hAnsi="Cambria Math"/>
              </w:rPr>
              <m:t>2</m:t>
            </m:r>
          </m:sup>
        </m:sSup>
      </m:oMath>
      <w:r w:rsidR="00652338">
        <w:t xml:space="preserve"> represents the proportion of variance explained by the fixed effects of the model. A related metric, conditional </w:t>
      </w:r>
      <m:oMath>
        <m:sSup>
          <m:sSupPr>
            <m:ctrlPr>
              <w:rPr>
                <w:rFonts w:ascii="Cambria Math" w:hAnsi="Cambria Math"/>
              </w:rPr>
            </m:ctrlPr>
          </m:sSupPr>
          <m:e>
            <m:r>
              <w:rPr>
                <w:rFonts w:ascii="Cambria Math" w:hAnsi="Cambria Math"/>
              </w:rPr>
              <m:t>R</m:t>
            </m:r>
          </m:e>
          <m:sup>
            <m:r>
              <w:rPr>
                <w:rFonts w:ascii="Cambria Math" w:hAnsi="Cambria Math"/>
              </w:rPr>
              <m:t>2</m:t>
            </m:r>
          </m:sup>
        </m:sSup>
      </m:oMath>
      <w:r w:rsidR="00652338">
        <w:t xml:space="preserve">, explains the variance accounted for by both the fixed and random effects. However, as the random effects </w:t>
      </w:r>
      <w:proofErr w:type="gramStart"/>
      <w:r w:rsidR="00652338">
        <w:t>more or less stay</w:t>
      </w:r>
      <w:proofErr w:type="gramEnd"/>
      <w:r w:rsidR="00652338">
        <w:t xml:space="preserve"> the same for the following models, conditional </w:t>
      </w:r>
      <m:oMath>
        <m:sSup>
          <m:sSupPr>
            <m:ctrlPr>
              <w:rPr>
                <w:rFonts w:ascii="Cambria Math" w:hAnsi="Cambria Math"/>
              </w:rPr>
            </m:ctrlPr>
          </m:sSupPr>
          <m:e>
            <m:r>
              <w:rPr>
                <w:rFonts w:ascii="Cambria Math" w:hAnsi="Cambria Math"/>
              </w:rPr>
              <m:t>R</m:t>
            </m:r>
          </m:e>
          <m:sup>
            <m:r>
              <w:rPr>
                <w:rFonts w:ascii="Cambria Math" w:hAnsi="Cambria Math"/>
              </w:rPr>
              <m:t>2</m:t>
            </m:r>
          </m:sup>
        </m:sSup>
      </m:oMath>
      <w:r w:rsidR="00652338">
        <w:t xml:space="preserve"> (which is .97 or higher) does not provide much useful information in the way of model explanatory </w:t>
      </w:r>
    </w:p>
    <w:p w14:paraId="653BB6C0" w14:textId="6A773A29" w:rsidR="0033629A" w:rsidRDefault="004409CB" w:rsidP="00652338">
      <w:pPr>
        <w:spacing w:before="0" w:after="200" w:line="240" w:lineRule="auto"/>
        <w:ind w:firstLine="0"/>
      </w:pPr>
      <w:bookmarkStart w:id="103" w:name="_Toc105675507"/>
      <w:r>
        <w:rPr>
          <w:b/>
        </w:rPr>
        <w:lastRenderedPageBreak/>
        <w:t xml:space="preserve">Table </w:t>
      </w:r>
      <w:bookmarkStart w:id="104" w:name="viftable"/>
      <w:r>
        <w:rPr>
          <w:b/>
        </w:rPr>
        <w:fldChar w:fldCharType="begin"/>
      </w:r>
      <w:r>
        <w:rPr>
          <w:b/>
        </w:rPr>
        <w:instrText>SEQ tab \* Arabic</w:instrText>
      </w:r>
      <w:r>
        <w:rPr>
          <w:b/>
        </w:rPr>
        <w:fldChar w:fldCharType="separate"/>
      </w:r>
      <w:r w:rsidR="00766923">
        <w:rPr>
          <w:b/>
          <w:noProof/>
        </w:rPr>
        <w:t>3</w:t>
      </w:r>
      <w:r>
        <w:rPr>
          <w:b/>
        </w:rPr>
        <w:fldChar w:fldCharType="end"/>
      </w:r>
      <w:bookmarkEnd w:id="104"/>
      <w:r>
        <w:t>: Variance inflation factors for independent variables.</w:t>
      </w:r>
      <w:bookmarkEnd w:id="103"/>
    </w:p>
    <w:tbl>
      <w:tblPr>
        <w:tblW w:w="0" w:type="auto"/>
        <w:tblLayout w:type="fixed"/>
        <w:tblLook w:val="0420" w:firstRow="1" w:lastRow="0" w:firstColumn="0" w:lastColumn="0" w:noHBand="0" w:noVBand="1"/>
      </w:tblPr>
      <w:tblGrid>
        <w:gridCol w:w="3263"/>
        <w:gridCol w:w="2031"/>
        <w:gridCol w:w="2031"/>
        <w:gridCol w:w="2031"/>
        <w:gridCol w:w="2031"/>
        <w:gridCol w:w="2031"/>
      </w:tblGrid>
      <w:tr w:rsidR="009E3575" w:rsidRPr="007E5827" w14:paraId="1DA9276B" w14:textId="77777777" w:rsidTr="00B32B4D">
        <w:trPr>
          <w:cantSplit/>
          <w:trHeight w:val="1021"/>
          <w:tblHeader/>
        </w:trPr>
        <w:tc>
          <w:tcPr>
            <w:tcW w:w="3263"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20667A4"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Variables</w:t>
            </w:r>
          </w:p>
        </w:tc>
        <w:tc>
          <w:tcPr>
            <w:tcW w:w="2031"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AC2FD6E"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Model 1: All Continuous Variables</w:t>
            </w:r>
          </w:p>
        </w:tc>
        <w:tc>
          <w:tcPr>
            <w:tcW w:w="2031"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58152BC"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Model 2: w/o Collectivism</w:t>
            </w:r>
          </w:p>
        </w:tc>
        <w:tc>
          <w:tcPr>
            <w:tcW w:w="2031"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D4FADD1"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Model 3: w/o Corruption</w:t>
            </w:r>
          </w:p>
        </w:tc>
        <w:tc>
          <w:tcPr>
            <w:tcW w:w="2031"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4CC1B9F"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Model 4: w/o Corruption and Collectivism</w:t>
            </w:r>
          </w:p>
        </w:tc>
        <w:tc>
          <w:tcPr>
            <w:tcW w:w="2031"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54C5D6E"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Model 5: w/Region</w:t>
            </w:r>
          </w:p>
        </w:tc>
      </w:tr>
      <w:tr w:rsidR="009E3575" w:rsidRPr="007E5827" w14:paraId="0530A2F1" w14:textId="77777777" w:rsidTr="00B32B4D">
        <w:trPr>
          <w:cantSplit/>
          <w:trHeight w:val="327"/>
        </w:trPr>
        <w:tc>
          <w:tcPr>
            <w:tcW w:w="3263" w:type="dxa"/>
            <w:shd w:val="clear" w:color="auto" w:fill="FFFFFF"/>
            <w:tcMar>
              <w:top w:w="0" w:type="dxa"/>
              <w:left w:w="0" w:type="dxa"/>
              <w:bottom w:w="0" w:type="dxa"/>
              <w:right w:w="0" w:type="dxa"/>
            </w:tcMar>
            <w:vAlign w:val="center"/>
          </w:tcPr>
          <w:p w14:paraId="7D5A0145"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Scientific Literacy (within)</w:t>
            </w:r>
          </w:p>
        </w:tc>
        <w:tc>
          <w:tcPr>
            <w:tcW w:w="2031" w:type="dxa"/>
            <w:shd w:val="clear" w:color="auto" w:fill="FFFFFF"/>
            <w:tcMar>
              <w:top w:w="0" w:type="dxa"/>
              <w:left w:w="0" w:type="dxa"/>
              <w:bottom w:w="0" w:type="dxa"/>
              <w:right w:w="0" w:type="dxa"/>
            </w:tcMar>
            <w:vAlign w:val="center"/>
          </w:tcPr>
          <w:p w14:paraId="00EFA643"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1.07</w:t>
            </w:r>
          </w:p>
        </w:tc>
        <w:tc>
          <w:tcPr>
            <w:tcW w:w="2031" w:type="dxa"/>
            <w:shd w:val="clear" w:color="auto" w:fill="FFFFFF"/>
            <w:tcMar>
              <w:top w:w="0" w:type="dxa"/>
              <w:left w:w="0" w:type="dxa"/>
              <w:bottom w:w="0" w:type="dxa"/>
              <w:right w:w="0" w:type="dxa"/>
            </w:tcMar>
            <w:vAlign w:val="center"/>
          </w:tcPr>
          <w:p w14:paraId="04CA04ED"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1.06</w:t>
            </w:r>
          </w:p>
        </w:tc>
        <w:tc>
          <w:tcPr>
            <w:tcW w:w="2031" w:type="dxa"/>
            <w:shd w:val="clear" w:color="auto" w:fill="FFFFFF"/>
            <w:tcMar>
              <w:top w:w="0" w:type="dxa"/>
              <w:left w:w="0" w:type="dxa"/>
              <w:bottom w:w="0" w:type="dxa"/>
              <w:right w:w="0" w:type="dxa"/>
            </w:tcMar>
            <w:vAlign w:val="center"/>
          </w:tcPr>
          <w:p w14:paraId="552BAE7F"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1.06</w:t>
            </w:r>
          </w:p>
        </w:tc>
        <w:tc>
          <w:tcPr>
            <w:tcW w:w="2031" w:type="dxa"/>
            <w:shd w:val="clear" w:color="auto" w:fill="FFFFFF"/>
            <w:tcMar>
              <w:top w:w="0" w:type="dxa"/>
              <w:left w:w="0" w:type="dxa"/>
              <w:bottom w:w="0" w:type="dxa"/>
              <w:right w:w="0" w:type="dxa"/>
            </w:tcMar>
            <w:vAlign w:val="center"/>
          </w:tcPr>
          <w:p w14:paraId="07D21E88"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1.06</w:t>
            </w:r>
          </w:p>
        </w:tc>
        <w:tc>
          <w:tcPr>
            <w:tcW w:w="2031" w:type="dxa"/>
            <w:shd w:val="clear" w:color="auto" w:fill="FFFFFF"/>
            <w:tcMar>
              <w:top w:w="0" w:type="dxa"/>
              <w:left w:w="0" w:type="dxa"/>
              <w:bottom w:w="0" w:type="dxa"/>
              <w:right w:w="0" w:type="dxa"/>
            </w:tcMar>
            <w:vAlign w:val="center"/>
          </w:tcPr>
          <w:p w14:paraId="22E9FA36"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1.09</w:t>
            </w:r>
          </w:p>
        </w:tc>
      </w:tr>
      <w:tr w:rsidR="009E3575" w:rsidRPr="007E5827" w14:paraId="0A2E2861" w14:textId="77777777" w:rsidTr="00B32B4D">
        <w:trPr>
          <w:cantSplit/>
          <w:trHeight w:val="347"/>
        </w:trPr>
        <w:tc>
          <w:tcPr>
            <w:tcW w:w="3263" w:type="dxa"/>
            <w:shd w:val="clear" w:color="auto" w:fill="FFFFFF"/>
            <w:tcMar>
              <w:top w:w="0" w:type="dxa"/>
              <w:left w:w="0" w:type="dxa"/>
              <w:bottom w:w="0" w:type="dxa"/>
              <w:right w:w="0" w:type="dxa"/>
            </w:tcMar>
            <w:vAlign w:val="center"/>
          </w:tcPr>
          <w:p w14:paraId="35E7A94E"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Scientific Literacy (between)</w:t>
            </w:r>
          </w:p>
        </w:tc>
        <w:tc>
          <w:tcPr>
            <w:tcW w:w="2031" w:type="dxa"/>
            <w:shd w:val="clear" w:color="auto" w:fill="FFFFFF"/>
            <w:tcMar>
              <w:top w:w="0" w:type="dxa"/>
              <w:left w:w="0" w:type="dxa"/>
              <w:bottom w:w="0" w:type="dxa"/>
              <w:right w:w="0" w:type="dxa"/>
            </w:tcMar>
            <w:vAlign w:val="center"/>
          </w:tcPr>
          <w:p w14:paraId="1356E031"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3.93</w:t>
            </w:r>
          </w:p>
        </w:tc>
        <w:tc>
          <w:tcPr>
            <w:tcW w:w="2031" w:type="dxa"/>
            <w:shd w:val="clear" w:color="auto" w:fill="FFFFFF"/>
            <w:tcMar>
              <w:top w:w="0" w:type="dxa"/>
              <w:left w:w="0" w:type="dxa"/>
              <w:bottom w:w="0" w:type="dxa"/>
              <w:right w:w="0" w:type="dxa"/>
            </w:tcMar>
            <w:vAlign w:val="center"/>
          </w:tcPr>
          <w:p w14:paraId="06E37CE3"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3.73</w:t>
            </w:r>
          </w:p>
        </w:tc>
        <w:tc>
          <w:tcPr>
            <w:tcW w:w="2031" w:type="dxa"/>
            <w:shd w:val="clear" w:color="auto" w:fill="FFFFFF"/>
            <w:tcMar>
              <w:top w:w="0" w:type="dxa"/>
              <w:left w:w="0" w:type="dxa"/>
              <w:bottom w:w="0" w:type="dxa"/>
              <w:right w:w="0" w:type="dxa"/>
            </w:tcMar>
            <w:vAlign w:val="center"/>
          </w:tcPr>
          <w:p w14:paraId="603AD612"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2.63</w:t>
            </w:r>
          </w:p>
        </w:tc>
        <w:tc>
          <w:tcPr>
            <w:tcW w:w="2031" w:type="dxa"/>
            <w:shd w:val="clear" w:color="auto" w:fill="FFFFFF"/>
            <w:tcMar>
              <w:top w:w="0" w:type="dxa"/>
              <w:left w:w="0" w:type="dxa"/>
              <w:bottom w:w="0" w:type="dxa"/>
              <w:right w:w="0" w:type="dxa"/>
            </w:tcMar>
            <w:vAlign w:val="center"/>
          </w:tcPr>
          <w:p w14:paraId="4C3366ED"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2.46</w:t>
            </w:r>
          </w:p>
        </w:tc>
        <w:tc>
          <w:tcPr>
            <w:tcW w:w="2031" w:type="dxa"/>
            <w:shd w:val="clear" w:color="auto" w:fill="FFFFFF"/>
            <w:tcMar>
              <w:top w:w="0" w:type="dxa"/>
              <w:left w:w="0" w:type="dxa"/>
              <w:bottom w:w="0" w:type="dxa"/>
              <w:right w:w="0" w:type="dxa"/>
            </w:tcMar>
            <w:vAlign w:val="center"/>
          </w:tcPr>
          <w:p w14:paraId="6B006BA2"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3.97</w:t>
            </w:r>
          </w:p>
        </w:tc>
      </w:tr>
      <w:tr w:rsidR="009E3575" w:rsidRPr="007E5827" w14:paraId="42D35FC2" w14:textId="77777777" w:rsidTr="00B32B4D">
        <w:trPr>
          <w:cantSplit/>
          <w:trHeight w:val="347"/>
        </w:trPr>
        <w:tc>
          <w:tcPr>
            <w:tcW w:w="3263" w:type="dxa"/>
            <w:shd w:val="clear" w:color="auto" w:fill="FFFFFF"/>
            <w:tcMar>
              <w:top w:w="0" w:type="dxa"/>
              <w:left w:w="0" w:type="dxa"/>
              <w:bottom w:w="0" w:type="dxa"/>
              <w:right w:w="0" w:type="dxa"/>
            </w:tcMar>
            <w:vAlign w:val="center"/>
          </w:tcPr>
          <w:p w14:paraId="27CFD4E6"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Population</w:t>
            </w:r>
          </w:p>
        </w:tc>
        <w:tc>
          <w:tcPr>
            <w:tcW w:w="2031" w:type="dxa"/>
            <w:shd w:val="clear" w:color="auto" w:fill="FFFFFF"/>
            <w:tcMar>
              <w:top w:w="0" w:type="dxa"/>
              <w:left w:w="0" w:type="dxa"/>
              <w:bottom w:w="0" w:type="dxa"/>
              <w:right w:w="0" w:type="dxa"/>
            </w:tcMar>
            <w:vAlign w:val="center"/>
          </w:tcPr>
          <w:p w14:paraId="6B275637"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1.68</w:t>
            </w:r>
          </w:p>
        </w:tc>
        <w:tc>
          <w:tcPr>
            <w:tcW w:w="2031" w:type="dxa"/>
            <w:shd w:val="clear" w:color="auto" w:fill="FFFFFF"/>
            <w:tcMar>
              <w:top w:w="0" w:type="dxa"/>
              <w:left w:w="0" w:type="dxa"/>
              <w:bottom w:w="0" w:type="dxa"/>
              <w:right w:w="0" w:type="dxa"/>
            </w:tcMar>
            <w:vAlign w:val="center"/>
          </w:tcPr>
          <w:p w14:paraId="5F2373F0"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1.67</w:t>
            </w:r>
          </w:p>
        </w:tc>
        <w:tc>
          <w:tcPr>
            <w:tcW w:w="2031" w:type="dxa"/>
            <w:shd w:val="clear" w:color="auto" w:fill="FFFFFF"/>
            <w:tcMar>
              <w:top w:w="0" w:type="dxa"/>
              <w:left w:w="0" w:type="dxa"/>
              <w:bottom w:w="0" w:type="dxa"/>
              <w:right w:w="0" w:type="dxa"/>
            </w:tcMar>
            <w:vAlign w:val="center"/>
          </w:tcPr>
          <w:p w14:paraId="6E23B70B"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1.65</w:t>
            </w:r>
          </w:p>
        </w:tc>
        <w:tc>
          <w:tcPr>
            <w:tcW w:w="2031" w:type="dxa"/>
            <w:shd w:val="clear" w:color="auto" w:fill="FFFFFF"/>
            <w:tcMar>
              <w:top w:w="0" w:type="dxa"/>
              <w:left w:w="0" w:type="dxa"/>
              <w:bottom w:w="0" w:type="dxa"/>
              <w:right w:w="0" w:type="dxa"/>
            </w:tcMar>
            <w:vAlign w:val="center"/>
          </w:tcPr>
          <w:p w14:paraId="6B3220AC"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1.64</w:t>
            </w:r>
          </w:p>
        </w:tc>
        <w:tc>
          <w:tcPr>
            <w:tcW w:w="2031" w:type="dxa"/>
            <w:shd w:val="clear" w:color="auto" w:fill="FFFFFF"/>
            <w:tcMar>
              <w:top w:w="0" w:type="dxa"/>
              <w:left w:w="0" w:type="dxa"/>
              <w:bottom w:w="0" w:type="dxa"/>
              <w:right w:w="0" w:type="dxa"/>
            </w:tcMar>
            <w:vAlign w:val="center"/>
          </w:tcPr>
          <w:p w14:paraId="7D1C541A"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1.81</w:t>
            </w:r>
          </w:p>
        </w:tc>
      </w:tr>
      <w:tr w:rsidR="009E3575" w:rsidRPr="007E5827" w14:paraId="42E48833" w14:textId="77777777" w:rsidTr="00B32B4D">
        <w:trPr>
          <w:cantSplit/>
          <w:trHeight w:val="327"/>
        </w:trPr>
        <w:tc>
          <w:tcPr>
            <w:tcW w:w="3263" w:type="dxa"/>
            <w:shd w:val="clear" w:color="auto" w:fill="FFFFFF"/>
            <w:tcMar>
              <w:top w:w="0" w:type="dxa"/>
              <w:left w:w="0" w:type="dxa"/>
              <w:bottom w:w="0" w:type="dxa"/>
              <w:right w:w="0" w:type="dxa"/>
            </w:tcMar>
            <w:vAlign w:val="center"/>
          </w:tcPr>
          <w:p w14:paraId="420D681F"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GDP-PPP</w:t>
            </w:r>
          </w:p>
        </w:tc>
        <w:tc>
          <w:tcPr>
            <w:tcW w:w="2031" w:type="dxa"/>
            <w:shd w:val="clear" w:color="auto" w:fill="FFFFFF"/>
            <w:tcMar>
              <w:top w:w="0" w:type="dxa"/>
              <w:left w:w="0" w:type="dxa"/>
              <w:bottom w:w="0" w:type="dxa"/>
              <w:right w:w="0" w:type="dxa"/>
            </w:tcMar>
            <w:vAlign w:val="center"/>
          </w:tcPr>
          <w:p w14:paraId="17605484"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2.81</w:t>
            </w:r>
          </w:p>
        </w:tc>
        <w:tc>
          <w:tcPr>
            <w:tcW w:w="2031" w:type="dxa"/>
            <w:shd w:val="clear" w:color="auto" w:fill="FFFFFF"/>
            <w:tcMar>
              <w:top w:w="0" w:type="dxa"/>
              <w:left w:w="0" w:type="dxa"/>
              <w:bottom w:w="0" w:type="dxa"/>
              <w:right w:w="0" w:type="dxa"/>
            </w:tcMar>
            <w:vAlign w:val="center"/>
          </w:tcPr>
          <w:p w14:paraId="65970AF7"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2.77</w:t>
            </w:r>
          </w:p>
        </w:tc>
        <w:tc>
          <w:tcPr>
            <w:tcW w:w="2031" w:type="dxa"/>
            <w:shd w:val="clear" w:color="auto" w:fill="FFFFFF"/>
            <w:tcMar>
              <w:top w:w="0" w:type="dxa"/>
              <w:left w:w="0" w:type="dxa"/>
              <w:bottom w:w="0" w:type="dxa"/>
              <w:right w:w="0" w:type="dxa"/>
            </w:tcMar>
            <w:vAlign w:val="center"/>
          </w:tcPr>
          <w:p w14:paraId="6E8C9CB7"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2.50</w:t>
            </w:r>
          </w:p>
        </w:tc>
        <w:tc>
          <w:tcPr>
            <w:tcW w:w="2031" w:type="dxa"/>
            <w:shd w:val="clear" w:color="auto" w:fill="FFFFFF"/>
            <w:tcMar>
              <w:top w:w="0" w:type="dxa"/>
              <w:left w:w="0" w:type="dxa"/>
              <w:bottom w:w="0" w:type="dxa"/>
              <w:right w:w="0" w:type="dxa"/>
            </w:tcMar>
            <w:vAlign w:val="center"/>
          </w:tcPr>
          <w:p w14:paraId="23650368"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2.47</w:t>
            </w:r>
          </w:p>
        </w:tc>
        <w:tc>
          <w:tcPr>
            <w:tcW w:w="2031" w:type="dxa"/>
            <w:shd w:val="clear" w:color="auto" w:fill="FFFFFF"/>
            <w:tcMar>
              <w:top w:w="0" w:type="dxa"/>
              <w:left w:w="0" w:type="dxa"/>
              <w:bottom w:w="0" w:type="dxa"/>
              <w:right w:w="0" w:type="dxa"/>
            </w:tcMar>
            <w:vAlign w:val="center"/>
          </w:tcPr>
          <w:p w14:paraId="7540680C"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3.65</w:t>
            </w:r>
          </w:p>
        </w:tc>
      </w:tr>
      <w:tr w:rsidR="009E3575" w:rsidRPr="007E5827" w14:paraId="4D97D937" w14:textId="77777777" w:rsidTr="00B32B4D">
        <w:trPr>
          <w:cantSplit/>
          <w:trHeight w:val="347"/>
        </w:trPr>
        <w:tc>
          <w:tcPr>
            <w:tcW w:w="3263" w:type="dxa"/>
            <w:shd w:val="clear" w:color="auto" w:fill="FFFFFF"/>
            <w:tcMar>
              <w:top w:w="0" w:type="dxa"/>
              <w:left w:w="0" w:type="dxa"/>
              <w:bottom w:w="0" w:type="dxa"/>
              <w:right w:w="0" w:type="dxa"/>
            </w:tcMar>
            <w:vAlign w:val="center"/>
          </w:tcPr>
          <w:p w14:paraId="5449DF79"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Exports</w:t>
            </w:r>
          </w:p>
        </w:tc>
        <w:tc>
          <w:tcPr>
            <w:tcW w:w="2031" w:type="dxa"/>
            <w:shd w:val="clear" w:color="auto" w:fill="FFFFFF"/>
            <w:tcMar>
              <w:top w:w="0" w:type="dxa"/>
              <w:left w:w="0" w:type="dxa"/>
              <w:bottom w:w="0" w:type="dxa"/>
              <w:right w:w="0" w:type="dxa"/>
            </w:tcMar>
            <w:vAlign w:val="center"/>
          </w:tcPr>
          <w:p w14:paraId="310F01B8"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1.73</w:t>
            </w:r>
          </w:p>
        </w:tc>
        <w:tc>
          <w:tcPr>
            <w:tcW w:w="2031" w:type="dxa"/>
            <w:shd w:val="clear" w:color="auto" w:fill="FFFFFF"/>
            <w:tcMar>
              <w:top w:w="0" w:type="dxa"/>
              <w:left w:w="0" w:type="dxa"/>
              <w:bottom w:w="0" w:type="dxa"/>
              <w:right w:w="0" w:type="dxa"/>
            </w:tcMar>
            <w:vAlign w:val="center"/>
          </w:tcPr>
          <w:p w14:paraId="27C1C4BD"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1.67</w:t>
            </w:r>
          </w:p>
        </w:tc>
        <w:tc>
          <w:tcPr>
            <w:tcW w:w="2031" w:type="dxa"/>
            <w:shd w:val="clear" w:color="auto" w:fill="FFFFFF"/>
            <w:tcMar>
              <w:top w:w="0" w:type="dxa"/>
              <w:left w:w="0" w:type="dxa"/>
              <w:bottom w:w="0" w:type="dxa"/>
              <w:right w:w="0" w:type="dxa"/>
            </w:tcMar>
            <w:vAlign w:val="center"/>
          </w:tcPr>
          <w:p w14:paraId="4FA558C8"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1.73</w:t>
            </w:r>
          </w:p>
        </w:tc>
        <w:tc>
          <w:tcPr>
            <w:tcW w:w="2031" w:type="dxa"/>
            <w:shd w:val="clear" w:color="auto" w:fill="FFFFFF"/>
            <w:tcMar>
              <w:top w:w="0" w:type="dxa"/>
              <w:left w:w="0" w:type="dxa"/>
              <w:bottom w:w="0" w:type="dxa"/>
              <w:right w:w="0" w:type="dxa"/>
            </w:tcMar>
            <w:vAlign w:val="center"/>
          </w:tcPr>
          <w:p w14:paraId="154BCD7F"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1.67</w:t>
            </w:r>
          </w:p>
        </w:tc>
        <w:tc>
          <w:tcPr>
            <w:tcW w:w="2031" w:type="dxa"/>
            <w:shd w:val="clear" w:color="auto" w:fill="FFFFFF"/>
            <w:tcMar>
              <w:top w:w="0" w:type="dxa"/>
              <w:left w:w="0" w:type="dxa"/>
              <w:bottom w:w="0" w:type="dxa"/>
              <w:right w:w="0" w:type="dxa"/>
            </w:tcMar>
            <w:vAlign w:val="center"/>
          </w:tcPr>
          <w:p w14:paraId="181736A3"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1.98</w:t>
            </w:r>
          </w:p>
        </w:tc>
      </w:tr>
      <w:tr w:rsidR="009E3575" w:rsidRPr="007E5827" w14:paraId="46DC6C02" w14:textId="77777777" w:rsidTr="00B32B4D">
        <w:trPr>
          <w:cantSplit/>
          <w:trHeight w:val="327"/>
        </w:trPr>
        <w:tc>
          <w:tcPr>
            <w:tcW w:w="3263" w:type="dxa"/>
            <w:shd w:val="clear" w:color="auto" w:fill="FFFFFF"/>
            <w:tcMar>
              <w:top w:w="0" w:type="dxa"/>
              <w:left w:w="0" w:type="dxa"/>
              <w:bottom w:w="0" w:type="dxa"/>
              <w:right w:w="0" w:type="dxa"/>
            </w:tcMar>
            <w:vAlign w:val="center"/>
          </w:tcPr>
          <w:p w14:paraId="5574F031"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Manufacturing</w:t>
            </w:r>
          </w:p>
        </w:tc>
        <w:tc>
          <w:tcPr>
            <w:tcW w:w="2031" w:type="dxa"/>
            <w:shd w:val="clear" w:color="auto" w:fill="FFFFFF"/>
            <w:tcMar>
              <w:top w:w="0" w:type="dxa"/>
              <w:left w:w="0" w:type="dxa"/>
              <w:bottom w:w="0" w:type="dxa"/>
              <w:right w:w="0" w:type="dxa"/>
            </w:tcMar>
            <w:vAlign w:val="center"/>
          </w:tcPr>
          <w:p w14:paraId="022F6025"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1.41</w:t>
            </w:r>
          </w:p>
        </w:tc>
        <w:tc>
          <w:tcPr>
            <w:tcW w:w="2031" w:type="dxa"/>
            <w:shd w:val="clear" w:color="auto" w:fill="FFFFFF"/>
            <w:tcMar>
              <w:top w:w="0" w:type="dxa"/>
              <w:left w:w="0" w:type="dxa"/>
              <w:bottom w:w="0" w:type="dxa"/>
              <w:right w:w="0" w:type="dxa"/>
            </w:tcMar>
            <w:vAlign w:val="center"/>
          </w:tcPr>
          <w:p w14:paraId="6E8824D5"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1.25</w:t>
            </w:r>
          </w:p>
        </w:tc>
        <w:tc>
          <w:tcPr>
            <w:tcW w:w="2031" w:type="dxa"/>
            <w:shd w:val="clear" w:color="auto" w:fill="FFFFFF"/>
            <w:tcMar>
              <w:top w:w="0" w:type="dxa"/>
              <w:left w:w="0" w:type="dxa"/>
              <w:bottom w:w="0" w:type="dxa"/>
              <w:right w:w="0" w:type="dxa"/>
            </w:tcMar>
            <w:vAlign w:val="center"/>
          </w:tcPr>
          <w:p w14:paraId="77FA04D3"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1.38</w:t>
            </w:r>
          </w:p>
        </w:tc>
        <w:tc>
          <w:tcPr>
            <w:tcW w:w="2031" w:type="dxa"/>
            <w:shd w:val="clear" w:color="auto" w:fill="FFFFFF"/>
            <w:tcMar>
              <w:top w:w="0" w:type="dxa"/>
              <w:left w:w="0" w:type="dxa"/>
              <w:bottom w:w="0" w:type="dxa"/>
              <w:right w:w="0" w:type="dxa"/>
            </w:tcMar>
            <w:vAlign w:val="center"/>
          </w:tcPr>
          <w:p w14:paraId="4D9816C0"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1.22</w:t>
            </w:r>
          </w:p>
        </w:tc>
        <w:tc>
          <w:tcPr>
            <w:tcW w:w="2031" w:type="dxa"/>
            <w:shd w:val="clear" w:color="auto" w:fill="FFFFFF"/>
            <w:tcMar>
              <w:top w:w="0" w:type="dxa"/>
              <w:left w:w="0" w:type="dxa"/>
              <w:bottom w:w="0" w:type="dxa"/>
              <w:right w:w="0" w:type="dxa"/>
            </w:tcMar>
            <w:vAlign w:val="center"/>
          </w:tcPr>
          <w:p w14:paraId="5EADA694"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1.82</w:t>
            </w:r>
          </w:p>
        </w:tc>
      </w:tr>
      <w:tr w:rsidR="009E3575" w:rsidRPr="007E5827" w14:paraId="743D0020" w14:textId="77777777" w:rsidTr="00B32B4D">
        <w:trPr>
          <w:cantSplit/>
          <w:trHeight w:val="347"/>
        </w:trPr>
        <w:tc>
          <w:tcPr>
            <w:tcW w:w="3263" w:type="dxa"/>
            <w:shd w:val="clear" w:color="auto" w:fill="FFFFFF"/>
            <w:tcMar>
              <w:top w:w="0" w:type="dxa"/>
              <w:left w:w="0" w:type="dxa"/>
              <w:bottom w:w="0" w:type="dxa"/>
              <w:right w:w="0" w:type="dxa"/>
            </w:tcMar>
            <w:vAlign w:val="center"/>
          </w:tcPr>
          <w:p w14:paraId="11286651"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Gini</w:t>
            </w:r>
          </w:p>
        </w:tc>
        <w:tc>
          <w:tcPr>
            <w:tcW w:w="2031" w:type="dxa"/>
            <w:shd w:val="clear" w:color="auto" w:fill="FFFFFF"/>
            <w:tcMar>
              <w:top w:w="0" w:type="dxa"/>
              <w:left w:w="0" w:type="dxa"/>
              <w:bottom w:w="0" w:type="dxa"/>
              <w:right w:w="0" w:type="dxa"/>
            </w:tcMar>
            <w:vAlign w:val="center"/>
          </w:tcPr>
          <w:p w14:paraId="55E9DFE1"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3.67</w:t>
            </w:r>
          </w:p>
        </w:tc>
        <w:tc>
          <w:tcPr>
            <w:tcW w:w="2031" w:type="dxa"/>
            <w:shd w:val="clear" w:color="auto" w:fill="FFFFFF"/>
            <w:tcMar>
              <w:top w:w="0" w:type="dxa"/>
              <w:left w:w="0" w:type="dxa"/>
              <w:bottom w:w="0" w:type="dxa"/>
              <w:right w:w="0" w:type="dxa"/>
            </w:tcMar>
            <w:vAlign w:val="center"/>
          </w:tcPr>
          <w:p w14:paraId="083EAC42"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2.87</w:t>
            </w:r>
          </w:p>
        </w:tc>
        <w:tc>
          <w:tcPr>
            <w:tcW w:w="2031" w:type="dxa"/>
            <w:shd w:val="clear" w:color="auto" w:fill="FFFFFF"/>
            <w:tcMar>
              <w:top w:w="0" w:type="dxa"/>
              <w:left w:w="0" w:type="dxa"/>
              <w:bottom w:w="0" w:type="dxa"/>
              <w:right w:w="0" w:type="dxa"/>
            </w:tcMar>
            <w:vAlign w:val="center"/>
          </w:tcPr>
          <w:p w14:paraId="67631A92"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3.41</w:t>
            </w:r>
          </w:p>
        </w:tc>
        <w:tc>
          <w:tcPr>
            <w:tcW w:w="2031" w:type="dxa"/>
            <w:shd w:val="clear" w:color="auto" w:fill="FFFFFF"/>
            <w:tcMar>
              <w:top w:w="0" w:type="dxa"/>
              <w:left w:w="0" w:type="dxa"/>
              <w:bottom w:w="0" w:type="dxa"/>
              <w:right w:w="0" w:type="dxa"/>
            </w:tcMar>
            <w:vAlign w:val="center"/>
          </w:tcPr>
          <w:p w14:paraId="5FFF2E86"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2.58</w:t>
            </w:r>
          </w:p>
        </w:tc>
        <w:tc>
          <w:tcPr>
            <w:tcW w:w="2031" w:type="dxa"/>
            <w:shd w:val="clear" w:color="auto" w:fill="FFFFFF"/>
            <w:tcMar>
              <w:top w:w="0" w:type="dxa"/>
              <w:left w:w="0" w:type="dxa"/>
              <w:bottom w:w="0" w:type="dxa"/>
              <w:right w:w="0" w:type="dxa"/>
            </w:tcMar>
            <w:vAlign w:val="center"/>
          </w:tcPr>
          <w:p w14:paraId="5BA8C290"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5.95</w:t>
            </w:r>
          </w:p>
        </w:tc>
      </w:tr>
      <w:tr w:rsidR="009E3575" w:rsidRPr="007E5827" w14:paraId="53C138A5" w14:textId="77777777" w:rsidTr="00B32B4D">
        <w:trPr>
          <w:cantSplit/>
          <w:trHeight w:val="327"/>
        </w:trPr>
        <w:tc>
          <w:tcPr>
            <w:tcW w:w="3263" w:type="dxa"/>
            <w:shd w:val="clear" w:color="auto" w:fill="FFFFFF"/>
            <w:tcMar>
              <w:top w:w="0" w:type="dxa"/>
              <w:left w:w="0" w:type="dxa"/>
              <w:bottom w:w="0" w:type="dxa"/>
              <w:right w:w="0" w:type="dxa"/>
            </w:tcMar>
            <w:vAlign w:val="center"/>
          </w:tcPr>
          <w:p w14:paraId="633AC874"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Left-Right Orientation</w:t>
            </w:r>
          </w:p>
        </w:tc>
        <w:tc>
          <w:tcPr>
            <w:tcW w:w="2031" w:type="dxa"/>
            <w:shd w:val="clear" w:color="auto" w:fill="FFFFFF"/>
            <w:tcMar>
              <w:top w:w="0" w:type="dxa"/>
              <w:left w:w="0" w:type="dxa"/>
              <w:bottom w:w="0" w:type="dxa"/>
              <w:right w:w="0" w:type="dxa"/>
            </w:tcMar>
            <w:vAlign w:val="center"/>
          </w:tcPr>
          <w:p w14:paraId="6128FBA8"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5.54</w:t>
            </w:r>
          </w:p>
        </w:tc>
        <w:tc>
          <w:tcPr>
            <w:tcW w:w="2031" w:type="dxa"/>
            <w:shd w:val="clear" w:color="auto" w:fill="FFFFFF"/>
            <w:tcMar>
              <w:top w:w="0" w:type="dxa"/>
              <w:left w:w="0" w:type="dxa"/>
              <w:bottom w:w="0" w:type="dxa"/>
              <w:right w:w="0" w:type="dxa"/>
            </w:tcMar>
            <w:vAlign w:val="center"/>
          </w:tcPr>
          <w:p w14:paraId="7C4B3CFC"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3.11</w:t>
            </w:r>
          </w:p>
        </w:tc>
        <w:tc>
          <w:tcPr>
            <w:tcW w:w="2031" w:type="dxa"/>
            <w:shd w:val="clear" w:color="auto" w:fill="FFFFFF"/>
            <w:tcMar>
              <w:top w:w="0" w:type="dxa"/>
              <w:left w:w="0" w:type="dxa"/>
              <w:bottom w:w="0" w:type="dxa"/>
              <w:right w:w="0" w:type="dxa"/>
            </w:tcMar>
            <w:vAlign w:val="center"/>
          </w:tcPr>
          <w:p w14:paraId="6D6F9165"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5.52</w:t>
            </w:r>
          </w:p>
        </w:tc>
        <w:tc>
          <w:tcPr>
            <w:tcW w:w="2031" w:type="dxa"/>
            <w:shd w:val="clear" w:color="auto" w:fill="FFFFFF"/>
            <w:tcMar>
              <w:top w:w="0" w:type="dxa"/>
              <w:left w:w="0" w:type="dxa"/>
              <w:bottom w:w="0" w:type="dxa"/>
              <w:right w:w="0" w:type="dxa"/>
            </w:tcMar>
            <w:vAlign w:val="center"/>
          </w:tcPr>
          <w:p w14:paraId="6C29C7A6"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3.10</w:t>
            </w:r>
          </w:p>
        </w:tc>
        <w:tc>
          <w:tcPr>
            <w:tcW w:w="2031" w:type="dxa"/>
            <w:shd w:val="clear" w:color="auto" w:fill="FFFFFF"/>
            <w:tcMar>
              <w:top w:w="0" w:type="dxa"/>
              <w:left w:w="0" w:type="dxa"/>
              <w:bottom w:w="0" w:type="dxa"/>
              <w:right w:w="0" w:type="dxa"/>
            </w:tcMar>
            <w:vAlign w:val="center"/>
          </w:tcPr>
          <w:p w14:paraId="19DD242B"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4.20</w:t>
            </w:r>
          </w:p>
        </w:tc>
      </w:tr>
      <w:tr w:rsidR="009E3575" w:rsidRPr="007E5827" w14:paraId="248A85EC" w14:textId="77777777" w:rsidTr="00B32B4D">
        <w:trPr>
          <w:cantSplit/>
          <w:trHeight w:val="347"/>
        </w:trPr>
        <w:tc>
          <w:tcPr>
            <w:tcW w:w="3263" w:type="dxa"/>
            <w:shd w:val="clear" w:color="auto" w:fill="FFFFFF"/>
            <w:tcMar>
              <w:top w:w="0" w:type="dxa"/>
              <w:left w:w="0" w:type="dxa"/>
              <w:bottom w:w="0" w:type="dxa"/>
              <w:right w:w="0" w:type="dxa"/>
            </w:tcMar>
            <w:vAlign w:val="center"/>
          </w:tcPr>
          <w:p w14:paraId="36A70688"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Democracy Index</w:t>
            </w:r>
          </w:p>
        </w:tc>
        <w:tc>
          <w:tcPr>
            <w:tcW w:w="2031" w:type="dxa"/>
            <w:shd w:val="clear" w:color="auto" w:fill="FFFFFF"/>
            <w:tcMar>
              <w:top w:w="0" w:type="dxa"/>
              <w:left w:w="0" w:type="dxa"/>
              <w:bottom w:w="0" w:type="dxa"/>
              <w:right w:w="0" w:type="dxa"/>
            </w:tcMar>
            <w:vAlign w:val="center"/>
          </w:tcPr>
          <w:p w14:paraId="40B25B29"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3.09</w:t>
            </w:r>
          </w:p>
        </w:tc>
        <w:tc>
          <w:tcPr>
            <w:tcW w:w="2031" w:type="dxa"/>
            <w:shd w:val="clear" w:color="auto" w:fill="FFFFFF"/>
            <w:tcMar>
              <w:top w:w="0" w:type="dxa"/>
              <w:left w:w="0" w:type="dxa"/>
              <w:bottom w:w="0" w:type="dxa"/>
              <w:right w:w="0" w:type="dxa"/>
            </w:tcMar>
            <w:vAlign w:val="center"/>
          </w:tcPr>
          <w:p w14:paraId="155FFFE0"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3.06</w:t>
            </w:r>
          </w:p>
        </w:tc>
        <w:tc>
          <w:tcPr>
            <w:tcW w:w="2031" w:type="dxa"/>
            <w:shd w:val="clear" w:color="auto" w:fill="FFFFFF"/>
            <w:tcMar>
              <w:top w:w="0" w:type="dxa"/>
              <w:left w:w="0" w:type="dxa"/>
              <w:bottom w:w="0" w:type="dxa"/>
              <w:right w:w="0" w:type="dxa"/>
            </w:tcMar>
            <w:vAlign w:val="center"/>
          </w:tcPr>
          <w:p w14:paraId="1EE7EEE5"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2.20</w:t>
            </w:r>
          </w:p>
        </w:tc>
        <w:tc>
          <w:tcPr>
            <w:tcW w:w="2031" w:type="dxa"/>
            <w:shd w:val="clear" w:color="auto" w:fill="FFFFFF"/>
            <w:tcMar>
              <w:top w:w="0" w:type="dxa"/>
              <w:left w:w="0" w:type="dxa"/>
              <w:bottom w:w="0" w:type="dxa"/>
              <w:right w:w="0" w:type="dxa"/>
            </w:tcMar>
            <w:vAlign w:val="center"/>
          </w:tcPr>
          <w:p w14:paraId="42C49BB6"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2.18</w:t>
            </w:r>
          </w:p>
        </w:tc>
        <w:tc>
          <w:tcPr>
            <w:tcW w:w="2031" w:type="dxa"/>
            <w:shd w:val="clear" w:color="auto" w:fill="FFFFFF"/>
            <w:tcMar>
              <w:top w:w="0" w:type="dxa"/>
              <w:left w:w="0" w:type="dxa"/>
              <w:bottom w:w="0" w:type="dxa"/>
              <w:right w:w="0" w:type="dxa"/>
            </w:tcMar>
            <w:vAlign w:val="center"/>
          </w:tcPr>
          <w:p w14:paraId="0B966AC4"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3.17</w:t>
            </w:r>
          </w:p>
        </w:tc>
      </w:tr>
      <w:tr w:rsidR="009E3575" w:rsidRPr="007E5827" w14:paraId="6BACD3C2" w14:textId="77777777" w:rsidTr="00B32B4D">
        <w:trPr>
          <w:cantSplit/>
          <w:trHeight w:val="327"/>
        </w:trPr>
        <w:tc>
          <w:tcPr>
            <w:tcW w:w="3263" w:type="dxa"/>
            <w:shd w:val="clear" w:color="auto" w:fill="FFFFFF"/>
            <w:tcMar>
              <w:top w:w="0" w:type="dxa"/>
              <w:left w:w="0" w:type="dxa"/>
              <w:bottom w:w="0" w:type="dxa"/>
              <w:right w:w="0" w:type="dxa"/>
            </w:tcMar>
            <w:vAlign w:val="center"/>
          </w:tcPr>
          <w:p w14:paraId="7140625B"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Corruption Index</w:t>
            </w:r>
          </w:p>
        </w:tc>
        <w:tc>
          <w:tcPr>
            <w:tcW w:w="2031" w:type="dxa"/>
            <w:shd w:val="clear" w:color="auto" w:fill="FFFFFF"/>
            <w:tcMar>
              <w:top w:w="0" w:type="dxa"/>
              <w:left w:w="0" w:type="dxa"/>
              <w:bottom w:w="0" w:type="dxa"/>
              <w:right w:w="0" w:type="dxa"/>
            </w:tcMar>
            <w:vAlign w:val="center"/>
          </w:tcPr>
          <w:p w14:paraId="4E0A4308"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5.55</w:t>
            </w:r>
          </w:p>
        </w:tc>
        <w:tc>
          <w:tcPr>
            <w:tcW w:w="2031" w:type="dxa"/>
            <w:shd w:val="clear" w:color="auto" w:fill="FFFFFF"/>
            <w:tcMar>
              <w:top w:w="0" w:type="dxa"/>
              <w:left w:w="0" w:type="dxa"/>
              <w:bottom w:w="0" w:type="dxa"/>
              <w:right w:w="0" w:type="dxa"/>
            </w:tcMar>
            <w:vAlign w:val="center"/>
          </w:tcPr>
          <w:p w14:paraId="7ABA5B0D"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5.55</w:t>
            </w:r>
          </w:p>
        </w:tc>
        <w:tc>
          <w:tcPr>
            <w:tcW w:w="2031" w:type="dxa"/>
            <w:shd w:val="clear" w:color="auto" w:fill="FFFFFF"/>
            <w:tcMar>
              <w:top w:w="0" w:type="dxa"/>
              <w:left w:w="0" w:type="dxa"/>
              <w:bottom w:w="0" w:type="dxa"/>
              <w:right w:w="0" w:type="dxa"/>
            </w:tcMar>
            <w:vAlign w:val="center"/>
          </w:tcPr>
          <w:p w14:paraId="5A43F70F"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7C69E5AB"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059CCE8E" w14:textId="77777777" w:rsidR="009E3575" w:rsidRPr="007E5827" w:rsidRDefault="009E3575" w:rsidP="00EE536E">
            <w:pPr>
              <w:keepNext/>
              <w:spacing w:before="0" w:after="0" w:line="240" w:lineRule="auto"/>
              <w:ind w:left="100" w:right="100" w:firstLine="0"/>
              <w:jc w:val="right"/>
              <w:rPr>
                <w:sz w:val="20"/>
                <w:szCs w:val="20"/>
              </w:rPr>
            </w:pPr>
          </w:p>
        </w:tc>
      </w:tr>
      <w:tr w:rsidR="009E3575" w:rsidRPr="007E5827" w14:paraId="28E884A8" w14:textId="77777777" w:rsidTr="00B32B4D">
        <w:trPr>
          <w:cantSplit/>
          <w:trHeight w:val="347"/>
        </w:trPr>
        <w:tc>
          <w:tcPr>
            <w:tcW w:w="3263" w:type="dxa"/>
            <w:shd w:val="clear" w:color="auto" w:fill="FFFFFF"/>
            <w:tcMar>
              <w:top w:w="0" w:type="dxa"/>
              <w:left w:w="0" w:type="dxa"/>
              <w:bottom w:w="0" w:type="dxa"/>
              <w:right w:w="0" w:type="dxa"/>
            </w:tcMar>
            <w:vAlign w:val="center"/>
          </w:tcPr>
          <w:p w14:paraId="60449FD4"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Net Enrollment</w:t>
            </w:r>
          </w:p>
        </w:tc>
        <w:tc>
          <w:tcPr>
            <w:tcW w:w="2031" w:type="dxa"/>
            <w:shd w:val="clear" w:color="auto" w:fill="FFFFFF"/>
            <w:tcMar>
              <w:top w:w="0" w:type="dxa"/>
              <w:left w:w="0" w:type="dxa"/>
              <w:bottom w:w="0" w:type="dxa"/>
              <w:right w:w="0" w:type="dxa"/>
            </w:tcMar>
            <w:vAlign w:val="center"/>
          </w:tcPr>
          <w:p w14:paraId="43B466A6"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2.20</w:t>
            </w:r>
          </w:p>
        </w:tc>
        <w:tc>
          <w:tcPr>
            <w:tcW w:w="2031" w:type="dxa"/>
            <w:shd w:val="clear" w:color="auto" w:fill="FFFFFF"/>
            <w:tcMar>
              <w:top w:w="0" w:type="dxa"/>
              <w:left w:w="0" w:type="dxa"/>
              <w:bottom w:w="0" w:type="dxa"/>
              <w:right w:w="0" w:type="dxa"/>
            </w:tcMar>
            <w:vAlign w:val="center"/>
          </w:tcPr>
          <w:p w14:paraId="7AD2D7F3"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2.19</w:t>
            </w:r>
          </w:p>
        </w:tc>
        <w:tc>
          <w:tcPr>
            <w:tcW w:w="2031" w:type="dxa"/>
            <w:shd w:val="clear" w:color="auto" w:fill="FFFFFF"/>
            <w:tcMar>
              <w:top w:w="0" w:type="dxa"/>
              <w:left w:w="0" w:type="dxa"/>
              <w:bottom w:w="0" w:type="dxa"/>
              <w:right w:w="0" w:type="dxa"/>
            </w:tcMar>
            <w:vAlign w:val="center"/>
          </w:tcPr>
          <w:p w14:paraId="05B389D4"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2.09</w:t>
            </w:r>
          </w:p>
        </w:tc>
        <w:tc>
          <w:tcPr>
            <w:tcW w:w="2031" w:type="dxa"/>
            <w:shd w:val="clear" w:color="auto" w:fill="FFFFFF"/>
            <w:tcMar>
              <w:top w:w="0" w:type="dxa"/>
              <w:left w:w="0" w:type="dxa"/>
              <w:bottom w:w="0" w:type="dxa"/>
              <w:right w:w="0" w:type="dxa"/>
            </w:tcMar>
            <w:vAlign w:val="center"/>
          </w:tcPr>
          <w:p w14:paraId="53BB49EE"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2.07</w:t>
            </w:r>
          </w:p>
        </w:tc>
        <w:tc>
          <w:tcPr>
            <w:tcW w:w="2031" w:type="dxa"/>
            <w:shd w:val="clear" w:color="auto" w:fill="FFFFFF"/>
            <w:tcMar>
              <w:top w:w="0" w:type="dxa"/>
              <w:left w:w="0" w:type="dxa"/>
              <w:bottom w:w="0" w:type="dxa"/>
              <w:right w:w="0" w:type="dxa"/>
            </w:tcMar>
            <w:vAlign w:val="center"/>
          </w:tcPr>
          <w:p w14:paraId="531006FA"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2.28</w:t>
            </w:r>
          </w:p>
        </w:tc>
      </w:tr>
      <w:tr w:rsidR="009E3575" w:rsidRPr="007E5827" w14:paraId="551F997C" w14:textId="77777777" w:rsidTr="00B32B4D">
        <w:trPr>
          <w:cantSplit/>
          <w:trHeight w:val="347"/>
        </w:trPr>
        <w:tc>
          <w:tcPr>
            <w:tcW w:w="3263" w:type="dxa"/>
            <w:shd w:val="clear" w:color="auto" w:fill="FFFFFF"/>
            <w:tcMar>
              <w:top w:w="0" w:type="dxa"/>
              <w:left w:w="0" w:type="dxa"/>
              <w:bottom w:w="0" w:type="dxa"/>
              <w:right w:w="0" w:type="dxa"/>
            </w:tcMar>
            <w:vAlign w:val="center"/>
          </w:tcPr>
          <w:p w14:paraId="7B35E0B8"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Collectivism-Individualism</w:t>
            </w:r>
          </w:p>
        </w:tc>
        <w:tc>
          <w:tcPr>
            <w:tcW w:w="2031" w:type="dxa"/>
            <w:shd w:val="clear" w:color="auto" w:fill="FFFFFF"/>
            <w:tcMar>
              <w:top w:w="0" w:type="dxa"/>
              <w:left w:w="0" w:type="dxa"/>
              <w:bottom w:w="0" w:type="dxa"/>
              <w:right w:w="0" w:type="dxa"/>
            </w:tcMar>
            <w:vAlign w:val="center"/>
          </w:tcPr>
          <w:p w14:paraId="5CFADBD1"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8.00</w:t>
            </w:r>
          </w:p>
        </w:tc>
        <w:tc>
          <w:tcPr>
            <w:tcW w:w="2031" w:type="dxa"/>
            <w:shd w:val="clear" w:color="auto" w:fill="FFFFFF"/>
            <w:tcMar>
              <w:top w:w="0" w:type="dxa"/>
              <w:left w:w="0" w:type="dxa"/>
              <w:bottom w:w="0" w:type="dxa"/>
              <w:right w:w="0" w:type="dxa"/>
            </w:tcMar>
            <w:vAlign w:val="center"/>
          </w:tcPr>
          <w:p w14:paraId="1ECFCD33"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24FFE310"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8.00</w:t>
            </w:r>
          </w:p>
        </w:tc>
        <w:tc>
          <w:tcPr>
            <w:tcW w:w="2031" w:type="dxa"/>
            <w:shd w:val="clear" w:color="auto" w:fill="FFFFFF"/>
            <w:tcMar>
              <w:top w:w="0" w:type="dxa"/>
              <w:left w:w="0" w:type="dxa"/>
              <w:bottom w:w="0" w:type="dxa"/>
              <w:right w:w="0" w:type="dxa"/>
            </w:tcMar>
            <w:vAlign w:val="center"/>
          </w:tcPr>
          <w:p w14:paraId="07B6A5DF"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05061350" w14:textId="77777777" w:rsidR="009E3575" w:rsidRPr="007E5827" w:rsidRDefault="009E3575" w:rsidP="00EE536E">
            <w:pPr>
              <w:keepNext/>
              <w:spacing w:before="0" w:after="0" w:line="240" w:lineRule="auto"/>
              <w:ind w:left="100" w:right="100" w:firstLine="0"/>
              <w:jc w:val="right"/>
              <w:rPr>
                <w:sz w:val="20"/>
                <w:szCs w:val="20"/>
              </w:rPr>
            </w:pPr>
          </w:p>
        </w:tc>
      </w:tr>
      <w:tr w:rsidR="009E3575" w:rsidRPr="007E5827" w14:paraId="1A7B6223" w14:textId="77777777" w:rsidTr="00B32B4D">
        <w:trPr>
          <w:cantSplit/>
          <w:trHeight w:val="327"/>
        </w:trPr>
        <w:tc>
          <w:tcPr>
            <w:tcW w:w="3263" w:type="dxa"/>
            <w:shd w:val="clear" w:color="auto" w:fill="FFFFFF"/>
            <w:tcMar>
              <w:top w:w="0" w:type="dxa"/>
              <w:left w:w="0" w:type="dxa"/>
              <w:bottom w:w="0" w:type="dxa"/>
              <w:right w:w="0" w:type="dxa"/>
            </w:tcMar>
            <w:vAlign w:val="center"/>
          </w:tcPr>
          <w:p w14:paraId="38501771"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Latin America/ Caribbean/ Other</w:t>
            </w:r>
          </w:p>
        </w:tc>
        <w:tc>
          <w:tcPr>
            <w:tcW w:w="2031" w:type="dxa"/>
            <w:shd w:val="clear" w:color="auto" w:fill="FFFFFF"/>
            <w:tcMar>
              <w:top w:w="0" w:type="dxa"/>
              <w:left w:w="0" w:type="dxa"/>
              <w:bottom w:w="0" w:type="dxa"/>
              <w:right w:w="0" w:type="dxa"/>
            </w:tcMar>
            <w:vAlign w:val="center"/>
          </w:tcPr>
          <w:p w14:paraId="73A02B61"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62AD2691"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27AD6C1C"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43192312"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36634C85"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5.36</w:t>
            </w:r>
          </w:p>
        </w:tc>
      </w:tr>
      <w:tr w:rsidR="009E3575" w:rsidRPr="007E5827" w14:paraId="2B507FC4" w14:textId="77777777" w:rsidTr="00B32B4D">
        <w:trPr>
          <w:cantSplit/>
          <w:trHeight w:val="347"/>
        </w:trPr>
        <w:tc>
          <w:tcPr>
            <w:tcW w:w="3263" w:type="dxa"/>
            <w:shd w:val="clear" w:color="auto" w:fill="FFFFFF"/>
            <w:tcMar>
              <w:top w:w="0" w:type="dxa"/>
              <w:left w:w="0" w:type="dxa"/>
              <w:bottom w:w="0" w:type="dxa"/>
              <w:right w:w="0" w:type="dxa"/>
            </w:tcMar>
            <w:vAlign w:val="center"/>
          </w:tcPr>
          <w:p w14:paraId="0A7087B3"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Western Nations</w:t>
            </w:r>
          </w:p>
        </w:tc>
        <w:tc>
          <w:tcPr>
            <w:tcW w:w="2031" w:type="dxa"/>
            <w:shd w:val="clear" w:color="auto" w:fill="FFFFFF"/>
            <w:tcMar>
              <w:top w:w="0" w:type="dxa"/>
              <w:left w:w="0" w:type="dxa"/>
              <w:bottom w:w="0" w:type="dxa"/>
              <w:right w:w="0" w:type="dxa"/>
            </w:tcMar>
            <w:vAlign w:val="center"/>
          </w:tcPr>
          <w:p w14:paraId="1A128D3C"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54C0FAE8"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0A667465"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178BFF91"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70D80BFB"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10.62</w:t>
            </w:r>
          </w:p>
        </w:tc>
      </w:tr>
      <w:tr w:rsidR="009E3575" w:rsidRPr="007E5827" w14:paraId="514C9642" w14:textId="77777777" w:rsidTr="00B32B4D">
        <w:trPr>
          <w:cantSplit/>
          <w:trHeight w:val="327"/>
        </w:trPr>
        <w:tc>
          <w:tcPr>
            <w:tcW w:w="3263" w:type="dxa"/>
            <w:shd w:val="clear" w:color="auto" w:fill="FFFFFF"/>
            <w:tcMar>
              <w:top w:w="0" w:type="dxa"/>
              <w:left w:w="0" w:type="dxa"/>
              <w:bottom w:w="0" w:type="dxa"/>
              <w:right w:w="0" w:type="dxa"/>
            </w:tcMar>
            <w:vAlign w:val="center"/>
          </w:tcPr>
          <w:p w14:paraId="4A42451D"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Eastern Europe</w:t>
            </w:r>
          </w:p>
        </w:tc>
        <w:tc>
          <w:tcPr>
            <w:tcW w:w="2031" w:type="dxa"/>
            <w:shd w:val="clear" w:color="auto" w:fill="FFFFFF"/>
            <w:tcMar>
              <w:top w:w="0" w:type="dxa"/>
              <w:left w:w="0" w:type="dxa"/>
              <w:bottom w:w="0" w:type="dxa"/>
              <w:right w:w="0" w:type="dxa"/>
            </w:tcMar>
            <w:vAlign w:val="center"/>
          </w:tcPr>
          <w:p w14:paraId="6B624B3D"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34ED5DF8"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113AC1D9"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162B51A4"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16E7AFB6"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4.01</w:t>
            </w:r>
          </w:p>
        </w:tc>
      </w:tr>
      <w:tr w:rsidR="009E3575" w:rsidRPr="007E5827" w14:paraId="1004EF48" w14:textId="77777777" w:rsidTr="00B32B4D">
        <w:trPr>
          <w:cantSplit/>
          <w:trHeight w:val="347"/>
        </w:trPr>
        <w:tc>
          <w:tcPr>
            <w:tcW w:w="3263" w:type="dxa"/>
            <w:shd w:val="clear" w:color="auto" w:fill="FFFFFF"/>
            <w:tcMar>
              <w:top w:w="0" w:type="dxa"/>
              <w:left w:w="0" w:type="dxa"/>
              <w:bottom w:w="0" w:type="dxa"/>
              <w:right w:w="0" w:type="dxa"/>
            </w:tcMar>
            <w:vAlign w:val="center"/>
          </w:tcPr>
          <w:p w14:paraId="022D4436"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Eastern Asia</w:t>
            </w:r>
          </w:p>
        </w:tc>
        <w:tc>
          <w:tcPr>
            <w:tcW w:w="2031" w:type="dxa"/>
            <w:shd w:val="clear" w:color="auto" w:fill="FFFFFF"/>
            <w:tcMar>
              <w:top w:w="0" w:type="dxa"/>
              <w:left w:w="0" w:type="dxa"/>
              <w:bottom w:w="0" w:type="dxa"/>
              <w:right w:w="0" w:type="dxa"/>
            </w:tcMar>
            <w:vAlign w:val="center"/>
          </w:tcPr>
          <w:p w14:paraId="1D9E841E"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653F24BA"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4270DC65"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7EC3ECF3"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3D661373"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3.33</w:t>
            </w:r>
          </w:p>
        </w:tc>
      </w:tr>
      <w:tr w:rsidR="009E3575" w:rsidRPr="007E5827" w14:paraId="27000C76" w14:textId="77777777" w:rsidTr="00B32B4D">
        <w:trPr>
          <w:cantSplit/>
          <w:trHeight w:val="327"/>
        </w:trPr>
        <w:tc>
          <w:tcPr>
            <w:tcW w:w="3263" w:type="dxa"/>
            <w:shd w:val="clear" w:color="auto" w:fill="FFFFFF"/>
            <w:tcMar>
              <w:top w:w="0" w:type="dxa"/>
              <w:left w:w="0" w:type="dxa"/>
              <w:bottom w:w="0" w:type="dxa"/>
              <w:right w:w="0" w:type="dxa"/>
            </w:tcMar>
            <w:vAlign w:val="center"/>
          </w:tcPr>
          <w:p w14:paraId="285C6218"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Southern Europe</w:t>
            </w:r>
          </w:p>
        </w:tc>
        <w:tc>
          <w:tcPr>
            <w:tcW w:w="2031" w:type="dxa"/>
            <w:shd w:val="clear" w:color="auto" w:fill="FFFFFF"/>
            <w:tcMar>
              <w:top w:w="0" w:type="dxa"/>
              <w:left w:w="0" w:type="dxa"/>
              <w:bottom w:w="0" w:type="dxa"/>
              <w:right w:w="0" w:type="dxa"/>
            </w:tcMar>
            <w:vAlign w:val="center"/>
          </w:tcPr>
          <w:p w14:paraId="7B2BEA63"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5ECBD698"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4CF45E28"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55CD15AC"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37C54BF7"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4.85</w:t>
            </w:r>
          </w:p>
        </w:tc>
      </w:tr>
      <w:tr w:rsidR="009E3575" w:rsidRPr="007E5827" w14:paraId="369C38C9" w14:textId="77777777" w:rsidTr="00B32B4D">
        <w:trPr>
          <w:cantSplit/>
          <w:trHeight w:val="347"/>
        </w:trPr>
        <w:tc>
          <w:tcPr>
            <w:tcW w:w="3263" w:type="dxa"/>
            <w:shd w:val="clear" w:color="auto" w:fill="FFFFFF"/>
            <w:tcMar>
              <w:top w:w="0" w:type="dxa"/>
              <w:left w:w="0" w:type="dxa"/>
              <w:bottom w:w="0" w:type="dxa"/>
              <w:right w:w="0" w:type="dxa"/>
            </w:tcMar>
            <w:vAlign w:val="center"/>
          </w:tcPr>
          <w:p w14:paraId="47EADA84"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South-Eastern Asia</w:t>
            </w:r>
          </w:p>
        </w:tc>
        <w:tc>
          <w:tcPr>
            <w:tcW w:w="2031" w:type="dxa"/>
            <w:shd w:val="clear" w:color="auto" w:fill="FFFFFF"/>
            <w:tcMar>
              <w:top w:w="0" w:type="dxa"/>
              <w:left w:w="0" w:type="dxa"/>
              <w:bottom w:w="0" w:type="dxa"/>
              <w:right w:w="0" w:type="dxa"/>
            </w:tcMar>
            <w:vAlign w:val="center"/>
          </w:tcPr>
          <w:p w14:paraId="17CDD704"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4EBE7EDB"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7D157F8E"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3CCB6F49"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shd w:val="clear" w:color="auto" w:fill="FFFFFF"/>
            <w:tcMar>
              <w:top w:w="0" w:type="dxa"/>
              <w:left w:w="0" w:type="dxa"/>
              <w:bottom w:w="0" w:type="dxa"/>
              <w:right w:w="0" w:type="dxa"/>
            </w:tcMar>
            <w:vAlign w:val="center"/>
          </w:tcPr>
          <w:p w14:paraId="6379115E"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2.73</w:t>
            </w:r>
          </w:p>
        </w:tc>
      </w:tr>
      <w:tr w:rsidR="009E3575" w:rsidRPr="007E5827" w14:paraId="4CEB1B94" w14:textId="77777777" w:rsidTr="00B32B4D">
        <w:trPr>
          <w:cantSplit/>
          <w:trHeight w:val="347"/>
        </w:trPr>
        <w:tc>
          <w:tcPr>
            <w:tcW w:w="3263" w:type="dxa"/>
            <w:tcBorders>
              <w:bottom w:val="single" w:sz="16" w:space="0" w:color="666666"/>
            </w:tcBorders>
            <w:shd w:val="clear" w:color="auto" w:fill="FFFFFF"/>
            <w:tcMar>
              <w:top w:w="0" w:type="dxa"/>
              <w:left w:w="0" w:type="dxa"/>
              <w:bottom w:w="0" w:type="dxa"/>
              <w:right w:w="0" w:type="dxa"/>
            </w:tcMar>
            <w:vAlign w:val="center"/>
          </w:tcPr>
          <w:p w14:paraId="223B579B" w14:textId="77777777" w:rsidR="009E3575" w:rsidRPr="007E5827" w:rsidRDefault="009E3575" w:rsidP="00EE536E">
            <w:pPr>
              <w:keepNext/>
              <w:spacing w:before="0" w:after="0" w:line="240" w:lineRule="auto"/>
              <w:ind w:left="100" w:right="100" w:firstLine="0"/>
              <w:rPr>
                <w:sz w:val="20"/>
                <w:szCs w:val="20"/>
              </w:rPr>
            </w:pPr>
            <w:r w:rsidRPr="007E5827">
              <w:rPr>
                <w:rFonts w:eastAsia="Arial"/>
                <w:color w:val="000000"/>
                <w:sz w:val="20"/>
                <w:szCs w:val="20"/>
              </w:rPr>
              <w:t>Central Asia</w:t>
            </w:r>
          </w:p>
        </w:tc>
        <w:tc>
          <w:tcPr>
            <w:tcW w:w="2031" w:type="dxa"/>
            <w:tcBorders>
              <w:bottom w:val="single" w:sz="16" w:space="0" w:color="666666"/>
            </w:tcBorders>
            <w:shd w:val="clear" w:color="auto" w:fill="FFFFFF"/>
            <w:tcMar>
              <w:top w:w="0" w:type="dxa"/>
              <w:left w:w="0" w:type="dxa"/>
              <w:bottom w:w="0" w:type="dxa"/>
              <w:right w:w="0" w:type="dxa"/>
            </w:tcMar>
            <w:vAlign w:val="center"/>
          </w:tcPr>
          <w:p w14:paraId="599C8DF4"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tcBorders>
              <w:bottom w:val="single" w:sz="16" w:space="0" w:color="666666"/>
            </w:tcBorders>
            <w:shd w:val="clear" w:color="auto" w:fill="FFFFFF"/>
            <w:tcMar>
              <w:top w:w="0" w:type="dxa"/>
              <w:left w:w="0" w:type="dxa"/>
              <w:bottom w:w="0" w:type="dxa"/>
              <w:right w:w="0" w:type="dxa"/>
            </w:tcMar>
            <w:vAlign w:val="center"/>
          </w:tcPr>
          <w:p w14:paraId="65FEAFC4"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tcBorders>
              <w:bottom w:val="single" w:sz="16" w:space="0" w:color="666666"/>
            </w:tcBorders>
            <w:shd w:val="clear" w:color="auto" w:fill="FFFFFF"/>
            <w:tcMar>
              <w:top w:w="0" w:type="dxa"/>
              <w:left w:w="0" w:type="dxa"/>
              <w:bottom w:w="0" w:type="dxa"/>
              <w:right w:w="0" w:type="dxa"/>
            </w:tcMar>
            <w:vAlign w:val="center"/>
          </w:tcPr>
          <w:p w14:paraId="76A9E225"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tcBorders>
              <w:bottom w:val="single" w:sz="16" w:space="0" w:color="666666"/>
            </w:tcBorders>
            <w:shd w:val="clear" w:color="auto" w:fill="FFFFFF"/>
            <w:tcMar>
              <w:top w:w="0" w:type="dxa"/>
              <w:left w:w="0" w:type="dxa"/>
              <w:bottom w:w="0" w:type="dxa"/>
              <w:right w:w="0" w:type="dxa"/>
            </w:tcMar>
            <w:vAlign w:val="center"/>
          </w:tcPr>
          <w:p w14:paraId="6E558D84" w14:textId="77777777" w:rsidR="009E3575" w:rsidRPr="007E5827" w:rsidRDefault="009E3575" w:rsidP="00EE536E">
            <w:pPr>
              <w:keepNext/>
              <w:spacing w:before="0" w:after="0" w:line="240" w:lineRule="auto"/>
              <w:ind w:left="100" w:right="100" w:firstLine="0"/>
              <w:jc w:val="right"/>
              <w:rPr>
                <w:sz w:val="20"/>
                <w:szCs w:val="20"/>
              </w:rPr>
            </w:pPr>
          </w:p>
        </w:tc>
        <w:tc>
          <w:tcPr>
            <w:tcW w:w="2031" w:type="dxa"/>
            <w:tcBorders>
              <w:bottom w:val="single" w:sz="16" w:space="0" w:color="666666"/>
            </w:tcBorders>
            <w:shd w:val="clear" w:color="auto" w:fill="FFFFFF"/>
            <w:tcMar>
              <w:top w:w="0" w:type="dxa"/>
              <w:left w:w="0" w:type="dxa"/>
              <w:bottom w:w="0" w:type="dxa"/>
              <w:right w:w="0" w:type="dxa"/>
            </w:tcMar>
            <w:vAlign w:val="center"/>
          </w:tcPr>
          <w:p w14:paraId="6322E654" w14:textId="77777777" w:rsidR="009E3575" w:rsidRPr="007E5827" w:rsidRDefault="009E3575" w:rsidP="00EE536E">
            <w:pPr>
              <w:keepNext/>
              <w:spacing w:before="0" w:after="0" w:line="240" w:lineRule="auto"/>
              <w:ind w:left="100" w:right="100" w:firstLine="0"/>
              <w:jc w:val="right"/>
              <w:rPr>
                <w:sz w:val="20"/>
                <w:szCs w:val="20"/>
              </w:rPr>
            </w:pPr>
            <w:r w:rsidRPr="007E5827">
              <w:rPr>
                <w:rFonts w:eastAsia="Arial"/>
                <w:color w:val="000000"/>
                <w:sz w:val="20"/>
                <w:szCs w:val="20"/>
              </w:rPr>
              <w:t>1.56</w:t>
            </w:r>
          </w:p>
        </w:tc>
      </w:tr>
    </w:tbl>
    <w:p w14:paraId="0692384B" w14:textId="75F938FD" w:rsidR="009E3575" w:rsidRDefault="009E3575">
      <w:pPr>
        <w:pStyle w:val="TableCaption"/>
      </w:pPr>
    </w:p>
    <w:p w14:paraId="750C4029" w14:textId="77777777" w:rsidR="009E3575" w:rsidRDefault="009E3575">
      <w:pPr>
        <w:pStyle w:val="TableCaption"/>
      </w:pPr>
    </w:p>
    <w:p w14:paraId="74EC8410" w14:textId="77777777" w:rsidR="0033629A" w:rsidRDefault="0033629A">
      <w:pPr>
        <w:sectPr w:rsidR="0033629A" w:rsidSect="00652338">
          <w:pgSz w:w="16838" w:h="11906" w:orient="landscape"/>
          <w:pgMar w:top="1440" w:right="1440" w:bottom="1440" w:left="1440" w:header="720" w:footer="720" w:gutter="0"/>
          <w:cols w:space="720"/>
          <w:docGrid w:linePitch="326"/>
        </w:sectPr>
      </w:pPr>
    </w:p>
    <w:p w14:paraId="52B037BB" w14:textId="77777777" w:rsidR="00652338" w:rsidRDefault="00652338" w:rsidP="00652338">
      <w:pPr>
        <w:pStyle w:val="BodyText"/>
        <w:ind w:firstLine="0"/>
      </w:pPr>
      <w:bookmarkStart w:id="105" w:name="models"/>
      <w:bookmarkEnd w:id="101"/>
      <w:r>
        <w:lastRenderedPageBreak/>
        <w:t>power. For Model 0, the fixed effect for time explains only .07% of the variance in CO</w:t>
      </w:r>
      <w:r>
        <w:rPr>
          <w:vertAlign w:val="subscript"/>
        </w:rPr>
        <w:t>2</w:t>
      </w:r>
      <w:r>
        <w:t xml:space="preserve"> emissions.</w:t>
      </w:r>
    </w:p>
    <w:p w14:paraId="072ED099" w14:textId="7A98CAFD" w:rsidR="0033629A" w:rsidRDefault="004409CB" w:rsidP="00652338">
      <w:pPr>
        <w:pStyle w:val="BodyText"/>
      </w:pPr>
      <w:r>
        <w:rPr>
          <w:b/>
          <w:bCs/>
        </w:rPr>
        <w:t>Random Effect of Time</w:t>
      </w:r>
      <w:r>
        <w:t>. Model 1 adds a random effect for time, which allows the slope of the effect of time to vary for each country. Because of the addition of a random slope, ICC values should not be calculated (</w:t>
      </w:r>
      <w:hyperlink w:anchor="ref-hoffman2015">
        <w:r>
          <w:rPr>
            <w:rStyle w:val="Hyperlink"/>
          </w:rPr>
          <w:t>Hoffman, 2015, p. 164</w:t>
        </w:r>
      </w:hyperlink>
      <w:r>
        <w:t>). Instead, the percentage of variation in CO</w:t>
      </w:r>
      <w:r>
        <w:rPr>
          <w:vertAlign w:val="subscript"/>
        </w:rPr>
        <w:t>2</w:t>
      </w:r>
      <w:r>
        <w:t xml:space="preserve"> emissions attributed to the addition of the random slope for time can be estimated by dividing the variance of time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τ</m:t>
                    </m:r>
                  </m:e>
                  <m:sub>
                    <m:r>
                      <w:rPr>
                        <w:rFonts w:ascii="Cambria Math" w:hAnsi="Cambria Math"/>
                      </w:rPr>
                      <m:t>11</m:t>
                    </m:r>
                  </m:sub>
                </m:sSub>
              </m:e>
            </m:d>
          </m:e>
          <m:sup>
            <m:r>
              <w:rPr>
                <w:rFonts w:ascii="Cambria Math" w:hAnsi="Cambria Math"/>
              </w:rPr>
              <m:t>2</m:t>
            </m:r>
          </m:sup>
        </m:sSup>
        <m:r>
          <m:rPr>
            <m:sty m:val="p"/>
          </m:rPr>
          <w:rPr>
            <w:rFonts w:ascii="Cambria Math" w:hAnsi="Cambria Math"/>
          </w:rPr>
          <m:t>=</m:t>
        </m:r>
        <m:r>
          <w:rPr>
            <w:rFonts w:ascii="Cambria Math" w:hAnsi="Cambria Math"/>
          </w:rPr>
          <m:t>0.27</m:t>
        </m:r>
      </m:oMath>
      <w:r>
        <w:t>) by the total variance of the model (</w:t>
      </w:r>
      <m:oMath>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τ</m:t>
                    </m:r>
                  </m:e>
                  <m:sub>
                    <m:r>
                      <w:rPr>
                        <w:rFonts w:ascii="Cambria Math" w:hAnsi="Cambria Math"/>
                      </w:rPr>
                      <m:t>00</m:t>
                    </m:r>
                  </m:sub>
                </m:sSub>
              </m:e>
            </m:d>
          </m:e>
          <m:sup>
            <m:r>
              <w:rPr>
                <w:rFonts w:ascii="Cambria Math" w:hAnsi="Cambria Math"/>
              </w:rPr>
              <m:t>2</m:t>
            </m:r>
          </m:sup>
        </m:sSup>
        <m:r>
          <m:rPr>
            <m:sty m:val="p"/>
          </m:rPr>
          <w:rPr>
            <w:rFonts w:ascii="Cambria Math" w:hAnsi="Cambria Math"/>
          </w:rPr>
          <m:t>+</m:t>
        </m:r>
        <m:sSup>
          <m:sSupPr>
            <m:ctrlPr>
              <w:rPr>
                <w:rFonts w:ascii="Cambria Math" w:hAnsi="Cambria Math"/>
              </w:rPr>
            </m:ctrlPr>
          </m:sSupPr>
          <m:e>
            <m:d>
              <m:dPr>
                <m:ctrlPr>
                  <w:rPr>
                    <w:rFonts w:ascii="Cambria Math" w:hAnsi="Cambria Math"/>
                  </w:rPr>
                </m:ctrlPr>
              </m:dPr>
              <m:e>
                <m:sSub>
                  <m:sSubPr>
                    <m:ctrlPr>
                      <w:rPr>
                        <w:rFonts w:ascii="Cambria Math" w:hAnsi="Cambria Math"/>
                      </w:rPr>
                    </m:ctrlPr>
                  </m:sSubPr>
                  <m:e>
                    <m:r>
                      <w:rPr>
                        <w:rFonts w:ascii="Cambria Math" w:hAnsi="Cambria Math"/>
                      </w:rPr>
                      <m:t>τ</m:t>
                    </m:r>
                  </m:e>
                  <m:sub>
                    <m:r>
                      <w:rPr>
                        <w:rFonts w:ascii="Cambria Math" w:hAnsi="Cambria Math"/>
                      </w:rPr>
                      <m:t>11</m:t>
                    </m:r>
                  </m:sub>
                </m:sSub>
              </m:e>
            </m:d>
          </m:e>
          <m:sup>
            <m: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σ</m:t>
            </m:r>
          </m:e>
          <m:sup>
            <m:r>
              <w:rPr>
                <w:rFonts w:ascii="Cambria Math" w:hAnsi="Cambria Math"/>
              </w:rPr>
              <m:t>2</m:t>
            </m:r>
          </m:sup>
        </m:sSup>
        <m:r>
          <m:rPr>
            <m:sty m:val="p"/>
          </m:rPr>
          <w:rPr>
            <w:rFonts w:ascii="Cambria Math" w:hAnsi="Cambria Math"/>
          </w:rPr>
          <m:t>+</m:t>
        </m:r>
        <m:d>
          <m:dPr>
            <m:ctrlPr>
              <w:rPr>
                <w:rFonts w:ascii="Cambria Math" w:hAnsi="Cambria Math"/>
              </w:rPr>
            </m:ctrlPr>
          </m:dPr>
          <m:e>
            <m:r>
              <w:rPr>
                <w:rFonts w:ascii="Cambria Math" w:hAnsi="Cambria Math"/>
              </w:rPr>
              <m:t>CO</m:t>
            </m:r>
            <m:sSub>
              <m:sSubPr>
                <m:ctrlPr>
                  <w:rPr>
                    <w:rFonts w:ascii="Cambria Math" w:hAnsi="Cambria Math"/>
                  </w:rPr>
                </m:ctrlPr>
              </m:sSubPr>
              <m:e>
                <m:r>
                  <w:rPr>
                    <w:rFonts w:ascii="Cambria Math" w:hAnsi="Cambria Math"/>
                  </w:rPr>
                  <m:t>V</m:t>
                </m:r>
              </m:e>
              <m:sub>
                <m:r>
                  <w:rPr>
                    <w:rFonts w:ascii="Cambria Math" w:hAnsi="Cambria Math"/>
                  </w:rPr>
                  <m:t>01</m:t>
                </m:r>
              </m:sub>
            </m:sSub>
            <m:r>
              <m:rPr>
                <m:sty m:val="p"/>
              </m:rPr>
              <w:rPr>
                <w:rFonts w:ascii="Cambria Math" w:hAnsi="Cambria Math"/>
              </w:rPr>
              <m:t>×</m:t>
            </m:r>
            <m:r>
              <w:rPr>
                <w:rFonts w:ascii="Cambria Math" w:hAnsi="Cambria Math"/>
              </w:rPr>
              <m:t>2</m:t>
            </m:r>
          </m:e>
        </m:d>
        <m:r>
          <m:rPr>
            <m:sty m:val="p"/>
          </m:rPr>
          <w:rPr>
            <w:rFonts w:ascii="Cambria Math" w:hAnsi="Cambria Math"/>
          </w:rPr>
          <m:t>=</m:t>
        </m:r>
        <m:r>
          <w:rPr>
            <w:rFonts w:ascii="Cambria Math" w:hAnsi="Cambria Math"/>
          </w:rPr>
          <m:t>53.78</m:t>
        </m:r>
      </m:oMath>
      <w:r>
        <w:t>). The proportion of variance attributed to the random effect only explains .5% of the random effect variance. This suggests rates of CO</w:t>
      </w:r>
      <w:r>
        <w:rPr>
          <w:vertAlign w:val="subscript"/>
        </w:rPr>
        <w:t>2</w:t>
      </w:r>
      <w:r>
        <w:t xml:space="preserve"> change over time across countries are </w:t>
      </w:r>
      <w:proofErr w:type="gramStart"/>
      <w:r>
        <w:t>more or less stable</w:t>
      </w:r>
      <w:proofErr w:type="gramEnd"/>
      <w:r>
        <w:t>, on average. This is not surprising as only a small percentage of variation in CO</w:t>
      </w:r>
      <w:r>
        <w:rPr>
          <w:vertAlign w:val="subscript"/>
        </w:rPr>
        <w:t>2</w:t>
      </w:r>
      <w:r>
        <w:t xml:space="preserve"> per capita was due to within-country differences, as indicated by Model 0. Despite the small explanatory power of the random slopes for time, a likelihood ratio test indicates that Model 1 has a better model fit than Model 0, </w:t>
      </w:r>
      <m:oMath>
        <m:sSup>
          <m:sSupPr>
            <m:ctrlPr>
              <w:rPr>
                <w:rFonts w:ascii="Cambria Math" w:hAnsi="Cambria Math"/>
              </w:rPr>
            </m:ctrlPr>
          </m:sSupPr>
          <m:e>
            <m:r>
              <w:rPr>
                <w:rFonts w:ascii="Cambria Math" w:hAnsi="Cambria Math"/>
              </w:rPr>
              <m:t>χ</m:t>
            </m:r>
          </m:e>
          <m:sup>
            <m:r>
              <w:rPr>
                <w:rFonts w:ascii="Cambria Math" w:hAnsi="Cambria Math"/>
              </w:rPr>
              <m:t>2</m:t>
            </m:r>
          </m:sup>
        </m:sSup>
        <m:d>
          <m:dPr>
            <m:ctrlPr>
              <w:rPr>
                <w:rFonts w:ascii="Cambria Math" w:hAnsi="Cambria Math"/>
              </w:rPr>
            </m:ctrlPr>
          </m:dPr>
          <m:e>
            <m:r>
              <w:rPr>
                <w:rFonts w:ascii="Cambria Math" w:hAnsi="Cambria Math"/>
              </w:rPr>
              <m:t>2</m:t>
            </m:r>
          </m:e>
        </m:d>
        <m:r>
          <m:rPr>
            <m:sty m:val="p"/>
          </m:rPr>
          <w:rPr>
            <w:rFonts w:ascii="Cambria Math" w:hAnsi="Cambria Math"/>
          </w:rPr>
          <m:t>=</m:t>
        </m:r>
        <m:r>
          <w:rPr>
            <w:rFonts w:ascii="Cambria Math" w:hAnsi="Cambria Math"/>
          </w:rPr>
          <m:t>93.72</m:t>
        </m:r>
        <m:r>
          <m:rPr>
            <m:sty m:val="p"/>
          </m:rPr>
          <w:rPr>
            <w:rFonts w:ascii="Cambria Math" w:hAnsi="Cambria Math"/>
          </w:rPr>
          <m:t>,</m:t>
        </m:r>
        <m:r>
          <w:rPr>
            <w:rFonts w:ascii="Cambria Math" w:hAnsi="Cambria Math"/>
          </w:rPr>
          <m:t>p</m:t>
        </m:r>
        <m:r>
          <m:rPr>
            <m:sty m:val="p"/>
          </m:rPr>
          <w:rPr>
            <w:rFonts w:ascii="Cambria Math" w:hAnsi="Cambria Math"/>
          </w:rPr>
          <m:t>&lt;</m:t>
        </m:r>
        <m:r>
          <w:rPr>
            <w:rFonts w:ascii="Cambria Math" w:hAnsi="Cambria Math"/>
          </w:rPr>
          <m:t>.001</m:t>
        </m:r>
      </m:oMath>
      <w:r>
        <w:t>. The regression coefficient for fixed effect of time (</w:t>
      </w:r>
      <m:oMath>
        <m:r>
          <w:rPr>
            <w:rFonts w:ascii="Cambria Math" w:hAnsi="Cambria Math"/>
          </w:rPr>
          <m:t>γ</m:t>
        </m:r>
        <m:r>
          <m:rPr>
            <m:sty m:val="p"/>
          </m:rPr>
          <w:rPr>
            <w:rFonts w:ascii="Cambria Math" w:hAnsi="Cambria Math"/>
          </w:rPr>
          <m:t>=</m:t>
        </m:r>
        <m:r>
          <w:rPr>
            <w:rFonts w:ascii="Cambria Math" w:hAnsi="Cambria Math"/>
          </w:rPr>
          <m:t>.39</m:t>
        </m:r>
      </m:oMath>
      <w:r>
        <w:t xml:space="preserve">) remains practically unchanged from Model 0. The random effect for the intercept, </w:t>
      </w:r>
      <m:oMath>
        <m:sSub>
          <m:sSubPr>
            <m:ctrlPr>
              <w:rPr>
                <w:rFonts w:ascii="Cambria Math" w:hAnsi="Cambria Math"/>
              </w:rPr>
            </m:ctrlPr>
          </m:sSubPr>
          <m:e>
            <m:r>
              <w:rPr>
                <w:rFonts w:ascii="Cambria Math" w:hAnsi="Cambria Math"/>
              </w:rPr>
              <m:t>τ</m:t>
            </m:r>
          </m:e>
          <m:sub>
            <m:r>
              <w:rPr>
                <w:rFonts w:ascii="Cambria Math" w:hAnsi="Cambria Math"/>
              </w:rPr>
              <m:t>00</m:t>
            </m:r>
          </m:sub>
        </m:sSub>
      </m:oMath>
      <w:r>
        <w:t xml:space="preserve">, has increased to 7.76. Two additional parameters are estimated in this model. </w:t>
      </w:r>
      <m:oMath>
        <m:sSub>
          <m:sSubPr>
            <m:ctrlPr>
              <w:rPr>
                <w:rFonts w:ascii="Cambria Math" w:hAnsi="Cambria Math"/>
              </w:rPr>
            </m:ctrlPr>
          </m:sSubPr>
          <m:e>
            <m:r>
              <w:rPr>
                <w:rFonts w:ascii="Cambria Math" w:hAnsi="Cambria Math"/>
              </w:rPr>
              <m:t>τ</m:t>
            </m:r>
          </m:e>
          <m:sub>
            <m:r>
              <w:rPr>
                <w:rFonts w:ascii="Cambria Math" w:hAnsi="Cambria Math"/>
              </w:rPr>
              <m:t>11</m:t>
            </m:r>
          </m:sub>
        </m:sSub>
      </m:oMath>
      <w:r>
        <w:t xml:space="preserve"> represents the variation in the slope of time. </w:t>
      </w:r>
      <m:oMath>
        <m:sSub>
          <m:sSubPr>
            <m:ctrlPr>
              <w:rPr>
                <w:rFonts w:ascii="Cambria Math" w:hAnsi="Cambria Math"/>
              </w:rPr>
            </m:ctrlPr>
          </m:sSubPr>
          <m:e>
            <m:r>
              <w:rPr>
                <w:rFonts w:ascii="Cambria Math" w:hAnsi="Cambria Math"/>
              </w:rPr>
              <m:t>ρ</m:t>
            </m:r>
          </m:e>
          <m:sub>
            <m:r>
              <w:rPr>
                <w:rFonts w:ascii="Cambria Math" w:hAnsi="Cambria Math"/>
              </w:rPr>
              <m:t>01</m:t>
            </m:r>
          </m:sub>
        </m:sSub>
      </m:oMath>
      <w:r>
        <w:t xml:space="preserve"> represents the correlation between the random slope and the intercept, -.95. This correlation indicates that for countries with high levels of CO</w:t>
      </w:r>
      <w:r>
        <w:rPr>
          <w:vertAlign w:val="subscript"/>
        </w:rPr>
        <w:t>2</w:t>
      </w:r>
      <w:r>
        <w:t xml:space="preserve"> per capita in 2006, the effect of time is weaker, meaning their emissions levels decline more slowly compared to countries with lower levels of CO</w:t>
      </w:r>
      <w:r>
        <w:rPr>
          <w:vertAlign w:val="subscript"/>
        </w:rPr>
        <w:t>2</w:t>
      </w:r>
      <w:r>
        <w:t xml:space="preserve"> per capita.</w:t>
      </w:r>
    </w:p>
    <w:p w14:paraId="2A0534F5" w14:textId="312910F3" w:rsidR="0033629A" w:rsidRDefault="004409CB">
      <w:pPr>
        <w:pStyle w:val="BodyText"/>
      </w:pPr>
      <w:r>
        <w:rPr>
          <w:b/>
          <w:bCs/>
        </w:rPr>
        <w:t>Non-Linear Effect of Time</w:t>
      </w:r>
      <w:r>
        <w:t>. Model 2 adds quadratic fixed and random effects for time to assess whether time is linear. Although visual inspection of CO</w:t>
      </w:r>
      <w:r>
        <w:rPr>
          <w:vertAlign w:val="subscript"/>
        </w:rPr>
        <w:t>2</w:t>
      </w:r>
      <w:r>
        <w:t xml:space="preserve"> per capita over time suggested linear change, Model 2 allows for a formal test via likelihood ratio and model fit statistics (Table </w:t>
      </w:r>
      <w:hyperlink w:anchor="model2table">
        <w:r>
          <w:fldChar w:fldCharType="begin"/>
        </w:r>
        <w:r>
          <w:instrText xml:space="preserve"> REF model2table \h</w:instrText>
        </w:r>
        <w:r>
          <w:fldChar w:fldCharType="separate"/>
        </w:r>
        <w:r w:rsidR="00766923">
          <w:rPr>
            <w:b/>
            <w:noProof/>
          </w:rPr>
          <w:t>4</w:t>
        </w:r>
        <w:r>
          <w:fldChar w:fldCharType="end"/>
        </w:r>
      </w:hyperlink>
      <w:r>
        <w:t xml:space="preserve">). Based on the </w:t>
      </w:r>
      <m:oMath>
        <m:sSup>
          <m:sSupPr>
            <m:ctrlPr>
              <w:rPr>
                <w:rFonts w:ascii="Cambria Math" w:hAnsi="Cambria Math"/>
              </w:rPr>
            </m:ctrlPr>
          </m:sSupPr>
          <m:e>
            <m:r>
              <w:rPr>
                <w:rFonts w:ascii="Cambria Math" w:hAnsi="Cambria Math"/>
              </w:rPr>
              <m:t>χ</m:t>
            </m:r>
          </m:e>
          <m:sup>
            <m:r>
              <w:rPr>
                <w:rFonts w:ascii="Cambria Math" w:hAnsi="Cambria Math"/>
              </w:rPr>
              <m:t>2</m:t>
            </m:r>
          </m:sup>
        </m:sSup>
      </m:oMath>
      <w:r>
        <w:t xml:space="preserve">, AIC, and BIC values, Model 2 with a quadratic effect for </w:t>
      </w:r>
      <w:r>
        <w:lastRenderedPageBreak/>
        <w:t>time fits better than Model 1. However, the quadratic fixed effect for time is non-significant. While the likelihood ratio test suggests Model 2 may be a better fit, visual inspection of CO</w:t>
      </w:r>
      <w:r>
        <w:rPr>
          <w:vertAlign w:val="subscript"/>
        </w:rPr>
        <w:t>2</w:t>
      </w:r>
      <w:r>
        <w:t xml:space="preserve"> over time (e.g., Figure </w:t>
      </w:r>
      <w:hyperlink w:anchor="co2overtime">
        <w:r>
          <w:fldChar w:fldCharType="begin"/>
        </w:r>
        <w:r>
          <w:instrText xml:space="preserve"> REF co2overtime \h</w:instrText>
        </w:r>
        <w:r>
          <w:fldChar w:fldCharType="separate"/>
        </w:r>
        <w:r w:rsidR="00766923">
          <w:rPr>
            <w:b/>
            <w:noProof/>
          </w:rPr>
          <w:t>5</w:t>
        </w:r>
        <w:r>
          <w:fldChar w:fldCharType="end"/>
        </w:r>
      </w:hyperlink>
      <w:r>
        <w:t xml:space="preserve">) still suggests a prominent linear relationship. Diagnostic assessments of homogeneity of variance and normality (Figure </w:t>
      </w:r>
      <w:hyperlink w:anchor="initialmodeldiag">
        <w:r>
          <w:fldChar w:fldCharType="begin"/>
        </w:r>
        <w:r>
          <w:instrText xml:space="preserve"> REF initialmodeldiag \h</w:instrText>
        </w:r>
        <w:r>
          <w:fldChar w:fldCharType="separate"/>
        </w:r>
        <w:r w:rsidR="00766923">
          <w:rPr>
            <w:b/>
            <w:noProof/>
          </w:rPr>
          <w:t>18</w:t>
        </w:r>
        <w:r>
          <w:fldChar w:fldCharType="end"/>
        </w:r>
      </w:hyperlink>
      <w:r>
        <w:t xml:space="preserve">) suggest that Model 2 does not improve fit enough to justify its further use. For these reasons as well as ease of interpretation and model parsimony, only linear effects are </w:t>
      </w:r>
      <w:proofErr w:type="gramStart"/>
      <w:r>
        <w:t>considered</w:t>
      </w:r>
      <w:proofErr w:type="gramEnd"/>
      <w:r>
        <w:t xml:space="preserve"> and Model 2 is rejected</w:t>
      </w:r>
      <w:r>
        <w:rPr>
          <w:rStyle w:val="FootnoteReference"/>
        </w:rPr>
        <w:footnoteReference w:id="10"/>
      </w:r>
      <w:r>
        <w:t>.</w:t>
      </w:r>
    </w:p>
    <w:p w14:paraId="3B1E589A" w14:textId="246CEE65" w:rsidR="002A4E8A" w:rsidRDefault="002A4E8A" w:rsidP="002A4E8A">
      <w:pPr>
        <w:pStyle w:val="BodyText"/>
      </w:pPr>
      <w:r>
        <w:rPr>
          <w:b/>
          <w:bCs/>
        </w:rPr>
        <w:t>Conditional Growth Model</w:t>
      </w:r>
      <w:r>
        <w:t>. Model 3 adds fixed effects for scientific literacy as separate within- and between- variables. This is a common centering strategy in multilevel models used to separate out the two types of effects. In addition, a random slope for scientific literacy within was also added to assess whether the impact of scientific literacy on CO</w:t>
      </w:r>
      <w:r>
        <w:rPr>
          <w:vertAlign w:val="subscript"/>
        </w:rPr>
        <w:t>2</w:t>
      </w:r>
      <w:r>
        <w:t xml:space="preserve"> emissions over time varies across countries. Unfortunately, this produced a singularity issue, meaning the linear effect of scientific literacy within on CO</w:t>
      </w:r>
      <w:r>
        <w:rPr>
          <w:vertAlign w:val="subscript"/>
        </w:rPr>
        <w:t>2</w:t>
      </w:r>
      <w:r>
        <w:t xml:space="preserve"> was near zero. On a country-by-country basis, the effect of scientific literacy within ranges from -.07 to .01, a range of about .08, which is quite small. For Model 3, this suggests that the impact of scientific literacy within a country on CO</w:t>
      </w:r>
      <w:r>
        <w:rPr>
          <w:vertAlign w:val="subscript"/>
        </w:rPr>
        <w:t>2</w:t>
      </w:r>
      <w:r>
        <w:t xml:space="preserve"> per capita does not vary considerably across countries. This was foreshadowed by the ICC in the unconditional model, suggesting 97% of the variance in CO</w:t>
      </w:r>
      <w:r>
        <w:rPr>
          <w:vertAlign w:val="subscript"/>
        </w:rPr>
        <w:t>2</w:t>
      </w:r>
      <w:r>
        <w:t xml:space="preserve"> is between countries, leaving very little variation within countries. Model 3 was re-estimated without a random effect for scientific literacy, which produced no singularity issues (see Table </w:t>
      </w:r>
      <w:hyperlink w:anchor="modeltableone">
        <w:r>
          <w:fldChar w:fldCharType="begin"/>
        </w:r>
        <w:r>
          <w:instrText xml:space="preserve"> REF modeltableone \h</w:instrText>
        </w:r>
        <w:r>
          <w:fldChar w:fldCharType="separate"/>
        </w:r>
        <w:r w:rsidR="00766923">
          <w:rPr>
            <w:b/>
            <w:noProof/>
          </w:rPr>
          <w:t>5</w:t>
        </w:r>
        <w:r>
          <w:fldChar w:fldCharType="end"/>
        </w:r>
      </w:hyperlink>
      <w:r>
        <w:t>).</w:t>
      </w:r>
    </w:p>
    <w:p w14:paraId="749EA6F6" w14:textId="7CD038DD" w:rsidR="0033629A" w:rsidRDefault="004409CB">
      <w:pPr>
        <w:pStyle w:val="TableCaption"/>
      </w:pPr>
      <w:bookmarkStart w:id="106" w:name="_Toc105675508"/>
      <w:r>
        <w:rPr>
          <w:b/>
        </w:rPr>
        <w:lastRenderedPageBreak/>
        <w:t xml:space="preserve">Table </w:t>
      </w:r>
      <w:bookmarkStart w:id="107" w:name="model2table"/>
      <w:r>
        <w:rPr>
          <w:b/>
        </w:rPr>
        <w:fldChar w:fldCharType="begin"/>
      </w:r>
      <w:r>
        <w:rPr>
          <w:b/>
        </w:rPr>
        <w:instrText>SEQ tab \* Arabic</w:instrText>
      </w:r>
      <w:r>
        <w:rPr>
          <w:b/>
        </w:rPr>
        <w:fldChar w:fldCharType="separate"/>
      </w:r>
      <w:r w:rsidR="00766923">
        <w:rPr>
          <w:b/>
          <w:noProof/>
        </w:rPr>
        <w:t>4</w:t>
      </w:r>
      <w:r>
        <w:rPr>
          <w:b/>
        </w:rPr>
        <w:fldChar w:fldCharType="end"/>
      </w:r>
      <w:bookmarkEnd w:id="107"/>
      <w:r>
        <w:t>: Fit statistics and likelihood ratio test results for Model 2.</w:t>
      </w:r>
      <w:bookmarkEnd w:id="106"/>
    </w:p>
    <w:tbl>
      <w:tblPr>
        <w:tblW w:w="9720" w:type="dxa"/>
        <w:jc w:val="center"/>
        <w:tblLayout w:type="fixed"/>
        <w:tblLook w:val="0420" w:firstRow="1" w:lastRow="0" w:firstColumn="0" w:lastColumn="0" w:noHBand="0" w:noVBand="1"/>
      </w:tblPr>
      <w:tblGrid>
        <w:gridCol w:w="990"/>
        <w:gridCol w:w="1170"/>
        <w:gridCol w:w="1080"/>
        <w:gridCol w:w="1080"/>
        <w:gridCol w:w="1080"/>
        <w:gridCol w:w="1080"/>
        <w:gridCol w:w="1080"/>
        <w:gridCol w:w="1080"/>
        <w:gridCol w:w="1080"/>
      </w:tblGrid>
      <w:tr w:rsidR="0033629A" w:rsidRPr="002A4E8A" w14:paraId="19549740" w14:textId="77777777" w:rsidTr="002A4E8A">
        <w:trPr>
          <w:cantSplit/>
          <w:tblHeader/>
          <w:jc w:val="center"/>
        </w:trPr>
        <w:tc>
          <w:tcPr>
            <w:tcW w:w="99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5783371" w14:textId="77777777" w:rsidR="0033629A" w:rsidRPr="002A4E8A" w:rsidRDefault="004409CB">
            <w:pPr>
              <w:keepNext/>
              <w:spacing w:before="100" w:after="100" w:line="240" w:lineRule="auto"/>
              <w:ind w:left="100" w:right="100" w:firstLine="0"/>
              <w:rPr>
                <w:sz w:val="20"/>
                <w:szCs w:val="20"/>
              </w:rPr>
            </w:pPr>
            <w:r w:rsidRPr="002A4E8A">
              <w:rPr>
                <w:rFonts w:eastAsia="Arial"/>
                <w:color w:val="000000"/>
                <w:sz w:val="20"/>
                <w:szCs w:val="20"/>
              </w:rPr>
              <w:t>Model</w:t>
            </w:r>
          </w:p>
        </w:tc>
        <w:tc>
          <w:tcPr>
            <w:tcW w:w="117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F5A2421"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Parameters</w:t>
            </w:r>
          </w:p>
        </w:tc>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028FB06"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AIC</w:t>
            </w:r>
          </w:p>
        </w:tc>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F330AE4"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BIC</w:t>
            </w:r>
          </w:p>
        </w:tc>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435B475"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Log-Likelihood</w:t>
            </w:r>
          </w:p>
        </w:tc>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B58A812"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Deviance</w:t>
            </w:r>
          </w:p>
        </w:tc>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334A3E3"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Chisq</w:t>
            </w:r>
          </w:p>
        </w:tc>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580244A"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df</w:t>
            </w:r>
          </w:p>
        </w:tc>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FFD0925"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p</w:t>
            </w:r>
          </w:p>
        </w:tc>
      </w:tr>
      <w:tr w:rsidR="0033629A" w:rsidRPr="002A4E8A" w14:paraId="1AD4453C" w14:textId="77777777" w:rsidTr="002A4E8A">
        <w:trPr>
          <w:cantSplit/>
          <w:jc w:val="center"/>
        </w:trPr>
        <w:tc>
          <w:tcPr>
            <w:tcW w:w="990" w:type="dxa"/>
            <w:shd w:val="clear" w:color="auto" w:fill="FFFFFF"/>
            <w:tcMar>
              <w:top w:w="0" w:type="dxa"/>
              <w:left w:w="0" w:type="dxa"/>
              <w:bottom w:w="0" w:type="dxa"/>
              <w:right w:w="0" w:type="dxa"/>
            </w:tcMar>
            <w:vAlign w:val="center"/>
          </w:tcPr>
          <w:p w14:paraId="5D3B3EAD" w14:textId="77777777" w:rsidR="0033629A" w:rsidRPr="002A4E8A" w:rsidRDefault="004409CB">
            <w:pPr>
              <w:keepNext/>
              <w:spacing w:before="100" w:after="100" w:line="240" w:lineRule="auto"/>
              <w:ind w:left="100" w:right="100" w:firstLine="0"/>
              <w:rPr>
                <w:sz w:val="20"/>
                <w:szCs w:val="20"/>
              </w:rPr>
            </w:pPr>
            <w:r w:rsidRPr="002A4E8A">
              <w:rPr>
                <w:rFonts w:eastAsia="Arial"/>
                <w:color w:val="000000"/>
                <w:sz w:val="20"/>
                <w:szCs w:val="20"/>
              </w:rPr>
              <w:t>Model 1</w:t>
            </w:r>
          </w:p>
        </w:tc>
        <w:tc>
          <w:tcPr>
            <w:tcW w:w="1170" w:type="dxa"/>
            <w:shd w:val="clear" w:color="auto" w:fill="FFFFFF"/>
            <w:tcMar>
              <w:top w:w="0" w:type="dxa"/>
              <w:left w:w="0" w:type="dxa"/>
              <w:bottom w:w="0" w:type="dxa"/>
              <w:right w:w="0" w:type="dxa"/>
            </w:tcMar>
            <w:vAlign w:val="center"/>
          </w:tcPr>
          <w:p w14:paraId="44E0572D"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6</w:t>
            </w:r>
          </w:p>
        </w:tc>
        <w:tc>
          <w:tcPr>
            <w:tcW w:w="1080" w:type="dxa"/>
            <w:shd w:val="clear" w:color="auto" w:fill="FFFFFF"/>
            <w:tcMar>
              <w:top w:w="0" w:type="dxa"/>
              <w:left w:w="0" w:type="dxa"/>
              <w:bottom w:w="0" w:type="dxa"/>
              <w:right w:w="0" w:type="dxa"/>
            </w:tcMar>
            <w:vAlign w:val="center"/>
          </w:tcPr>
          <w:p w14:paraId="6D7D3B80"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1,391.383</w:t>
            </w:r>
          </w:p>
        </w:tc>
        <w:tc>
          <w:tcPr>
            <w:tcW w:w="1080" w:type="dxa"/>
            <w:shd w:val="clear" w:color="auto" w:fill="FFFFFF"/>
            <w:tcMar>
              <w:top w:w="0" w:type="dxa"/>
              <w:left w:w="0" w:type="dxa"/>
              <w:bottom w:w="0" w:type="dxa"/>
              <w:right w:w="0" w:type="dxa"/>
            </w:tcMar>
            <w:vAlign w:val="center"/>
          </w:tcPr>
          <w:p w14:paraId="78609BC0"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1,414.231</w:t>
            </w:r>
          </w:p>
        </w:tc>
        <w:tc>
          <w:tcPr>
            <w:tcW w:w="1080" w:type="dxa"/>
            <w:shd w:val="clear" w:color="auto" w:fill="FFFFFF"/>
            <w:tcMar>
              <w:top w:w="0" w:type="dxa"/>
              <w:left w:w="0" w:type="dxa"/>
              <w:bottom w:w="0" w:type="dxa"/>
              <w:right w:w="0" w:type="dxa"/>
            </w:tcMar>
            <w:vAlign w:val="center"/>
          </w:tcPr>
          <w:p w14:paraId="2D441780"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-689.691</w:t>
            </w:r>
          </w:p>
        </w:tc>
        <w:tc>
          <w:tcPr>
            <w:tcW w:w="1080" w:type="dxa"/>
            <w:shd w:val="clear" w:color="auto" w:fill="FFFFFF"/>
            <w:tcMar>
              <w:top w:w="0" w:type="dxa"/>
              <w:left w:w="0" w:type="dxa"/>
              <w:bottom w:w="0" w:type="dxa"/>
              <w:right w:w="0" w:type="dxa"/>
            </w:tcMar>
            <w:vAlign w:val="center"/>
          </w:tcPr>
          <w:p w14:paraId="284661FE"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1,379.383</w:t>
            </w:r>
          </w:p>
        </w:tc>
        <w:tc>
          <w:tcPr>
            <w:tcW w:w="1080" w:type="dxa"/>
            <w:shd w:val="clear" w:color="auto" w:fill="FFFFFF"/>
            <w:tcMar>
              <w:top w:w="0" w:type="dxa"/>
              <w:left w:w="0" w:type="dxa"/>
              <w:bottom w:w="0" w:type="dxa"/>
              <w:right w:w="0" w:type="dxa"/>
            </w:tcMar>
            <w:vAlign w:val="center"/>
          </w:tcPr>
          <w:p w14:paraId="2F2A149B" w14:textId="77777777" w:rsidR="0033629A" w:rsidRPr="002A4E8A" w:rsidRDefault="0033629A">
            <w:pPr>
              <w:keepNext/>
              <w:spacing w:before="100" w:after="100" w:line="240" w:lineRule="auto"/>
              <w:ind w:left="100" w:right="100" w:firstLine="0"/>
              <w:jc w:val="right"/>
              <w:rPr>
                <w:sz w:val="20"/>
                <w:szCs w:val="20"/>
              </w:rPr>
            </w:pPr>
          </w:p>
        </w:tc>
        <w:tc>
          <w:tcPr>
            <w:tcW w:w="1080" w:type="dxa"/>
            <w:shd w:val="clear" w:color="auto" w:fill="FFFFFF"/>
            <w:tcMar>
              <w:top w:w="0" w:type="dxa"/>
              <w:left w:w="0" w:type="dxa"/>
              <w:bottom w:w="0" w:type="dxa"/>
              <w:right w:w="0" w:type="dxa"/>
            </w:tcMar>
            <w:vAlign w:val="center"/>
          </w:tcPr>
          <w:p w14:paraId="7C655526" w14:textId="77777777" w:rsidR="0033629A" w:rsidRPr="002A4E8A" w:rsidRDefault="0033629A">
            <w:pPr>
              <w:keepNext/>
              <w:spacing w:before="100" w:after="100" w:line="240" w:lineRule="auto"/>
              <w:ind w:left="100" w:right="100" w:firstLine="0"/>
              <w:jc w:val="right"/>
              <w:rPr>
                <w:sz w:val="20"/>
                <w:szCs w:val="20"/>
              </w:rPr>
            </w:pPr>
          </w:p>
        </w:tc>
        <w:tc>
          <w:tcPr>
            <w:tcW w:w="1080" w:type="dxa"/>
            <w:shd w:val="clear" w:color="auto" w:fill="FFFFFF"/>
            <w:tcMar>
              <w:top w:w="0" w:type="dxa"/>
              <w:left w:w="0" w:type="dxa"/>
              <w:bottom w:w="0" w:type="dxa"/>
              <w:right w:w="0" w:type="dxa"/>
            </w:tcMar>
            <w:vAlign w:val="center"/>
          </w:tcPr>
          <w:p w14:paraId="568080A6" w14:textId="77777777" w:rsidR="0033629A" w:rsidRPr="002A4E8A" w:rsidRDefault="0033629A">
            <w:pPr>
              <w:keepNext/>
              <w:spacing w:before="100" w:after="100" w:line="240" w:lineRule="auto"/>
              <w:ind w:left="100" w:right="100" w:firstLine="0"/>
              <w:jc w:val="right"/>
              <w:rPr>
                <w:sz w:val="20"/>
                <w:szCs w:val="20"/>
              </w:rPr>
            </w:pPr>
          </w:p>
        </w:tc>
      </w:tr>
      <w:tr w:rsidR="0033629A" w:rsidRPr="002A4E8A" w14:paraId="738A97CA" w14:textId="77777777" w:rsidTr="002A4E8A">
        <w:trPr>
          <w:cantSplit/>
          <w:jc w:val="center"/>
        </w:trPr>
        <w:tc>
          <w:tcPr>
            <w:tcW w:w="990" w:type="dxa"/>
            <w:tcBorders>
              <w:bottom w:val="single" w:sz="16" w:space="0" w:color="666666"/>
            </w:tcBorders>
            <w:shd w:val="clear" w:color="auto" w:fill="FFFFFF"/>
            <w:tcMar>
              <w:top w:w="0" w:type="dxa"/>
              <w:left w:w="0" w:type="dxa"/>
              <w:bottom w:w="0" w:type="dxa"/>
              <w:right w:w="0" w:type="dxa"/>
            </w:tcMar>
            <w:vAlign w:val="center"/>
          </w:tcPr>
          <w:p w14:paraId="5C70DBF9" w14:textId="77777777" w:rsidR="0033629A" w:rsidRPr="002A4E8A" w:rsidRDefault="004409CB">
            <w:pPr>
              <w:keepNext/>
              <w:spacing w:before="100" w:after="100" w:line="240" w:lineRule="auto"/>
              <w:ind w:left="100" w:right="100" w:firstLine="0"/>
              <w:rPr>
                <w:sz w:val="20"/>
                <w:szCs w:val="20"/>
              </w:rPr>
            </w:pPr>
            <w:r w:rsidRPr="002A4E8A">
              <w:rPr>
                <w:rFonts w:eastAsia="Arial"/>
                <w:color w:val="000000"/>
                <w:sz w:val="20"/>
                <w:szCs w:val="20"/>
              </w:rPr>
              <w:t>Model 2</w:t>
            </w:r>
          </w:p>
        </w:tc>
        <w:tc>
          <w:tcPr>
            <w:tcW w:w="1170" w:type="dxa"/>
            <w:tcBorders>
              <w:bottom w:val="single" w:sz="16" w:space="0" w:color="666666"/>
            </w:tcBorders>
            <w:shd w:val="clear" w:color="auto" w:fill="FFFFFF"/>
            <w:tcMar>
              <w:top w:w="0" w:type="dxa"/>
              <w:left w:w="0" w:type="dxa"/>
              <w:bottom w:w="0" w:type="dxa"/>
              <w:right w:w="0" w:type="dxa"/>
            </w:tcMar>
            <w:vAlign w:val="center"/>
          </w:tcPr>
          <w:p w14:paraId="70B3BCBD"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7</w:t>
            </w:r>
          </w:p>
        </w:tc>
        <w:tc>
          <w:tcPr>
            <w:tcW w:w="1080" w:type="dxa"/>
            <w:tcBorders>
              <w:bottom w:val="single" w:sz="16" w:space="0" w:color="666666"/>
            </w:tcBorders>
            <w:shd w:val="clear" w:color="auto" w:fill="FFFFFF"/>
            <w:tcMar>
              <w:top w:w="0" w:type="dxa"/>
              <w:left w:w="0" w:type="dxa"/>
              <w:bottom w:w="0" w:type="dxa"/>
              <w:right w:w="0" w:type="dxa"/>
            </w:tcMar>
            <w:vAlign w:val="center"/>
          </w:tcPr>
          <w:p w14:paraId="3A5CA455"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1,386.126</w:t>
            </w:r>
          </w:p>
        </w:tc>
        <w:tc>
          <w:tcPr>
            <w:tcW w:w="1080" w:type="dxa"/>
            <w:tcBorders>
              <w:bottom w:val="single" w:sz="16" w:space="0" w:color="666666"/>
            </w:tcBorders>
            <w:shd w:val="clear" w:color="auto" w:fill="FFFFFF"/>
            <w:tcMar>
              <w:top w:w="0" w:type="dxa"/>
              <w:left w:w="0" w:type="dxa"/>
              <w:bottom w:w="0" w:type="dxa"/>
              <w:right w:w="0" w:type="dxa"/>
            </w:tcMar>
            <w:vAlign w:val="center"/>
          </w:tcPr>
          <w:p w14:paraId="0F192C85"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1,412.783</w:t>
            </w:r>
          </w:p>
        </w:tc>
        <w:tc>
          <w:tcPr>
            <w:tcW w:w="1080" w:type="dxa"/>
            <w:tcBorders>
              <w:bottom w:val="single" w:sz="16" w:space="0" w:color="666666"/>
            </w:tcBorders>
            <w:shd w:val="clear" w:color="auto" w:fill="FFFFFF"/>
            <w:tcMar>
              <w:top w:w="0" w:type="dxa"/>
              <w:left w:w="0" w:type="dxa"/>
              <w:bottom w:w="0" w:type="dxa"/>
              <w:right w:w="0" w:type="dxa"/>
            </w:tcMar>
            <w:vAlign w:val="center"/>
          </w:tcPr>
          <w:p w14:paraId="53CDA369"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-686.063</w:t>
            </w:r>
          </w:p>
        </w:tc>
        <w:tc>
          <w:tcPr>
            <w:tcW w:w="1080" w:type="dxa"/>
            <w:tcBorders>
              <w:bottom w:val="single" w:sz="16" w:space="0" w:color="666666"/>
            </w:tcBorders>
            <w:shd w:val="clear" w:color="auto" w:fill="FFFFFF"/>
            <w:tcMar>
              <w:top w:w="0" w:type="dxa"/>
              <w:left w:w="0" w:type="dxa"/>
              <w:bottom w:w="0" w:type="dxa"/>
              <w:right w:w="0" w:type="dxa"/>
            </w:tcMar>
            <w:vAlign w:val="center"/>
          </w:tcPr>
          <w:p w14:paraId="1302DCB9"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1,372.126</w:t>
            </w:r>
          </w:p>
        </w:tc>
        <w:tc>
          <w:tcPr>
            <w:tcW w:w="1080" w:type="dxa"/>
            <w:tcBorders>
              <w:bottom w:val="single" w:sz="16" w:space="0" w:color="666666"/>
            </w:tcBorders>
            <w:shd w:val="clear" w:color="auto" w:fill="FFFFFF"/>
            <w:tcMar>
              <w:top w:w="0" w:type="dxa"/>
              <w:left w:w="0" w:type="dxa"/>
              <w:bottom w:w="0" w:type="dxa"/>
              <w:right w:w="0" w:type="dxa"/>
            </w:tcMar>
            <w:vAlign w:val="center"/>
          </w:tcPr>
          <w:p w14:paraId="6FDA560F"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7.256</w:t>
            </w:r>
          </w:p>
        </w:tc>
        <w:tc>
          <w:tcPr>
            <w:tcW w:w="1080" w:type="dxa"/>
            <w:tcBorders>
              <w:bottom w:val="single" w:sz="16" w:space="0" w:color="666666"/>
            </w:tcBorders>
            <w:shd w:val="clear" w:color="auto" w:fill="FFFFFF"/>
            <w:tcMar>
              <w:top w:w="0" w:type="dxa"/>
              <w:left w:w="0" w:type="dxa"/>
              <w:bottom w:w="0" w:type="dxa"/>
              <w:right w:w="0" w:type="dxa"/>
            </w:tcMar>
            <w:vAlign w:val="center"/>
          </w:tcPr>
          <w:p w14:paraId="262467C6"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1</w:t>
            </w:r>
          </w:p>
        </w:tc>
        <w:tc>
          <w:tcPr>
            <w:tcW w:w="1080" w:type="dxa"/>
            <w:tcBorders>
              <w:bottom w:val="single" w:sz="16" w:space="0" w:color="666666"/>
            </w:tcBorders>
            <w:shd w:val="clear" w:color="auto" w:fill="FFFFFF"/>
            <w:tcMar>
              <w:top w:w="0" w:type="dxa"/>
              <w:left w:w="0" w:type="dxa"/>
              <w:bottom w:w="0" w:type="dxa"/>
              <w:right w:w="0" w:type="dxa"/>
            </w:tcMar>
            <w:vAlign w:val="center"/>
          </w:tcPr>
          <w:p w14:paraId="5DADE72D" w14:textId="77777777" w:rsidR="0033629A" w:rsidRPr="002A4E8A" w:rsidRDefault="004409CB">
            <w:pPr>
              <w:keepNext/>
              <w:spacing w:before="100" w:after="100" w:line="240" w:lineRule="auto"/>
              <w:ind w:left="100" w:right="100" w:firstLine="0"/>
              <w:jc w:val="right"/>
              <w:rPr>
                <w:sz w:val="20"/>
                <w:szCs w:val="20"/>
              </w:rPr>
            </w:pPr>
            <w:r w:rsidRPr="002A4E8A">
              <w:rPr>
                <w:rFonts w:eastAsia="Arial"/>
                <w:color w:val="000000"/>
                <w:sz w:val="20"/>
                <w:szCs w:val="20"/>
              </w:rPr>
              <w:t>0.007</w:t>
            </w:r>
          </w:p>
        </w:tc>
      </w:tr>
    </w:tbl>
    <w:p w14:paraId="371FEA0E" w14:textId="77777777" w:rsidR="00E20A86" w:rsidRDefault="00E20A86">
      <w:pPr>
        <w:pStyle w:val="Figure"/>
        <w:jc w:val="center"/>
      </w:pPr>
    </w:p>
    <w:p w14:paraId="137DCF3E" w14:textId="77777777" w:rsidR="00E20A86" w:rsidRDefault="00E20A86">
      <w:pPr>
        <w:pStyle w:val="Figure"/>
        <w:jc w:val="center"/>
      </w:pPr>
    </w:p>
    <w:p w14:paraId="26EE168C" w14:textId="5E62E87C" w:rsidR="0033629A" w:rsidRDefault="004409CB">
      <w:pPr>
        <w:pStyle w:val="Figure"/>
        <w:jc w:val="center"/>
      </w:pPr>
      <w:r>
        <w:rPr>
          <w:noProof/>
        </w:rPr>
        <w:drawing>
          <wp:inline distT="0" distB="0" distL="0" distR="0" wp14:anchorId="3DDC9A46" wp14:editId="53173783">
            <wp:extent cx="5486400" cy="274320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
                    <pic:cNvPicPr>
                      <a:picLocks noChangeAspect="1" noChangeArrowheads="1"/>
                    </pic:cNvPicPr>
                  </pic:nvPicPr>
                  <pic:blipFill>
                    <a:blip r:embed="rId57"/>
                    <a:srcRect/>
                    <a:stretch>
                      <a:fillRect/>
                    </a:stretch>
                  </pic:blipFill>
                  <pic:spPr bwMode="auto">
                    <a:xfrm>
                      <a:off x="0" y="0"/>
                      <a:ext cx="76200" cy="38100"/>
                    </a:xfrm>
                    <a:prstGeom prst="rect">
                      <a:avLst/>
                    </a:prstGeom>
                    <a:noFill/>
                  </pic:spPr>
                </pic:pic>
              </a:graphicData>
            </a:graphic>
          </wp:inline>
        </w:drawing>
      </w:r>
    </w:p>
    <w:p w14:paraId="16E3BD92" w14:textId="5F267DD6" w:rsidR="0033629A" w:rsidRDefault="004409CB">
      <w:pPr>
        <w:pStyle w:val="ImageCaption"/>
      </w:pPr>
      <w:bookmarkStart w:id="108" w:name="_Toc105675533"/>
      <w:r>
        <w:rPr>
          <w:b/>
        </w:rPr>
        <w:t xml:space="preserve">Figure </w:t>
      </w:r>
      <w:bookmarkStart w:id="109" w:name="initialmodeldiag"/>
      <w:r>
        <w:rPr>
          <w:b/>
        </w:rPr>
        <w:fldChar w:fldCharType="begin"/>
      </w:r>
      <w:r>
        <w:rPr>
          <w:b/>
        </w:rPr>
        <w:instrText>SEQ Figure \* Arabic</w:instrText>
      </w:r>
      <w:r>
        <w:rPr>
          <w:b/>
        </w:rPr>
        <w:fldChar w:fldCharType="separate"/>
      </w:r>
      <w:r w:rsidR="00766923">
        <w:rPr>
          <w:b/>
          <w:noProof/>
        </w:rPr>
        <w:t>18</w:t>
      </w:r>
      <w:r>
        <w:rPr>
          <w:b/>
        </w:rPr>
        <w:fldChar w:fldCharType="end"/>
      </w:r>
      <w:bookmarkEnd w:id="109"/>
      <w:r>
        <w:t>: Visual diagnostics to assess heterogeneity of variance (top row) and normality of residuals (bottom row)</w:t>
      </w:r>
      <w:r w:rsidR="00F67E89">
        <w:t xml:space="preserve"> </w:t>
      </w:r>
      <w:r w:rsidR="00FA13E6">
        <w:t>in</w:t>
      </w:r>
      <w:r>
        <w:t xml:space="preserve"> Models 1 and 2.</w:t>
      </w:r>
      <w:bookmarkEnd w:id="108"/>
    </w:p>
    <w:p w14:paraId="39EC532B" w14:textId="77777777" w:rsidR="0033629A" w:rsidRDefault="004409CB">
      <w:r>
        <w:br w:type="page"/>
      </w:r>
    </w:p>
    <w:p w14:paraId="3A3F7D40" w14:textId="77777777" w:rsidR="0033629A" w:rsidRDefault="0033629A">
      <w:pPr>
        <w:sectPr w:rsidR="0033629A" w:rsidSect="00652338">
          <w:headerReference w:type="even" r:id="rId58"/>
          <w:headerReference w:type="default" r:id="rId59"/>
          <w:footerReference w:type="even" r:id="rId60"/>
          <w:footerReference w:type="default" r:id="rId61"/>
          <w:headerReference w:type="first" r:id="rId62"/>
          <w:footerReference w:type="first" r:id="rId63"/>
          <w:pgSz w:w="11952" w:h="16848"/>
          <w:pgMar w:top="1440" w:right="1440" w:bottom="1440" w:left="1440" w:header="720" w:footer="720" w:gutter="0"/>
          <w:cols w:space="720"/>
        </w:sectPr>
      </w:pPr>
    </w:p>
    <w:p w14:paraId="30B4D7EB" w14:textId="2387360B" w:rsidR="0033629A" w:rsidRDefault="004409CB">
      <w:pPr>
        <w:pStyle w:val="TableCaption"/>
      </w:pPr>
      <w:bookmarkStart w:id="110" w:name="_Toc105675509"/>
      <w:r>
        <w:rPr>
          <w:b/>
        </w:rPr>
        <w:lastRenderedPageBreak/>
        <w:t xml:space="preserve">Table </w:t>
      </w:r>
      <w:bookmarkStart w:id="111" w:name="modeltableone"/>
      <w:r>
        <w:rPr>
          <w:b/>
        </w:rPr>
        <w:fldChar w:fldCharType="begin"/>
      </w:r>
      <w:r>
        <w:rPr>
          <w:b/>
        </w:rPr>
        <w:instrText>SEQ tab \* Arabic</w:instrText>
      </w:r>
      <w:r>
        <w:rPr>
          <w:b/>
        </w:rPr>
        <w:fldChar w:fldCharType="separate"/>
      </w:r>
      <w:r w:rsidR="00766923">
        <w:rPr>
          <w:b/>
          <w:noProof/>
        </w:rPr>
        <w:t>5</w:t>
      </w:r>
      <w:r>
        <w:rPr>
          <w:b/>
        </w:rPr>
        <w:fldChar w:fldCharType="end"/>
      </w:r>
      <w:bookmarkEnd w:id="111"/>
      <w:r>
        <w:t>: Table of results for initial multilevel growth models.</w:t>
      </w:r>
      <w:bookmarkEnd w:id="110"/>
    </w:p>
    <w:tbl>
      <w:tblPr>
        <w:tblW w:w="14014" w:type="dxa"/>
        <w:jc w:val="center"/>
        <w:tblLayout w:type="fixed"/>
        <w:tblLook w:val="0420" w:firstRow="1" w:lastRow="0" w:firstColumn="0" w:lastColumn="0" w:noHBand="0" w:noVBand="1"/>
      </w:tblPr>
      <w:tblGrid>
        <w:gridCol w:w="1350"/>
        <w:gridCol w:w="1090"/>
        <w:gridCol w:w="723"/>
        <w:gridCol w:w="1086"/>
        <w:gridCol w:w="1265"/>
        <w:gridCol w:w="904"/>
        <w:gridCol w:w="1086"/>
        <w:gridCol w:w="1265"/>
        <w:gridCol w:w="904"/>
        <w:gridCol w:w="1086"/>
        <w:gridCol w:w="1085"/>
        <w:gridCol w:w="1085"/>
        <w:gridCol w:w="1085"/>
      </w:tblGrid>
      <w:tr w:rsidR="00E20A86" w:rsidRPr="001B3C29" w14:paraId="1C2C4756" w14:textId="77777777" w:rsidTr="001179F5">
        <w:trPr>
          <w:cantSplit/>
          <w:trHeight w:val="524"/>
          <w:tblHeader/>
          <w:jc w:val="center"/>
        </w:trPr>
        <w:tc>
          <w:tcPr>
            <w:tcW w:w="1350" w:type="dxa"/>
            <w:tcBorders>
              <w:bottom w:val="single" w:sz="8" w:space="0" w:color="666666"/>
            </w:tcBorders>
            <w:shd w:val="clear" w:color="auto" w:fill="FFFFFF"/>
            <w:tcMar>
              <w:top w:w="0" w:type="dxa"/>
              <w:left w:w="0" w:type="dxa"/>
              <w:bottom w:w="0" w:type="dxa"/>
              <w:right w:w="0" w:type="dxa"/>
            </w:tcMar>
          </w:tcPr>
          <w:p w14:paraId="118A5B06" w14:textId="77777777" w:rsidR="00E20A86" w:rsidRPr="001B3C29" w:rsidRDefault="00E20A86" w:rsidP="00EE536E">
            <w:pPr>
              <w:keepNext/>
              <w:spacing w:before="0" w:after="0" w:line="240" w:lineRule="auto"/>
              <w:ind w:left="100" w:right="100" w:firstLine="0"/>
              <w:jc w:val="center"/>
              <w:rPr>
                <w:sz w:val="20"/>
                <w:szCs w:val="20"/>
              </w:rPr>
            </w:pPr>
          </w:p>
        </w:tc>
        <w:tc>
          <w:tcPr>
            <w:tcW w:w="2899" w:type="dxa"/>
            <w:gridSpan w:val="3"/>
            <w:tcBorders>
              <w:bottom w:val="single" w:sz="8" w:space="0" w:color="666666"/>
            </w:tcBorders>
            <w:shd w:val="clear" w:color="auto" w:fill="FFFFFF"/>
            <w:tcMar>
              <w:top w:w="0" w:type="dxa"/>
              <w:left w:w="0" w:type="dxa"/>
              <w:bottom w:w="0" w:type="dxa"/>
              <w:right w:w="0" w:type="dxa"/>
            </w:tcMar>
          </w:tcPr>
          <w:p w14:paraId="03D2B6F9"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color w:val="000000"/>
                <w:sz w:val="20"/>
                <w:szCs w:val="20"/>
              </w:rPr>
              <w:t>Model 0: Unconditional Model</w:t>
            </w:r>
          </w:p>
        </w:tc>
        <w:tc>
          <w:tcPr>
            <w:tcW w:w="3255" w:type="dxa"/>
            <w:gridSpan w:val="3"/>
            <w:tcBorders>
              <w:bottom w:val="single" w:sz="8" w:space="0" w:color="666666"/>
            </w:tcBorders>
            <w:shd w:val="clear" w:color="auto" w:fill="FFFFFF"/>
            <w:tcMar>
              <w:top w:w="0" w:type="dxa"/>
              <w:left w:w="0" w:type="dxa"/>
              <w:bottom w:w="0" w:type="dxa"/>
              <w:right w:w="0" w:type="dxa"/>
            </w:tcMar>
          </w:tcPr>
          <w:p w14:paraId="45C20E00"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color w:val="000000"/>
                <w:sz w:val="20"/>
                <w:szCs w:val="20"/>
              </w:rPr>
              <w:t>Model 1: Random Effect for Time</w:t>
            </w:r>
          </w:p>
        </w:tc>
        <w:tc>
          <w:tcPr>
            <w:tcW w:w="3255" w:type="dxa"/>
            <w:gridSpan w:val="3"/>
            <w:tcBorders>
              <w:bottom w:val="single" w:sz="8" w:space="0" w:color="666666"/>
            </w:tcBorders>
            <w:shd w:val="clear" w:color="auto" w:fill="FFFFFF"/>
            <w:tcMar>
              <w:top w:w="0" w:type="dxa"/>
              <w:left w:w="0" w:type="dxa"/>
              <w:bottom w:w="0" w:type="dxa"/>
              <w:right w:w="0" w:type="dxa"/>
            </w:tcMar>
          </w:tcPr>
          <w:p w14:paraId="40A001E6"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color w:val="000000"/>
                <w:sz w:val="20"/>
                <w:szCs w:val="20"/>
              </w:rPr>
              <w:t>Model 2: Non-Linear Effect for Time</w:t>
            </w:r>
          </w:p>
        </w:tc>
        <w:tc>
          <w:tcPr>
            <w:tcW w:w="3255" w:type="dxa"/>
            <w:gridSpan w:val="3"/>
            <w:tcBorders>
              <w:bottom w:val="single" w:sz="8" w:space="0" w:color="666666"/>
            </w:tcBorders>
            <w:shd w:val="clear" w:color="auto" w:fill="FFFFFF"/>
            <w:tcMar>
              <w:top w:w="0" w:type="dxa"/>
              <w:left w:w="0" w:type="dxa"/>
              <w:bottom w:w="0" w:type="dxa"/>
              <w:right w:w="0" w:type="dxa"/>
            </w:tcMar>
          </w:tcPr>
          <w:p w14:paraId="55759D9C"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color w:val="000000"/>
                <w:sz w:val="20"/>
                <w:szCs w:val="20"/>
              </w:rPr>
              <w:t>Model 3: Conditional Model</w:t>
            </w:r>
          </w:p>
        </w:tc>
      </w:tr>
      <w:tr w:rsidR="00E20A86" w:rsidRPr="001B3C29" w14:paraId="1FEAEF6F" w14:textId="77777777" w:rsidTr="001179F5">
        <w:trPr>
          <w:cantSplit/>
          <w:trHeight w:val="255"/>
          <w:tblHeader/>
          <w:jc w:val="center"/>
        </w:trPr>
        <w:tc>
          <w:tcPr>
            <w:tcW w:w="1350" w:type="dxa"/>
            <w:tcBorders>
              <w:bottom w:val="single" w:sz="8" w:space="0" w:color="666666"/>
            </w:tcBorders>
            <w:shd w:val="clear" w:color="auto" w:fill="FFFFFF"/>
            <w:tcMar>
              <w:top w:w="0" w:type="dxa"/>
              <w:left w:w="0" w:type="dxa"/>
              <w:bottom w:w="0" w:type="dxa"/>
              <w:right w:w="0" w:type="dxa"/>
            </w:tcMar>
          </w:tcPr>
          <w:p w14:paraId="69B963AA"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color w:val="000000"/>
                <w:sz w:val="20"/>
                <w:szCs w:val="20"/>
              </w:rPr>
              <w:t>Variable</w:t>
            </w:r>
          </w:p>
        </w:tc>
        <w:tc>
          <w:tcPr>
            <w:tcW w:w="1090" w:type="dxa"/>
            <w:tcBorders>
              <w:bottom w:val="single" w:sz="8" w:space="0" w:color="666666"/>
            </w:tcBorders>
            <w:shd w:val="clear" w:color="auto" w:fill="FFFFFF"/>
            <w:tcMar>
              <w:top w:w="0" w:type="dxa"/>
              <w:left w:w="0" w:type="dxa"/>
              <w:bottom w:w="0" w:type="dxa"/>
              <w:right w:w="0" w:type="dxa"/>
            </w:tcMar>
          </w:tcPr>
          <w:p w14:paraId="08315E28"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i/>
                <w:color w:val="000000"/>
                <w:sz w:val="20"/>
                <w:szCs w:val="20"/>
              </w:rPr>
              <w:t>Estimate</w:t>
            </w:r>
          </w:p>
        </w:tc>
        <w:tc>
          <w:tcPr>
            <w:tcW w:w="723" w:type="dxa"/>
            <w:tcBorders>
              <w:bottom w:val="single" w:sz="8" w:space="0" w:color="666666"/>
            </w:tcBorders>
            <w:shd w:val="clear" w:color="auto" w:fill="FFFFFF"/>
            <w:tcMar>
              <w:top w:w="0" w:type="dxa"/>
              <w:left w:w="0" w:type="dxa"/>
              <w:bottom w:w="0" w:type="dxa"/>
              <w:right w:w="0" w:type="dxa"/>
            </w:tcMar>
          </w:tcPr>
          <w:p w14:paraId="68F5DF7F"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i/>
                <w:color w:val="000000"/>
                <w:sz w:val="20"/>
                <w:szCs w:val="20"/>
              </w:rPr>
              <w:t>SE</w:t>
            </w:r>
          </w:p>
        </w:tc>
        <w:tc>
          <w:tcPr>
            <w:tcW w:w="1086" w:type="dxa"/>
            <w:tcBorders>
              <w:bottom w:val="single" w:sz="8" w:space="0" w:color="666666"/>
            </w:tcBorders>
            <w:shd w:val="clear" w:color="auto" w:fill="FFFFFF"/>
            <w:tcMar>
              <w:top w:w="0" w:type="dxa"/>
              <w:left w:w="0" w:type="dxa"/>
              <w:bottom w:w="0" w:type="dxa"/>
              <w:right w:w="0" w:type="dxa"/>
            </w:tcMar>
          </w:tcPr>
          <w:p w14:paraId="3B8C0977"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i/>
                <w:color w:val="000000"/>
                <w:sz w:val="20"/>
                <w:szCs w:val="20"/>
              </w:rPr>
              <w:t>p</w:t>
            </w:r>
          </w:p>
        </w:tc>
        <w:tc>
          <w:tcPr>
            <w:tcW w:w="1265" w:type="dxa"/>
            <w:tcBorders>
              <w:bottom w:val="single" w:sz="8" w:space="0" w:color="666666"/>
            </w:tcBorders>
            <w:shd w:val="clear" w:color="auto" w:fill="FFFFFF"/>
            <w:tcMar>
              <w:top w:w="0" w:type="dxa"/>
              <w:left w:w="0" w:type="dxa"/>
              <w:bottom w:w="0" w:type="dxa"/>
              <w:right w:w="0" w:type="dxa"/>
            </w:tcMar>
          </w:tcPr>
          <w:p w14:paraId="0653FD84"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i/>
                <w:color w:val="000000"/>
                <w:sz w:val="20"/>
                <w:szCs w:val="20"/>
              </w:rPr>
              <w:t>Estimate</w:t>
            </w:r>
          </w:p>
        </w:tc>
        <w:tc>
          <w:tcPr>
            <w:tcW w:w="904" w:type="dxa"/>
            <w:tcBorders>
              <w:bottom w:val="single" w:sz="8" w:space="0" w:color="666666"/>
            </w:tcBorders>
            <w:shd w:val="clear" w:color="auto" w:fill="FFFFFF"/>
            <w:tcMar>
              <w:top w:w="0" w:type="dxa"/>
              <w:left w:w="0" w:type="dxa"/>
              <w:bottom w:w="0" w:type="dxa"/>
              <w:right w:w="0" w:type="dxa"/>
            </w:tcMar>
          </w:tcPr>
          <w:p w14:paraId="5F3157EA"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i/>
                <w:color w:val="000000"/>
                <w:sz w:val="20"/>
                <w:szCs w:val="20"/>
              </w:rPr>
              <w:t>SE</w:t>
            </w:r>
          </w:p>
        </w:tc>
        <w:tc>
          <w:tcPr>
            <w:tcW w:w="1086" w:type="dxa"/>
            <w:tcBorders>
              <w:bottom w:val="single" w:sz="8" w:space="0" w:color="666666"/>
            </w:tcBorders>
            <w:shd w:val="clear" w:color="auto" w:fill="FFFFFF"/>
            <w:tcMar>
              <w:top w:w="0" w:type="dxa"/>
              <w:left w:w="0" w:type="dxa"/>
              <w:bottom w:w="0" w:type="dxa"/>
              <w:right w:w="0" w:type="dxa"/>
            </w:tcMar>
          </w:tcPr>
          <w:p w14:paraId="0306973C"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i/>
                <w:color w:val="000000"/>
                <w:sz w:val="20"/>
                <w:szCs w:val="20"/>
              </w:rPr>
              <w:t>p</w:t>
            </w:r>
          </w:p>
        </w:tc>
        <w:tc>
          <w:tcPr>
            <w:tcW w:w="1265" w:type="dxa"/>
            <w:tcBorders>
              <w:bottom w:val="single" w:sz="8" w:space="0" w:color="666666"/>
            </w:tcBorders>
            <w:shd w:val="clear" w:color="auto" w:fill="FFFFFF"/>
            <w:tcMar>
              <w:top w:w="0" w:type="dxa"/>
              <w:left w:w="0" w:type="dxa"/>
              <w:bottom w:w="0" w:type="dxa"/>
              <w:right w:w="0" w:type="dxa"/>
            </w:tcMar>
          </w:tcPr>
          <w:p w14:paraId="2EE48980"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i/>
                <w:color w:val="000000"/>
                <w:sz w:val="20"/>
                <w:szCs w:val="20"/>
              </w:rPr>
              <w:t>Estimate</w:t>
            </w:r>
          </w:p>
        </w:tc>
        <w:tc>
          <w:tcPr>
            <w:tcW w:w="904" w:type="dxa"/>
            <w:tcBorders>
              <w:bottom w:val="single" w:sz="8" w:space="0" w:color="666666"/>
            </w:tcBorders>
            <w:shd w:val="clear" w:color="auto" w:fill="FFFFFF"/>
            <w:tcMar>
              <w:top w:w="0" w:type="dxa"/>
              <w:left w:w="0" w:type="dxa"/>
              <w:bottom w:w="0" w:type="dxa"/>
              <w:right w:w="0" w:type="dxa"/>
            </w:tcMar>
          </w:tcPr>
          <w:p w14:paraId="107BCFE4"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i/>
                <w:color w:val="000000"/>
                <w:sz w:val="20"/>
                <w:szCs w:val="20"/>
              </w:rPr>
              <w:t>SE</w:t>
            </w:r>
          </w:p>
        </w:tc>
        <w:tc>
          <w:tcPr>
            <w:tcW w:w="1086" w:type="dxa"/>
            <w:tcBorders>
              <w:bottom w:val="single" w:sz="8" w:space="0" w:color="666666"/>
            </w:tcBorders>
            <w:shd w:val="clear" w:color="auto" w:fill="FFFFFF"/>
            <w:tcMar>
              <w:top w:w="0" w:type="dxa"/>
              <w:left w:w="0" w:type="dxa"/>
              <w:bottom w:w="0" w:type="dxa"/>
              <w:right w:w="0" w:type="dxa"/>
            </w:tcMar>
          </w:tcPr>
          <w:p w14:paraId="78E326E1"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i/>
                <w:color w:val="000000"/>
                <w:sz w:val="20"/>
                <w:szCs w:val="20"/>
              </w:rPr>
              <w:t>p</w:t>
            </w:r>
          </w:p>
        </w:tc>
        <w:tc>
          <w:tcPr>
            <w:tcW w:w="1085" w:type="dxa"/>
            <w:tcBorders>
              <w:bottom w:val="single" w:sz="8" w:space="0" w:color="666666"/>
            </w:tcBorders>
            <w:shd w:val="clear" w:color="auto" w:fill="FFFFFF"/>
            <w:tcMar>
              <w:top w:w="0" w:type="dxa"/>
              <w:left w:w="0" w:type="dxa"/>
              <w:bottom w:w="0" w:type="dxa"/>
              <w:right w:w="0" w:type="dxa"/>
            </w:tcMar>
          </w:tcPr>
          <w:p w14:paraId="3D5789C3"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i/>
                <w:color w:val="000000"/>
                <w:sz w:val="20"/>
                <w:szCs w:val="20"/>
              </w:rPr>
              <w:t>Estimate</w:t>
            </w:r>
          </w:p>
        </w:tc>
        <w:tc>
          <w:tcPr>
            <w:tcW w:w="1085" w:type="dxa"/>
            <w:tcBorders>
              <w:bottom w:val="single" w:sz="8" w:space="0" w:color="666666"/>
            </w:tcBorders>
            <w:shd w:val="clear" w:color="auto" w:fill="FFFFFF"/>
            <w:tcMar>
              <w:top w:w="0" w:type="dxa"/>
              <w:left w:w="0" w:type="dxa"/>
              <w:bottom w:w="0" w:type="dxa"/>
              <w:right w:w="0" w:type="dxa"/>
            </w:tcMar>
          </w:tcPr>
          <w:p w14:paraId="624CD9C6"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i/>
                <w:color w:val="000000"/>
                <w:sz w:val="20"/>
                <w:szCs w:val="20"/>
              </w:rPr>
              <w:t>SE</w:t>
            </w:r>
          </w:p>
        </w:tc>
        <w:tc>
          <w:tcPr>
            <w:tcW w:w="1085" w:type="dxa"/>
            <w:tcBorders>
              <w:bottom w:val="single" w:sz="8" w:space="0" w:color="666666"/>
            </w:tcBorders>
            <w:shd w:val="clear" w:color="auto" w:fill="FFFFFF"/>
            <w:tcMar>
              <w:top w:w="0" w:type="dxa"/>
              <w:left w:w="0" w:type="dxa"/>
              <w:bottom w:w="0" w:type="dxa"/>
              <w:right w:w="0" w:type="dxa"/>
            </w:tcMar>
          </w:tcPr>
          <w:p w14:paraId="394B7C43" w14:textId="77777777" w:rsidR="00E20A86" w:rsidRPr="001B3C29" w:rsidRDefault="00E20A86" w:rsidP="00EE536E">
            <w:pPr>
              <w:keepNext/>
              <w:spacing w:before="0" w:after="0" w:line="240" w:lineRule="auto"/>
              <w:ind w:left="100" w:right="100" w:firstLine="0"/>
              <w:jc w:val="center"/>
              <w:rPr>
                <w:sz w:val="20"/>
                <w:szCs w:val="20"/>
              </w:rPr>
            </w:pPr>
            <w:r w:rsidRPr="001B3C29">
              <w:rPr>
                <w:rFonts w:eastAsia="Arial"/>
                <w:b/>
                <w:i/>
                <w:color w:val="000000"/>
                <w:sz w:val="20"/>
                <w:szCs w:val="20"/>
              </w:rPr>
              <w:t>p</w:t>
            </w:r>
          </w:p>
        </w:tc>
      </w:tr>
      <w:tr w:rsidR="00E20A86" w:rsidRPr="001B3C29" w14:paraId="51B87275" w14:textId="77777777" w:rsidTr="001179F5">
        <w:trPr>
          <w:cantSplit/>
          <w:trHeight w:val="255"/>
          <w:jc w:val="center"/>
        </w:trPr>
        <w:tc>
          <w:tcPr>
            <w:tcW w:w="1350" w:type="dxa"/>
            <w:shd w:val="clear" w:color="auto" w:fill="F6F6F6"/>
            <w:tcMar>
              <w:top w:w="0" w:type="dxa"/>
              <w:left w:w="0" w:type="dxa"/>
              <w:bottom w:w="0" w:type="dxa"/>
              <w:right w:w="0" w:type="dxa"/>
            </w:tcMar>
            <w:vAlign w:val="center"/>
          </w:tcPr>
          <w:p w14:paraId="12F027AE" w14:textId="77777777" w:rsidR="00E20A86" w:rsidRPr="001B3C29" w:rsidRDefault="00E20A86" w:rsidP="00EE536E">
            <w:pPr>
              <w:keepNext/>
              <w:spacing w:before="0" w:after="0" w:line="240" w:lineRule="auto"/>
              <w:ind w:left="100" w:right="100" w:firstLine="0"/>
              <w:rPr>
                <w:sz w:val="20"/>
                <w:szCs w:val="20"/>
              </w:rPr>
            </w:pPr>
            <w:r w:rsidRPr="001B3C29">
              <w:rPr>
                <w:rFonts w:eastAsia="Arial"/>
                <w:color w:val="000000"/>
                <w:sz w:val="20"/>
                <w:szCs w:val="20"/>
              </w:rPr>
              <w:t>(Intercept)</w:t>
            </w:r>
          </w:p>
        </w:tc>
        <w:tc>
          <w:tcPr>
            <w:tcW w:w="1090" w:type="dxa"/>
            <w:shd w:val="clear" w:color="auto" w:fill="F6F6F6"/>
            <w:tcMar>
              <w:top w:w="0" w:type="dxa"/>
              <w:left w:w="0" w:type="dxa"/>
              <w:bottom w:w="0" w:type="dxa"/>
              <w:right w:w="0" w:type="dxa"/>
            </w:tcMar>
            <w:vAlign w:val="center"/>
          </w:tcPr>
          <w:p w14:paraId="222EF416" w14:textId="77777777" w:rsidR="00E20A86" w:rsidRPr="001B3C29" w:rsidRDefault="00E20A86" w:rsidP="00EE536E">
            <w:pPr>
              <w:keepNext/>
              <w:spacing w:before="0" w:after="0" w:line="240" w:lineRule="auto"/>
              <w:ind w:left="100" w:right="100" w:firstLine="0"/>
              <w:jc w:val="right"/>
              <w:rPr>
                <w:sz w:val="20"/>
                <w:szCs w:val="20"/>
              </w:rPr>
            </w:pPr>
            <w:r w:rsidRPr="001B3C29">
              <w:rPr>
                <w:rFonts w:eastAsia="Arial"/>
                <w:color w:val="000000"/>
                <w:sz w:val="20"/>
                <w:szCs w:val="20"/>
              </w:rPr>
              <w:t>8.561</w:t>
            </w:r>
          </w:p>
        </w:tc>
        <w:tc>
          <w:tcPr>
            <w:tcW w:w="723" w:type="dxa"/>
            <w:shd w:val="clear" w:color="auto" w:fill="F6F6F6"/>
            <w:tcMar>
              <w:top w:w="0" w:type="dxa"/>
              <w:left w:w="0" w:type="dxa"/>
              <w:bottom w:w="0" w:type="dxa"/>
              <w:right w:w="0" w:type="dxa"/>
            </w:tcMar>
            <w:vAlign w:val="center"/>
          </w:tcPr>
          <w:p w14:paraId="7E56BA78" w14:textId="77777777" w:rsidR="00E20A86" w:rsidRPr="001B3C29" w:rsidRDefault="00E20A86" w:rsidP="00EE536E">
            <w:pPr>
              <w:keepNext/>
              <w:spacing w:before="0" w:after="0" w:line="240" w:lineRule="auto"/>
              <w:ind w:left="100" w:right="100" w:firstLine="0"/>
              <w:jc w:val="right"/>
              <w:rPr>
                <w:sz w:val="20"/>
                <w:szCs w:val="20"/>
              </w:rPr>
            </w:pPr>
            <w:r w:rsidRPr="001B3C29">
              <w:rPr>
                <w:rFonts w:eastAsia="Arial"/>
                <w:color w:val="000000"/>
                <w:sz w:val="20"/>
                <w:szCs w:val="20"/>
              </w:rPr>
              <w:t>0.741</w:t>
            </w:r>
          </w:p>
        </w:tc>
        <w:tc>
          <w:tcPr>
            <w:tcW w:w="1086" w:type="dxa"/>
            <w:shd w:val="clear" w:color="auto" w:fill="F6F6F6"/>
            <w:tcMar>
              <w:top w:w="0" w:type="dxa"/>
              <w:left w:w="0" w:type="dxa"/>
              <w:bottom w:w="0" w:type="dxa"/>
              <w:right w:w="0" w:type="dxa"/>
            </w:tcMar>
            <w:vAlign w:val="center"/>
          </w:tcPr>
          <w:p w14:paraId="603C7C90"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b/>
                <w:color w:val="000000"/>
                <w:sz w:val="20"/>
                <w:szCs w:val="20"/>
              </w:rPr>
              <w:t>&lt; 0.001</w:t>
            </w:r>
          </w:p>
        </w:tc>
        <w:tc>
          <w:tcPr>
            <w:tcW w:w="1265" w:type="dxa"/>
            <w:shd w:val="clear" w:color="auto" w:fill="F6F6F6"/>
            <w:tcMar>
              <w:top w:w="0" w:type="dxa"/>
              <w:left w:w="0" w:type="dxa"/>
              <w:bottom w:w="0" w:type="dxa"/>
              <w:right w:w="0" w:type="dxa"/>
            </w:tcMar>
            <w:vAlign w:val="center"/>
          </w:tcPr>
          <w:p w14:paraId="0B837A9B"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8.551</w:t>
            </w:r>
          </w:p>
        </w:tc>
        <w:tc>
          <w:tcPr>
            <w:tcW w:w="904" w:type="dxa"/>
            <w:shd w:val="clear" w:color="auto" w:fill="F6F6F6"/>
            <w:tcMar>
              <w:top w:w="0" w:type="dxa"/>
              <w:left w:w="0" w:type="dxa"/>
              <w:bottom w:w="0" w:type="dxa"/>
              <w:right w:w="0" w:type="dxa"/>
            </w:tcMar>
            <w:vAlign w:val="center"/>
          </w:tcPr>
          <w:p w14:paraId="4E033B10"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0.866</w:t>
            </w:r>
          </w:p>
        </w:tc>
        <w:tc>
          <w:tcPr>
            <w:tcW w:w="1086" w:type="dxa"/>
            <w:shd w:val="clear" w:color="auto" w:fill="F6F6F6"/>
            <w:tcMar>
              <w:top w:w="0" w:type="dxa"/>
              <w:left w:w="0" w:type="dxa"/>
              <w:bottom w:w="0" w:type="dxa"/>
              <w:right w:w="0" w:type="dxa"/>
            </w:tcMar>
            <w:vAlign w:val="center"/>
          </w:tcPr>
          <w:p w14:paraId="6CFDBBD6"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b/>
                <w:color w:val="000000"/>
                <w:sz w:val="20"/>
                <w:szCs w:val="20"/>
              </w:rPr>
              <w:t>&lt; 0.001</w:t>
            </w:r>
          </w:p>
        </w:tc>
        <w:tc>
          <w:tcPr>
            <w:tcW w:w="1265" w:type="dxa"/>
            <w:shd w:val="clear" w:color="auto" w:fill="F6F6F6"/>
            <w:tcMar>
              <w:top w:w="0" w:type="dxa"/>
              <w:left w:w="0" w:type="dxa"/>
              <w:bottom w:w="0" w:type="dxa"/>
              <w:right w:w="0" w:type="dxa"/>
            </w:tcMar>
            <w:vAlign w:val="center"/>
          </w:tcPr>
          <w:p w14:paraId="5D1BF794"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8.690</w:t>
            </w:r>
          </w:p>
        </w:tc>
        <w:tc>
          <w:tcPr>
            <w:tcW w:w="904" w:type="dxa"/>
            <w:shd w:val="clear" w:color="auto" w:fill="F6F6F6"/>
            <w:tcMar>
              <w:top w:w="0" w:type="dxa"/>
              <w:left w:w="0" w:type="dxa"/>
              <w:bottom w:w="0" w:type="dxa"/>
              <w:right w:w="0" w:type="dxa"/>
            </w:tcMar>
            <w:vAlign w:val="center"/>
          </w:tcPr>
          <w:p w14:paraId="14F5C5E8"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0.922</w:t>
            </w:r>
          </w:p>
        </w:tc>
        <w:tc>
          <w:tcPr>
            <w:tcW w:w="1086" w:type="dxa"/>
            <w:shd w:val="clear" w:color="auto" w:fill="F6F6F6"/>
            <w:tcMar>
              <w:top w:w="0" w:type="dxa"/>
              <w:left w:w="0" w:type="dxa"/>
              <w:bottom w:w="0" w:type="dxa"/>
              <w:right w:w="0" w:type="dxa"/>
            </w:tcMar>
            <w:vAlign w:val="center"/>
          </w:tcPr>
          <w:p w14:paraId="33B6004B"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b/>
                <w:color w:val="000000"/>
                <w:sz w:val="20"/>
                <w:szCs w:val="20"/>
              </w:rPr>
              <w:t>&lt; 0.001</w:t>
            </w:r>
          </w:p>
        </w:tc>
        <w:tc>
          <w:tcPr>
            <w:tcW w:w="1085" w:type="dxa"/>
            <w:shd w:val="clear" w:color="auto" w:fill="F6F6F6"/>
            <w:tcMar>
              <w:top w:w="0" w:type="dxa"/>
              <w:left w:w="0" w:type="dxa"/>
              <w:bottom w:w="0" w:type="dxa"/>
              <w:right w:w="0" w:type="dxa"/>
            </w:tcMar>
            <w:vAlign w:val="center"/>
          </w:tcPr>
          <w:p w14:paraId="6835FAC3"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6.133</w:t>
            </w:r>
          </w:p>
        </w:tc>
        <w:tc>
          <w:tcPr>
            <w:tcW w:w="1085" w:type="dxa"/>
            <w:shd w:val="clear" w:color="auto" w:fill="F6F6F6"/>
            <w:tcMar>
              <w:top w:w="0" w:type="dxa"/>
              <w:left w:w="0" w:type="dxa"/>
              <w:bottom w:w="0" w:type="dxa"/>
              <w:right w:w="0" w:type="dxa"/>
            </w:tcMar>
            <w:vAlign w:val="center"/>
          </w:tcPr>
          <w:p w14:paraId="79E1E98C"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4.381</w:t>
            </w:r>
          </w:p>
        </w:tc>
        <w:tc>
          <w:tcPr>
            <w:tcW w:w="1085" w:type="dxa"/>
            <w:shd w:val="clear" w:color="auto" w:fill="F6F6F6"/>
            <w:tcMar>
              <w:top w:w="0" w:type="dxa"/>
              <w:left w:w="0" w:type="dxa"/>
              <w:bottom w:w="0" w:type="dxa"/>
              <w:right w:w="0" w:type="dxa"/>
            </w:tcMar>
            <w:vAlign w:val="center"/>
          </w:tcPr>
          <w:p w14:paraId="6AC99079"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0.165</w:t>
            </w:r>
          </w:p>
        </w:tc>
      </w:tr>
      <w:tr w:rsidR="00E20A86" w:rsidRPr="001B3C29" w14:paraId="7196FDA4" w14:textId="77777777" w:rsidTr="001179F5">
        <w:trPr>
          <w:cantSplit/>
          <w:trHeight w:val="270"/>
          <w:jc w:val="center"/>
        </w:trPr>
        <w:tc>
          <w:tcPr>
            <w:tcW w:w="1350" w:type="dxa"/>
            <w:shd w:val="clear" w:color="auto" w:fill="FFFFFF"/>
            <w:tcMar>
              <w:top w:w="0" w:type="dxa"/>
              <w:left w:w="0" w:type="dxa"/>
              <w:bottom w:w="0" w:type="dxa"/>
              <w:right w:w="0" w:type="dxa"/>
            </w:tcMar>
            <w:vAlign w:val="center"/>
          </w:tcPr>
          <w:p w14:paraId="2C0BE020" w14:textId="77777777" w:rsidR="00E20A86" w:rsidRPr="001B3C29" w:rsidRDefault="00E20A86" w:rsidP="00EE536E">
            <w:pPr>
              <w:keepNext/>
              <w:spacing w:before="0" w:after="0" w:line="240" w:lineRule="auto"/>
              <w:ind w:left="100" w:right="100" w:firstLine="0"/>
              <w:rPr>
                <w:sz w:val="20"/>
                <w:szCs w:val="20"/>
              </w:rPr>
            </w:pPr>
            <w:r w:rsidRPr="001B3C29">
              <w:rPr>
                <w:rFonts w:eastAsia="Arial"/>
                <w:color w:val="000000"/>
                <w:sz w:val="20"/>
                <w:szCs w:val="20"/>
              </w:rPr>
              <w:t>Time</w:t>
            </w:r>
          </w:p>
        </w:tc>
        <w:tc>
          <w:tcPr>
            <w:tcW w:w="1090" w:type="dxa"/>
            <w:shd w:val="clear" w:color="auto" w:fill="FFFFFF"/>
            <w:tcMar>
              <w:top w:w="0" w:type="dxa"/>
              <w:left w:w="0" w:type="dxa"/>
              <w:bottom w:w="0" w:type="dxa"/>
              <w:right w:w="0" w:type="dxa"/>
            </w:tcMar>
            <w:vAlign w:val="center"/>
          </w:tcPr>
          <w:p w14:paraId="5EA1FB7F" w14:textId="77777777" w:rsidR="00E20A86" w:rsidRPr="001B3C29" w:rsidRDefault="00E20A86" w:rsidP="00EE536E">
            <w:pPr>
              <w:keepNext/>
              <w:spacing w:before="0" w:after="0" w:line="240" w:lineRule="auto"/>
              <w:ind w:left="100" w:right="100" w:firstLine="0"/>
              <w:jc w:val="right"/>
              <w:rPr>
                <w:sz w:val="20"/>
                <w:szCs w:val="20"/>
              </w:rPr>
            </w:pPr>
            <w:r w:rsidRPr="001B3C29">
              <w:rPr>
                <w:rFonts w:eastAsia="Arial"/>
                <w:color w:val="000000"/>
                <w:sz w:val="20"/>
                <w:szCs w:val="20"/>
              </w:rPr>
              <w:t>-0.397</w:t>
            </w:r>
          </w:p>
        </w:tc>
        <w:tc>
          <w:tcPr>
            <w:tcW w:w="723" w:type="dxa"/>
            <w:shd w:val="clear" w:color="auto" w:fill="FFFFFF"/>
            <w:tcMar>
              <w:top w:w="0" w:type="dxa"/>
              <w:left w:w="0" w:type="dxa"/>
              <w:bottom w:w="0" w:type="dxa"/>
              <w:right w:w="0" w:type="dxa"/>
            </w:tcMar>
            <w:vAlign w:val="center"/>
          </w:tcPr>
          <w:p w14:paraId="073A291B" w14:textId="77777777" w:rsidR="00E20A86" w:rsidRPr="001B3C29" w:rsidRDefault="00E20A86" w:rsidP="00EE536E">
            <w:pPr>
              <w:keepNext/>
              <w:spacing w:before="0" w:after="0" w:line="240" w:lineRule="auto"/>
              <w:ind w:left="100" w:right="100" w:firstLine="0"/>
              <w:jc w:val="right"/>
              <w:rPr>
                <w:sz w:val="20"/>
                <w:szCs w:val="20"/>
              </w:rPr>
            </w:pPr>
            <w:r w:rsidRPr="001B3C29">
              <w:rPr>
                <w:rFonts w:eastAsia="Arial"/>
                <w:color w:val="000000"/>
                <w:sz w:val="20"/>
                <w:szCs w:val="20"/>
              </w:rPr>
              <w:t>0.051</w:t>
            </w:r>
          </w:p>
        </w:tc>
        <w:tc>
          <w:tcPr>
            <w:tcW w:w="1086" w:type="dxa"/>
            <w:shd w:val="clear" w:color="auto" w:fill="FFFFFF"/>
            <w:tcMar>
              <w:top w:w="0" w:type="dxa"/>
              <w:left w:w="0" w:type="dxa"/>
              <w:bottom w:w="0" w:type="dxa"/>
              <w:right w:w="0" w:type="dxa"/>
            </w:tcMar>
            <w:vAlign w:val="center"/>
          </w:tcPr>
          <w:p w14:paraId="5D47AED9"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b/>
                <w:color w:val="000000"/>
                <w:sz w:val="20"/>
                <w:szCs w:val="20"/>
              </w:rPr>
              <w:t>&lt; 0.001</w:t>
            </w:r>
          </w:p>
        </w:tc>
        <w:tc>
          <w:tcPr>
            <w:tcW w:w="1265" w:type="dxa"/>
            <w:shd w:val="clear" w:color="auto" w:fill="FFFFFF"/>
            <w:tcMar>
              <w:top w:w="0" w:type="dxa"/>
              <w:left w:w="0" w:type="dxa"/>
              <w:bottom w:w="0" w:type="dxa"/>
              <w:right w:w="0" w:type="dxa"/>
            </w:tcMar>
            <w:vAlign w:val="center"/>
          </w:tcPr>
          <w:p w14:paraId="220BA3F5"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-0.387</w:t>
            </w:r>
          </w:p>
        </w:tc>
        <w:tc>
          <w:tcPr>
            <w:tcW w:w="904" w:type="dxa"/>
            <w:shd w:val="clear" w:color="auto" w:fill="FFFFFF"/>
            <w:tcMar>
              <w:top w:w="0" w:type="dxa"/>
              <w:left w:w="0" w:type="dxa"/>
              <w:bottom w:w="0" w:type="dxa"/>
              <w:right w:w="0" w:type="dxa"/>
            </w:tcMar>
            <w:vAlign w:val="center"/>
          </w:tcPr>
          <w:p w14:paraId="339DC1C6"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0.072</w:t>
            </w:r>
          </w:p>
        </w:tc>
        <w:tc>
          <w:tcPr>
            <w:tcW w:w="1086" w:type="dxa"/>
            <w:shd w:val="clear" w:color="auto" w:fill="FFFFFF"/>
            <w:tcMar>
              <w:top w:w="0" w:type="dxa"/>
              <w:left w:w="0" w:type="dxa"/>
              <w:bottom w:w="0" w:type="dxa"/>
              <w:right w:w="0" w:type="dxa"/>
            </w:tcMar>
            <w:vAlign w:val="center"/>
          </w:tcPr>
          <w:p w14:paraId="461FA59E"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b/>
                <w:color w:val="000000"/>
                <w:sz w:val="20"/>
                <w:szCs w:val="20"/>
              </w:rPr>
              <w:t>&lt; 0.001</w:t>
            </w:r>
          </w:p>
        </w:tc>
        <w:tc>
          <w:tcPr>
            <w:tcW w:w="1265" w:type="dxa"/>
            <w:shd w:val="clear" w:color="auto" w:fill="FFFFFF"/>
            <w:tcMar>
              <w:top w:w="0" w:type="dxa"/>
              <w:left w:w="0" w:type="dxa"/>
              <w:bottom w:w="0" w:type="dxa"/>
              <w:right w:w="0" w:type="dxa"/>
            </w:tcMar>
            <w:vAlign w:val="center"/>
          </w:tcPr>
          <w:p w14:paraId="47216C53"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-0.740</w:t>
            </w:r>
          </w:p>
        </w:tc>
        <w:tc>
          <w:tcPr>
            <w:tcW w:w="904" w:type="dxa"/>
            <w:shd w:val="clear" w:color="auto" w:fill="FFFFFF"/>
            <w:tcMar>
              <w:top w:w="0" w:type="dxa"/>
              <w:left w:w="0" w:type="dxa"/>
              <w:bottom w:w="0" w:type="dxa"/>
              <w:right w:w="0" w:type="dxa"/>
            </w:tcMar>
            <w:vAlign w:val="center"/>
          </w:tcPr>
          <w:p w14:paraId="68458265"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0.268</w:t>
            </w:r>
          </w:p>
        </w:tc>
        <w:tc>
          <w:tcPr>
            <w:tcW w:w="1086" w:type="dxa"/>
            <w:shd w:val="clear" w:color="auto" w:fill="FFFFFF"/>
            <w:tcMar>
              <w:top w:w="0" w:type="dxa"/>
              <w:left w:w="0" w:type="dxa"/>
              <w:bottom w:w="0" w:type="dxa"/>
              <w:right w:w="0" w:type="dxa"/>
            </w:tcMar>
            <w:vAlign w:val="center"/>
          </w:tcPr>
          <w:p w14:paraId="4DA83927"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b/>
                <w:color w:val="000000"/>
                <w:sz w:val="20"/>
                <w:szCs w:val="20"/>
              </w:rPr>
              <w:t>0.008</w:t>
            </w:r>
          </w:p>
        </w:tc>
        <w:tc>
          <w:tcPr>
            <w:tcW w:w="1085" w:type="dxa"/>
            <w:shd w:val="clear" w:color="auto" w:fill="FFFFFF"/>
            <w:tcMar>
              <w:top w:w="0" w:type="dxa"/>
              <w:left w:w="0" w:type="dxa"/>
              <w:bottom w:w="0" w:type="dxa"/>
              <w:right w:w="0" w:type="dxa"/>
            </w:tcMar>
            <w:vAlign w:val="center"/>
          </w:tcPr>
          <w:p w14:paraId="49A56C8D"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-0.393</w:t>
            </w:r>
          </w:p>
        </w:tc>
        <w:tc>
          <w:tcPr>
            <w:tcW w:w="1085" w:type="dxa"/>
            <w:shd w:val="clear" w:color="auto" w:fill="FFFFFF"/>
            <w:tcMar>
              <w:top w:w="0" w:type="dxa"/>
              <w:left w:w="0" w:type="dxa"/>
              <w:bottom w:w="0" w:type="dxa"/>
              <w:right w:w="0" w:type="dxa"/>
            </w:tcMar>
            <w:vAlign w:val="center"/>
          </w:tcPr>
          <w:p w14:paraId="6A423FD3"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0.073</w:t>
            </w:r>
          </w:p>
        </w:tc>
        <w:tc>
          <w:tcPr>
            <w:tcW w:w="1085" w:type="dxa"/>
            <w:shd w:val="clear" w:color="auto" w:fill="FFFFFF"/>
            <w:tcMar>
              <w:top w:w="0" w:type="dxa"/>
              <w:left w:w="0" w:type="dxa"/>
              <w:bottom w:w="0" w:type="dxa"/>
              <w:right w:w="0" w:type="dxa"/>
            </w:tcMar>
            <w:vAlign w:val="center"/>
          </w:tcPr>
          <w:p w14:paraId="0A97835B"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b/>
                <w:color w:val="000000"/>
                <w:sz w:val="20"/>
                <w:szCs w:val="20"/>
              </w:rPr>
              <w:t>&lt; 0.001</w:t>
            </w:r>
          </w:p>
        </w:tc>
      </w:tr>
      <w:tr w:rsidR="00E20A86" w:rsidRPr="001B3C29" w14:paraId="07F1A230" w14:textId="77777777" w:rsidTr="001179F5">
        <w:trPr>
          <w:cantSplit/>
          <w:trHeight w:val="255"/>
          <w:jc w:val="center"/>
        </w:trPr>
        <w:tc>
          <w:tcPr>
            <w:tcW w:w="1350" w:type="dxa"/>
            <w:shd w:val="clear" w:color="auto" w:fill="F6F6F6"/>
            <w:tcMar>
              <w:top w:w="0" w:type="dxa"/>
              <w:left w:w="0" w:type="dxa"/>
              <w:bottom w:w="0" w:type="dxa"/>
              <w:right w:w="0" w:type="dxa"/>
            </w:tcMar>
            <w:vAlign w:val="center"/>
          </w:tcPr>
          <w:p w14:paraId="488D76A3" w14:textId="77777777" w:rsidR="00E20A86" w:rsidRPr="001B3C29" w:rsidRDefault="00E20A86" w:rsidP="00EE536E">
            <w:pPr>
              <w:keepNext/>
              <w:spacing w:before="0" w:after="0" w:line="240" w:lineRule="auto"/>
              <w:ind w:left="100" w:right="100" w:firstLine="0"/>
              <w:rPr>
                <w:sz w:val="20"/>
                <w:szCs w:val="20"/>
              </w:rPr>
            </w:pPr>
            <w:r w:rsidRPr="001B3C29">
              <w:rPr>
                <w:rFonts w:eastAsia="Arial"/>
                <w:i/>
                <w:color w:val="000000"/>
                <w:sz w:val="20"/>
                <w:szCs w:val="20"/>
              </w:rPr>
              <w:t>Time</w:t>
            </w:r>
            <w:r w:rsidRPr="001B3C29">
              <w:rPr>
                <w:rFonts w:eastAsia="Arial"/>
                <w:color w:val="000000"/>
                <w:sz w:val="20"/>
                <w:szCs w:val="20"/>
                <w:vertAlign w:val="superscript"/>
              </w:rPr>
              <w:t>2</w:t>
            </w:r>
          </w:p>
        </w:tc>
        <w:tc>
          <w:tcPr>
            <w:tcW w:w="1090" w:type="dxa"/>
            <w:shd w:val="clear" w:color="auto" w:fill="F6F6F6"/>
            <w:tcMar>
              <w:top w:w="0" w:type="dxa"/>
              <w:left w:w="0" w:type="dxa"/>
              <w:bottom w:w="0" w:type="dxa"/>
              <w:right w:w="0" w:type="dxa"/>
            </w:tcMar>
            <w:vAlign w:val="center"/>
          </w:tcPr>
          <w:p w14:paraId="760D2101" w14:textId="77777777" w:rsidR="00E20A86" w:rsidRPr="001B3C29" w:rsidRDefault="00E20A86" w:rsidP="00EE536E">
            <w:pPr>
              <w:keepNext/>
              <w:spacing w:before="0" w:after="0" w:line="240" w:lineRule="auto"/>
              <w:ind w:left="100" w:right="100" w:firstLine="0"/>
              <w:jc w:val="right"/>
              <w:rPr>
                <w:sz w:val="20"/>
                <w:szCs w:val="20"/>
              </w:rPr>
            </w:pPr>
          </w:p>
        </w:tc>
        <w:tc>
          <w:tcPr>
            <w:tcW w:w="723" w:type="dxa"/>
            <w:shd w:val="clear" w:color="auto" w:fill="F6F6F6"/>
            <w:tcMar>
              <w:top w:w="0" w:type="dxa"/>
              <w:left w:w="0" w:type="dxa"/>
              <w:bottom w:w="0" w:type="dxa"/>
              <w:right w:w="0" w:type="dxa"/>
            </w:tcMar>
            <w:vAlign w:val="center"/>
          </w:tcPr>
          <w:p w14:paraId="70B822BD"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shd w:val="clear" w:color="auto" w:fill="F6F6F6"/>
            <w:tcMar>
              <w:top w:w="0" w:type="dxa"/>
              <w:left w:w="0" w:type="dxa"/>
              <w:bottom w:w="0" w:type="dxa"/>
              <w:right w:w="0" w:type="dxa"/>
            </w:tcMar>
            <w:vAlign w:val="center"/>
          </w:tcPr>
          <w:p w14:paraId="6319A4C5"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6F6F6"/>
            <w:tcMar>
              <w:top w:w="0" w:type="dxa"/>
              <w:left w:w="0" w:type="dxa"/>
              <w:bottom w:w="0" w:type="dxa"/>
              <w:right w:w="0" w:type="dxa"/>
            </w:tcMar>
            <w:vAlign w:val="center"/>
          </w:tcPr>
          <w:p w14:paraId="69D2F9FF" w14:textId="77777777" w:rsidR="00E20A86" w:rsidRPr="001B3C29" w:rsidRDefault="00E20A86" w:rsidP="001B3C29">
            <w:pPr>
              <w:keepNext/>
              <w:spacing w:before="0" w:after="0" w:line="240" w:lineRule="auto"/>
              <w:ind w:left="100" w:right="100" w:firstLine="0"/>
              <w:jc w:val="right"/>
              <w:rPr>
                <w:sz w:val="20"/>
                <w:szCs w:val="20"/>
              </w:rPr>
            </w:pPr>
          </w:p>
        </w:tc>
        <w:tc>
          <w:tcPr>
            <w:tcW w:w="904" w:type="dxa"/>
            <w:shd w:val="clear" w:color="auto" w:fill="F6F6F6"/>
            <w:tcMar>
              <w:top w:w="0" w:type="dxa"/>
              <w:left w:w="0" w:type="dxa"/>
              <w:bottom w:w="0" w:type="dxa"/>
              <w:right w:w="0" w:type="dxa"/>
            </w:tcMar>
            <w:vAlign w:val="center"/>
          </w:tcPr>
          <w:p w14:paraId="5DCDA312"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6F6F6"/>
            <w:tcMar>
              <w:top w:w="0" w:type="dxa"/>
              <w:left w:w="0" w:type="dxa"/>
              <w:bottom w:w="0" w:type="dxa"/>
              <w:right w:w="0" w:type="dxa"/>
            </w:tcMar>
            <w:vAlign w:val="center"/>
          </w:tcPr>
          <w:p w14:paraId="34F5D7E9"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6F6F6"/>
            <w:tcMar>
              <w:top w:w="0" w:type="dxa"/>
              <w:left w:w="0" w:type="dxa"/>
              <w:bottom w:w="0" w:type="dxa"/>
              <w:right w:w="0" w:type="dxa"/>
            </w:tcMar>
            <w:vAlign w:val="center"/>
          </w:tcPr>
          <w:p w14:paraId="5668CE79"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0.089</w:t>
            </w:r>
          </w:p>
        </w:tc>
        <w:tc>
          <w:tcPr>
            <w:tcW w:w="904" w:type="dxa"/>
            <w:shd w:val="clear" w:color="auto" w:fill="F6F6F6"/>
            <w:tcMar>
              <w:top w:w="0" w:type="dxa"/>
              <w:left w:w="0" w:type="dxa"/>
              <w:bottom w:w="0" w:type="dxa"/>
              <w:right w:w="0" w:type="dxa"/>
            </w:tcMar>
            <w:vAlign w:val="center"/>
          </w:tcPr>
          <w:p w14:paraId="0DC5E714"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0.054</w:t>
            </w:r>
          </w:p>
        </w:tc>
        <w:tc>
          <w:tcPr>
            <w:tcW w:w="1086" w:type="dxa"/>
            <w:shd w:val="clear" w:color="auto" w:fill="F6F6F6"/>
            <w:tcMar>
              <w:top w:w="0" w:type="dxa"/>
              <w:left w:w="0" w:type="dxa"/>
              <w:bottom w:w="0" w:type="dxa"/>
              <w:right w:w="0" w:type="dxa"/>
            </w:tcMar>
            <w:vAlign w:val="center"/>
          </w:tcPr>
          <w:p w14:paraId="7C3EAC0D"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0.105</w:t>
            </w:r>
          </w:p>
        </w:tc>
        <w:tc>
          <w:tcPr>
            <w:tcW w:w="1085" w:type="dxa"/>
            <w:shd w:val="clear" w:color="auto" w:fill="F6F6F6"/>
            <w:tcMar>
              <w:top w:w="0" w:type="dxa"/>
              <w:left w:w="0" w:type="dxa"/>
              <w:bottom w:w="0" w:type="dxa"/>
              <w:right w:w="0" w:type="dxa"/>
            </w:tcMar>
            <w:vAlign w:val="center"/>
          </w:tcPr>
          <w:p w14:paraId="0B5B5AFF"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6F6F6"/>
            <w:tcMar>
              <w:top w:w="0" w:type="dxa"/>
              <w:left w:w="0" w:type="dxa"/>
              <w:bottom w:w="0" w:type="dxa"/>
              <w:right w:w="0" w:type="dxa"/>
            </w:tcMar>
            <w:vAlign w:val="center"/>
          </w:tcPr>
          <w:p w14:paraId="4ABEAE3F"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6F6F6"/>
            <w:tcMar>
              <w:top w:w="0" w:type="dxa"/>
              <w:left w:w="0" w:type="dxa"/>
              <w:bottom w:w="0" w:type="dxa"/>
              <w:right w:w="0" w:type="dxa"/>
            </w:tcMar>
            <w:vAlign w:val="center"/>
          </w:tcPr>
          <w:p w14:paraId="102F76EA" w14:textId="77777777" w:rsidR="00E20A86" w:rsidRPr="001B3C29" w:rsidRDefault="00E20A86" w:rsidP="001B3C29">
            <w:pPr>
              <w:keepNext/>
              <w:spacing w:before="0" w:after="0" w:line="240" w:lineRule="auto"/>
              <w:ind w:left="100" w:right="100" w:firstLine="0"/>
              <w:jc w:val="right"/>
              <w:rPr>
                <w:sz w:val="20"/>
                <w:szCs w:val="20"/>
              </w:rPr>
            </w:pPr>
          </w:p>
        </w:tc>
      </w:tr>
      <w:tr w:rsidR="00E20A86" w:rsidRPr="001B3C29" w14:paraId="52BFE954" w14:textId="77777777" w:rsidTr="001179F5">
        <w:trPr>
          <w:cantSplit/>
          <w:trHeight w:val="795"/>
          <w:jc w:val="center"/>
        </w:trPr>
        <w:tc>
          <w:tcPr>
            <w:tcW w:w="1350" w:type="dxa"/>
            <w:shd w:val="clear" w:color="auto" w:fill="FFFFFF"/>
            <w:tcMar>
              <w:top w:w="0" w:type="dxa"/>
              <w:left w:w="0" w:type="dxa"/>
              <w:bottom w:w="0" w:type="dxa"/>
              <w:right w:w="0" w:type="dxa"/>
            </w:tcMar>
            <w:vAlign w:val="center"/>
          </w:tcPr>
          <w:p w14:paraId="5BE7C13C" w14:textId="77777777" w:rsidR="00E20A86" w:rsidRPr="001B3C29" w:rsidRDefault="00E20A86" w:rsidP="00EE536E">
            <w:pPr>
              <w:keepNext/>
              <w:spacing w:before="0" w:after="0" w:line="240" w:lineRule="auto"/>
              <w:ind w:left="100" w:right="100" w:firstLine="0"/>
              <w:rPr>
                <w:sz w:val="20"/>
                <w:szCs w:val="20"/>
              </w:rPr>
            </w:pPr>
            <w:r w:rsidRPr="001B3C29">
              <w:rPr>
                <w:rFonts w:eastAsia="Arial"/>
                <w:color w:val="000000"/>
                <w:sz w:val="20"/>
                <w:szCs w:val="20"/>
              </w:rPr>
              <w:t>Scientific Literacy (within)</w:t>
            </w:r>
          </w:p>
        </w:tc>
        <w:tc>
          <w:tcPr>
            <w:tcW w:w="1090" w:type="dxa"/>
            <w:shd w:val="clear" w:color="auto" w:fill="FFFFFF"/>
            <w:tcMar>
              <w:top w:w="0" w:type="dxa"/>
              <w:left w:w="0" w:type="dxa"/>
              <w:bottom w:w="0" w:type="dxa"/>
              <w:right w:w="0" w:type="dxa"/>
            </w:tcMar>
            <w:vAlign w:val="center"/>
          </w:tcPr>
          <w:p w14:paraId="64ED04AB" w14:textId="77777777" w:rsidR="00E20A86" w:rsidRPr="001B3C29" w:rsidRDefault="00E20A86" w:rsidP="00EE536E">
            <w:pPr>
              <w:keepNext/>
              <w:spacing w:before="0" w:after="0" w:line="240" w:lineRule="auto"/>
              <w:ind w:left="100" w:right="100" w:firstLine="0"/>
              <w:jc w:val="right"/>
              <w:rPr>
                <w:sz w:val="20"/>
                <w:szCs w:val="20"/>
              </w:rPr>
            </w:pPr>
          </w:p>
        </w:tc>
        <w:tc>
          <w:tcPr>
            <w:tcW w:w="723" w:type="dxa"/>
            <w:shd w:val="clear" w:color="auto" w:fill="FFFFFF"/>
            <w:tcMar>
              <w:top w:w="0" w:type="dxa"/>
              <w:left w:w="0" w:type="dxa"/>
              <w:bottom w:w="0" w:type="dxa"/>
              <w:right w:w="0" w:type="dxa"/>
            </w:tcMar>
            <w:vAlign w:val="center"/>
          </w:tcPr>
          <w:p w14:paraId="73D90735"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shd w:val="clear" w:color="auto" w:fill="FFFFFF"/>
            <w:tcMar>
              <w:top w:w="0" w:type="dxa"/>
              <w:left w:w="0" w:type="dxa"/>
              <w:bottom w:w="0" w:type="dxa"/>
              <w:right w:w="0" w:type="dxa"/>
            </w:tcMar>
            <w:vAlign w:val="center"/>
          </w:tcPr>
          <w:p w14:paraId="67F67C74"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FFFFF"/>
            <w:tcMar>
              <w:top w:w="0" w:type="dxa"/>
              <w:left w:w="0" w:type="dxa"/>
              <w:bottom w:w="0" w:type="dxa"/>
              <w:right w:w="0" w:type="dxa"/>
            </w:tcMar>
            <w:vAlign w:val="center"/>
          </w:tcPr>
          <w:p w14:paraId="7611663F" w14:textId="77777777" w:rsidR="00E20A86" w:rsidRPr="001B3C29" w:rsidRDefault="00E20A86" w:rsidP="001B3C29">
            <w:pPr>
              <w:keepNext/>
              <w:spacing w:before="0" w:after="0" w:line="240" w:lineRule="auto"/>
              <w:ind w:left="100" w:right="100" w:firstLine="0"/>
              <w:jc w:val="right"/>
              <w:rPr>
                <w:sz w:val="20"/>
                <w:szCs w:val="20"/>
              </w:rPr>
            </w:pPr>
          </w:p>
        </w:tc>
        <w:tc>
          <w:tcPr>
            <w:tcW w:w="904" w:type="dxa"/>
            <w:shd w:val="clear" w:color="auto" w:fill="FFFFFF"/>
            <w:tcMar>
              <w:top w:w="0" w:type="dxa"/>
              <w:left w:w="0" w:type="dxa"/>
              <w:bottom w:w="0" w:type="dxa"/>
              <w:right w:w="0" w:type="dxa"/>
            </w:tcMar>
            <w:vAlign w:val="center"/>
          </w:tcPr>
          <w:p w14:paraId="148C859C"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FFFFF"/>
            <w:tcMar>
              <w:top w:w="0" w:type="dxa"/>
              <w:left w:w="0" w:type="dxa"/>
              <w:bottom w:w="0" w:type="dxa"/>
              <w:right w:w="0" w:type="dxa"/>
            </w:tcMar>
            <w:vAlign w:val="center"/>
          </w:tcPr>
          <w:p w14:paraId="6DEE7BEC"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FFFFF"/>
            <w:tcMar>
              <w:top w:w="0" w:type="dxa"/>
              <w:left w:w="0" w:type="dxa"/>
              <w:bottom w:w="0" w:type="dxa"/>
              <w:right w:w="0" w:type="dxa"/>
            </w:tcMar>
            <w:vAlign w:val="center"/>
          </w:tcPr>
          <w:p w14:paraId="71150D29" w14:textId="77777777" w:rsidR="00E20A86" w:rsidRPr="001B3C29" w:rsidRDefault="00E20A86" w:rsidP="001B3C29">
            <w:pPr>
              <w:keepNext/>
              <w:spacing w:before="0" w:after="0" w:line="240" w:lineRule="auto"/>
              <w:ind w:left="100" w:right="100" w:firstLine="0"/>
              <w:jc w:val="right"/>
              <w:rPr>
                <w:sz w:val="20"/>
                <w:szCs w:val="20"/>
              </w:rPr>
            </w:pPr>
          </w:p>
        </w:tc>
        <w:tc>
          <w:tcPr>
            <w:tcW w:w="904" w:type="dxa"/>
            <w:shd w:val="clear" w:color="auto" w:fill="FFFFFF"/>
            <w:tcMar>
              <w:top w:w="0" w:type="dxa"/>
              <w:left w:w="0" w:type="dxa"/>
              <w:bottom w:w="0" w:type="dxa"/>
              <w:right w:w="0" w:type="dxa"/>
            </w:tcMar>
            <w:vAlign w:val="center"/>
          </w:tcPr>
          <w:p w14:paraId="4FA6C49F"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FFFFF"/>
            <w:tcMar>
              <w:top w:w="0" w:type="dxa"/>
              <w:left w:w="0" w:type="dxa"/>
              <w:bottom w:w="0" w:type="dxa"/>
              <w:right w:w="0" w:type="dxa"/>
            </w:tcMar>
            <w:vAlign w:val="center"/>
          </w:tcPr>
          <w:p w14:paraId="4BD1E2CD"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FFFFF"/>
            <w:tcMar>
              <w:top w:w="0" w:type="dxa"/>
              <w:left w:w="0" w:type="dxa"/>
              <w:bottom w:w="0" w:type="dxa"/>
              <w:right w:w="0" w:type="dxa"/>
            </w:tcMar>
            <w:vAlign w:val="center"/>
          </w:tcPr>
          <w:p w14:paraId="4DF6A08C"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-0.002</w:t>
            </w:r>
          </w:p>
        </w:tc>
        <w:tc>
          <w:tcPr>
            <w:tcW w:w="1085" w:type="dxa"/>
            <w:shd w:val="clear" w:color="auto" w:fill="FFFFFF"/>
            <w:tcMar>
              <w:top w:w="0" w:type="dxa"/>
              <w:left w:w="0" w:type="dxa"/>
              <w:bottom w:w="0" w:type="dxa"/>
              <w:right w:w="0" w:type="dxa"/>
            </w:tcMar>
            <w:vAlign w:val="center"/>
          </w:tcPr>
          <w:p w14:paraId="0979FF0B"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0.006</w:t>
            </w:r>
          </w:p>
        </w:tc>
        <w:tc>
          <w:tcPr>
            <w:tcW w:w="1085" w:type="dxa"/>
            <w:shd w:val="clear" w:color="auto" w:fill="FFFFFF"/>
            <w:tcMar>
              <w:top w:w="0" w:type="dxa"/>
              <w:left w:w="0" w:type="dxa"/>
              <w:bottom w:w="0" w:type="dxa"/>
              <w:right w:w="0" w:type="dxa"/>
            </w:tcMar>
            <w:vAlign w:val="center"/>
          </w:tcPr>
          <w:p w14:paraId="2839F6DB"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0.782</w:t>
            </w:r>
          </w:p>
        </w:tc>
      </w:tr>
      <w:tr w:rsidR="00E20A86" w:rsidRPr="001B3C29" w14:paraId="690C972A" w14:textId="77777777" w:rsidTr="001179F5">
        <w:trPr>
          <w:cantSplit/>
          <w:trHeight w:val="795"/>
          <w:jc w:val="center"/>
        </w:trPr>
        <w:tc>
          <w:tcPr>
            <w:tcW w:w="1350" w:type="dxa"/>
            <w:tcBorders>
              <w:bottom w:val="single" w:sz="12" w:space="0" w:color="000000"/>
            </w:tcBorders>
            <w:shd w:val="clear" w:color="auto" w:fill="F6F6F6"/>
            <w:tcMar>
              <w:top w:w="0" w:type="dxa"/>
              <w:left w:w="0" w:type="dxa"/>
              <w:bottom w:w="0" w:type="dxa"/>
              <w:right w:w="0" w:type="dxa"/>
            </w:tcMar>
            <w:vAlign w:val="center"/>
          </w:tcPr>
          <w:p w14:paraId="27671714" w14:textId="77777777" w:rsidR="00E20A86" w:rsidRPr="001B3C29" w:rsidRDefault="00E20A86" w:rsidP="00EE536E">
            <w:pPr>
              <w:keepNext/>
              <w:spacing w:before="0" w:after="0" w:line="240" w:lineRule="auto"/>
              <w:ind w:left="100" w:right="100" w:firstLine="0"/>
              <w:rPr>
                <w:sz w:val="20"/>
                <w:szCs w:val="20"/>
              </w:rPr>
            </w:pPr>
            <w:r w:rsidRPr="001B3C29">
              <w:rPr>
                <w:rFonts w:eastAsia="Arial"/>
                <w:color w:val="000000"/>
                <w:sz w:val="20"/>
                <w:szCs w:val="20"/>
              </w:rPr>
              <w:t>Scientific Literacy (between)</w:t>
            </w:r>
          </w:p>
        </w:tc>
        <w:tc>
          <w:tcPr>
            <w:tcW w:w="1090" w:type="dxa"/>
            <w:tcBorders>
              <w:bottom w:val="single" w:sz="12" w:space="0" w:color="000000"/>
            </w:tcBorders>
            <w:shd w:val="clear" w:color="auto" w:fill="F6F6F6"/>
            <w:tcMar>
              <w:top w:w="0" w:type="dxa"/>
              <w:left w:w="0" w:type="dxa"/>
              <w:bottom w:w="0" w:type="dxa"/>
              <w:right w:w="0" w:type="dxa"/>
            </w:tcMar>
            <w:vAlign w:val="center"/>
          </w:tcPr>
          <w:p w14:paraId="38ED32C2" w14:textId="77777777" w:rsidR="00E20A86" w:rsidRPr="001B3C29" w:rsidRDefault="00E20A86" w:rsidP="00EE536E">
            <w:pPr>
              <w:keepNext/>
              <w:spacing w:before="0" w:after="0" w:line="240" w:lineRule="auto"/>
              <w:ind w:left="100" w:right="100" w:firstLine="0"/>
              <w:jc w:val="right"/>
              <w:rPr>
                <w:sz w:val="20"/>
                <w:szCs w:val="20"/>
              </w:rPr>
            </w:pPr>
          </w:p>
        </w:tc>
        <w:tc>
          <w:tcPr>
            <w:tcW w:w="723" w:type="dxa"/>
            <w:tcBorders>
              <w:bottom w:val="single" w:sz="12" w:space="0" w:color="000000"/>
            </w:tcBorders>
            <w:shd w:val="clear" w:color="auto" w:fill="F6F6F6"/>
            <w:tcMar>
              <w:top w:w="0" w:type="dxa"/>
              <w:left w:w="0" w:type="dxa"/>
              <w:bottom w:w="0" w:type="dxa"/>
              <w:right w:w="0" w:type="dxa"/>
            </w:tcMar>
            <w:vAlign w:val="center"/>
          </w:tcPr>
          <w:p w14:paraId="7EC103CE"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tcBorders>
              <w:bottom w:val="single" w:sz="12" w:space="0" w:color="000000"/>
            </w:tcBorders>
            <w:shd w:val="clear" w:color="auto" w:fill="F6F6F6"/>
            <w:tcMar>
              <w:top w:w="0" w:type="dxa"/>
              <w:left w:w="0" w:type="dxa"/>
              <w:bottom w:w="0" w:type="dxa"/>
              <w:right w:w="0" w:type="dxa"/>
            </w:tcMar>
            <w:vAlign w:val="center"/>
          </w:tcPr>
          <w:p w14:paraId="4DBBF30A"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tcBorders>
              <w:bottom w:val="single" w:sz="12" w:space="0" w:color="000000"/>
            </w:tcBorders>
            <w:shd w:val="clear" w:color="auto" w:fill="F6F6F6"/>
            <w:tcMar>
              <w:top w:w="0" w:type="dxa"/>
              <w:left w:w="0" w:type="dxa"/>
              <w:bottom w:w="0" w:type="dxa"/>
              <w:right w:w="0" w:type="dxa"/>
            </w:tcMar>
            <w:vAlign w:val="center"/>
          </w:tcPr>
          <w:p w14:paraId="3E67B48E" w14:textId="77777777" w:rsidR="00E20A86" w:rsidRPr="001B3C29" w:rsidRDefault="00E20A86" w:rsidP="001B3C29">
            <w:pPr>
              <w:keepNext/>
              <w:spacing w:before="0" w:after="0" w:line="240" w:lineRule="auto"/>
              <w:ind w:left="100" w:right="100" w:firstLine="0"/>
              <w:jc w:val="right"/>
              <w:rPr>
                <w:sz w:val="20"/>
                <w:szCs w:val="20"/>
              </w:rPr>
            </w:pPr>
          </w:p>
        </w:tc>
        <w:tc>
          <w:tcPr>
            <w:tcW w:w="904" w:type="dxa"/>
            <w:tcBorders>
              <w:bottom w:val="single" w:sz="12" w:space="0" w:color="000000"/>
            </w:tcBorders>
            <w:shd w:val="clear" w:color="auto" w:fill="F6F6F6"/>
            <w:tcMar>
              <w:top w:w="0" w:type="dxa"/>
              <w:left w:w="0" w:type="dxa"/>
              <w:bottom w:w="0" w:type="dxa"/>
              <w:right w:w="0" w:type="dxa"/>
            </w:tcMar>
            <w:vAlign w:val="center"/>
          </w:tcPr>
          <w:p w14:paraId="2B8670F9"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tcBorders>
              <w:bottom w:val="single" w:sz="12" w:space="0" w:color="000000"/>
            </w:tcBorders>
            <w:shd w:val="clear" w:color="auto" w:fill="F6F6F6"/>
            <w:tcMar>
              <w:top w:w="0" w:type="dxa"/>
              <w:left w:w="0" w:type="dxa"/>
              <w:bottom w:w="0" w:type="dxa"/>
              <w:right w:w="0" w:type="dxa"/>
            </w:tcMar>
            <w:vAlign w:val="center"/>
          </w:tcPr>
          <w:p w14:paraId="5FA8BB93"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tcBorders>
              <w:bottom w:val="single" w:sz="12" w:space="0" w:color="000000"/>
            </w:tcBorders>
            <w:shd w:val="clear" w:color="auto" w:fill="F6F6F6"/>
            <w:tcMar>
              <w:top w:w="0" w:type="dxa"/>
              <w:left w:w="0" w:type="dxa"/>
              <w:bottom w:w="0" w:type="dxa"/>
              <w:right w:w="0" w:type="dxa"/>
            </w:tcMar>
            <w:vAlign w:val="center"/>
          </w:tcPr>
          <w:p w14:paraId="6730DC4E" w14:textId="77777777" w:rsidR="00E20A86" w:rsidRPr="001B3C29" w:rsidRDefault="00E20A86" w:rsidP="001B3C29">
            <w:pPr>
              <w:keepNext/>
              <w:spacing w:before="0" w:after="0" w:line="240" w:lineRule="auto"/>
              <w:ind w:left="100" w:right="100" w:firstLine="0"/>
              <w:jc w:val="right"/>
              <w:rPr>
                <w:sz w:val="20"/>
                <w:szCs w:val="20"/>
              </w:rPr>
            </w:pPr>
          </w:p>
        </w:tc>
        <w:tc>
          <w:tcPr>
            <w:tcW w:w="904" w:type="dxa"/>
            <w:tcBorders>
              <w:bottom w:val="single" w:sz="12" w:space="0" w:color="000000"/>
            </w:tcBorders>
            <w:shd w:val="clear" w:color="auto" w:fill="F6F6F6"/>
            <w:tcMar>
              <w:top w:w="0" w:type="dxa"/>
              <w:left w:w="0" w:type="dxa"/>
              <w:bottom w:w="0" w:type="dxa"/>
              <w:right w:w="0" w:type="dxa"/>
            </w:tcMar>
            <w:vAlign w:val="center"/>
          </w:tcPr>
          <w:p w14:paraId="5880775F"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tcBorders>
              <w:bottom w:val="single" w:sz="12" w:space="0" w:color="000000"/>
            </w:tcBorders>
            <w:shd w:val="clear" w:color="auto" w:fill="F6F6F6"/>
            <w:tcMar>
              <w:top w:w="0" w:type="dxa"/>
              <w:left w:w="0" w:type="dxa"/>
              <w:bottom w:w="0" w:type="dxa"/>
              <w:right w:w="0" w:type="dxa"/>
            </w:tcMar>
            <w:vAlign w:val="center"/>
          </w:tcPr>
          <w:p w14:paraId="53706BF3"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tcBorders>
              <w:bottom w:val="single" w:sz="12" w:space="0" w:color="000000"/>
            </w:tcBorders>
            <w:shd w:val="clear" w:color="auto" w:fill="F6F6F6"/>
            <w:tcMar>
              <w:top w:w="0" w:type="dxa"/>
              <w:left w:w="0" w:type="dxa"/>
              <w:bottom w:w="0" w:type="dxa"/>
              <w:right w:w="0" w:type="dxa"/>
            </w:tcMar>
            <w:vAlign w:val="center"/>
          </w:tcPr>
          <w:p w14:paraId="1AEA2D76"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0.005</w:t>
            </w:r>
          </w:p>
        </w:tc>
        <w:tc>
          <w:tcPr>
            <w:tcW w:w="1085" w:type="dxa"/>
            <w:tcBorders>
              <w:bottom w:val="single" w:sz="12" w:space="0" w:color="000000"/>
            </w:tcBorders>
            <w:shd w:val="clear" w:color="auto" w:fill="F6F6F6"/>
            <w:tcMar>
              <w:top w:w="0" w:type="dxa"/>
              <w:left w:w="0" w:type="dxa"/>
              <w:bottom w:w="0" w:type="dxa"/>
              <w:right w:w="0" w:type="dxa"/>
            </w:tcMar>
            <w:vAlign w:val="center"/>
          </w:tcPr>
          <w:p w14:paraId="24DEB5BA"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0.009</w:t>
            </w:r>
          </w:p>
        </w:tc>
        <w:tc>
          <w:tcPr>
            <w:tcW w:w="1085" w:type="dxa"/>
            <w:tcBorders>
              <w:bottom w:val="single" w:sz="12" w:space="0" w:color="000000"/>
            </w:tcBorders>
            <w:shd w:val="clear" w:color="auto" w:fill="F6F6F6"/>
            <w:tcMar>
              <w:top w:w="0" w:type="dxa"/>
              <w:left w:w="0" w:type="dxa"/>
              <w:bottom w:w="0" w:type="dxa"/>
              <w:right w:w="0" w:type="dxa"/>
            </w:tcMar>
            <w:vAlign w:val="center"/>
          </w:tcPr>
          <w:p w14:paraId="0EEE5A58"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0.575</w:t>
            </w:r>
          </w:p>
        </w:tc>
      </w:tr>
      <w:tr w:rsidR="00E20A86" w:rsidRPr="001B3C29" w14:paraId="65D79957" w14:textId="77777777" w:rsidTr="001179F5">
        <w:trPr>
          <w:cantSplit/>
          <w:trHeight w:val="270"/>
          <w:jc w:val="center"/>
        </w:trPr>
        <w:tc>
          <w:tcPr>
            <w:tcW w:w="1350" w:type="dxa"/>
            <w:tcBorders>
              <w:top w:val="single" w:sz="12" w:space="0" w:color="000000"/>
            </w:tcBorders>
            <w:shd w:val="clear" w:color="auto" w:fill="FFFFFF"/>
            <w:tcMar>
              <w:top w:w="0" w:type="dxa"/>
              <w:left w:w="0" w:type="dxa"/>
              <w:bottom w:w="0" w:type="dxa"/>
              <w:right w:w="0" w:type="dxa"/>
            </w:tcMar>
            <w:vAlign w:val="center"/>
          </w:tcPr>
          <w:p w14:paraId="2310251D" w14:textId="77777777" w:rsidR="00E20A86" w:rsidRPr="001B3C29" w:rsidRDefault="00E20A86" w:rsidP="00EE536E">
            <w:pPr>
              <w:keepNext/>
              <w:spacing w:before="0" w:after="0" w:line="240" w:lineRule="auto"/>
              <w:ind w:left="100" w:right="100" w:firstLine="0"/>
              <w:rPr>
                <w:sz w:val="20"/>
                <w:szCs w:val="20"/>
              </w:rPr>
            </w:pPr>
            <w:r w:rsidRPr="001B3C29">
              <w:rPr>
                <w:rFonts w:eastAsia="Arial"/>
                <w:i/>
                <w:color w:val="000000"/>
                <w:sz w:val="20"/>
                <w:szCs w:val="20"/>
              </w:rPr>
              <w:t>τ</w:t>
            </w:r>
            <w:r w:rsidRPr="001B3C29">
              <w:rPr>
                <w:rFonts w:eastAsia="Arial"/>
                <w:color w:val="000000"/>
                <w:sz w:val="20"/>
                <w:szCs w:val="20"/>
                <w:vertAlign w:val="subscript"/>
              </w:rPr>
              <w:t>00</w:t>
            </w:r>
          </w:p>
        </w:tc>
        <w:tc>
          <w:tcPr>
            <w:tcW w:w="1090" w:type="dxa"/>
            <w:tcBorders>
              <w:top w:val="single" w:sz="12" w:space="0" w:color="000000"/>
            </w:tcBorders>
            <w:shd w:val="clear" w:color="auto" w:fill="FFFFFF"/>
            <w:tcMar>
              <w:top w:w="0" w:type="dxa"/>
              <w:left w:w="0" w:type="dxa"/>
              <w:bottom w:w="0" w:type="dxa"/>
              <w:right w:w="0" w:type="dxa"/>
            </w:tcMar>
            <w:vAlign w:val="center"/>
          </w:tcPr>
          <w:p w14:paraId="3D6C90DE" w14:textId="77777777" w:rsidR="00E20A86" w:rsidRPr="001B3C29" w:rsidRDefault="00E20A86" w:rsidP="00EE536E">
            <w:pPr>
              <w:keepNext/>
              <w:spacing w:before="0" w:after="0" w:line="240" w:lineRule="auto"/>
              <w:ind w:left="100" w:right="100" w:firstLine="0"/>
              <w:jc w:val="right"/>
              <w:rPr>
                <w:sz w:val="20"/>
                <w:szCs w:val="20"/>
              </w:rPr>
            </w:pPr>
            <w:r w:rsidRPr="001B3C29">
              <w:rPr>
                <w:rFonts w:eastAsia="Arial"/>
                <w:color w:val="000000"/>
                <w:sz w:val="20"/>
                <w:szCs w:val="20"/>
              </w:rPr>
              <w:t>6.586</w:t>
            </w:r>
          </w:p>
        </w:tc>
        <w:tc>
          <w:tcPr>
            <w:tcW w:w="723" w:type="dxa"/>
            <w:tcBorders>
              <w:top w:val="single" w:sz="12" w:space="0" w:color="000000"/>
            </w:tcBorders>
            <w:shd w:val="clear" w:color="auto" w:fill="FFFFFF"/>
            <w:tcMar>
              <w:top w:w="0" w:type="dxa"/>
              <w:left w:w="0" w:type="dxa"/>
              <w:bottom w:w="0" w:type="dxa"/>
              <w:right w:w="0" w:type="dxa"/>
            </w:tcMar>
            <w:vAlign w:val="center"/>
          </w:tcPr>
          <w:p w14:paraId="08FE6B7E"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tcBorders>
              <w:top w:val="single" w:sz="12" w:space="0" w:color="000000"/>
            </w:tcBorders>
            <w:shd w:val="clear" w:color="auto" w:fill="FFFFFF"/>
            <w:tcMar>
              <w:top w:w="0" w:type="dxa"/>
              <w:left w:w="0" w:type="dxa"/>
              <w:bottom w:w="0" w:type="dxa"/>
              <w:right w:w="0" w:type="dxa"/>
            </w:tcMar>
            <w:vAlign w:val="center"/>
          </w:tcPr>
          <w:p w14:paraId="236E8842"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tcBorders>
              <w:top w:val="single" w:sz="12" w:space="0" w:color="000000"/>
            </w:tcBorders>
            <w:shd w:val="clear" w:color="auto" w:fill="FFFFFF"/>
            <w:tcMar>
              <w:top w:w="0" w:type="dxa"/>
              <w:left w:w="0" w:type="dxa"/>
              <w:bottom w:w="0" w:type="dxa"/>
              <w:right w:w="0" w:type="dxa"/>
            </w:tcMar>
            <w:vAlign w:val="center"/>
          </w:tcPr>
          <w:p w14:paraId="626E0A64"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7.763</w:t>
            </w:r>
          </w:p>
        </w:tc>
        <w:tc>
          <w:tcPr>
            <w:tcW w:w="904" w:type="dxa"/>
            <w:tcBorders>
              <w:top w:val="single" w:sz="12" w:space="0" w:color="000000"/>
            </w:tcBorders>
            <w:shd w:val="clear" w:color="auto" w:fill="FFFFFF"/>
            <w:tcMar>
              <w:top w:w="0" w:type="dxa"/>
              <w:left w:w="0" w:type="dxa"/>
              <w:bottom w:w="0" w:type="dxa"/>
              <w:right w:w="0" w:type="dxa"/>
            </w:tcMar>
            <w:vAlign w:val="center"/>
          </w:tcPr>
          <w:p w14:paraId="329183EF"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tcBorders>
              <w:top w:val="single" w:sz="12" w:space="0" w:color="000000"/>
            </w:tcBorders>
            <w:shd w:val="clear" w:color="auto" w:fill="FFFFFF"/>
            <w:tcMar>
              <w:top w:w="0" w:type="dxa"/>
              <w:left w:w="0" w:type="dxa"/>
              <w:bottom w:w="0" w:type="dxa"/>
              <w:right w:w="0" w:type="dxa"/>
            </w:tcMar>
            <w:vAlign w:val="center"/>
          </w:tcPr>
          <w:p w14:paraId="137F26FE"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tcBorders>
              <w:top w:val="single" w:sz="12" w:space="0" w:color="000000"/>
            </w:tcBorders>
            <w:shd w:val="clear" w:color="auto" w:fill="FFFFFF"/>
            <w:tcMar>
              <w:top w:w="0" w:type="dxa"/>
              <w:left w:w="0" w:type="dxa"/>
              <w:bottom w:w="0" w:type="dxa"/>
              <w:right w:w="0" w:type="dxa"/>
            </w:tcMar>
            <w:vAlign w:val="center"/>
          </w:tcPr>
          <w:p w14:paraId="10079679"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8.279</w:t>
            </w:r>
          </w:p>
        </w:tc>
        <w:tc>
          <w:tcPr>
            <w:tcW w:w="904" w:type="dxa"/>
            <w:tcBorders>
              <w:top w:val="single" w:sz="12" w:space="0" w:color="000000"/>
            </w:tcBorders>
            <w:shd w:val="clear" w:color="auto" w:fill="FFFFFF"/>
            <w:tcMar>
              <w:top w:w="0" w:type="dxa"/>
              <w:left w:w="0" w:type="dxa"/>
              <w:bottom w:w="0" w:type="dxa"/>
              <w:right w:w="0" w:type="dxa"/>
            </w:tcMar>
            <w:vAlign w:val="center"/>
          </w:tcPr>
          <w:p w14:paraId="0E245C47"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tcBorders>
              <w:top w:val="single" w:sz="12" w:space="0" w:color="000000"/>
            </w:tcBorders>
            <w:shd w:val="clear" w:color="auto" w:fill="FFFFFF"/>
            <w:tcMar>
              <w:top w:w="0" w:type="dxa"/>
              <w:left w:w="0" w:type="dxa"/>
              <w:bottom w:w="0" w:type="dxa"/>
              <w:right w:w="0" w:type="dxa"/>
            </w:tcMar>
            <w:vAlign w:val="center"/>
          </w:tcPr>
          <w:p w14:paraId="23F4CBBD"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tcBorders>
              <w:top w:val="single" w:sz="12" w:space="0" w:color="000000"/>
            </w:tcBorders>
            <w:shd w:val="clear" w:color="auto" w:fill="FFFFFF"/>
            <w:tcMar>
              <w:top w:w="0" w:type="dxa"/>
              <w:left w:w="0" w:type="dxa"/>
              <w:bottom w:w="0" w:type="dxa"/>
              <w:right w:w="0" w:type="dxa"/>
            </w:tcMar>
            <w:vAlign w:val="center"/>
          </w:tcPr>
          <w:p w14:paraId="0138D121"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7.712</w:t>
            </w:r>
          </w:p>
        </w:tc>
        <w:tc>
          <w:tcPr>
            <w:tcW w:w="1085" w:type="dxa"/>
            <w:tcBorders>
              <w:top w:val="single" w:sz="12" w:space="0" w:color="000000"/>
            </w:tcBorders>
            <w:shd w:val="clear" w:color="auto" w:fill="FFFFFF"/>
            <w:tcMar>
              <w:top w:w="0" w:type="dxa"/>
              <w:left w:w="0" w:type="dxa"/>
              <w:bottom w:w="0" w:type="dxa"/>
              <w:right w:w="0" w:type="dxa"/>
            </w:tcMar>
            <w:vAlign w:val="center"/>
          </w:tcPr>
          <w:p w14:paraId="7BBB8CB1"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tcBorders>
              <w:top w:val="single" w:sz="12" w:space="0" w:color="000000"/>
            </w:tcBorders>
            <w:shd w:val="clear" w:color="auto" w:fill="FFFFFF"/>
            <w:tcMar>
              <w:top w:w="0" w:type="dxa"/>
              <w:left w:w="0" w:type="dxa"/>
              <w:bottom w:w="0" w:type="dxa"/>
              <w:right w:w="0" w:type="dxa"/>
            </w:tcMar>
            <w:vAlign w:val="center"/>
          </w:tcPr>
          <w:p w14:paraId="65115ADC" w14:textId="77777777" w:rsidR="00E20A86" w:rsidRPr="001B3C29" w:rsidRDefault="00E20A86" w:rsidP="001B3C29">
            <w:pPr>
              <w:keepNext/>
              <w:spacing w:before="0" w:after="0" w:line="240" w:lineRule="auto"/>
              <w:ind w:left="100" w:right="100" w:firstLine="0"/>
              <w:jc w:val="right"/>
              <w:rPr>
                <w:sz w:val="20"/>
                <w:szCs w:val="20"/>
              </w:rPr>
            </w:pPr>
          </w:p>
        </w:tc>
      </w:tr>
      <w:tr w:rsidR="00E20A86" w:rsidRPr="001B3C29" w14:paraId="4A66FC39" w14:textId="77777777" w:rsidTr="001179F5">
        <w:trPr>
          <w:cantSplit/>
          <w:trHeight w:val="255"/>
          <w:jc w:val="center"/>
        </w:trPr>
        <w:tc>
          <w:tcPr>
            <w:tcW w:w="1350" w:type="dxa"/>
            <w:shd w:val="clear" w:color="auto" w:fill="F6F6F6"/>
            <w:tcMar>
              <w:top w:w="0" w:type="dxa"/>
              <w:left w:w="0" w:type="dxa"/>
              <w:bottom w:w="0" w:type="dxa"/>
              <w:right w:w="0" w:type="dxa"/>
            </w:tcMar>
            <w:vAlign w:val="center"/>
          </w:tcPr>
          <w:p w14:paraId="1B227C45" w14:textId="77777777" w:rsidR="00E20A86" w:rsidRPr="001B3C29" w:rsidRDefault="00E20A86" w:rsidP="00EE536E">
            <w:pPr>
              <w:keepNext/>
              <w:spacing w:before="0" w:after="0" w:line="240" w:lineRule="auto"/>
              <w:ind w:left="100" w:right="100" w:firstLine="0"/>
              <w:rPr>
                <w:sz w:val="20"/>
                <w:szCs w:val="20"/>
              </w:rPr>
            </w:pPr>
            <w:r w:rsidRPr="001B3C29">
              <w:rPr>
                <w:rFonts w:eastAsia="Arial"/>
                <w:i/>
                <w:color w:val="000000"/>
                <w:sz w:val="20"/>
                <w:szCs w:val="20"/>
              </w:rPr>
              <w:t>ρ</w:t>
            </w:r>
            <w:r w:rsidRPr="001B3C29">
              <w:rPr>
                <w:rFonts w:eastAsia="Arial"/>
                <w:color w:val="000000"/>
                <w:sz w:val="20"/>
                <w:szCs w:val="20"/>
                <w:vertAlign w:val="subscript"/>
              </w:rPr>
              <w:t>01</w:t>
            </w:r>
          </w:p>
        </w:tc>
        <w:tc>
          <w:tcPr>
            <w:tcW w:w="1090" w:type="dxa"/>
            <w:shd w:val="clear" w:color="auto" w:fill="F6F6F6"/>
            <w:tcMar>
              <w:top w:w="0" w:type="dxa"/>
              <w:left w:w="0" w:type="dxa"/>
              <w:bottom w:w="0" w:type="dxa"/>
              <w:right w:w="0" w:type="dxa"/>
            </w:tcMar>
            <w:vAlign w:val="center"/>
          </w:tcPr>
          <w:p w14:paraId="1506187E" w14:textId="77777777" w:rsidR="00E20A86" w:rsidRPr="001B3C29" w:rsidRDefault="00E20A86" w:rsidP="00EE536E">
            <w:pPr>
              <w:keepNext/>
              <w:spacing w:before="0" w:after="0" w:line="240" w:lineRule="auto"/>
              <w:ind w:left="100" w:right="100" w:firstLine="0"/>
              <w:jc w:val="right"/>
              <w:rPr>
                <w:sz w:val="20"/>
                <w:szCs w:val="20"/>
              </w:rPr>
            </w:pPr>
          </w:p>
        </w:tc>
        <w:tc>
          <w:tcPr>
            <w:tcW w:w="723" w:type="dxa"/>
            <w:shd w:val="clear" w:color="auto" w:fill="F6F6F6"/>
            <w:tcMar>
              <w:top w:w="0" w:type="dxa"/>
              <w:left w:w="0" w:type="dxa"/>
              <w:bottom w:w="0" w:type="dxa"/>
              <w:right w:w="0" w:type="dxa"/>
            </w:tcMar>
            <w:vAlign w:val="center"/>
          </w:tcPr>
          <w:p w14:paraId="25E660CF"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shd w:val="clear" w:color="auto" w:fill="F6F6F6"/>
            <w:tcMar>
              <w:top w:w="0" w:type="dxa"/>
              <w:left w:w="0" w:type="dxa"/>
              <w:bottom w:w="0" w:type="dxa"/>
              <w:right w:w="0" w:type="dxa"/>
            </w:tcMar>
            <w:vAlign w:val="center"/>
          </w:tcPr>
          <w:p w14:paraId="121CA02C"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6F6F6"/>
            <w:tcMar>
              <w:top w:w="0" w:type="dxa"/>
              <w:left w:w="0" w:type="dxa"/>
              <w:bottom w:w="0" w:type="dxa"/>
              <w:right w:w="0" w:type="dxa"/>
            </w:tcMar>
            <w:vAlign w:val="center"/>
          </w:tcPr>
          <w:p w14:paraId="6F396996"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-0.955</w:t>
            </w:r>
          </w:p>
        </w:tc>
        <w:tc>
          <w:tcPr>
            <w:tcW w:w="904" w:type="dxa"/>
            <w:shd w:val="clear" w:color="auto" w:fill="F6F6F6"/>
            <w:tcMar>
              <w:top w:w="0" w:type="dxa"/>
              <w:left w:w="0" w:type="dxa"/>
              <w:bottom w:w="0" w:type="dxa"/>
              <w:right w:w="0" w:type="dxa"/>
            </w:tcMar>
            <w:vAlign w:val="center"/>
          </w:tcPr>
          <w:p w14:paraId="089482C7"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6F6F6"/>
            <w:tcMar>
              <w:top w:w="0" w:type="dxa"/>
              <w:left w:w="0" w:type="dxa"/>
              <w:bottom w:w="0" w:type="dxa"/>
              <w:right w:w="0" w:type="dxa"/>
            </w:tcMar>
            <w:vAlign w:val="center"/>
          </w:tcPr>
          <w:p w14:paraId="4469B355"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6F6F6"/>
            <w:tcMar>
              <w:top w:w="0" w:type="dxa"/>
              <w:left w:w="0" w:type="dxa"/>
              <w:bottom w:w="0" w:type="dxa"/>
              <w:right w:w="0" w:type="dxa"/>
            </w:tcMar>
            <w:vAlign w:val="center"/>
          </w:tcPr>
          <w:p w14:paraId="26118FB5"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-0.753</w:t>
            </w:r>
          </w:p>
        </w:tc>
        <w:tc>
          <w:tcPr>
            <w:tcW w:w="904" w:type="dxa"/>
            <w:shd w:val="clear" w:color="auto" w:fill="F6F6F6"/>
            <w:tcMar>
              <w:top w:w="0" w:type="dxa"/>
              <w:left w:w="0" w:type="dxa"/>
              <w:bottom w:w="0" w:type="dxa"/>
              <w:right w:w="0" w:type="dxa"/>
            </w:tcMar>
            <w:vAlign w:val="center"/>
          </w:tcPr>
          <w:p w14:paraId="0AC2E5B4"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6F6F6"/>
            <w:tcMar>
              <w:top w:w="0" w:type="dxa"/>
              <w:left w:w="0" w:type="dxa"/>
              <w:bottom w:w="0" w:type="dxa"/>
              <w:right w:w="0" w:type="dxa"/>
            </w:tcMar>
            <w:vAlign w:val="center"/>
          </w:tcPr>
          <w:p w14:paraId="71F2E0C9"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6F6F6"/>
            <w:tcMar>
              <w:top w:w="0" w:type="dxa"/>
              <w:left w:w="0" w:type="dxa"/>
              <w:bottom w:w="0" w:type="dxa"/>
              <w:right w:w="0" w:type="dxa"/>
            </w:tcMar>
            <w:vAlign w:val="center"/>
          </w:tcPr>
          <w:p w14:paraId="0DA67A48"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-0.951</w:t>
            </w:r>
          </w:p>
        </w:tc>
        <w:tc>
          <w:tcPr>
            <w:tcW w:w="1085" w:type="dxa"/>
            <w:shd w:val="clear" w:color="auto" w:fill="F6F6F6"/>
            <w:tcMar>
              <w:top w:w="0" w:type="dxa"/>
              <w:left w:w="0" w:type="dxa"/>
              <w:bottom w:w="0" w:type="dxa"/>
              <w:right w:w="0" w:type="dxa"/>
            </w:tcMar>
            <w:vAlign w:val="center"/>
          </w:tcPr>
          <w:p w14:paraId="46ADC7FD"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6F6F6"/>
            <w:tcMar>
              <w:top w:w="0" w:type="dxa"/>
              <w:left w:w="0" w:type="dxa"/>
              <w:bottom w:w="0" w:type="dxa"/>
              <w:right w:w="0" w:type="dxa"/>
            </w:tcMar>
            <w:vAlign w:val="center"/>
          </w:tcPr>
          <w:p w14:paraId="13DE18B8" w14:textId="77777777" w:rsidR="00E20A86" w:rsidRPr="001B3C29" w:rsidRDefault="00E20A86" w:rsidP="001B3C29">
            <w:pPr>
              <w:keepNext/>
              <w:spacing w:before="0" w:after="0" w:line="240" w:lineRule="auto"/>
              <w:ind w:left="100" w:right="100" w:firstLine="0"/>
              <w:jc w:val="right"/>
              <w:rPr>
                <w:sz w:val="20"/>
                <w:szCs w:val="20"/>
              </w:rPr>
            </w:pPr>
          </w:p>
        </w:tc>
      </w:tr>
      <w:tr w:rsidR="00E20A86" w:rsidRPr="001B3C29" w14:paraId="03F9296C" w14:textId="77777777" w:rsidTr="001179F5">
        <w:trPr>
          <w:cantSplit/>
          <w:trHeight w:val="270"/>
          <w:jc w:val="center"/>
        </w:trPr>
        <w:tc>
          <w:tcPr>
            <w:tcW w:w="1350" w:type="dxa"/>
            <w:shd w:val="clear" w:color="auto" w:fill="FFFFFF"/>
            <w:tcMar>
              <w:top w:w="0" w:type="dxa"/>
              <w:left w:w="0" w:type="dxa"/>
              <w:bottom w:w="0" w:type="dxa"/>
              <w:right w:w="0" w:type="dxa"/>
            </w:tcMar>
            <w:vAlign w:val="center"/>
          </w:tcPr>
          <w:p w14:paraId="6BE6E514" w14:textId="77777777" w:rsidR="00E20A86" w:rsidRPr="001B3C29" w:rsidRDefault="00E20A86" w:rsidP="00EE536E">
            <w:pPr>
              <w:keepNext/>
              <w:spacing w:before="0" w:after="0" w:line="240" w:lineRule="auto"/>
              <w:ind w:left="100" w:right="100" w:firstLine="0"/>
              <w:rPr>
                <w:sz w:val="20"/>
                <w:szCs w:val="20"/>
              </w:rPr>
            </w:pPr>
            <w:r w:rsidRPr="001B3C29">
              <w:rPr>
                <w:rFonts w:eastAsia="Arial"/>
                <w:i/>
                <w:color w:val="000000"/>
                <w:sz w:val="20"/>
                <w:szCs w:val="20"/>
              </w:rPr>
              <w:t>ρ</w:t>
            </w:r>
            <w:r w:rsidRPr="001B3C29">
              <w:rPr>
                <w:rFonts w:eastAsia="Arial"/>
                <w:color w:val="000000"/>
                <w:sz w:val="20"/>
                <w:szCs w:val="20"/>
                <w:vertAlign w:val="subscript"/>
              </w:rPr>
              <w:t>02</w:t>
            </w:r>
          </w:p>
        </w:tc>
        <w:tc>
          <w:tcPr>
            <w:tcW w:w="1090" w:type="dxa"/>
            <w:shd w:val="clear" w:color="auto" w:fill="FFFFFF"/>
            <w:tcMar>
              <w:top w:w="0" w:type="dxa"/>
              <w:left w:w="0" w:type="dxa"/>
              <w:bottom w:w="0" w:type="dxa"/>
              <w:right w:w="0" w:type="dxa"/>
            </w:tcMar>
            <w:vAlign w:val="center"/>
          </w:tcPr>
          <w:p w14:paraId="13EF3052" w14:textId="77777777" w:rsidR="00E20A86" w:rsidRPr="001B3C29" w:rsidRDefault="00E20A86" w:rsidP="00EE536E">
            <w:pPr>
              <w:keepNext/>
              <w:spacing w:before="0" w:after="0" w:line="240" w:lineRule="auto"/>
              <w:ind w:left="100" w:right="100" w:firstLine="0"/>
              <w:jc w:val="right"/>
              <w:rPr>
                <w:sz w:val="20"/>
                <w:szCs w:val="20"/>
              </w:rPr>
            </w:pPr>
          </w:p>
        </w:tc>
        <w:tc>
          <w:tcPr>
            <w:tcW w:w="723" w:type="dxa"/>
            <w:shd w:val="clear" w:color="auto" w:fill="FFFFFF"/>
            <w:tcMar>
              <w:top w:w="0" w:type="dxa"/>
              <w:left w:w="0" w:type="dxa"/>
              <w:bottom w:w="0" w:type="dxa"/>
              <w:right w:w="0" w:type="dxa"/>
            </w:tcMar>
            <w:vAlign w:val="center"/>
          </w:tcPr>
          <w:p w14:paraId="5A1D7D99"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shd w:val="clear" w:color="auto" w:fill="FFFFFF"/>
            <w:tcMar>
              <w:top w:w="0" w:type="dxa"/>
              <w:left w:w="0" w:type="dxa"/>
              <w:bottom w:w="0" w:type="dxa"/>
              <w:right w:w="0" w:type="dxa"/>
            </w:tcMar>
            <w:vAlign w:val="center"/>
          </w:tcPr>
          <w:p w14:paraId="38683F2F"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FFFFF"/>
            <w:tcMar>
              <w:top w:w="0" w:type="dxa"/>
              <w:left w:w="0" w:type="dxa"/>
              <w:bottom w:w="0" w:type="dxa"/>
              <w:right w:w="0" w:type="dxa"/>
            </w:tcMar>
            <w:vAlign w:val="center"/>
          </w:tcPr>
          <w:p w14:paraId="124CB76F" w14:textId="77777777" w:rsidR="00E20A86" w:rsidRPr="001B3C29" w:rsidRDefault="00E20A86" w:rsidP="001B3C29">
            <w:pPr>
              <w:keepNext/>
              <w:spacing w:before="0" w:after="0" w:line="240" w:lineRule="auto"/>
              <w:ind w:left="100" w:right="100" w:firstLine="0"/>
              <w:jc w:val="right"/>
              <w:rPr>
                <w:sz w:val="20"/>
                <w:szCs w:val="20"/>
              </w:rPr>
            </w:pPr>
          </w:p>
        </w:tc>
        <w:tc>
          <w:tcPr>
            <w:tcW w:w="904" w:type="dxa"/>
            <w:shd w:val="clear" w:color="auto" w:fill="FFFFFF"/>
            <w:tcMar>
              <w:top w:w="0" w:type="dxa"/>
              <w:left w:w="0" w:type="dxa"/>
              <w:bottom w:w="0" w:type="dxa"/>
              <w:right w:w="0" w:type="dxa"/>
            </w:tcMar>
            <w:vAlign w:val="center"/>
          </w:tcPr>
          <w:p w14:paraId="2425CA22"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FFFFF"/>
            <w:tcMar>
              <w:top w:w="0" w:type="dxa"/>
              <w:left w:w="0" w:type="dxa"/>
              <w:bottom w:w="0" w:type="dxa"/>
              <w:right w:w="0" w:type="dxa"/>
            </w:tcMar>
            <w:vAlign w:val="center"/>
          </w:tcPr>
          <w:p w14:paraId="58C845A7"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FFFFF"/>
            <w:tcMar>
              <w:top w:w="0" w:type="dxa"/>
              <w:left w:w="0" w:type="dxa"/>
              <w:bottom w:w="0" w:type="dxa"/>
              <w:right w:w="0" w:type="dxa"/>
            </w:tcMar>
            <w:vAlign w:val="center"/>
          </w:tcPr>
          <w:p w14:paraId="16250691"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0.645</w:t>
            </w:r>
          </w:p>
        </w:tc>
        <w:tc>
          <w:tcPr>
            <w:tcW w:w="904" w:type="dxa"/>
            <w:shd w:val="clear" w:color="auto" w:fill="FFFFFF"/>
            <w:tcMar>
              <w:top w:w="0" w:type="dxa"/>
              <w:left w:w="0" w:type="dxa"/>
              <w:bottom w:w="0" w:type="dxa"/>
              <w:right w:w="0" w:type="dxa"/>
            </w:tcMar>
            <w:vAlign w:val="center"/>
          </w:tcPr>
          <w:p w14:paraId="2579958F"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FFFFF"/>
            <w:tcMar>
              <w:top w:w="0" w:type="dxa"/>
              <w:left w:w="0" w:type="dxa"/>
              <w:bottom w:w="0" w:type="dxa"/>
              <w:right w:w="0" w:type="dxa"/>
            </w:tcMar>
            <w:vAlign w:val="center"/>
          </w:tcPr>
          <w:p w14:paraId="446B6138"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FFFFF"/>
            <w:tcMar>
              <w:top w:w="0" w:type="dxa"/>
              <w:left w:w="0" w:type="dxa"/>
              <w:bottom w:w="0" w:type="dxa"/>
              <w:right w:w="0" w:type="dxa"/>
            </w:tcMar>
            <w:vAlign w:val="center"/>
          </w:tcPr>
          <w:p w14:paraId="667D8C1D"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FFFFF"/>
            <w:tcMar>
              <w:top w:w="0" w:type="dxa"/>
              <w:left w:w="0" w:type="dxa"/>
              <w:bottom w:w="0" w:type="dxa"/>
              <w:right w:w="0" w:type="dxa"/>
            </w:tcMar>
            <w:vAlign w:val="center"/>
          </w:tcPr>
          <w:p w14:paraId="79752E84"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FFFFF"/>
            <w:tcMar>
              <w:top w:w="0" w:type="dxa"/>
              <w:left w:w="0" w:type="dxa"/>
              <w:bottom w:w="0" w:type="dxa"/>
              <w:right w:w="0" w:type="dxa"/>
            </w:tcMar>
            <w:vAlign w:val="center"/>
          </w:tcPr>
          <w:p w14:paraId="1F867311" w14:textId="77777777" w:rsidR="00E20A86" w:rsidRPr="001B3C29" w:rsidRDefault="00E20A86" w:rsidP="001B3C29">
            <w:pPr>
              <w:keepNext/>
              <w:spacing w:before="0" w:after="0" w:line="240" w:lineRule="auto"/>
              <w:ind w:left="100" w:right="100" w:firstLine="0"/>
              <w:jc w:val="right"/>
              <w:rPr>
                <w:sz w:val="20"/>
                <w:szCs w:val="20"/>
              </w:rPr>
            </w:pPr>
          </w:p>
        </w:tc>
      </w:tr>
      <w:tr w:rsidR="00E20A86" w:rsidRPr="001B3C29" w14:paraId="71401C78" w14:textId="77777777" w:rsidTr="001179F5">
        <w:trPr>
          <w:cantSplit/>
          <w:trHeight w:val="255"/>
          <w:jc w:val="center"/>
        </w:trPr>
        <w:tc>
          <w:tcPr>
            <w:tcW w:w="1350" w:type="dxa"/>
            <w:shd w:val="clear" w:color="auto" w:fill="F6F6F6"/>
            <w:tcMar>
              <w:top w:w="0" w:type="dxa"/>
              <w:left w:w="0" w:type="dxa"/>
              <w:bottom w:w="0" w:type="dxa"/>
              <w:right w:w="0" w:type="dxa"/>
            </w:tcMar>
            <w:vAlign w:val="center"/>
          </w:tcPr>
          <w:p w14:paraId="08B6CA56" w14:textId="77777777" w:rsidR="00E20A86" w:rsidRPr="001B3C29" w:rsidRDefault="00E20A86" w:rsidP="00EE536E">
            <w:pPr>
              <w:keepNext/>
              <w:spacing w:before="0" w:after="0" w:line="240" w:lineRule="auto"/>
              <w:ind w:left="100" w:right="100" w:firstLine="0"/>
              <w:rPr>
                <w:sz w:val="20"/>
                <w:szCs w:val="20"/>
              </w:rPr>
            </w:pPr>
            <w:r w:rsidRPr="001B3C29">
              <w:rPr>
                <w:rFonts w:eastAsia="Arial"/>
                <w:i/>
                <w:color w:val="000000"/>
                <w:sz w:val="20"/>
                <w:szCs w:val="20"/>
              </w:rPr>
              <w:t>τ</w:t>
            </w:r>
            <w:r w:rsidRPr="001B3C29">
              <w:rPr>
                <w:rFonts w:eastAsia="Arial"/>
                <w:color w:val="000000"/>
                <w:sz w:val="20"/>
                <w:szCs w:val="20"/>
                <w:vertAlign w:val="subscript"/>
              </w:rPr>
              <w:t>11</w:t>
            </w:r>
          </w:p>
        </w:tc>
        <w:tc>
          <w:tcPr>
            <w:tcW w:w="1090" w:type="dxa"/>
            <w:shd w:val="clear" w:color="auto" w:fill="F6F6F6"/>
            <w:tcMar>
              <w:top w:w="0" w:type="dxa"/>
              <w:left w:w="0" w:type="dxa"/>
              <w:bottom w:w="0" w:type="dxa"/>
              <w:right w:w="0" w:type="dxa"/>
            </w:tcMar>
            <w:vAlign w:val="center"/>
          </w:tcPr>
          <w:p w14:paraId="677CFE43" w14:textId="77777777" w:rsidR="00E20A86" w:rsidRPr="001B3C29" w:rsidRDefault="00E20A86" w:rsidP="00EE536E">
            <w:pPr>
              <w:keepNext/>
              <w:spacing w:before="0" w:after="0" w:line="240" w:lineRule="auto"/>
              <w:ind w:left="100" w:right="100" w:firstLine="0"/>
              <w:jc w:val="right"/>
              <w:rPr>
                <w:sz w:val="20"/>
                <w:szCs w:val="20"/>
              </w:rPr>
            </w:pPr>
          </w:p>
        </w:tc>
        <w:tc>
          <w:tcPr>
            <w:tcW w:w="723" w:type="dxa"/>
            <w:shd w:val="clear" w:color="auto" w:fill="F6F6F6"/>
            <w:tcMar>
              <w:top w:w="0" w:type="dxa"/>
              <w:left w:w="0" w:type="dxa"/>
              <w:bottom w:w="0" w:type="dxa"/>
              <w:right w:w="0" w:type="dxa"/>
            </w:tcMar>
            <w:vAlign w:val="center"/>
          </w:tcPr>
          <w:p w14:paraId="413332F2"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shd w:val="clear" w:color="auto" w:fill="F6F6F6"/>
            <w:tcMar>
              <w:top w:w="0" w:type="dxa"/>
              <w:left w:w="0" w:type="dxa"/>
              <w:bottom w:w="0" w:type="dxa"/>
              <w:right w:w="0" w:type="dxa"/>
            </w:tcMar>
            <w:vAlign w:val="center"/>
          </w:tcPr>
          <w:p w14:paraId="64364940"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6F6F6"/>
            <w:tcMar>
              <w:top w:w="0" w:type="dxa"/>
              <w:left w:w="0" w:type="dxa"/>
              <w:bottom w:w="0" w:type="dxa"/>
              <w:right w:w="0" w:type="dxa"/>
            </w:tcMar>
            <w:vAlign w:val="center"/>
          </w:tcPr>
          <w:p w14:paraId="11A50634"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0.523</w:t>
            </w:r>
          </w:p>
        </w:tc>
        <w:tc>
          <w:tcPr>
            <w:tcW w:w="904" w:type="dxa"/>
            <w:shd w:val="clear" w:color="auto" w:fill="F6F6F6"/>
            <w:tcMar>
              <w:top w:w="0" w:type="dxa"/>
              <w:left w:w="0" w:type="dxa"/>
              <w:bottom w:w="0" w:type="dxa"/>
              <w:right w:w="0" w:type="dxa"/>
            </w:tcMar>
            <w:vAlign w:val="center"/>
          </w:tcPr>
          <w:p w14:paraId="02EBA63A"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6F6F6"/>
            <w:tcMar>
              <w:top w:w="0" w:type="dxa"/>
              <w:left w:w="0" w:type="dxa"/>
              <w:bottom w:w="0" w:type="dxa"/>
              <w:right w:w="0" w:type="dxa"/>
            </w:tcMar>
            <w:vAlign w:val="center"/>
          </w:tcPr>
          <w:p w14:paraId="2554AE6D"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6F6F6"/>
            <w:tcMar>
              <w:top w:w="0" w:type="dxa"/>
              <w:left w:w="0" w:type="dxa"/>
              <w:bottom w:w="0" w:type="dxa"/>
              <w:right w:w="0" w:type="dxa"/>
            </w:tcMar>
            <w:vAlign w:val="center"/>
          </w:tcPr>
          <w:p w14:paraId="3CB45DA6"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2.216</w:t>
            </w:r>
          </w:p>
        </w:tc>
        <w:tc>
          <w:tcPr>
            <w:tcW w:w="904" w:type="dxa"/>
            <w:shd w:val="clear" w:color="auto" w:fill="F6F6F6"/>
            <w:tcMar>
              <w:top w:w="0" w:type="dxa"/>
              <w:left w:w="0" w:type="dxa"/>
              <w:bottom w:w="0" w:type="dxa"/>
              <w:right w:w="0" w:type="dxa"/>
            </w:tcMar>
            <w:vAlign w:val="center"/>
          </w:tcPr>
          <w:p w14:paraId="6E796FCF"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6F6F6"/>
            <w:tcMar>
              <w:top w:w="0" w:type="dxa"/>
              <w:left w:w="0" w:type="dxa"/>
              <w:bottom w:w="0" w:type="dxa"/>
              <w:right w:w="0" w:type="dxa"/>
            </w:tcMar>
            <w:vAlign w:val="center"/>
          </w:tcPr>
          <w:p w14:paraId="43C3557B"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6F6F6"/>
            <w:tcMar>
              <w:top w:w="0" w:type="dxa"/>
              <w:left w:w="0" w:type="dxa"/>
              <w:bottom w:w="0" w:type="dxa"/>
              <w:right w:w="0" w:type="dxa"/>
            </w:tcMar>
            <w:vAlign w:val="center"/>
          </w:tcPr>
          <w:p w14:paraId="37B31E22"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0.523</w:t>
            </w:r>
          </w:p>
        </w:tc>
        <w:tc>
          <w:tcPr>
            <w:tcW w:w="1085" w:type="dxa"/>
            <w:shd w:val="clear" w:color="auto" w:fill="F6F6F6"/>
            <w:tcMar>
              <w:top w:w="0" w:type="dxa"/>
              <w:left w:w="0" w:type="dxa"/>
              <w:bottom w:w="0" w:type="dxa"/>
              <w:right w:w="0" w:type="dxa"/>
            </w:tcMar>
            <w:vAlign w:val="center"/>
          </w:tcPr>
          <w:p w14:paraId="6D97DF02"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6F6F6"/>
            <w:tcMar>
              <w:top w:w="0" w:type="dxa"/>
              <w:left w:w="0" w:type="dxa"/>
              <w:bottom w:w="0" w:type="dxa"/>
              <w:right w:w="0" w:type="dxa"/>
            </w:tcMar>
            <w:vAlign w:val="center"/>
          </w:tcPr>
          <w:p w14:paraId="765335B3" w14:textId="77777777" w:rsidR="00E20A86" w:rsidRPr="001B3C29" w:rsidRDefault="00E20A86" w:rsidP="001B3C29">
            <w:pPr>
              <w:keepNext/>
              <w:spacing w:before="0" w:after="0" w:line="240" w:lineRule="auto"/>
              <w:ind w:left="100" w:right="100" w:firstLine="0"/>
              <w:jc w:val="right"/>
              <w:rPr>
                <w:sz w:val="20"/>
                <w:szCs w:val="20"/>
              </w:rPr>
            </w:pPr>
          </w:p>
        </w:tc>
      </w:tr>
      <w:tr w:rsidR="00E20A86" w:rsidRPr="001B3C29" w14:paraId="00390E9D" w14:textId="77777777" w:rsidTr="001179F5">
        <w:trPr>
          <w:cantSplit/>
          <w:trHeight w:val="270"/>
          <w:jc w:val="center"/>
        </w:trPr>
        <w:tc>
          <w:tcPr>
            <w:tcW w:w="1350" w:type="dxa"/>
            <w:shd w:val="clear" w:color="auto" w:fill="FFFFFF"/>
            <w:tcMar>
              <w:top w:w="0" w:type="dxa"/>
              <w:left w:w="0" w:type="dxa"/>
              <w:bottom w:w="0" w:type="dxa"/>
              <w:right w:w="0" w:type="dxa"/>
            </w:tcMar>
            <w:vAlign w:val="center"/>
          </w:tcPr>
          <w:p w14:paraId="43911EF4" w14:textId="77777777" w:rsidR="00E20A86" w:rsidRPr="001B3C29" w:rsidRDefault="00E20A86" w:rsidP="00EE536E">
            <w:pPr>
              <w:keepNext/>
              <w:spacing w:before="0" w:after="0" w:line="240" w:lineRule="auto"/>
              <w:ind w:left="100" w:right="100" w:firstLine="0"/>
              <w:rPr>
                <w:sz w:val="20"/>
                <w:szCs w:val="20"/>
              </w:rPr>
            </w:pPr>
            <w:r w:rsidRPr="001B3C29">
              <w:rPr>
                <w:rFonts w:eastAsia="Arial"/>
                <w:i/>
                <w:color w:val="000000"/>
                <w:sz w:val="20"/>
                <w:szCs w:val="20"/>
              </w:rPr>
              <w:t>ρ</w:t>
            </w:r>
            <w:r w:rsidRPr="001B3C29">
              <w:rPr>
                <w:rFonts w:eastAsia="Arial"/>
                <w:color w:val="000000"/>
                <w:sz w:val="20"/>
                <w:szCs w:val="20"/>
                <w:vertAlign w:val="subscript"/>
              </w:rPr>
              <w:t>12</w:t>
            </w:r>
          </w:p>
        </w:tc>
        <w:tc>
          <w:tcPr>
            <w:tcW w:w="1090" w:type="dxa"/>
            <w:shd w:val="clear" w:color="auto" w:fill="FFFFFF"/>
            <w:tcMar>
              <w:top w:w="0" w:type="dxa"/>
              <w:left w:w="0" w:type="dxa"/>
              <w:bottom w:w="0" w:type="dxa"/>
              <w:right w:w="0" w:type="dxa"/>
            </w:tcMar>
            <w:vAlign w:val="center"/>
          </w:tcPr>
          <w:p w14:paraId="315D5E1E" w14:textId="77777777" w:rsidR="00E20A86" w:rsidRPr="001B3C29" w:rsidRDefault="00E20A86" w:rsidP="00EE536E">
            <w:pPr>
              <w:keepNext/>
              <w:spacing w:before="0" w:after="0" w:line="240" w:lineRule="auto"/>
              <w:ind w:left="100" w:right="100" w:firstLine="0"/>
              <w:jc w:val="right"/>
              <w:rPr>
                <w:sz w:val="20"/>
                <w:szCs w:val="20"/>
              </w:rPr>
            </w:pPr>
          </w:p>
        </w:tc>
        <w:tc>
          <w:tcPr>
            <w:tcW w:w="723" w:type="dxa"/>
            <w:shd w:val="clear" w:color="auto" w:fill="FFFFFF"/>
            <w:tcMar>
              <w:top w:w="0" w:type="dxa"/>
              <w:left w:w="0" w:type="dxa"/>
              <w:bottom w:w="0" w:type="dxa"/>
              <w:right w:w="0" w:type="dxa"/>
            </w:tcMar>
            <w:vAlign w:val="center"/>
          </w:tcPr>
          <w:p w14:paraId="65F078D1"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shd w:val="clear" w:color="auto" w:fill="FFFFFF"/>
            <w:tcMar>
              <w:top w:w="0" w:type="dxa"/>
              <w:left w:w="0" w:type="dxa"/>
              <w:bottom w:w="0" w:type="dxa"/>
              <w:right w:w="0" w:type="dxa"/>
            </w:tcMar>
            <w:vAlign w:val="center"/>
          </w:tcPr>
          <w:p w14:paraId="5557D48C"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FFFFF"/>
            <w:tcMar>
              <w:top w:w="0" w:type="dxa"/>
              <w:left w:w="0" w:type="dxa"/>
              <w:bottom w:w="0" w:type="dxa"/>
              <w:right w:w="0" w:type="dxa"/>
            </w:tcMar>
            <w:vAlign w:val="center"/>
          </w:tcPr>
          <w:p w14:paraId="2581EAE8" w14:textId="77777777" w:rsidR="00E20A86" w:rsidRPr="001B3C29" w:rsidRDefault="00E20A86" w:rsidP="001B3C29">
            <w:pPr>
              <w:keepNext/>
              <w:spacing w:before="0" w:after="0" w:line="240" w:lineRule="auto"/>
              <w:ind w:left="100" w:right="100" w:firstLine="0"/>
              <w:jc w:val="right"/>
              <w:rPr>
                <w:sz w:val="20"/>
                <w:szCs w:val="20"/>
              </w:rPr>
            </w:pPr>
          </w:p>
        </w:tc>
        <w:tc>
          <w:tcPr>
            <w:tcW w:w="904" w:type="dxa"/>
            <w:shd w:val="clear" w:color="auto" w:fill="FFFFFF"/>
            <w:tcMar>
              <w:top w:w="0" w:type="dxa"/>
              <w:left w:w="0" w:type="dxa"/>
              <w:bottom w:w="0" w:type="dxa"/>
              <w:right w:w="0" w:type="dxa"/>
            </w:tcMar>
            <w:vAlign w:val="center"/>
          </w:tcPr>
          <w:p w14:paraId="041D9D47"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FFFFF"/>
            <w:tcMar>
              <w:top w:w="0" w:type="dxa"/>
              <w:left w:w="0" w:type="dxa"/>
              <w:bottom w:w="0" w:type="dxa"/>
              <w:right w:w="0" w:type="dxa"/>
            </w:tcMar>
            <w:vAlign w:val="center"/>
          </w:tcPr>
          <w:p w14:paraId="7F275BD8"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FFFFF"/>
            <w:tcMar>
              <w:top w:w="0" w:type="dxa"/>
              <w:left w:w="0" w:type="dxa"/>
              <w:bottom w:w="0" w:type="dxa"/>
              <w:right w:w="0" w:type="dxa"/>
            </w:tcMar>
            <w:vAlign w:val="center"/>
          </w:tcPr>
          <w:p w14:paraId="23FB705F"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-0.976</w:t>
            </w:r>
          </w:p>
        </w:tc>
        <w:tc>
          <w:tcPr>
            <w:tcW w:w="904" w:type="dxa"/>
            <w:shd w:val="clear" w:color="auto" w:fill="FFFFFF"/>
            <w:tcMar>
              <w:top w:w="0" w:type="dxa"/>
              <w:left w:w="0" w:type="dxa"/>
              <w:bottom w:w="0" w:type="dxa"/>
              <w:right w:w="0" w:type="dxa"/>
            </w:tcMar>
            <w:vAlign w:val="center"/>
          </w:tcPr>
          <w:p w14:paraId="0012AC94"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FFFFF"/>
            <w:tcMar>
              <w:top w:w="0" w:type="dxa"/>
              <w:left w:w="0" w:type="dxa"/>
              <w:bottom w:w="0" w:type="dxa"/>
              <w:right w:w="0" w:type="dxa"/>
            </w:tcMar>
            <w:vAlign w:val="center"/>
          </w:tcPr>
          <w:p w14:paraId="677368DA"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FFFFF"/>
            <w:tcMar>
              <w:top w:w="0" w:type="dxa"/>
              <w:left w:w="0" w:type="dxa"/>
              <w:bottom w:w="0" w:type="dxa"/>
              <w:right w:w="0" w:type="dxa"/>
            </w:tcMar>
            <w:vAlign w:val="center"/>
          </w:tcPr>
          <w:p w14:paraId="518A7127"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FFFFF"/>
            <w:tcMar>
              <w:top w:w="0" w:type="dxa"/>
              <w:left w:w="0" w:type="dxa"/>
              <w:bottom w:w="0" w:type="dxa"/>
              <w:right w:w="0" w:type="dxa"/>
            </w:tcMar>
            <w:vAlign w:val="center"/>
          </w:tcPr>
          <w:p w14:paraId="4723B33E"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FFFFF"/>
            <w:tcMar>
              <w:top w:w="0" w:type="dxa"/>
              <w:left w:w="0" w:type="dxa"/>
              <w:bottom w:w="0" w:type="dxa"/>
              <w:right w:w="0" w:type="dxa"/>
            </w:tcMar>
            <w:vAlign w:val="center"/>
          </w:tcPr>
          <w:p w14:paraId="3FA035B4" w14:textId="77777777" w:rsidR="00E20A86" w:rsidRPr="001B3C29" w:rsidRDefault="00E20A86" w:rsidP="001B3C29">
            <w:pPr>
              <w:keepNext/>
              <w:spacing w:before="0" w:after="0" w:line="240" w:lineRule="auto"/>
              <w:ind w:left="100" w:right="100" w:firstLine="0"/>
              <w:jc w:val="right"/>
              <w:rPr>
                <w:sz w:val="20"/>
                <w:szCs w:val="20"/>
              </w:rPr>
            </w:pPr>
          </w:p>
        </w:tc>
      </w:tr>
      <w:tr w:rsidR="00E20A86" w:rsidRPr="001B3C29" w14:paraId="0A065987" w14:textId="77777777" w:rsidTr="001179F5">
        <w:trPr>
          <w:cantSplit/>
          <w:trHeight w:val="270"/>
          <w:jc w:val="center"/>
        </w:trPr>
        <w:tc>
          <w:tcPr>
            <w:tcW w:w="1350" w:type="dxa"/>
            <w:shd w:val="clear" w:color="auto" w:fill="F6F6F6"/>
            <w:tcMar>
              <w:top w:w="0" w:type="dxa"/>
              <w:left w:w="0" w:type="dxa"/>
              <w:bottom w:w="0" w:type="dxa"/>
              <w:right w:w="0" w:type="dxa"/>
            </w:tcMar>
            <w:vAlign w:val="center"/>
          </w:tcPr>
          <w:p w14:paraId="27F256CF" w14:textId="77777777" w:rsidR="00E20A86" w:rsidRPr="001B3C29" w:rsidRDefault="00E20A86" w:rsidP="00EE536E">
            <w:pPr>
              <w:keepNext/>
              <w:spacing w:before="0" w:after="0" w:line="240" w:lineRule="auto"/>
              <w:ind w:left="100" w:right="100" w:firstLine="0"/>
              <w:rPr>
                <w:sz w:val="20"/>
                <w:szCs w:val="20"/>
              </w:rPr>
            </w:pPr>
            <w:r w:rsidRPr="001B3C29">
              <w:rPr>
                <w:rFonts w:eastAsia="Arial"/>
                <w:i/>
                <w:color w:val="000000"/>
                <w:sz w:val="20"/>
                <w:szCs w:val="20"/>
              </w:rPr>
              <w:t>τ</w:t>
            </w:r>
            <w:r w:rsidRPr="001B3C29">
              <w:rPr>
                <w:rFonts w:eastAsia="Arial"/>
                <w:color w:val="000000"/>
                <w:sz w:val="20"/>
                <w:szCs w:val="20"/>
                <w:vertAlign w:val="subscript"/>
              </w:rPr>
              <w:t>22</w:t>
            </w:r>
          </w:p>
        </w:tc>
        <w:tc>
          <w:tcPr>
            <w:tcW w:w="1090" w:type="dxa"/>
            <w:shd w:val="clear" w:color="auto" w:fill="F6F6F6"/>
            <w:tcMar>
              <w:top w:w="0" w:type="dxa"/>
              <w:left w:w="0" w:type="dxa"/>
              <w:bottom w:w="0" w:type="dxa"/>
              <w:right w:w="0" w:type="dxa"/>
            </w:tcMar>
            <w:vAlign w:val="center"/>
          </w:tcPr>
          <w:p w14:paraId="16F8F867" w14:textId="77777777" w:rsidR="00E20A86" w:rsidRPr="001B3C29" w:rsidRDefault="00E20A86" w:rsidP="00EE536E">
            <w:pPr>
              <w:keepNext/>
              <w:spacing w:before="0" w:after="0" w:line="240" w:lineRule="auto"/>
              <w:ind w:left="100" w:right="100" w:firstLine="0"/>
              <w:jc w:val="right"/>
              <w:rPr>
                <w:sz w:val="20"/>
                <w:szCs w:val="20"/>
              </w:rPr>
            </w:pPr>
          </w:p>
        </w:tc>
        <w:tc>
          <w:tcPr>
            <w:tcW w:w="723" w:type="dxa"/>
            <w:shd w:val="clear" w:color="auto" w:fill="F6F6F6"/>
            <w:tcMar>
              <w:top w:w="0" w:type="dxa"/>
              <w:left w:w="0" w:type="dxa"/>
              <w:bottom w:w="0" w:type="dxa"/>
              <w:right w:w="0" w:type="dxa"/>
            </w:tcMar>
            <w:vAlign w:val="center"/>
          </w:tcPr>
          <w:p w14:paraId="685E47EE"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shd w:val="clear" w:color="auto" w:fill="F6F6F6"/>
            <w:tcMar>
              <w:top w:w="0" w:type="dxa"/>
              <w:left w:w="0" w:type="dxa"/>
              <w:bottom w:w="0" w:type="dxa"/>
              <w:right w:w="0" w:type="dxa"/>
            </w:tcMar>
            <w:vAlign w:val="center"/>
          </w:tcPr>
          <w:p w14:paraId="03FA5E5D"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6F6F6"/>
            <w:tcMar>
              <w:top w:w="0" w:type="dxa"/>
              <w:left w:w="0" w:type="dxa"/>
              <w:bottom w:w="0" w:type="dxa"/>
              <w:right w:w="0" w:type="dxa"/>
            </w:tcMar>
            <w:vAlign w:val="center"/>
          </w:tcPr>
          <w:p w14:paraId="3702D4A7" w14:textId="77777777" w:rsidR="00E20A86" w:rsidRPr="001B3C29" w:rsidRDefault="00E20A86" w:rsidP="001B3C29">
            <w:pPr>
              <w:keepNext/>
              <w:spacing w:before="0" w:after="0" w:line="240" w:lineRule="auto"/>
              <w:ind w:left="100" w:right="100" w:firstLine="0"/>
              <w:jc w:val="right"/>
              <w:rPr>
                <w:sz w:val="20"/>
                <w:szCs w:val="20"/>
              </w:rPr>
            </w:pPr>
          </w:p>
        </w:tc>
        <w:tc>
          <w:tcPr>
            <w:tcW w:w="904" w:type="dxa"/>
            <w:shd w:val="clear" w:color="auto" w:fill="F6F6F6"/>
            <w:tcMar>
              <w:top w:w="0" w:type="dxa"/>
              <w:left w:w="0" w:type="dxa"/>
              <w:bottom w:w="0" w:type="dxa"/>
              <w:right w:w="0" w:type="dxa"/>
            </w:tcMar>
            <w:vAlign w:val="center"/>
          </w:tcPr>
          <w:p w14:paraId="02A4CD5C"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6F6F6"/>
            <w:tcMar>
              <w:top w:w="0" w:type="dxa"/>
              <w:left w:w="0" w:type="dxa"/>
              <w:bottom w:w="0" w:type="dxa"/>
              <w:right w:w="0" w:type="dxa"/>
            </w:tcMar>
            <w:vAlign w:val="center"/>
          </w:tcPr>
          <w:p w14:paraId="0766E8DD"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6F6F6"/>
            <w:tcMar>
              <w:top w:w="0" w:type="dxa"/>
              <w:left w:w="0" w:type="dxa"/>
              <w:bottom w:w="0" w:type="dxa"/>
              <w:right w:w="0" w:type="dxa"/>
            </w:tcMar>
            <w:vAlign w:val="center"/>
          </w:tcPr>
          <w:p w14:paraId="120020BC"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0.442</w:t>
            </w:r>
          </w:p>
        </w:tc>
        <w:tc>
          <w:tcPr>
            <w:tcW w:w="904" w:type="dxa"/>
            <w:shd w:val="clear" w:color="auto" w:fill="F6F6F6"/>
            <w:tcMar>
              <w:top w:w="0" w:type="dxa"/>
              <w:left w:w="0" w:type="dxa"/>
              <w:bottom w:w="0" w:type="dxa"/>
              <w:right w:w="0" w:type="dxa"/>
            </w:tcMar>
            <w:vAlign w:val="center"/>
          </w:tcPr>
          <w:p w14:paraId="29F48A7B"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6F6F6"/>
            <w:tcMar>
              <w:top w:w="0" w:type="dxa"/>
              <w:left w:w="0" w:type="dxa"/>
              <w:bottom w:w="0" w:type="dxa"/>
              <w:right w:w="0" w:type="dxa"/>
            </w:tcMar>
            <w:vAlign w:val="center"/>
          </w:tcPr>
          <w:p w14:paraId="25715223"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6F6F6"/>
            <w:tcMar>
              <w:top w:w="0" w:type="dxa"/>
              <w:left w:w="0" w:type="dxa"/>
              <w:bottom w:w="0" w:type="dxa"/>
              <w:right w:w="0" w:type="dxa"/>
            </w:tcMar>
            <w:vAlign w:val="center"/>
          </w:tcPr>
          <w:p w14:paraId="0768C273"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6F6F6"/>
            <w:tcMar>
              <w:top w:w="0" w:type="dxa"/>
              <w:left w:w="0" w:type="dxa"/>
              <w:bottom w:w="0" w:type="dxa"/>
              <w:right w:w="0" w:type="dxa"/>
            </w:tcMar>
            <w:vAlign w:val="center"/>
          </w:tcPr>
          <w:p w14:paraId="58F87AAC"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6F6F6"/>
            <w:tcMar>
              <w:top w:w="0" w:type="dxa"/>
              <w:left w:w="0" w:type="dxa"/>
              <w:bottom w:w="0" w:type="dxa"/>
              <w:right w:w="0" w:type="dxa"/>
            </w:tcMar>
            <w:vAlign w:val="center"/>
          </w:tcPr>
          <w:p w14:paraId="4F870637" w14:textId="77777777" w:rsidR="00E20A86" w:rsidRPr="001B3C29" w:rsidRDefault="00E20A86" w:rsidP="001B3C29">
            <w:pPr>
              <w:keepNext/>
              <w:spacing w:before="0" w:after="0" w:line="240" w:lineRule="auto"/>
              <w:ind w:left="100" w:right="100" w:firstLine="0"/>
              <w:jc w:val="right"/>
              <w:rPr>
                <w:sz w:val="20"/>
                <w:szCs w:val="20"/>
              </w:rPr>
            </w:pPr>
          </w:p>
        </w:tc>
      </w:tr>
      <w:tr w:rsidR="00E20A86" w:rsidRPr="001B3C29" w14:paraId="1C62DF3F" w14:textId="77777777" w:rsidTr="001179F5">
        <w:trPr>
          <w:cantSplit/>
          <w:trHeight w:val="255"/>
          <w:jc w:val="center"/>
        </w:trPr>
        <w:tc>
          <w:tcPr>
            <w:tcW w:w="1350" w:type="dxa"/>
            <w:tcBorders>
              <w:bottom w:val="single" w:sz="12" w:space="0" w:color="000000"/>
            </w:tcBorders>
            <w:shd w:val="clear" w:color="auto" w:fill="FFFFFF"/>
            <w:tcMar>
              <w:top w:w="0" w:type="dxa"/>
              <w:left w:w="0" w:type="dxa"/>
              <w:bottom w:w="0" w:type="dxa"/>
              <w:right w:w="0" w:type="dxa"/>
            </w:tcMar>
            <w:vAlign w:val="center"/>
          </w:tcPr>
          <w:p w14:paraId="30A558F3" w14:textId="77777777" w:rsidR="00E20A86" w:rsidRPr="001B3C29" w:rsidRDefault="00E20A86" w:rsidP="00EE536E">
            <w:pPr>
              <w:keepNext/>
              <w:spacing w:before="0" w:after="0" w:line="240" w:lineRule="auto"/>
              <w:ind w:left="100" w:right="100" w:firstLine="0"/>
              <w:rPr>
                <w:sz w:val="20"/>
                <w:szCs w:val="20"/>
              </w:rPr>
            </w:pPr>
            <w:r w:rsidRPr="001B3C29">
              <w:rPr>
                <w:rFonts w:eastAsia="Arial"/>
                <w:i/>
                <w:color w:val="000000"/>
                <w:sz w:val="20"/>
                <w:szCs w:val="20"/>
              </w:rPr>
              <w:t>σ</w:t>
            </w:r>
          </w:p>
        </w:tc>
        <w:tc>
          <w:tcPr>
            <w:tcW w:w="1090" w:type="dxa"/>
            <w:tcBorders>
              <w:bottom w:val="single" w:sz="12" w:space="0" w:color="000000"/>
            </w:tcBorders>
            <w:shd w:val="clear" w:color="auto" w:fill="FFFFFF"/>
            <w:tcMar>
              <w:top w:w="0" w:type="dxa"/>
              <w:left w:w="0" w:type="dxa"/>
              <w:bottom w:w="0" w:type="dxa"/>
              <w:right w:w="0" w:type="dxa"/>
            </w:tcMar>
            <w:vAlign w:val="center"/>
          </w:tcPr>
          <w:p w14:paraId="52523200" w14:textId="77777777" w:rsidR="00E20A86" w:rsidRPr="001B3C29" w:rsidRDefault="00E20A86" w:rsidP="00EE536E">
            <w:pPr>
              <w:keepNext/>
              <w:spacing w:before="0" w:after="0" w:line="240" w:lineRule="auto"/>
              <w:ind w:left="100" w:right="100" w:firstLine="0"/>
              <w:jc w:val="right"/>
              <w:rPr>
                <w:sz w:val="20"/>
                <w:szCs w:val="20"/>
              </w:rPr>
            </w:pPr>
            <w:r w:rsidRPr="001B3C29">
              <w:rPr>
                <w:rFonts w:eastAsia="Arial"/>
                <w:color w:val="000000"/>
                <w:sz w:val="20"/>
                <w:szCs w:val="20"/>
              </w:rPr>
              <w:t>1.249</w:t>
            </w:r>
          </w:p>
        </w:tc>
        <w:tc>
          <w:tcPr>
            <w:tcW w:w="723" w:type="dxa"/>
            <w:tcBorders>
              <w:bottom w:val="single" w:sz="12" w:space="0" w:color="000000"/>
            </w:tcBorders>
            <w:shd w:val="clear" w:color="auto" w:fill="FFFFFF"/>
            <w:tcMar>
              <w:top w:w="0" w:type="dxa"/>
              <w:left w:w="0" w:type="dxa"/>
              <w:bottom w:w="0" w:type="dxa"/>
              <w:right w:w="0" w:type="dxa"/>
            </w:tcMar>
            <w:vAlign w:val="center"/>
          </w:tcPr>
          <w:p w14:paraId="36550E08"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tcBorders>
              <w:bottom w:val="single" w:sz="12" w:space="0" w:color="000000"/>
            </w:tcBorders>
            <w:shd w:val="clear" w:color="auto" w:fill="FFFFFF"/>
            <w:tcMar>
              <w:top w:w="0" w:type="dxa"/>
              <w:left w:w="0" w:type="dxa"/>
              <w:bottom w:w="0" w:type="dxa"/>
              <w:right w:w="0" w:type="dxa"/>
            </w:tcMar>
            <w:vAlign w:val="center"/>
          </w:tcPr>
          <w:p w14:paraId="78080F30"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tcBorders>
              <w:bottom w:val="single" w:sz="12" w:space="0" w:color="000000"/>
            </w:tcBorders>
            <w:shd w:val="clear" w:color="auto" w:fill="FFFFFF"/>
            <w:tcMar>
              <w:top w:w="0" w:type="dxa"/>
              <w:left w:w="0" w:type="dxa"/>
              <w:bottom w:w="0" w:type="dxa"/>
              <w:right w:w="0" w:type="dxa"/>
            </w:tcMar>
            <w:vAlign w:val="center"/>
          </w:tcPr>
          <w:p w14:paraId="683B8CCF"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0.999</w:t>
            </w:r>
          </w:p>
        </w:tc>
        <w:tc>
          <w:tcPr>
            <w:tcW w:w="904" w:type="dxa"/>
            <w:tcBorders>
              <w:bottom w:val="single" w:sz="12" w:space="0" w:color="000000"/>
            </w:tcBorders>
            <w:shd w:val="clear" w:color="auto" w:fill="FFFFFF"/>
            <w:tcMar>
              <w:top w:w="0" w:type="dxa"/>
              <w:left w:w="0" w:type="dxa"/>
              <w:bottom w:w="0" w:type="dxa"/>
              <w:right w:w="0" w:type="dxa"/>
            </w:tcMar>
            <w:vAlign w:val="center"/>
          </w:tcPr>
          <w:p w14:paraId="4F95E273"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tcBorders>
              <w:bottom w:val="single" w:sz="12" w:space="0" w:color="000000"/>
            </w:tcBorders>
            <w:shd w:val="clear" w:color="auto" w:fill="FFFFFF"/>
            <w:tcMar>
              <w:top w:w="0" w:type="dxa"/>
              <w:left w:w="0" w:type="dxa"/>
              <w:bottom w:w="0" w:type="dxa"/>
              <w:right w:w="0" w:type="dxa"/>
            </w:tcMar>
            <w:vAlign w:val="center"/>
          </w:tcPr>
          <w:p w14:paraId="441D3C48"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tcBorders>
              <w:bottom w:val="single" w:sz="12" w:space="0" w:color="000000"/>
            </w:tcBorders>
            <w:shd w:val="clear" w:color="auto" w:fill="FFFFFF"/>
            <w:tcMar>
              <w:top w:w="0" w:type="dxa"/>
              <w:left w:w="0" w:type="dxa"/>
              <w:bottom w:w="0" w:type="dxa"/>
              <w:right w:w="0" w:type="dxa"/>
            </w:tcMar>
            <w:vAlign w:val="center"/>
          </w:tcPr>
          <w:p w14:paraId="309E5C37"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0.426</w:t>
            </w:r>
          </w:p>
        </w:tc>
        <w:tc>
          <w:tcPr>
            <w:tcW w:w="904" w:type="dxa"/>
            <w:tcBorders>
              <w:bottom w:val="single" w:sz="12" w:space="0" w:color="000000"/>
            </w:tcBorders>
            <w:shd w:val="clear" w:color="auto" w:fill="FFFFFF"/>
            <w:tcMar>
              <w:top w:w="0" w:type="dxa"/>
              <w:left w:w="0" w:type="dxa"/>
              <w:bottom w:w="0" w:type="dxa"/>
              <w:right w:w="0" w:type="dxa"/>
            </w:tcMar>
            <w:vAlign w:val="center"/>
          </w:tcPr>
          <w:p w14:paraId="46447D73"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tcBorders>
              <w:bottom w:val="single" w:sz="12" w:space="0" w:color="000000"/>
            </w:tcBorders>
            <w:shd w:val="clear" w:color="auto" w:fill="FFFFFF"/>
            <w:tcMar>
              <w:top w:w="0" w:type="dxa"/>
              <w:left w:w="0" w:type="dxa"/>
              <w:bottom w:w="0" w:type="dxa"/>
              <w:right w:w="0" w:type="dxa"/>
            </w:tcMar>
            <w:vAlign w:val="center"/>
          </w:tcPr>
          <w:p w14:paraId="4C8D8BF4"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tcBorders>
              <w:bottom w:val="single" w:sz="12" w:space="0" w:color="000000"/>
            </w:tcBorders>
            <w:shd w:val="clear" w:color="auto" w:fill="FFFFFF"/>
            <w:tcMar>
              <w:top w:w="0" w:type="dxa"/>
              <w:left w:w="0" w:type="dxa"/>
              <w:bottom w:w="0" w:type="dxa"/>
              <w:right w:w="0" w:type="dxa"/>
            </w:tcMar>
            <w:vAlign w:val="center"/>
          </w:tcPr>
          <w:p w14:paraId="6D3EEE0C"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0.999</w:t>
            </w:r>
          </w:p>
        </w:tc>
        <w:tc>
          <w:tcPr>
            <w:tcW w:w="1085" w:type="dxa"/>
            <w:tcBorders>
              <w:bottom w:val="single" w:sz="12" w:space="0" w:color="000000"/>
            </w:tcBorders>
            <w:shd w:val="clear" w:color="auto" w:fill="FFFFFF"/>
            <w:tcMar>
              <w:top w:w="0" w:type="dxa"/>
              <w:left w:w="0" w:type="dxa"/>
              <w:bottom w:w="0" w:type="dxa"/>
              <w:right w:w="0" w:type="dxa"/>
            </w:tcMar>
            <w:vAlign w:val="center"/>
          </w:tcPr>
          <w:p w14:paraId="223F3D78"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tcBorders>
              <w:bottom w:val="single" w:sz="12" w:space="0" w:color="000000"/>
            </w:tcBorders>
            <w:shd w:val="clear" w:color="auto" w:fill="FFFFFF"/>
            <w:tcMar>
              <w:top w:w="0" w:type="dxa"/>
              <w:left w:w="0" w:type="dxa"/>
              <w:bottom w:w="0" w:type="dxa"/>
              <w:right w:w="0" w:type="dxa"/>
            </w:tcMar>
            <w:vAlign w:val="center"/>
          </w:tcPr>
          <w:p w14:paraId="6F25E8DA" w14:textId="77777777" w:rsidR="00E20A86" w:rsidRPr="001B3C29" w:rsidRDefault="00E20A86" w:rsidP="001B3C29">
            <w:pPr>
              <w:keepNext/>
              <w:spacing w:before="0" w:after="0" w:line="240" w:lineRule="auto"/>
              <w:ind w:left="100" w:right="100" w:firstLine="0"/>
              <w:jc w:val="right"/>
              <w:rPr>
                <w:sz w:val="20"/>
                <w:szCs w:val="20"/>
              </w:rPr>
            </w:pPr>
          </w:p>
        </w:tc>
      </w:tr>
      <w:tr w:rsidR="00E20A86" w:rsidRPr="001B3C29" w14:paraId="02F684A4" w14:textId="77777777" w:rsidTr="001179F5">
        <w:trPr>
          <w:cantSplit/>
          <w:trHeight w:val="270"/>
          <w:jc w:val="center"/>
        </w:trPr>
        <w:tc>
          <w:tcPr>
            <w:tcW w:w="1350" w:type="dxa"/>
            <w:tcBorders>
              <w:top w:val="single" w:sz="12" w:space="0" w:color="000000"/>
            </w:tcBorders>
            <w:shd w:val="clear" w:color="auto" w:fill="F6F6F6"/>
            <w:tcMar>
              <w:top w:w="0" w:type="dxa"/>
              <w:left w:w="0" w:type="dxa"/>
              <w:bottom w:w="0" w:type="dxa"/>
              <w:right w:w="0" w:type="dxa"/>
            </w:tcMar>
            <w:vAlign w:val="center"/>
          </w:tcPr>
          <w:p w14:paraId="181B24AB" w14:textId="77777777" w:rsidR="00E20A86" w:rsidRPr="001B3C29" w:rsidRDefault="00E20A86" w:rsidP="00EE536E">
            <w:pPr>
              <w:keepNext/>
              <w:spacing w:before="0" w:after="0" w:line="240" w:lineRule="auto"/>
              <w:ind w:left="100" w:right="100" w:firstLine="0"/>
              <w:rPr>
                <w:sz w:val="20"/>
                <w:szCs w:val="20"/>
              </w:rPr>
            </w:pPr>
            <w:r w:rsidRPr="001B3C29">
              <w:rPr>
                <w:rFonts w:eastAsia="Arial"/>
                <w:color w:val="000000"/>
                <w:sz w:val="20"/>
                <w:szCs w:val="20"/>
              </w:rPr>
              <w:t xml:space="preserve">Marginal </w:t>
            </w:r>
            <w:r w:rsidRPr="001B3C29">
              <w:rPr>
                <w:rFonts w:eastAsia="Arial"/>
                <w:i/>
                <w:color w:val="000000"/>
                <w:sz w:val="20"/>
                <w:szCs w:val="20"/>
              </w:rPr>
              <w:t>R</w:t>
            </w:r>
            <w:r w:rsidRPr="001B3C29">
              <w:rPr>
                <w:rFonts w:eastAsia="Arial"/>
                <w:color w:val="000000"/>
                <w:sz w:val="20"/>
                <w:szCs w:val="20"/>
                <w:vertAlign w:val="superscript"/>
              </w:rPr>
              <w:t>2</w:t>
            </w:r>
          </w:p>
        </w:tc>
        <w:tc>
          <w:tcPr>
            <w:tcW w:w="1090" w:type="dxa"/>
            <w:tcBorders>
              <w:top w:val="single" w:sz="12" w:space="0" w:color="000000"/>
            </w:tcBorders>
            <w:shd w:val="clear" w:color="auto" w:fill="F6F6F6"/>
            <w:tcMar>
              <w:top w:w="0" w:type="dxa"/>
              <w:left w:w="0" w:type="dxa"/>
              <w:bottom w:w="0" w:type="dxa"/>
              <w:right w:w="0" w:type="dxa"/>
            </w:tcMar>
            <w:vAlign w:val="center"/>
          </w:tcPr>
          <w:p w14:paraId="645A711C" w14:textId="77777777" w:rsidR="00E20A86" w:rsidRPr="001B3C29" w:rsidRDefault="00E20A86" w:rsidP="00EE536E">
            <w:pPr>
              <w:keepNext/>
              <w:spacing w:before="0" w:after="0" w:line="240" w:lineRule="auto"/>
              <w:ind w:left="100" w:right="100" w:firstLine="0"/>
              <w:jc w:val="right"/>
              <w:rPr>
                <w:sz w:val="20"/>
                <w:szCs w:val="20"/>
              </w:rPr>
            </w:pPr>
            <w:r w:rsidRPr="001B3C29">
              <w:rPr>
                <w:rFonts w:eastAsia="Arial"/>
                <w:color w:val="000000"/>
                <w:sz w:val="20"/>
                <w:szCs w:val="20"/>
              </w:rPr>
              <w:t>0.007</w:t>
            </w:r>
          </w:p>
        </w:tc>
        <w:tc>
          <w:tcPr>
            <w:tcW w:w="723" w:type="dxa"/>
            <w:tcBorders>
              <w:top w:val="single" w:sz="12" w:space="0" w:color="000000"/>
            </w:tcBorders>
            <w:shd w:val="clear" w:color="auto" w:fill="F6F6F6"/>
            <w:tcMar>
              <w:top w:w="0" w:type="dxa"/>
              <w:left w:w="0" w:type="dxa"/>
              <w:bottom w:w="0" w:type="dxa"/>
              <w:right w:w="0" w:type="dxa"/>
            </w:tcMar>
            <w:vAlign w:val="center"/>
          </w:tcPr>
          <w:p w14:paraId="7CB239D3"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tcBorders>
              <w:top w:val="single" w:sz="12" w:space="0" w:color="000000"/>
            </w:tcBorders>
            <w:shd w:val="clear" w:color="auto" w:fill="F6F6F6"/>
            <w:tcMar>
              <w:top w:w="0" w:type="dxa"/>
              <w:left w:w="0" w:type="dxa"/>
              <w:bottom w:w="0" w:type="dxa"/>
              <w:right w:w="0" w:type="dxa"/>
            </w:tcMar>
            <w:vAlign w:val="center"/>
          </w:tcPr>
          <w:p w14:paraId="5C61611E"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tcBorders>
              <w:top w:val="single" w:sz="12" w:space="0" w:color="000000"/>
            </w:tcBorders>
            <w:shd w:val="clear" w:color="auto" w:fill="F6F6F6"/>
            <w:tcMar>
              <w:top w:w="0" w:type="dxa"/>
              <w:left w:w="0" w:type="dxa"/>
              <w:bottom w:w="0" w:type="dxa"/>
              <w:right w:w="0" w:type="dxa"/>
            </w:tcMar>
            <w:vAlign w:val="center"/>
          </w:tcPr>
          <w:p w14:paraId="1ED79358"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0.006</w:t>
            </w:r>
          </w:p>
        </w:tc>
        <w:tc>
          <w:tcPr>
            <w:tcW w:w="904" w:type="dxa"/>
            <w:tcBorders>
              <w:top w:val="single" w:sz="12" w:space="0" w:color="000000"/>
            </w:tcBorders>
            <w:shd w:val="clear" w:color="auto" w:fill="F6F6F6"/>
            <w:tcMar>
              <w:top w:w="0" w:type="dxa"/>
              <w:left w:w="0" w:type="dxa"/>
              <w:bottom w:w="0" w:type="dxa"/>
              <w:right w:w="0" w:type="dxa"/>
            </w:tcMar>
            <w:vAlign w:val="center"/>
          </w:tcPr>
          <w:p w14:paraId="4F3C4978"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tcBorders>
              <w:top w:val="single" w:sz="12" w:space="0" w:color="000000"/>
            </w:tcBorders>
            <w:shd w:val="clear" w:color="auto" w:fill="F6F6F6"/>
            <w:tcMar>
              <w:top w:w="0" w:type="dxa"/>
              <w:left w:w="0" w:type="dxa"/>
              <w:bottom w:w="0" w:type="dxa"/>
              <w:right w:w="0" w:type="dxa"/>
            </w:tcMar>
            <w:vAlign w:val="center"/>
          </w:tcPr>
          <w:p w14:paraId="56DB6AC4"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tcBorders>
              <w:top w:val="single" w:sz="12" w:space="0" w:color="000000"/>
            </w:tcBorders>
            <w:shd w:val="clear" w:color="auto" w:fill="F6F6F6"/>
            <w:tcMar>
              <w:top w:w="0" w:type="dxa"/>
              <w:left w:w="0" w:type="dxa"/>
              <w:bottom w:w="0" w:type="dxa"/>
              <w:right w:w="0" w:type="dxa"/>
            </w:tcMar>
            <w:vAlign w:val="center"/>
          </w:tcPr>
          <w:p w14:paraId="3A9BC9CE"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0.006</w:t>
            </w:r>
          </w:p>
        </w:tc>
        <w:tc>
          <w:tcPr>
            <w:tcW w:w="904" w:type="dxa"/>
            <w:tcBorders>
              <w:top w:val="single" w:sz="12" w:space="0" w:color="000000"/>
            </w:tcBorders>
            <w:shd w:val="clear" w:color="auto" w:fill="F6F6F6"/>
            <w:tcMar>
              <w:top w:w="0" w:type="dxa"/>
              <w:left w:w="0" w:type="dxa"/>
              <w:bottom w:w="0" w:type="dxa"/>
              <w:right w:w="0" w:type="dxa"/>
            </w:tcMar>
            <w:vAlign w:val="center"/>
          </w:tcPr>
          <w:p w14:paraId="0599AD32"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tcBorders>
              <w:top w:val="single" w:sz="12" w:space="0" w:color="000000"/>
            </w:tcBorders>
            <w:shd w:val="clear" w:color="auto" w:fill="F6F6F6"/>
            <w:tcMar>
              <w:top w:w="0" w:type="dxa"/>
              <w:left w:w="0" w:type="dxa"/>
              <w:bottom w:w="0" w:type="dxa"/>
              <w:right w:w="0" w:type="dxa"/>
            </w:tcMar>
            <w:vAlign w:val="center"/>
          </w:tcPr>
          <w:p w14:paraId="739603F8"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tcBorders>
              <w:top w:val="single" w:sz="12" w:space="0" w:color="000000"/>
            </w:tcBorders>
            <w:shd w:val="clear" w:color="auto" w:fill="F6F6F6"/>
            <w:tcMar>
              <w:top w:w="0" w:type="dxa"/>
              <w:left w:w="0" w:type="dxa"/>
              <w:bottom w:w="0" w:type="dxa"/>
              <w:right w:w="0" w:type="dxa"/>
            </w:tcMar>
            <w:vAlign w:val="center"/>
          </w:tcPr>
          <w:p w14:paraId="5D2332C2"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0.009</w:t>
            </w:r>
          </w:p>
        </w:tc>
        <w:tc>
          <w:tcPr>
            <w:tcW w:w="1085" w:type="dxa"/>
            <w:tcBorders>
              <w:top w:val="single" w:sz="12" w:space="0" w:color="000000"/>
            </w:tcBorders>
            <w:shd w:val="clear" w:color="auto" w:fill="F6F6F6"/>
            <w:tcMar>
              <w:top w:w="0" w:type="dxa"/>
              <w:left w:w="0" w:type="dxa"/>
              <w:bottom w:w="0" w:type="dxa"/>
              <w:right w:w="0" w:type="dxa"/>
            </w:tcMar>
            <w:vAlign w:val="center"/>
          </w:tcPr>
          <w:p w14:paraId="2A5F2B72"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tcBorders>
              <w:top w:val="single" w:sz="12" w:space="0" w:color="000000"/>
            </w:tcBorders>
            <w:shd w:val="clear" w:color="auto" w:fill="F6F6F6"/>
            <w:tcMar>
              <w:top w:w="0" w:type="dxa"/>
              <w:left w:w="0" w:type="dxa"/>
              <w:bottom w:w="0" w:type="dxa"/>
              <w:right w:w="0" w:type="dxa"/>
            </w:tcMar>
            <w:vAlign w:val="center"/>
          </w:tcPr>
          <w:p w14:paraId="20128EA1" w14:textId="77777777" w:rsidR="00E20A86" w:rsidRPr="001B3C29" w:rsidRDefault="00E20A86" w:rsidP="001B3C29">
            <w:pPr>
              <w:keepNext/>
              <w:spacing w:before="0" w:after="0" w:line="240" w:lineRule="auto"/>
              <w:ind w:left="100" w:right="100" w:firstLine="0"/>
              <w:jc w:val="right"/>
              <w:rPr>
                <w:sz w:val="20"/>
                <w:szCs w:val="20"/>
              </w:rPr>
            </w:pPr>
          </w:p>
        </w:tc>
      </w:tr>
      <w:tr w:rsidR="00E20A86" w:rsidRPr="001B3C29" w14:paraId="6E523132" w14:textId="77777777" w:rsidTr="001179F5">
        <w:trPr>
          <w:cantSplit/>
          <w:trHeight w:val="270"/>
          <w:jc w:val="center"/>
        </w:trPr>
        <w:tc>
          <w:tcPr>
            <w:tcW w:w="1350" w:type="dxa"/>
            <w:shd w:val="clear" w:color="auto" w:fill="FFFFFF"/>
            <w:tcMar>
              <w:top w:w="0" w:type="dxa"/>
              <w:left w:w="0" w:type="dxa"/>
              <w:bottom w:w="0" w:type="dxa"/>
              <w:right w:w="0" w:type="dxa"/>
            </w:tcMar>
            <w:vAlign w:val="center"/>
          </w:tcPr>
          <w:p w14:paraId="464B4C5D" w14:textId="77777777" w:rsidR="00E20A86" w:rsidRPr="001B3C29" w:rsidRDefault="00E20A86" w:rsidP="00EE536E">
            <w:pPr>
              <w:keepNext/>
              <w:spacing w:before="0" w:after="0" w:line="240" w:lineRule="auto"/>
              <w:ind w:left="100" w:right="100" w:firstLine="0"/>
              <w:rPr>
                <w:sz w:val="20"/>
                <w:szCs w:val="20"/>
              </w:rPr>
            </w:pPr>
            <w:r w:rsidRPr="001B3C29">
              <w:rPr>
                <w:rFonts w:eastAsia="Arial"/>
                <w:color w:val="000000"/>
                <w:sz w:val="20"/>
                <w:szCs w:val="20"/>
              </w:rPr>
              <w:t>ICC</w:t>
            </w:r>
          </w:p>
        </w:tc>
        <w:tc>
          <w:tcPr>
            <w:tcW w:w="1090" w:type="dxa"/>
            <w:shd w:val="clear" w:color="auto" w:fill="FFFFFF"/>
            <w:tcMar>
              <w:top w:w="0" w:type="dxa"/>
              <w:left w:w="0" w:type="dxa"/>
              <w:bottom w:w="0" w:type="dxa"/>
              <w:right w:w="0" w:type="dxa"/>
            </w:tcMar>
            <w:vAlign w:val="center"/>
          </w:tcPr>
          <w:p w14:paraId="51BD5BE3" w14:textId="77777777" w:rsidR="00E20A86" w:rsidRPr="001B3C29" w:rsidRDefault="00E20A86" w:rsidP="00EE536E">
            <w:pPr>
              <w:keepNext/>
              <w:spacing w:before="0" w:after="0" w:line="240" w:lineRule="auto"/>
              <w:ind w:left="100" w:right="100" w:firstLine="0"/>
              <w:jc w:val="right"/>
              <w:rPr>
                <w:sz w:val="20"/>
                <w:szCs w:val="20"/>
              </w:rPr>
            </w:pPr>
            <w:r w:rsidRPr="001B3C29">
              <w:rPr>
                <w:rFonts w:eastAsia="Arial"/>
                <w:color w:val="000000"/>
                <w:sz w:val="20"/>
                <w:szCs w:val="20"/>
              </w:rPr>
              <w:t>0.965</w:t>
            </w:r>
          </w:p>
        </w:tc>
        <w:tc>
          <w:tcPr>
            <w:tcW w:w="723" w:type="dxa"/>
            <w:shd w:val="clear" w:color="auto" w:fill="FFFFFF"/>
            <w:tcMar>
              <w:top w:w="0" w:type="dxa"/>
              <w:left w:w="0" w:type="dxa"/>
              <w:bottom w:w="0" w:type="dxa"/>
              <w:right w:w="0" w:type="dxa"/>
            </w:tcMar>
            <w:vAlign w:val="center"/>
          </w:tcPr>
          <w:p w14:paraId="687AE49C"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shd w:val="clear" w:color="auto" w:fill="FFFFFF"/>
            <w:tcMar>
              <w:top w:w="0" w:type="dxa"/>
              <w:left w:w="0" w:type="dxa"/>
              <w:bottom w:w="0" w:type="dxa"/>
              <w:right w:w="0" w:type="dxa"/>
            </w:tcMar>
            <w:vAlign w:val="center"/>
          </w:tcPr>
          <w:p w14:paraId="4DA12A02"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FFFFF"/>
            <w:tcMar>
              <w:top w:w="0" w:type="dxa"/>
              <w:left w:w="0" w:type="dxa"/>
              <w:bottom w:w="0" w:type="dxa"/>
              <w:right w:w="0" w:type="dxa"/>
            </w:tcMar>
            <w:vAlign w:val="center"/>
          </w:tcPr>
          <w:p w14:paraId="3AD579CD"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0.979</w:t>
            </w:r>
          </w:p>
        </w:tc>
        <w:tc>
          <w:tcPr>
            <w:tcW w:w="904" w:type="dxa"/>
            <w:shd w:val="clear" w:color="auto" w:fill="FFFFFF"/>
            <w:tcMar>
              <w:top w:w="0" w:type="dxa"/>
              <w:left w:w="0" w:type="dxa"/>
              <w:bottom w:w="0" w:type="dxa"/>
              <w:right w:w="0" w:type="dxa"/>
            </w:tcMar>
            <w:vAlign w:val="center"/>
          </w:tcPr>
          <w:p w14:paraId="2AAE769B"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FFFFF"/>
            <w:tcMar>
              <w:top w:w="0" w:type="dxa"/>
              <w:left w:w="0" w:type="dxa"/>
              <w:bottom w:w="0" w:type="dxa"/>
              <w:right w:w="0" w:type="dxa"/>
            </w:tcMar>
            <w:vAlign w:val="center"/>
          </w:tcPr>
          <w:p w14:paraId="0208D694"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FFFFF"/>
            <w:tcMar>
              <w:top w:w="0" w:type="dxa"/>
              <w:left w:w="0" w:type="dxa"/>
              <w:bottom w:w="0" w:type="dxa"/>
              <w:right w:w="0" w:type="dxa"/>
            </w:tcMar>
            <w:vAlign w:val="center"/>
          </w:tcPr>
          <w:p w14:paraId="281C9D12"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0.996</w:t>
            </w:r>
          </w:p>
        </w:tc>
        <w:tc>
          <w:tcPr>
            <w:tcW w:w="904" w:type="dxa"/>
            <w:shd w:val="clear" w:color="auto" w:fill="FFFFFF"/>
            <w:tcMar>
              <w:top w:w="0" w:type="dxa"/>
              <w:left w:w="0" w:type="dxa"/>
              <w:bottom w:w="0" w:type="dxa"/>
              <w:right w:w="0" w:type="dxa"/>
            </w:tcMar>
            <w:vAlign w:val="center"/>
          </w:tcPr>
          <w:p w14:paraId="6CC282F2"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FFFFF"/>
            <w:tcMar>
              <w:top w:w="0" w:type="dxa"/>
              <w:left w:w="0" w:type="dxa"/>
              <w:bottom w:w="0" w:type="dxa"/>
              <w:right w:w="0" w:type="dxa"/>
            </w:tcMar>
            <w:vAlign w:val="center"/>
          </w:tcPr>
          <w:p w14:paraId="7D2672B9"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FFFFF"/>
            <w:tcMar>
              <w:top w:w="0" w:type="dxa"/>
              <w:left w:w="0" w:type="dxa"/>
              <w:bottom w:w="0" w:type="dxa"/>
              <w:right w:w="0" w:type="dxa"/>
            </w:tcMar>
            <w:vAlign w:val="center"/>
          </w:tcPr>
          <w:p w14:paraId="470C2A4D"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0.978</w:t>
            </w:r>
          </w:p>
        </w:tc>
        <w:tc>
          <w:tcPr>
            <w:tcW w:w="1085" w:type="dxa"/>
            <w:shd w:val="clear" w:color="auto" w:fill="FFFFFF"/>
            <w:tcMar>
              <w:top w:w="0" w:type="dxa"/>
              <w:left w:w="0" w:type="dxa"/>
              <w:bottom w:w="0" w:type="dxa"/>
              <w:right w:w="0" w:type="dxa"/>
            </w:tcMar>
            <w:vAlign w:val="center"/>
          </w:tcPr>
          <w:p w14:paraId="38BFB8FE"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FFFFF"/>
            <w:tcMar>
              <w:top w:w="0" w:type="dxa"/>
              <w:left w:w="0" w:type="dxa"/>
              <w:bottom w:w="0" w:type="dxa"/>
              <w:right w:w="0" w:type="dxa"/>
            </w:tcMar>
            <w:vAlign w:val="center"/>
          </w:tcPr>
          <w:p w14:paraId="2E28CD21" w14:textId="77777777" w:rsidR="00E20A86" w:rsidRPr="001B3C29" w:rsidRDefault="00E20A86" w:rsidP="001B3C29">
            <w:pPr>
              <w:keepNext/>
              <w:spacing w:before="0" w:after="0" w:line="240" w:lineRule="auto"/>
              <w:ind w:left="100" w:right="100" w:firstLine="0"/>
              <w:jc w:val="right"/>
              <w:rPr>
                <w:sz w:val="20"/>
                <w:szCs w:val="20"/>
              </w:rPr>
            </w:pPr>
          </w:p>
        </w:tc>
      </w:tr>
      <w:tr w:rsidR="00E20A86" w:rsidRPr="001B3C29" w14:paraId="0B87D216" w14:textId="77777777" w:rsidTr="001179F5">
        <w:trPr>
          <w:cantSplit/>
          <w:trHeight w:val="524"/>
          <w:jc w:val="center"/>
        </w:trPr>
        <w:tc>
          <w:tcPr>
            <w:tcW w:w="1350" w:type="dxa"/>
            <w:shd w:val="clear" w:color="auto" w:fill="F6F6F6"/>
            <w:tcMar>
              <w:top w:w="0" w:type="dxa"/>
              <w:left w:w="0" w:type="dxa"/>
              <w:bottom w:w="0" w:type="dxa"/>
              <w:right w:w="0" w:type="dxa"/>
            </w:tcMar>
            <w:vAlign w:val="center"/>
          </w:tcPr>
          <w:p w14:paraId="62362C92" w14:textId="77777777" w:rsidR="00E20A86" w:rsidRPr="001B3C29" w:rsidRDefault="00E20A86" w:rsidP="00EE536E">
            <w:pPr>
              <w:keepNext/>
              <w:spacing w:before="0" w:after="0" w:line="240" w:lineRule="auto"/>
              <w:ind w:left="100" w:right="100" w:firstLine="0"/>
              <w:rPr>
                <w:sz w:val="20"/>
                <w:szCs w:val="20"/>
              </w:rPr>
            </w:pPr>
            <w:r w:rsidRPr="001B3C29">
              <w:rPr>
                <w:rFonts w:eastAsia="Arial"/>
                <w:color w:val="000000"/>
                <w:sz w:val="20"/>
                <w:szCs w:val="20"/>
              </w:rPr>
              <w:t>Log Likelihood</w:t>
            </w:r>
          </w:p>
        </w:tc>
        <w:tc>
          <w:tcPr>
            <w:tcW w:w="1090" w:type="dxa"/>
            <w:shd w:val="clear" w:color="auto" w:fill="F6F6F6"/>
            <w:tcMar>
              <w:top w:w="0" w:type="dxa"/>
              <w:left w:w="0" w:type="dxa"/>
              <w:bottom w:w="0" w:type="dxa"/>
              <w:right w:w="0" w:type="dxa"/>
            </w:tcMar>
            <w:vAlign w:val="center"/>
          </w:tcPr>
          <w:p w14:paraId="5358BBF9" w14:textId="77777777" w:rsidR="00E20A86" w:rsidRPr="001B3C29" w:rsidRDefault="00E20A86" w:rsidP="00EE536E">
            <w:pPr>
              <w:keepNext/>
              <w:spacing w:before="0" w:after="0" w:line="240" w:lineRule="auto"/>
              <w:ind w:left="100" w:right="100" w:firstLine="0"/>
              <w:jc w:val="right"/>
              <w:rPr>
                <w:sz w:val="20"/>
                <w:szCs w:val="20"/>
              </w:rPr>
            </w:pPr>
            <w:r w:rsidRPr="001B3C29">
              <w:rPr>
                <w:rFonts w:eastAsia="Arial"/>
                <w:color w:val="000000"/>
                <w:sz w:val="20"/>
                <w:szCs w:val="20"/>
              </w:rPr>
              <w:t>-736.551</w:t>
            </w:r>
          </w:p>
        </w:tc>
        <w:tc>
          <w:tcPr>
            <w:tcW w:w="723" w:type="dxa"/>
            <w:shd w:val="clear" w:color="auto" w:fill="F6F6F6"/>
            <w:tcMar>
              <w:top w:w="0" w:type="dxa"/>
              <w:left w:w="0" w:type="dxa"/>
              <w:bottom w:w="0" w:type="dxa"/>
              <w:right w:w="0" w:type="dxa"/>
            </w:tcMar>
            <w:vAlign w:val="center"/>
          </w:tcPr>
          <w:p w14:paraId="0E301E9F"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shd w:val="clear" w:color="auto" w:fill="F6F6F6"/>
            <w:tcMar>
              <w:top w:w="0" w:type="dxa"/>
              <w:left w:w="0" w:type="dxa"/>
              <w:bottom w:w="0" w:type="dxa"/>
              <w:right w:w="0" w:type="dxa"/>
            </w:tcMar>
            <w:vAlign w:val="center"/>
          </w:tcPr>
          <w:p w14:paraId="67136119"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6F6F6"/>
            <w:tcMar>
              <w:top w:w="0" w:type="dxa"/>
              <w:left w:w="0" w:type="dxa"/>
              <w:bottom w:w="0" w:type="dxa"/>
              <w:right w:w="0" w:type="dxa"/>
            </w:tcMar>
            <w:vAlign w:val="center"/>
          </w:tcPr>
          <w:p w14:paraId="6D80E3C8"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-689.691</w:t>
            </w:r>
          </w:p>
        </w:tc>
        <w:tc>
          <w:tcPr>
            <w:tcW w:w="904" w:type="dxa"/>
            <w:shd w:val="clear" w:color="auto" w:fill="F6F6F6"/>
            <w:tcMar>
              <w:top w:w="0" w:type="dxa"/>
              <w:left w:w="0" w:type="dxa"/>
              <w:bottom w:w="0" w:type="dxa"/>
              <w:right w:w="0" w:type="dxa"/>
            </w:tcMar>
            <w:vAlign w:val="center"/>
          </w:tcPr>
          <w:p w14:paraId="04AF587C"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6F6F6"/>
            <w:tcMar>
              <w:top w:w="0" w:type="dxa"/>
              <w:left w:w="0" w:type="dxa"/>
              <w:bottom w:w="0" w:type="dxa"/>
              <w:right w:w="0" w:type="dxa"/>
            </w:tcMar>
            <w:vAlign w:val="center"/>
          </w:tcPr>
          <w:p w14:paraId="55E24504"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6F6F6"/>
            <w:tcMar>
              <w:top w:w="0" w:type="dxa"/>
              <w:left w:w="0" w:type="dxa"/>
              <w:bottom w:w="0" w:type="dxa"/>
              <w:right w:w="0" w:type="dxa"/>
            </w:tcMar>
            <w:vAlign w:val="center"/>
          </w:tcPr>
          <w:p w14:paraId="647E9E97"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-612.362</w:t>
            </w:r>
          </w:p>
        </w:tc>
        <w:tc>
          <w:tcPr>
            <w:tcW w:w="904" w:type="dxa"/>
            <w:shd w:val="clear" w:color="auto" w:fill="F6F6F6"/>
            <w:tcMar>
              <w:top w:w="0" w:type="dxa"/>
              <w:left w:w="0" w:type="dxa"/>
              <w:bottom w:w="0" w:type="dxa"/>
              <w:right w:w="0" w:type="dxa"/>
            </w:tcMar>
            <w:vAlign w:val="center"/>
          </w:tcPr>
          <w:p w14:paraId="6896F586"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6F6F6"/>
            <w:tcMar>
              <w:top w:w="0" w:type="dxa"/>
              <w:left w:w="0" w:type="dxa"/>
              <w:bottom w:w="0" w:type="dxa"/>
              <w:right w:w="0" w:type="dxa"/>
            </w:tcMar>
            <w:vAlign w:val="center"/>
          </w:tcPr>
          <w:p w14:paraId="0255FA63"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6F6F6"/>
            <w:tcMar>
              <w:top w:w="0" w:type="dxa"/>
              <w:left w:w="0" w:type="dxa"/>
              <w:bottom w:w="0" w:type="dxa"/>
              <w:right w:w="0" w:type="dxa"/>
            </w:tcMar>
            <w:vAlign w:val="center"/>
          </w:tcPr>
          <w:p w14:paraId="3773603D"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-689.450</w:t>
            </w:r>
          </w:p>
        </w:tc>
        <w:tc>
          <w:tcPr>
            <w:tcW w:w="1085" w:type="dxa"/>
            <w:shd w:val="clear" w:color="auto" w:fill="F6F6F6"/>
            <w:tcMar>
              <w:top w:w="0" w:type="dxa"/>
              <w:left w:w="0" w:type="dxa"/>
              <w:bottom w:w="0" w:type="dxa"/>
              <w:right w:w="0" w:type="dxa"/>
            </w:tcMar>
            <w:vAlign w:val="center"/>
          </w:tcPr>
          <w:p w14:paraId="603FC772"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6F6F6"/>
            <w:tcMar>
              <w:top w:w="0" w:type="dxa"/>
              <w:left w:w="0" w:type="dxa"/>
              <w:bottom w:w="0" w:type="dxa"/>
              <w:right w:w="0" w:type="dxa"/>
            </w:tcMar>
            <w:vAlign w:val="center"/>
          </w:tcPr>
          <w:p w14:paraId="09D3559B" w14:textId="77777777" w:rsidR="00E20A86" w:rsidRPr="001B3C29" w:rsidRDefault="00E20A86" w:rsidP="001B3C29">
            <w:pPr>
              <w:keepNext/>
              <w:spacing w:before="0" w:after="0" w:line="240" w:lineRule="auto"/>
              <w:ind w:left="100" w:right="100" w:firstLine="0"/>
              <w:jc w:val="right"/>
              <w:rPr>
                <w:sz w:val="20"/>
                <w:szCs w:val="20"/>
              </w:rPr>
            </w:pPr>
          </w:p>
        </w:tc>
      </w:tr>
      <w:tr w:rsidR="00E20A86" w:rsidRPr="001B3C29" w14:paraId="36F93BD5" w14:textId="77777777" w:rsidTr="001179F5">
        <w:trPr>
          <w:cantSplit/>
          <w:trHeight w:val="255"/>
          <w:jc w:val="center"/>
        </w:trPr>
        <w:tc>
          <w:tcPr>
            <w:tcW w:w="1350" w:type="dxa"/>
            <w:shd w:val="clear" w:color="auto" w:fill="FFFFFF"/>
            <w:tcMar>
              <w:top w:w="0" w:type="dxa"/>
              <w:left w:w="0" w:type="dxa"/>
              <w:bottom w:w="0" w:type="dxa"/>
              <w:right w:w="0" w:type="dxa"/>
            </w:tcMar>
            <w:vAlign w:val="center"/>
          </w:tcPr>
          <w:p w14:paraId="74934100" w14:textId="77777777" w:rsidR="00E20A86" w:rsidRPr="001B3C29" w:rsidRDefault="00E20A86" w:rsidP="00EE536E">
            <w:pPr>
              <w:keepNext/>
              <w:spacing w:before="0" w:after="0" w:line="240" w:lineRule="auto"/>
              <w:ind w:left="100" w:right="100" w:firstLine="0"/>
              <w:rPr>
                <w:sz w:val="20"/>
                <w:szCs w:val="20"/>
              </w:rPr>
            </w:pPr>
            <w:r w:rsidRPr="001B3C29">
              <w:rPr>
                <w:rFonts w:eastAsia="Arial"/>
                <w:color w:val="000000"/>
                <w:sz w:val="20"/>
                <w:szCs w:val="20"/>
              </w:rPr>
              <w:t>AIC</w:t>
            </w:r>
          </w:p>
        </w:tc>
        <w:tc>
          <w:tcPr>
            <w:tcW w:w="1090" w:type="dxa"/>
            <w:shd w:val="clear" w:color="auto" w:fill="FFFFFF"/>
            <w:tcMar>
              <w:top w:w="0" w:type="dxa"/>
              <w:left w:w="0" w:type="dxa"/>
              <w:bottom w:w="0" w:type="dxa"/>
              <w:right w:w="0" w:type="dxa"/>
            </w:tcMar>
            <w:vAlign w:val="center"/>
          </w:tcPr>
          <w:p w14:paraId="503180E1" w14:textId="77777777" w:rsidR="00E20A86" w:rsidRPr="001B3C29" w:rsidRDefault="00E20A86" w:rsidP="00EE536E">
            <w:pPr>
              <w:keepNext/>
              <w:spacing w:before="0" w:after="0" w:line="240" w:lineRule="auto"/>
              <w:ind w:left="100" w:right="100" w:firstLine="0"/>
              <w:jc w:val="right"/>
              <w:rPr>
                <w:sz w:val="20"/>
                <w:szCs w:val="20"/>
              </w:rPr>
            </w:pPr>
            <w:r w:rsidRPr="001B3C29">
              <w:rPr>
                <w:rFonts w:eastAsia="Arial"/>
                <w:color w:val="000000"/>
                <w:sz w:val="20"/>
                <w:szCs w:val="20"/>
              </w:rPr>
              <w:t>1,481.102</w:t>
            </w:r>
          </w:p>
        </w:tc>
        <w:tc>
          <w:tcPr>
            <w:tcW w:w="723" w:type="dxa"/>
            <w:shd w:val="clear" w:color="auto" w:fill="FFFFFF"/>
            <w:tcMar>
              <w:top w:w="0" w:type="dxa"/>
              <w:left w:w="0" w:type="dxa"/>
              <w:bottom w:w="0" w:type="dxa"/>
              <w:right w:w="0" w:type="dxa"/>
            </w:tcMar>
            <w:vAlign w:val="center"/>
          </w:tcPr>
          <w:p w14:paraId="162A1687"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shd w:val="clear" w:color="auto" w:fill="FFFFFF"/>
            <w:tcMar>
              <w:top w:w="0" w:type="dxa"/>
              <w:left w:w="0" w:type="dxa"/>
              <w:bottom w:w="0" w:type="dxa"/>
              <w:right w:w="0" w:type="dxa"/>
            </w:tcMar>
            <w:vAlign w:val="center"/>
          </w:tcPr>
          <w:p w14:paraId="67AEE3E6"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FFFFF"/>
            <w:tcMar>
              <w:top w:w="0" w:type="dxa"/>
              <w:left w:w="0" w:type="dxa"/>
              <w:bottom w:w="0" w:type="dxa"/>
              <w:right w:w="0" w:type="dxa"/>
            </w:tcMar>
            <w:vAlign w:val="center"/>
          </w:tcPr>
          <w:p w14:paraId="3B69EADC"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1,391.383</w:t>
            </w:r>
          </w:p>
        </w:tc>
        <w:tc>
          <w:tcPr>
            <w:tcW w:w="904" w:type="dxa"/>
            <w:shd w:val="clear" w:color="auto" w:fill="FFFFFF"/>
            <w:tcMar>
              <w:top w:w="0" w:type="dxa"/>
              <w:left w:w="0" w:type="dxa"/>
              <w:bottom w:w="0" w:type="dxa"/>
              <w:right w:w="0" w:type="dxa"/>
            </w:tcMar>
            <w:vAlign w:val="center"/>
          </w:tcPr>
          <w:p w14:paraId="6963E0DF"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FFFFF"/>
            <w:tcMar>
              <w:top w:w="0" w:type="dxa"/>
              <w:left w:w="0" w:type="dxa"/>
              <w:bottom w:w="0" w:type="dxa"/>
              <w:right w:w="0" w:type="dxa"/>
            </w:tcMar>
            <w:vAlign w:val="center"/>
          </w:tcPr>
          <w:p w14:paraId="37B6BAE1"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shd w:val="clear" w:color="auto" w:fill="FFFFFF"/>
            <w:tcMar>
              <w:top w:w="0" w:type="dxa"/>
              <w:left w:w="0" w:type="dxa"/>
              <w:bottom w:w="0" w:type="dxa"/>
              <w:right w:w="0" w:type="dxa"/>
            </w:tcMar>
            <w:vAlign w:val="center"/>
          </w:tcPr>
          <w:p w14:paraId="782C2AD8"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1,244.725</w:t>
            </w:r>
          </w:p>
        </w:tc>
        <w:tc>
          <w:tcPr>
            <w:tcW w:w="904" w:type="dxa"/>
            <w:shd w:val="clear" w:color="auto" w:fill="FFFFFF"/>
            <w:tcMar>
              <w:top w:w="0" w:type="dxa"/>
              <w:left w:w="0" w:type="dxa"/>
              <w:bottom w:w="0" w:type="dxa"/>
              <w:right w:w="0" w:type="dxa"/>
            </w:tcMar>
            <w:vAlign w:val="center"/>
          </w:tcPr>
          <w:p w14:paraId="517489E4"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shd w:val="clear" w:color="auto" w:fill="FFFFFF"/>
            <w:tcMar>
              <w:top w:w="0" w:type="dxa"/>
              <w:left w:w="0" w:type="dxa"/>
              <w:bottom w:w="0" w:type="dxa"/>
              <w:right w:w="0" w:type="dxa"/>
            </w:tcMar>
            <w:vAlign w:val="center"/>
          </w:tcPr>
          <w:p w14:paraId="7EDADF8B"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FFFFF"/>
            <w:tcMar>
              <w:top w:w="0" w:type="dxa"/>
              <w:left w:w="0" w:type="dxa"/>
              <w:bottom w:w="0" w:type="dxa"/>
              <w:right w:w="0" w:type="dxa"/>
            </w:tcMar>
            <w:vAlign w:val="center"/>
          </w:tcPr>
          <w:p w14:paraId="2DBED108"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1,394.900</w:t>
            </w:r>
          </w:p>
        </w:tc>
        <w:tc>
          <w:tcPr>
            <w:tcW w:w="1085" w:type="dxa"/>
            <w:shd w:val="clear" w:color="auto" w:fill="FFFFFF"/>
            <w:tcMar>
              <w:top w:w="0" w:type="dxa"/>
              <w:left w:w="0" w:type="dxa"/>
              <w:bottom w:w="0" w:type="dxa"/>
              <w:right w:w="0" w:type="dxa"/>
            </w:tcMar>
            <w:vAlign w:val="center"/>
          </w:tcPr>
          <w:p w14:paraId="0C65EB5D"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shd w:val="clear" w:color="auto" w:fill="FFFFFF"/>
            <w:tcMar>
              <w:top w:w="0" w:type="dxa"/>
              <w:left w:w="0" w:type="dxa"/>
              <w:bottom w:w="0" w:type="dxa"/>
              <w:right w:w="0" w:type="dxa"/>
            </w:tcMar>
            <w:vAlign w:val="center"/>
          </w:tcPr>
          <w:p w14:paraId="3D02FEE4" w14:textId="77777777" w:rsidR="00E20A86" w:rsidRPr="001B3C29" w:rsidRDefault="00E20A86" w:rsidP="001B3C29">
            <w:pPr>
              <w:keepNext/>
              <w:spacing w:before="0" w:after="0" w:line="240" w:lineRule="auto"/>
              <w:ind w:left="100" w:right="100" w:firstLine="0"/>
              <w:jc w:val="right"/>
              <w:rPr>
                <w:sz w:val="20"/>
                <w:szCs w:val="20"/>
              </w:rPr>
            </w:pPr>
          </w:p>
        </w:tc>
      </w:tr>
      <w:tr w:rsidR="00E20A86" w:rsidRPr="001B3C29" w14:paraId="617F4AF3" w14:textId="77777777" w:rsidTr="001179F5">
        <w:trPr>
          <w:cantSplit/>
          <w:trHeight w:val="270"/>
          <w:jc w:val="center"/>
        </w:trPr>
        <w:tc>
          <w:tcPr>
            <w:tcW w:w="1350" w:type="dxa"/>
            <w:tcBorders>
              <w:bottom w:val="single" w:sz="12" w:space="0" w:color="000000"/>
            </w:tcBorders>
            <w:shd w:val="clear" w:color="auto" w:fill="F6F6F6"/>
            <w:tcMar>
              <w:top w:w="0" w:type="dxa"/>
              <w:left w:w="0" w:type="dxa"/>
              <w:bottom w:w="0" w:type="dxa"/>
              <w:right w:w="0" w:type="dxa"/>
            </w:tcMar>
            <w:vAlign w:val="center"/>
          </w:tcPr>
          <w:p w14:paraId="12792D67" w14:textId="77777777" w:rsidR="00E20A86" w:rsidRPr="001B3C29" w:rsidRDefault="00E20A86" w:rsidP="00EE536E">
            <w:pPr>
              <w:keepNext/>
              <w:spacing w:before="0" w:after="0" w:line="240" w:lineRule="auto"/>
              <w:ind w:left="100" w:right="100" w:firstLine="0"/>
              <w:rPr>
                <w:sz w:val="20"/>
                <w:szCs w:val="20"/>
              </w:rPr>
            </w:pPr>
            <w:r w:rsidRPr="001B3C29">
              <w:rPr>
                <w:rFonts w:eastAsia="Arial"/>
                <w:color w:val="000000"/>
                <w:sz w:val="20"/>
                <w:szCs w:val="20"/>
              </w:rPr>
              <w:t>BIC</w:t>
            </w:r>
          </w:p>
        </w:tc>
        <w:tc>
          <w:tcPr>
            <w:tcW w:w="1090" w:type="dxa"/>
            <w:tcBorders>
              <w:bottom w:val="single" w:sz="12" w:space="0" w:color="000000"/>
            </w:tcBorders>
            <w:shd w:val="clear" w:color="auto" w:fill="F6F6F6"/>
            <w:tcMar>
              <w:top w:w="0" w:type="dxa"/>
              <w:left w:w="0" w:type="dxa"/>
              <w:bottom w:w="0" w:type="dxa"/>
              <w:right w:w="0" w:type="dxa"/>
            </w:tcMar>
            <w:vAlign w:val="center"/>
          </w:tcPr>
          <w:p w14:paraId="4DCF85C9" w14:textId="77777777" w:rsidR="00E20A86" w:rsidRPr="001B3C29" w:rsidRDefault="00E20A86" w:rsidP="00EE536E">
            <w:pPr>
              <w:keepNext/>
              <w:spacing w:before="0" w:after="0" w:line="240" w:lineRule="auto"/>
              <w:ind w:left="100" w:right="100" w:firstLine="0"/>
              <w:jc w:val="right"/>
              <w:rPr>
                <w:sz w:val="20"/>
                <w:szCs w:val="20"/>
              </w:rPr>
            </w:pPr>
            <w:r w:rsidRPr="001B3C29">
              <w:rPr>
                <w:rFonts w:eastAsia="Arial"/>
                <w:color w:val="000000"/>
                <w:sz w:val="20"/>
                <w:szCs w:val="20"/>
              </w:rPr>
              <w:t>1,496.335</w:t>
            </w:r>
          </w:p>
        </w:tc>
        <w:tc>
          <w:tcPr>
            <w:tcW w:w="723" w:type="dxa"/>
            <w:tcBorders>
              <w:bottom w:val="single" w:sz="12" w:space="0" w:color="000000"/>
            </w:tcBorders>
            <w:shd w:val="clear" w:color="auto" w:fill="F6F6F6"/>
            <w:tcMar>
              <w:top w:w="0" w:type="dxa"/>
              <w:left w:w="0" w:type="dxa"/>
              <w:bottom w:w="0" w:type="dxa"/>
              <w:right w:w="0" w:type="dxa"/>
            </w:tcMar>
            <w:vAlign w:val="center"/>
          </w:tcPr>
          <w:p w14:paraId="2D4C40CB"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tcBorders>
              <w:bottom w:val="single" w:sz="12" w:space="0" w:color="000000"/>
            </w:tcBorders>
            <w:shd w:val="clear" w:color="auto" w:fill="F6F6F6"/>
            <w:tcMar>
              <w:top w:w="0" w:type="dxa"/>
              <w:left w:w="0" w:type="dxa"/>
              <w:bottom w:w="0" w:type="dxa"/>
              <w:right w:w="0" w:type="dxa"/>
            </w:tcMar>
            <w:vAlign w:val="center"/>
          </w:tcPr>
          <w:p w14:paraId="615E7E3E"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tcBorders>
              <w:bottom w:val="single" w:sz="12" w:space="0" w:color="000000"/>
            </w:tcBorders>
            <w:shd w:val="clear" w:color="auto" w:fill="F6F6F6"/>
            <w:tcMar>
              <w:top w:w="0" w:type="dxa"/>
              <w:left w:w="0" w:type="dxa"/>
              <w:bottom w:w="0" w:type="dxa"/>
              <w:right w:w="0" w:type="dxa"/>
            </w:tcMar>
            <w:vAlign w:val="center"/>
          </w:tcPr>
          <w:p w14:paraId="011DE9D8"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1,414.231</w:t>
            </w:r>
          </w:p>
        </w:tc>
        <w:tc>
          <w:tcPr>
            <w:tcW w:w="904" w:type="dxa"/>
            <w:tcBorders>
              <w:bottom w:val="single" w:sz="12" w:space="0" w:color="000000"/>
            </w:tcBorders>
            <w:shd w:val="clear" w:color="auto" w:fill="F6F6F6"/>
            <w:tcMar>
              <w:top w:w="0" w:type="dxa"/>
              <w:left w:w="0" w:type="dxa"/>
              <w:bottom w:w="0" w:type="dxa"/>
              <w:right w:w="0" w:type="dxa"/>
            </w:tcMar>
            <w:vAlign w:val="center"/>
          </w:tcPr>
          <w:p w14:paraId="73A0A45C"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tcBorders>
              <w:bottom w:val="single" w:sz="12" w:space="0" w:color="000000"/>
            </w:tcBorders>
            <w:shd w:val="clear" w:color="auto" w:fill="F6F6F6"/>
            <w:tcMar>
              <w:top w:w="0" w:type="dxa"/>
              <w:left w:w="0" w:type="dxa"/>
              <w:bottom w:w="0" w:type="dxa"/>
              <w:right w:w="0" w:type="dxa"/>
            </w:tcMar>
            <w:vAlign w:val="center"/>
          </w:tcPr>
          <w:p w14:paraId="74CE53A8" w14:textId="77777777" w:rsidR="00E20A86" w:rsidRPr="001B3C29" w:rsidRDefault="00E20A86" w:rsidP="001B3C29">
            <w:pPr>
              <w:keepNext/>
              <w:spacing w:before="0" w:after="0" w:line="240" w:lineRule="auto"/>
              <w:ind w:left="100" w:right="100" w:firstLine="0"/>
              <w:jc w:val="right"/>
              <w:rPr>
                <w:sz w:val="20"/>
                <w:szCs w:val="20"/>
              </w:rPr>
            </w:pPr>
          </w:p>
        </w:tc>
        <w:tc>
          <w:tcPr>
            <w:tcW w:w="1265" w:type="dxa"/>
            <w:tcBorders>
              <w:bottom w:val="single" w:sz="12" w:space="0" w:color="000000"/>
            </w:tcBorders>
            <w:shd w:val="clear" w:color="auto" w:fill="F6F6F6"/>
            <w:tcMar>
              <w:top w:w="0" w:type="dxa"/>
              <w:left w:w="0" w:type="dxa"/>
              <w:bottom w:w="0" w:type="dxa"/>
              <w:right w:w="0" w:type="dxa"/>
            </w:tcMar>
            <w:vAlign w:val="center"/>
          </w:tcPr>
          <w:p w14:paraId="2A6C518A"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1,282.806</w:t>
            </w:r>
          </w:p>
        </w:tc>
        <w:tc>
          <w:tcPr>
            <w:tcW w:w="904" w:type="dxa"/>
            <w:tcBorders>
              <w:bottom w:val="single" w:sz="12" w:space="0" w:color="000000"/>
            </w:tcBorders>
            <w:shd w:val="clear" w:color="auto" w:fill="F6F6F6"/>
            <w:tcMar>
              <w:top w:w="0" w:type="dxa"/>
              <w:left w:w="0" w:type="dxa"/>
              <w:bottom w:w="0" w:type="dxa"/>
              <w:right w:w="0" w:type="dxa"/>
            </w:tcMar>
            <w:vAlign w:val="center"/>
          </w:tcPr>
          <w:p w14:paraId="1880D834" w14:textId="77777777" w:rsidR="00E20A86" w:rsidRPr="001B3C29" w:rsidRDefault="00E20A86" w:rsidP="001B3C29">
            <w:pPr>
              <w:keepNext/>
              <w:spacing w:before="0" w:after="0" w:line="240" w:lineRule="auto"/>
              <w:ind w:left="100" w:right="100" w:firstLine="0"/>
              <w:jc w:val="right"/>
              <w:rPr>
                <w:sz w:val="20"/>
                <w:szCs w:val="20"/>
              </w:rPr>
            </w:pPr>
          </w:p>
        </w:tc>
        <w:tc>
          <w:tcPr>
            <w:tcW w:w="1086" w:type="dxa"/>
            <w:tcBorders>
              <w:bottom w:val="single" w:sz="12" w:space="0" w:color="000000"/>
            </w:tcBorders>
            <w:shd w:val="clear" w:color="auto" w:fill="F6F6F6"/>
            <w:tcMar>
              <w:top w:w="0" w:type="dxa"/>
              <w:left w:w="0" w:type="dxa"/>
              <w:bottom w:w="0" w:type="dxa"/>
              <w:right w:w="0" w:type="dxa"/>
            </w:tcMar>
            <w:vAlign w:val="center"/>
          </w:tcPr>
          <w:p w14:paraId="21F2F7CB"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tcBorders>
              <w:bottom w:val="single" w:sz="12" w:space="0" w:color="000000"/>
            </w:tcBorders>
            <w:shd w:val="clear" w:color="auto" w:fill="F6F6F6"/>
            <w:tcMar>
              <w:top w:w="0" w:type="dxa"/>
              <w:left w:w="0" w:type="dxa"/>
              <w:bottom w:w="0" w:type="dxa"/>
              <w:right w:w="0" w:type="dxa"/>
            </w:tcMar>
            <w:vAlign w:val="center"/>
          </w:tcPr>
          <w:p w14:paraId="0118E35E" w14:textId="77777777" w:rsidR="00E20A86" w:rsidRPr="001B3C29" w:rsidRDefault="00E20A86" w:rsidP="001B3C29">
            <w:pPr>
              <w:keepNext/>
              <w:spacing w:before="0" w:after="0" w:line="240" w:lineRule="auto"/>
              <w:ind w:left="100" w:right="100" w:firstLine="0"/>
              <w:jc w:val="right"/>
              <w:rPr>
                <w:sz w:val="20"/>
                <w:szCs w:val="20"/>
              </w:rPr>
            </w:pPr>
            <w:r w:rsidRPr="001B3C29">
              <w:rPr>
                <w:rFonts w:eastAsia="Arial"/>
                <w:color w:val="000000"/>
                <w:sz w:val="20"/>
                <w:szCs w:val="20"/>
              </w:rPr>
              <w:t>1,425.366</w:t>
            </w:r>
          </w:p>
        </w:tc>
        <w:tc>
          <w:tcPr>
            <w:tcW w:w="1085" w:type="dxa"/>
            <w:tcBorders>
              <w:bottom w:val="single" w:sz="12" w:space="0" w:color="000000"/>
            </w:tcBorders>
            <w:shd w:val="clear" w:color="auto" w:fill="F6F6F6"/>
            <w:tcMar>
              <w:top w:w="0" w:type="dxa"/>
              <w:left w:w="0" w:type="dxa"/>
              <w:bottom w:w="0" w:type="dxa"/>
              <w:right w:w="0" w:type="dxa"/>
            </w:tcMar>
            <w:vAlign w:val="center"/>
          </w:tcPr>
          <w:p w14:paraId="32D73E9A" w14:textId="77777777" w:rsidR="00E20A86" w:rsidRPr="001B3C29" w:rsidRDefault="00E20A86" w:rsidP="001B3C29">
            <w:pPr>
              <w:keepNext/>
              <w:spacing w:before="0" w:after="0" w:line="240" w:lineRule="auto"/>
              <w:ind w:left="100" w:right="100" w:firstLine="0"/>
              <w:jc w:val="right"/>
              <w:rPr>
                <w:sz w:val="20"/>
                <w:szCs w:val="20"/>
              </w:rPr>
            </w:pPr>
          </w:p>
        </w:tc>
        <w:tc>
          <w:tcPr>
            <w:tcW w:w="1085" w:type="dxa"/>
            <w:tcBorders>
              <w:bottom w:val="single" w:sz="12" w:space="0" w:color="000000"/>
            </w:tcBorders>
            <w:shd w:val="clear" w:color="auto" w:fill="F6F6F6"/>
            <w:tcMar>
              <w:top w:w="0" w:type="dxa"/>
              <w:left w:w="0" w:type="dxa"/>
              <w:bottom w:w="0" w:type="dxa"/>
              <w:right w:w="0" w:type="dxa"/>
            </w:tcMar>
            <w:vAlign w:val="center"/>
          </w:tcPr>
          <w:p w14:paraId="06896F4B" w14:textId="77777777" w:rsidR="00E20A86" w:rsidRPr="001B3C29" w:rsidRDefault="00E20A86" w:rsidP="001B3C29">
            <w:pPr>
              <w:keepNext/>
              <w:spacing w:before="0" w:after="0" w:line="240" w:lineRule="auto"/>
              <w:ind w:left="100" w:right="100" w:firstLine="0"/>
              <w:jc w:val="right"/>
              <w:rPr>
                <w:sz w:val="20"/>
                <w:szCs w:val="20"/>
              </w:rPr>
            </w:pPr>
          </w:p>
        </w:tc>
      </w:tr>
      <w:tr w:rsidR="00E20A86" w:rsidRPr="001B3C29" w14:paraId="553649CC" w14:textId="77777777" w:rsidTr="001179F5">
        <w:trPr>
          <w:cantSplit/>
          <w:trHeight w:val="270"/>
          <w:jc w:val="center"/>
        </w:trPr>
        <w:tc>
          <w:tcPr>
            <w:tcW w:w="1350" w:type="dxa"/>
            <w:tcBorders>
              <w:top w:val="single" w:sz="12" w:space="0" w:color="000000"/>
            </w:tcBorders>
            <w:shd w:val="clear" w:color="auto" w:fill="FFFFFF"/>
            <w:tcMar>
              <w:top w:w="0" w:type="dxa"/>
              <w:left w:w="0" w:type="dxa"/>
              <w:bottom w:w="0" w:type="dxa"/>
              <w:right w:w="0" w:type="dxa"/>
            </w:tcMar>
            <w:vAlign w:val="center"/>
          </w:tcPr>
          <w:p w14:paraId="6B6B4566" w14:textId="77777777" w:rsidR="00E20A86" w:rsidRPr="001B3C29" w:rsidRDefault="00E20A86" w:rsidP="00EE536E">
            <w:pPr>
              <w:keepNext/>
              <w:spacing w:before="0" w:after="0" w:line="240" w:lineRule="auto"/>
              <w:ind w:left="100" w:right="100" w:firstLine="0"/>
              <w:rPr>
                <w:sz w:val="20"/>
                <w:szCs w:val="20"/>
              </w:rPr>
            </w:pPr>
            <w:r w:rsidRPr="001B3C29">
              <w:rPr>
                <w:rFonts w:eastAsia="Arial"/>
                <w:color w:val="000000"/>
                <w:sz w:val="20"/>
                <w:szCs w:val="20"/>
              </w:rPr>
              <w:t>Observations</w:t>
            </w:r>
          </w:p>
        </w:tc>
        <w:tc>
          <w:tcPr>
            <w:tcW w:w="1090" w:type="dxa"/>
            <w:tcBorders>
              <w:top w:val="single" w:sz="12" w:space="0" w:color="000000"/>
            </w:tcBorders>
            <w:shd w:val="clear" w:color="auto" w:fill="FFFFFF"/>
            <w:tcMar>
              <w:top w:w="0" w:type="dxa"/>
              <w:left w:w="0" w:type="dxa"/>
              <w:bottom w:w="0" w:type="dxa"/>
              <w:right w:w="0" w:type="dxa"/>
            </w:tcMar>
            <w:vAlign w:val="center"/>
          </w:tcPr>
          <w:p w14:paraId="0D52389E" w14:textId="77777777" w:rsidR="00E20A86" w:rsidRPr="001B3C29" w:rsidRDefault="00E20A86" w:rsidP="00EE536E">
            <w:pPr>
              <w:keepNext/>
              <w:spacing w:before="0" w:after="0" w:line="240" w:lineRule="auto"/>
              <w:ind w:left="100" w:right="100" w:firstLine="0"/>
              <w:jc w:val="right"/>
              <w:rPr>
                <w:sz w:val="20"/>
                <w:szCs w:val="20"/>
              </w:rPr>
            </w:pPr>
            <w:r w:rsidRPr="001B3C29">
              <w:rPr>
                <w:rFonts w:eastAsia="Arial"/>
                <w:color w:val="000000"/>
                <w:sz w:val="20"/>
                <w:szCs w:val="20"/>
              </w:rPr>
              <w:t>333</w:t>
            </w:r>
          </w:p>
        </w:tc>
        <w:tc>
          <w:tcPr>
            <w:tcW w:w="723" w:type="dxa"/>
            <w:tcBorders>
              <w:top w:val="single" w:sz="12" w:space="0" w:color="000000"/>
            </w:tcBorders>
            <w:shd w:val="clear" w:color="auto" w:fill="FFFFFF"/>
            <w:tcMar>
              <w:top w:w="0" w:type="dxa"/>
              <w:left w:w="0" w:type="dxa"/>
              <w:bottom w:w="0" w:type="dxa"/>
              <w:right w:w="0" w:type="dxa"/>
            </w:tcMar>
            <w:vAlign w:val="center"/>
          </w:tcPr>
          <w:p w14:paraId="2652C1DE"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tcBorders>
              <w:top w:val="single" w:sz="12" w:space="0" w:color="000000"/>
            </w:tcBorders>
            <w:shd w:val="clear" w:color="auto" w:fill="FFFFFF"/>
            <w:tcMar>
              <w:top w:w="0" w:type="dxa"/>
              <w:left w:w="0" w:type="dxa"/>
              <w:bottom w:w="0" w:type="dxa"/>
              <w:right w:w="0" w:type="dxa"/>
            </w:tcMar>
            <w:vAlign w:val="center"/>
          </w:tcPr>
          <w:p w14:paraId="4FE42B87" w14:textId="77777777" w:rsidR="00E20A86" w:rsidRPr="001B3C29" w:rsidRDefault="00E20A86" w:rsidP="00EE536E">
            <w:pPr>
              <w:keepNext/>
              <w:spacing w:before="0" w:after="0" w:line="240" w:lineRule="auto"/>
              <w:ind w:left="100" w:right="100" w:firstLine="0"/>
              <w:rPr>
                <w:sz w:val="20"/>
                <w:szCs w:val="20"/>
              </w:rPr>
            </w:pPr>
          </w:p>
        </w:tc>
        <w:tc>
          <w:tcPr>
            <w:tcW w:w="1265" w:type="dxa"/>
            <w:tcBorders>
              <w:top w:val="single" w:sz="12" w:space="0" w:color="000000"/>
            </w:tcBorders>
            <w:shd w:val="clear" w:color="auto" w:fill="FFFFFF"/>
            <w:tcMar>
              <w:top w:w="0" w:type="dxa"/>
              <w:left w:w="0" w:type="dxa"/>
              <w:bottom w:w="0" w:type="dxa"/>
              <w:right w:w="0" w:type="dxa"/>
            </w:tcMar>
            <w:vAlign w:val="center"/>
          </w:tcPr>
          <w:p w14:paraId="7F66B7A0" w14:textId="77777777" w:rsidR="00E20A86" w:rsidRPr="001B3C29" w:rsidRDefault="00E20A86" w:rsidP="00EE536E">
            <w:pPr>
              <w:keepNext/>
              <w:spacing w:before="0" w:after="0" w:line="240" w:lineRule="auto"/>
              <w:ind w:left="100" w:right="100" w:firstLine="0"/>
              <w:jc w:val="right"/>
              <w:rPr>
                <w:sz w:val="20"/>
                <w:szCs w:val="20"/>
              </w:rPr>
            </w:pPr>
            <w:r w:rsidRPr="001B3C29">
              <w:rPr>
                <w:rFonts w:eastAsia="Arial"/>
                <w:color w:val="000000"/>
                <w:sz w:val="20"/>
                <w:szCs w:val="20"/>
              </w:rPr>
              <w:t>333</w:t>
            </w:r>
          </w:p>
        </w:tc>
        <w:tc>
          <w:tcPr>
            <w:tcW w:w="904" w:type="dxa"/>
            <w:tcBorders>
              <w:top w:val="single" w:sz="12" w:space="0" w:color="000000"/>
            </w:tcBorders>
            <w:shd w:val="clear" w:color="auto" w:fill="FFFFFF"/>
            <w:tcMar>
              <w:top w:w="0" w:type="dxa"/>
              <w:left w:w="0" w:type="dxa"/>
              <w:bottom w:w="0" w:type="dxa"/>
              <w:right w:w="0" w:type="dxa"/>
            </w:tcMar>
            <w:vAlign w:val="center"/>
          </w:tcPr>
          <w:p w14:paraId="229F704F"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tcBorders>
              <w:top w:val="single" w:sz="12" w:space="0" w:color="000000"/>
            </w:tcBorders>
            <w:shd w:val="clear" w:color="auto" w:fill="FFFFFF"/>
            <w:tcMar>
              <w:top w:w="0" w:type="dxa"/>
              <w:left w:w="0" w:type="dxa"/>
              <w:bottom w:w="0" w:type="dxa"/>
              <w:right w:w="0" w:type="dxa"/>
            </w:tcMar>
            <w:vAlign w:val="center"/>
          </w:tcPr>
          <w:p w14:paraId="59A451DA" w14:textId="77777777" w:rsidR="00E20A86" w:rsidRPr="001B3C29" w:rsidRDefault="00E20A86" w:rsidP="00EE536E">
            <w:pPr>
              <w:keepNext/>
              <w:spacing w:before="0" w:after="0" w:line="240" w:lineRule="auto"/>
              <w:ind w:left="100" w:right="100" w:firstLine="0"/>
              <w:rPr>
                <w:sz w:val="20"/>
                <w:szCs w:val="20"/>
              </w:rPr>
            </w:pPr>
          </w:p>
        </w:tc>
        <w:tc>
          <w:tcPr>
            <w:tcW w:w="1265" w:type="dxa"/>
            <w:tcBorders>
              <w:top w:val="single" w:sz="12" w:space="0" w:color="000000"/>
            </w:tcBorders>
            <w:shd w:val="clear" w:color="auto" w:fill="FFFFFF"/>
            <w:tcMar>
              <w:top w:w="0" w:type="dxa"/>
              <w:left w:w="0" w:type="dxa"/>
              <w:bottom w:w="0" w:type="dxa"/>
              <w:right w:w="0" w:type="dxa"/>
            </w:tcMar>
            <w:vAlign w:val="center"/>
          </w:tcPr>
          <w:p w14:paraId="0FE4F928" w14:textId="77777777" w:rsidR="00E20A86" w:rsidRPr="001B3C29" w:rsidRDefault="00E20A86" w:rsidP="00EE536E">
            <w:pPr>
              <w:keepNext/>
              <w:spacing w:before="0" w:after="0" w:line="240" w:lineRule="auto"/>
              <w:ind w:left="100" w:right="100" w:firstLine="0"/>
              <w:jc w:val="right"/>
              <w:rPr>
                <w:sz w:val="20"/>
                <w:szCs w:val="20"/>
              </w:rPr>
            </w:pPr>
            <w:r w:rsidRPr="001B3C29">
              <w:rPr>
                <w:rFonts w:eastAsia="Arial"/>
                <w:color w:val="000000"/>
                <w:sz w:val="20"/>
                <w:szCs w:val="20"/>
              </w:rPr>
              <w:t>333</w:t>
            </w:r>
          </w:p>
        </w:tc>
        <w:tc>
          <w:tcPr>
            <w:tcW w:w="904" w:type="dxa"/>
            <w:tcBorders>
              <w:top w:val="single" w:sz="12" w:space="0" w:color="000000"/>
            </w:tcBorders>
            <w:shd w:val="clear" w:color="auto" w:fill="FFFFFF"/>
            <w:tcMar>
              <w:top w:w="0" w:type="dxa"/>
              <w:left w:w="0" w:type="dxa"/>
              <w:bottom w:w="0" w:type="dxa"/>
              <w:right w:w="0" w:type="dxa"/>
            </w:tcMar>
            <w:vAlign w:val="center"/>
          </w:tcPr>
          <w:p w14:paraId="5E3728A7" w14:textId="77777777" w:rsidR="00E20A86" w:rsidRPr="001B3C29" w:rsidRDefault="00E20A86" w:rsidP="00EE536E">
            <w:pPr>
              <w:keepNext/>
              <w:spacing w:before="0" w:after="0" w:line="240" w:lineRule="auto"/>
              <w:ind w:left="100" w:right="100" w:firstLine="0"/>
              <w:jc w:val="right"/>
              <w:rPr>
                <w:sz w:val="20"/>
                <w:szCs w:val="20"/>
              </w:rPr>
            </w:pPr>
          </w:p>
        </w:tc>
        <w:tc>
          <w:tcPr>
            <w:tcW w:w="1086" w:type="dxa"/>
            <w:tcBorders>
              <w:top w:val="single" w:sz="12" w:space="0" w:color="000000"/>
            </w:tcBorders>
            <w:shd w:val="clear" w:color="auto" w:fill="FFFFFF"/>
            <w:tcMar>
              <w:top w:w="0" w:type="dxa"/>
              <w:left w:w="0" w:type="dxa"/>
              <w:bottom w:w="0" w:type="dxa"/>
              <w:right w:w="0" w:type="dxa"/>
            </w:tcMar>
            <w:vAlign w:val="center"/>
          </w:tcPr>
          <w:p w14:paraId="051F868F" w14:textId="77777777" w:rsidR="00E20A86" w:rsidRPr="001B3C29" w:rsidRDefault="00E20A86" w:rsidP="00EE536E">
            <w:pPr>
              <w:keepNext/>
              <w:spacing w:before="0" w:after="0" w:line="240" w:lineRule="auto"/>
              <w:ind w:left="100" w:right="100" w:firstLine="0"/>
              <w:rPr>
                <w:sz w:val="20"/>
                <w:szCs w:val="20"/>
              </w:rPr>
            </w:pPr>
          </w:p>
        </w:tc>
        <w:tc>
          <w:tcPr>
            <w:tcW w:w="1085" w:type="dxa"/>
            <w:tcBorders>
              <w:top w:val="single" w:sz="12" w:space="0" w:color="000000"/>
            </w:tcBorders>
            <w:shd w:val="clear" w:color="auto" w:fill="FFFFFF"/>
            <w:tcMar>
              <w:top w:w="0" w:type="dxa"/>
              <w:left w:w="0" w:type="dxa"/>
              <w:bottom w:w="0" w:type="dxa"/>
              <w:right w:w="0" w:type="dxa"/>
            </w:tcMar>
            <w:vAlign w:val="center"/>
          </w:tcPr>
          <w:p w14:paraId="2579C10A" w14:textId="77777777" w:rsidR="00E20A86" w:rsidRPr="001B3C29" w:rsidRDefault="00E20A86" w:rsidP="00EE536E">
            <w:pPr>
              <w:keepNext/>
              <w:spacing w:before="0" w:after="0" w:line="240" w:lineRule="auto"/>
              <w:ind w:left="100" w:right="100" w:firstLine="0"/>
              <w:jc w:val="right"/>
              <w:rPr>
                <w:sz w:val="20"/>
                <w:szCs w:val="20"/>
              </w:rPr>
            </w:pPr>
            <w:r w:rsidRPr="001B3C29">
              <w:rPr>
                <w:rFonts w:eastAsia="Arial"/>
                <w:color w:val="000000"/>
                <w:sz w:val="20"/>
                <w:szCs w:val="20"/>
              </w:rPr>
              <w:t>333</w:t>
            </w:r>
          </w:p>
        </w:tc>
        <w:tc>
          <w:tcPr>
            <w:tcW w:w="1085" w:type="dxa"/>
            <w:tcBorders>
              <w:top w:val="single" w:sz="12" w:space="0" w:color="000000"/>
            </w:tcBorders>
            <w:shd w:val="clear" w:color="auto" w:fill="FFFFFF"/>
            <w:tcMar>
              <w:top w:w="0" w:type="dxa"/>
              <w:left w:w="0" w:type="dxa"/>
              <w:bottom w:w="0" w:type="dxa"/>
              <w:right w:w="0" w:type="dxa"/>
            </w:tcMar>
            <w:vAlign w:val="center"/>
          </w:tcPr>
          <w:p w14:paraId="4AEF731A" w14:textId="77777777" w:rsidR="00E20A86" w:rsidRPr="001B3C29" w:rsidRDefault="00E20A86" w:rsidP="00EE536E">
            <w:pPr>
              <w:keepNext/>
              <w:spacing w:before="0" w:after="0" w:line="240" w:lineRule="auto"/>
              <w:ind w:left="100" w:right="100" w:firstLine="0"/>
              <w:jc w:val="right"/>
              <w:rPr>
                <w:sz w:val="20"/>
                <w:szCs w:val="20"/>
              </w:rPr>
            </w:pPr>
          </w:p>
        </w:tc>
        <w:tc>
          <w:tcPr>
            <w:tcW w:w="1085" w:type="dxa"/>
            <w:tcBorders>
              <w:top w:val="single" w:sz="12" w:space="0" w:color="000000"/>
            </w:tcBorders>
            <w:shd w:val="clear" w:color="auto" w:fill="FFFFFF"/>
            <w:tcMar>
              <w:top w:w="0" w:type="dxa"/>
              <w:left w:w="0" w:type="dxa"/>
              <w:bottom w:w="0" w:type="dxa"/>
              <w:right w:w="0" w:type="dxa"/>
            </w:tcMar>
            <w:vAlign w:val="center"/>
          </w:tcPr>
          <w:p w14:paraId="5F1F7772" w14:textId="77777777" w:rsidR="00E20A86" w:rsidRPr="001B3C29" w:rsidRDefault="00E20A86" w:rsidP="00EE536E">
            <w:pPr>
              <w:keepNext/>
              <w:spacing w:before="0" w:after="0" w:line="240" w:lineRule="auto"/>
              <w:ind w:left="100" w:right="100" w:firstLine="0"/>
              <w:rPr>
                <w:sz w:val="20"/>
                <w:szCs w:val="20"/>
              </w:rPr>
            </w:pPr>
          </w:p>
        </w:tc>
      </w:tr>
    </w:tbl>
    <w:p w14:paraId="4A8FB2D3" w14:textId="77777777" w:rsidR="001179F5" w:rsidRDefault="001179F5" w:rsidP="001179F5">
      <w:pPr>
        <w:ind w:firstLine="0"/>
        <w:sectPr w:rsidR="001179F5" w:rsidSect="001179F5">
          <w:headerReference w:type="even" r:id="rId64"/>
          <w:headerReference w:type="default" r:id="rId65"/>
          <w:footerReference w:type="even" r:id="rId66"/>
          <w:footerReference w:type="default" r:id="rId67"/>
          <w:headerReference w:type="first" r:id="rId68"/>
          <w:footerReference w:type="first" r:id="rId69"/>
          <w:pgSz w:w="16838" w:h="11906" w:orient="landscape"/>
          <w:pgMar w:top="1440" w:right="1440" w:bottom="1440" w:left="1440" w:header="720" w:footer="720" w:gutter="0"/>
          <w:cols w:space="720"/>
          <w:docGrid w:linePitch="326"/>
        </w:sectPr>
      </w:pPr>
    </w:p>
    <w:p w14:paraId="6D6E515E" w14:textId="77777777" w:rsidR="001179F5" w:rsidRDefault="001179F5" w:rsidP="001179F5">
      <w:pPr>
        <w:pStyle w:val="BodyText"/>
        <w:ind w:firstLine="0"/>
      </w:pPr>
      <w:r>
        <w:lastRenderedPageBreak/>
        <w:t xml:space="preserve">This model produced no convergence issues. A likelihood ratio test indicated that the addition of fixed effects for scientific literacy did not significantly improve model fit, </w:t>
      </w:r>
      <m:oMath>
        <m:sSup>
          <m:sSupPr>
            <m:ctrlPr>
              <w:rPr>
                <w:rFonts w:ascii="Cambria Math" w:hAnsi="Cambria Math"/>
              </w:rPr>
            </m:ctrlPr>
          </m:sSupPr>
          <m:e>
            <m:r>
              <w:rPr>
                <w:rFonts w:ascii="Cambria Math" w:hAnsi="Cambria Math"/>
              </w:rPr>
              <m:t>χ</m:t>
            </m:r>
          </m:e>
          <m:sup>
            <m:r>
              <w:rPr>
                <w:rFonts w:ascii="Cambria Math" w:hAnsi="Cambria Math"/>
              </w:rPr>
              <m:t>2</m:t>
            </m:r>
          </m:sup>
        </m:sSup>
        <m:d>
          <m:dPr>
            <m:ctrlPr>
              <w:rPr>
                <w:rFonts w:ascii="Cambria Math" w:hAnsi="Cambria Math"/>
              </w:rPr>
            </m:ctrlPr>
          </m:dPr>
          <m:e>
            <m:r>
              <w:rPr>
                <w:rFonts w:ascii="Cambria Math" w:hAnsi="Cambria Math"/>
              </w:rPr>
              <m:t>2</m:t>
            </m:r>
          </m:e>
        </m:d>
        <m:r>
          <m:rPr>
            <m:sty m:val="p"/>
          </m:rPr>
          <w:rPr>
            <w:rFonts w:ascii="Cambria Math" w:hAnsi="Cambria Math"/>
          </w:rPr>
          <m:t>=</m:t>
        </m:r>
        <m:r>
          <w:rPr>
            <w:rFonts w:ascii="Cambria Math" w:hAnsi="Cambria Math"/>
          </w:rPr>
          <m:t>.48</m:t>
        </m:r>
        <m:r>
          <m:rPr>
            <m:sty m:val="p"/>
          </m:rPr>
          <w:rPr>
            <w:rFonts w:ascii="Cambria Math" w:hAnsi="Cambria Math"/>
          </w:rPr>
          <m:t>,</m:t>
        </m:r>
        <m:r>
          <w:rPr>
            <w:rFonts w:ascii="Cambria Math" w:hAnsi="Cambria Math"/>
          </w:rPr>
          <m:t>p</m:t>
        </m:r>
        <m:r>
          <m:rPr>
            <m:sty m:val="p"/>
          </m:rPr>
          <w:rPr>
            <w:rFonts w:ascii="Cambria Math" w:hAnsi="Cambria Math"/>
          </w:rPr>
          <m:t>=</m:t>
        </m:r>
        <m:r>
          <w:rPr>
            <w:rFonts w:ascii="Cambria Math" w:hAnsi="Cambria Math"/>
          </w:rPr>
          <m:t>.786</m:t>
        </m:r>
      </m:oMath>
      <w:r>
        <w:t xml:space="preserve">. However, as scientific literacy is key to addressing the research questions, these variables are retained. In addition, adding fixed effects for scientific literacy increases the explanatory power of the model from </w:t>
      </w:r>
      <m:oMath>
        <m:sSup>
          <m:sSupPr>
            <m:ctrlPr>
              <w:rPr>
                <w:rFonts w:ascii="Cambria Math" w:hAnsi="Cambria Math"/>
              </w:rPr>
            </m:ctrlPr>
          </m:sSupPr>
          <m:e>
            <m:r>
              <w:rPr>
                <w:rFonts w:ascii="Cambria Math" w:hAnsi="Cambria Math"/>
              </w:rPr>
              <m:t>R</m:t>
            </m:r>
          </m:e>
          <m:sup>
            <m:r>
              <w:rPr>
                <w:rFonts w:ascii="Cambria Math" w:hAnsi="Cambria Math"/>
              </w:rPr>
              <m:t>2</m:t>
            </m:r>
          </m:sup>
        </m:sSup>
        <m:r>
          <m:rPr>
            <m:sty m:val="p"/>
          </m:rPr>
          <w:rPr>
            <w:rFonts w:ascii="Cambria Math" w:hAnsi="Cambria Math"/>
          </w:rPr>
          <m:t>=</m:t>
        </m:r>
        <m:r>
          <w:rPr>
            <w:rFonts w:ascii="Cambria Math" w:hAnsi="Cambria Math"/>
          </w:rPr>
          <m:t>.006</m:t>
        </m:r>
      </m:oMath>
      <w:r>
        <w:t xml:space="preserve"> to </w:t>
      </w:r>
      <m:oMath>
        <m:sSup>
          <m:sSupPr>
            <m:ctrlPr>
              <w:rPr>
                <w:rFonts w:ascii="Cambria Math" w:hAnsi="Cambria Math"/>
              </w:rPr>
            </m:ctrlPr>
          </m:sSupPr>
          <m:e>
            <m:r>
              <w:rPr>
                <w:rFonts w:ascii="Cambria Math" w:hAnsi="Cambria Math"/>
              </w:rPr>
              <m:t>R</m:t>
            </m:r>
          </m:e>
          <m:sup>
            <m:r>
              <w:rPr>
                <w:rFonts w:ascii="Cambria Math" w:hAnsi="Cambria Math"/>
              </w:rPr>
              <m:t>2</m:t>
            </m:r>
          </m:sup>
        </m:sSup>
        <m:r>
          <m:rPr>
            <m:sty m:val="p"/>
          </m:rPr>
          <w:rPr>
            <w:rFonts w:ascii="Cambria Math" w:hAnsi="Cambria Math"/>
          </w:rPr>
          <m:t>=</m:t>
        </m:r>
        <m:r>
          <w:rPr>
            <w:rFonts w:ascii="Cambria Math" w:hAnsi="Cambria Math"/>
          </w:rPr>
          <m:t>.009</m:t>
        </m:r>
      </m:oMath>
      <w:r>
        <w:t>, which, though minute, is a 29% increase.</w:t>
      </w:r>
    </w:p>
    <w:p w14:paraId="3C3480E1" w14:textId="77777777" w:rsidR="001179F5" w:rsidRDefault="001179F5" w:rsidP="001179F5">
      <w:pPr>
        <w:pStyle w:val="BodyText"/>
      </w:pPr>
      <w:r>
        <w:t>According to the results of Model 3, a country with average scientific literacy scores in 2006 had per capita emissions of 6.13 tCO</w:t>
      </w:r>
      <w:r>
        <w:rPr>
          <w:vertAlign w:val="subscript"/>
        </w:rPr>
        <w:t>2</w:t>
      </w:r>
      <w:r>
        <w:t>. The results for the estimate of time did not change (-.39). The results for scientific literacy between countries is .01, indicating a fractional increase in emissions over time for every increase in scientific literacy scores above average. Scientific literacy within a country is negative (-.002), suggesting a fractional decrease in emissions over time is associated with higher within-country scores. Both effects are near zero, and neither are statistically significant. Random effects in Model 3 do not differ substantially from Model 1.</w:t>
      </w:r>
    </w:p>
    <w:p w14:paraId="70D2971A" w14:textId="763FE227" w:rsidR="0033629A" w:rsidRDefault="001179F5">
      <w:pPr>
        <w:pStyle w:val="BodyText"/>
      </w:pPr>
      <w:r>
        <w:t xml:space="preserve">Because Model 3 with a random effect for time is the primary growth model before covariates are added, it is important to fully assess model fit by examining model assumptions, including those of linearity, normality, homogeneity, and influence of outliers. Initial visual inspection suggested possible violations of normality of residuals and homogeneity of variance (i.e., indicating the presence of heteroskedasticity; see Figure </w:t>
      </w:r>
      <w:hyperlink w:anchor="linmod3">
        <w:r>
          <w:fldChar w:fldCharType="begin"/>
        </w:r>
        <w:r>
          <w:instrText xml:space="preserve"> REF linmod3 \h</w:instrText>
        </w:r>
        <w:r>
          <w:fldChar w:fldCharType="separate"/>
        </w:r>
        <w:r w:rsidR="00766923">
          <w:rPr>
            <w:b/>
            <w:noProof/>
          </w:rPr>
          <w:t>19</w:t>
        </w:r>
        <w:r>
          <w:fldChar w:fldCharType="end"/>
        </w:r>
      </w:hyperlink>
      <w:r>
        <w:t xml:space="preserve"> and Figure </w:t>
      </w:r>
      <w:hyperlink w:anchor="qqmod3">
        <w:r>
          <w:fldChar w:fldCharType="begin"/>
        </w:r>
        <w:r>
          <w:instrText xml:space="preserve"> REF qqmod3 \h</w:instrText>
        </w:r>
        <w:r>
          <w:fldChar w:fldCharType="separate"/>
        </w:r>
        <w:r w:rsidR="00766923">
          <w:rPr>
            <w:b/>
            <w:noProof/>
          </w:rPr>
          <w:t>20</w:t>
        </w:r>
        <w:r>
          <w:fldChar w:fldCharType="end"/>
        </w:r>
      </w:hyperlink>
      <w:r>
        <w:t>). There are several possible reasons for this, including the non-normal dependent variable (CO</w:t>
      </w:r>
      <w:r>
        <w:rPr>
          <w:vertAlign w:val="subscript"/>
        </w:rPr>
        <w:t>2</w:t>
      </w:r>
      <w:r>
        <w:t xml:space="preserve"> is highly right-skewed), presence of outliers, or model misspecification. Examination of the residuals</w:t>
      </w:r>
      <w:r>
        <w:rPr>
          <w:rStyle w:val="FootnoteReference"/>
        </w:rPr>
        <w:footnoteReference w:id="11"/>
      </w:r>
      <w:r>
        <w:t xml:space="preserve"> can suggest major differences between </w:t>
      </w:r>
      <w:r w:rsidR="004409CB">
        <w:lastRenderedPageBreak/>
        <w:t>predicted and observed values. Qatar had the most extreme residuals with some as higher as or more than 6, while the next highest residual was around 3. Further outlier analysis using Cook’s d, which quantifies the influence a case has on all others by measuring what occurs when it is deleted (</w:t>
      </w:r>
      <w:hyperlink w:anchor="ref-darlington2017">
        <w:r w:rsidR="004409CB">
          <w:rPr>
            <w:rStyle w:val="Hyperlink"/>
          </w:rPr>
          <w:t>Darlington &amp; Hayes, 2017</w:t>
        </w:r>
      </w:hyperlink>
      <w:r w:rsidR="004409CB">
        <w:t>). Cook’s d values also indicated that Qatar had extreme deviations from other values. Whereas all other countries had Cook’s distance values of less than .05, Qatar had three of its five values above .10 with one as high as .92. Qatar has the highest CO</w:t>
      </w:r>
      <w:r w:rsidR="004409CB">
        <w:rPr>
          <w:vertAlign w:val="subscript"/>
        </w:rPr>
        <w:t>2</w:t>
      </w:r>
      <w:r w:rsidR="004409CB">
        <w:t xml:space="preserve"> emissions per capita, with values ranging from 33 tCO</w:t>
      </w:r>
      <w:r w:rsidR="004409CB">
        <w:rPr>
          <w:vertAlign w:val="subscript"/>
        </w:rPr>
        <w:t>2</w:t>
      </w:r>
      <w:r w:rsidR="004409CB">
        <w:t xml:space="preserve"> to 52 tCO</w:t>
      </w:r>
      <w:r w:rsidR="004409CB">
        <w:rPr>
          <w:vertAlign w:val="subscript"/>
        </w:rPr>
        <w:t>2</w:t>
      </w:r>
      <w:r w:rsidR="004409CB">
        <w:t>, all of which are between 3 to 5 standard deviations above average.</w:t>
      </w:r>
    </w:p>
    <w:p w14:paraId="59FBB721" w14:textId="77777777" w:rsidR="0033629A" w:rsidRDefault="004409CB">
      <w:pPr>
        <w:pStyle w:val="BodyText"/>
      </w:pPr>
      <w:r>
        <w:t>Several additional models were fit, one without Qatar and one with Qatar that included an additional dummy variable to attempt to control for Qatar’s influence. In addition, due to the non-normality of the dependent variable, a model was fit with the natural log of CO</w:t>
      </w:r>
      <w:r>
        <w:rPr>
          <w:vertAlign w:val="subscript"/>
        </w:rPr>
        <w:t>2</w:t>
      </w:r>
      <w:r>
        <w:t xml:space="preserve"> per capita as the dependent variable. Inspection of model </w:t>
      </w:r>
      <w:proofErr w:type="gramStart"/>
      <w:r>
        <w:t>fit</w:t>
      </w:r>
      <w:proofErr w:type="gramEnd"/>
      <w:r>
        <w:t xml:space="preserve"> and diagnostics suggested that the model without Qatar had improved normality and homogeneity of variance. The model with the natural log of CO</w:t>
      </w:r>
      <w:r>
        <w:rPr>
          <w:vertAlign w:val="subscript"/>
        </w:rPr>
        <w:t>2</w:t>
      </w:r>
      <w:r>
        <w:t xml:space="preserve"> for the dependent variable had similar normality as other models but much improved homogeneity of variance, as determined by the more random pattern of residuals. Given how atypical Qatar is from other countries in its CO</w:t>
      </w:r>
      <w:r>
        <w:rPr>
          <w:vertAlign w:val="subscript"/>
        </w:rPr>
        <w:t>2</w:t>
      </w:r>
      <w:r>
        <w:t xml:space="preserve"> emissions per capita, and the poor predictability of it in the model, it was decided to remove Qatar from further analyses. Likewise, given the non-normality of CO</w:t>
      </w:r>
      <w:r>
        <w:rPr>
          <w:vertAlign w:val="subscript"/>
        </w:rPr>
        <w:t>2</w:t>
      </w:r>
      <w:r>
        <w:t xml:space="preserve"> and the improvement in fit, a logged version CO</w:t>
      </w:r>
      <w:r>
        <w:rPr>
          <w:vertAlign w:val="subscript"/>
        </w:rPr>
        <w:t>2</w:t>
      </w:r>
      <w:r>
        <w:t xml:space="preserve"> per capita was used.</w:t>
      </w:r>
    </w:p>
    <w:p w14:paraId="28AD6267" w14:textId="06D8CE8F" w:rsidR="0033629A" w:rsidRDefault="004409CB">
      <w:pPr>
        <w:pStyle w:val="BodyText"/>
      </w:pPr>
      <w:r>
        <w:t xml:space="preserve">To allow for cross-model comparison, </w:t>
      </w:r>
      <w:proofErr w:type="gramStart"/>
      <w:r>
        <w:t>Model</w:t>
      </w:r>
      <w:proofErr w:type="gramEnd"/>
      <w:r>
        <w:t xml:space="preserve"> 1 and 2 were re-estimated with Qatar removed and the dependent variable log-transformed (Table </w:t>
      </w:r>
      <w:hyperlink w:anchor="modeltabletwo">
        <w:r>
          <w:fldChar w:fldCharType="begin"/>
        </w:r>
        <w:r>
          <w:instrText xml:space="preserve"> REF modeltabletwo \h</w:instrText>
        </w:r>
        <w:r>
          <w:fldChar w:fldCharType="separate"/>
        </w:r>
        <w:r w:rsidR="00766923">
          <w:rPr>
            <w:b/>
            <w:noProof/>
          </w:rPr>
          <w:t>6</w:t>
        </w:r>
        <w:r>
          <w:fldChar w:fldCharType="end"/>
        </w:r>
      </w:hyperlink>
      <w:r>
        <w:t>). A one-unit change in a predictor now represents the expected change in the log of CO</w:t>
      </w:r>
      <w:r>
        <w:rPr>
          <w:vertAlign w:val="subscript"/>
        </w:rPr>
        <w:t>2</w:t>
      </w:r>
      <w:r>
        <w:t xml:space="preserve"> emissions. Because this value is difficult to interpret, exponentiated fixed effect coefficients are presented in the columns labeled </w:t>
      </w:r>
      <m:oMath>
        <m:r>
          <m:rPr>
            <m:sty m:val="p"/>
          </m:rPr>
          <w:rPr>
            <w:rFonts w:ascii="Cambria Math" w:hAnsi="Cambria Math"/>
          </w:rPr>
          <m:t>%</m:t>
        </m:r>
        <m:r>
          <w:rPr>
            <w:rFonts w:ascii="Cambria Math" w:hAnsi="Cambria Math"/>
          </w:rPr>
          <m:t>Δ</m:t>
        </m:r>
      </m:oMath>
      <w:r>
        <w:t xml:space="preserve">. </w:t>
      </w:r>
      <m:oMath>
        <m:r>
          <m:rPr>
            <m:sty m:val="p"/>
          </m:rPr>
          <w:rPr>
            <w:rFonts w:ascii="Cambria Math" w:hAnsi="Cambria Math"/>
          </w:rPr>
          <m:t>%</m:t>
        </m:r>
        <m:r>
          <w:rPr>
            <w:rFonts w:ascii="Cambria Math" w:hAnsi="Cambria Math"/>
          </w:rPr>
          <m:t>Δ</m:t>
        </m:r>
      </m:oMath>
      <w:r>
        <w:t xml:space="preserve"> is calculated as </w:t>
      </w:r>
      <m:oMath>
        <m:d>
          <m:dPr>
            <m:ctrlPr>
              <w:rPr>
                <w:rFonts w:ascii="Cambria Math" w:hAnsi="Cambria Math"/>
              </w:rPr>
            </m:ctrlPr>
          </m:dPr>
          <m:e>
            <m:r>
              <w:rPr>
                <w:rFonts w:ascii="Cambria Math" w:hAnsi="Cambria Math"/>
              </w:rPr>
              <m:t>exp</m:t>
            </m:r>
            <m:d>
              <m:dPr>
                <m:ctrlPr>
                  <w:rPr>
                    <w:rFonts w:ascii="Cambria Math" w:hAnsi="Cambria Math"/>
                  </w:rPr>
                </m:ctrlPr>
              </m:dPr>
              <m:e>
                <m:r>
                  <w:rPr>
                    <w:rFonts w:ascii="Cambria Math" w:hAnsi="Cambria Math"/>
                  </w:rPr>
                  <m:t>γ</m:t>
                </m:r>
              </m:e>
            </m:d>
            <m:r>
              <m:rPr>
                <m:sty m:val="p"/>
              </m:rPr>
              <w:rPr>
                <w:rFonts w:ascii="Cambria Math" w:hAnsi="Cambria Math"/>
              </w:rPr>
              <m:t>-</m:t>
            </m:r>
            <m:r>
              <w:rPr>
                <w:rFonts w:ascii="Cambria Math" w:hAnsi="Cambria Math"/>
              </w:rPr>
              <m:t>1</m:t>
            </m:r>
          </m:e>
        </m:d>
        <m:r>
          <m:rPr>
            <m:sty m:val="p"/>
          </m:rPr>
          <w:rPr>
            <w:rFonts w:ascii="Cambria Math" w:hAnsi="Cambria Math"/>
          </w:rPr>
          <m:t>×</m:t>
        </m:r>
        <m:r>
          <w:rPr>
            <w:rFonts w:ascii="Cambria Math" w:hAnsi="Cambria Math"/>
          </w:rPr>
          <m:t>100</m:t>
        </m:r>
      </m:oMath>
      <w:r>
        <w:t>. Using this exponentiated value, a one-unit change in a predictor now represents the expected percentage change in CO</w:t>
      </w:r>
      <w:r>
        <w:rPr>
          <w:vertAlign w:val="subscript"/>
        </w:rPr>
        <w:t>2</w:t>
      </w:r>
      <w:r>
        <w:t xml:space="preserve"> emissions. </w:t>
      </w:r>
      <w:r>
        <w:lastRenderedPageBreak/>
        <w:t>Returning to Model 3, we see that CO</w:t>
      </w:r>
      <w:r>
        <w:rPr>
          <w:vertAlign w:val="subscript"/>
        </w:rPr>
        <w:t>2</w:t>
      </w:r>
      <w:r>
        <w:t xml:space="preserve"> emissions significantly decrease over time, about 3.5% every three years. The effect of scientific literacy within on CO</w:t>
      </w:r>
      <w:r>
        <w:rPr>
          <w:vertAlign w:val="subscript"/>
        </w:rPr>
        <w:t>2</w:t>
      </w:r>
      <w:r>
        <w:t xml:space="preserve"> emissions is near-zero and non-significant. On the other hand, a one-unit increase in scientific literacy between countries is associated with a significant .45% increase in emissions. In other words, countries with higher average scientific literacy scores tend to have higher emissions per capita. Unlike the untransformed Models 1 and 3 (Table </w:t>
      </w:r>
      <w:hyperlink w:anchor="modeltableone">
        <w:r>
          <w:fldChar w:fldCharType="begin"/>
        </w:r>
        <w:r>
          <w:instrText xml:space="preserve"> REF modeltableone \h</w:instrText>
        </w:r>
        <w:r>
          <w:fldChar w:fldCharType="separate"/>
        </w:r>
        <w:r w:rsidR="00766923">
          <w:rPr>
            <w:b/>
            <w:noProof/>
          </w:rPr>
          <w:t>5</w:t>
        </w:r>
        <w:r>
          <w:fldChar w:fldCharType="end"/>
        </w:r>
      </w:hyperlink>
      <w:r>
        <w:t xml:space="preserve">), Model 3 with the log-transformed dependent variable now fits better, </w:t>
      </w:r>
      <m:oMath>
        <m:sSup>
          <m:sSupPr>
            <m:ctrlPr>
              <w:rPr>
                <w:rFonts w:ascii="Cambria Math" w:hAnsi="Cambria Math"/>
              </w:rPr>
            </m:ctrlPr>
          </m:sSupPr>
          <m:e>
            <m:r>
              <w:rPr>
                <w:rFonts w:ascii="Cambria Math" w:hAnsi="Cambria Math"/>
              </w:rPr>
              <m:t>χ</m:t>
            </m:r>
          </m:e>
          <m:sup>
            <m:r>
              <w:rPr>
                <w:rFonts w:ascii="Cambria Math" w:hAnsi="Cambria Math"/>
              </w:rPr>
              <m:t>2</m:t>
            </m:r>
          </m:sup>
        </m:sSup>
        <m:d>
          <m:dPr>
            <m:ctrlPr>
              <w:rPr>
                <w:rFonts w:ascii="Cambria Math" w:hAnsi="Cambria Math"/>
              </w:rPr>
            </m:ctrlPr>
          </m:dPr>
          <m:e>
            <m:r>
              <w:rPr>
                <w:rFonts w:ascii="Cambria Math" w:hAnsi="Cambria Math"/>
              </w:rPr>
              <m:t>2</m:t>
            </m:r>
          </m:e>
        </m:d>
        <m:r>
          <m:rPr>
            <m:sty m:val="p"/>
          </m:rPr>
          <w:rPr>
            <w:rFonts w:ascii="Cambria Math" w:hAnsi="Cambria Math"/>
          </w:rPr>
          <m:t>=</m:t>
        </m:r>
        <m:r>
          <w:rPr>
            <w:rFonts w:ascii="Cambria Math" w:hAnsi="Cambria Math"/>
          </w:rPr>
          <m:t>15.003</m:t>
        </m:r>
        <m:r>
          <m:rPr>
            <m:sty m:val="p"/>
          </m:rPr>
          <w:rPr>
            <w:rFonts w:ascii="Cambria Math" w:hAnsi="Cambria Math"/>
          </w:rPr>
          <m:t>,</m:t>
        </m:r>
        <m:r>
          <w:rPr>
            <w:rFonts w:ascii="Cambria Math" w:hAnsi="Cambria Math"/>
          </w:rPr>
          <m:t>p</m:t>
        </m:r>
        <m:r>
          <m:rPr>
            <m:sty m:val="p"/>
          </m:rPr>
          <w:rPr>
            <w:rFonts w:ascii="Cambria Math" w:hAnsi="Cambria Math"/>
          </w:rPr>
          <m:t>&lt;</m:t>
        </m:r>
        <m:r>
          <w:rPr>
            <w:rFonts w:ascii="Cambria Math" w:hAnsi="Cambria Math"/>
          </w:rPr>
          <m:t>.001</m:t>
        </m:r>
      </m:oMath>
      <w:r>
        <w:t xml:space="preserve">. The addition of the fixed effects for scientific literacy raises the marginal </w:t>
      </w:r>
      <m:oMath>
        <m:sSup>
          <m:sSupPr>
            <m:ctrlPr>
              <w:rPr>
                <w:rFonts w:ascii="Cambria Math" w:hAnsi="Cambria Math"/>
              </w:rPr>
            </m:ctrlPr>
          </m:sSupPr>
          <m:e>
            <m:r>
              <w:rPr>
                <w:rFonts w:ascii="Cambria Math" w:hAnsi="Cambria Math"/>
              </w:rPr>
              <m:t>R</m:t>
            </m:r>
          </m:e>
          <m:sup>
            <m:r>
              <w:rPr>
                <w:rFonts w:ascii="Cambria Math" w:hAnsi="Cambria Math"/>
              </w:rPr>
              <m:t>2</m:t>
            </m:r>
          </m:sup>
        </m:sSup>
      </m:oMath>
      <w:r>
        <w:t xml:space="preserve"> of this model from .003 in Model 1 to .152 in Model 3, suggesting time and scientific literacy can explain about 15% of the total variance in CO</w:t>
      </w:r>
      <w:r>
        <w:rPr>
          <w:vertAlign w:val="subscript"/>
        </w:rPr>
        <w:t>2</w:t>
      </w:r>
      <w:r>
        <w:t xml:space="preserve"> emissions over time.</w:t>
      </w:r>
    </w:p>
    <w:p w14:paraId="5F04AA83" w14:textId="2DFACCBC" w:rsidR="00186B85" w:rsidRDefault="00186B85" w:rsidP="00186B85">
      <w:pPr>
        <w:pStyle w:val="BodyText"/>
      </w:pPr>
      <w:r>
        <w:rPr>
          <w:b/>
          <w:bCs/>
        </w:rPr>
        <w:t>Conditional Growth Model with Covariates</w:t>
      </w:r>
      <w:r>
        <w:t>. Model 4 uses 20 imputed datasets derived from joint modeling, the results of which are pooled following Rubin’s rules (</w:t>
      </w:r>
      <w:hyperlink w:anchor="ref-vanbuuren2018">
        <w:r>
          <w:rPr>
            <w:rStyle w:val="Hyperlink"/>
          </w:rPr>
          <w:t>van Buuren, 2018</w:t>
        </w:r>
      </w:hyperlink>
      <w:r>
        <w:t xml:space="preserve">). The model includes all covariates (population, GDP, manufacturing as a percentage of GDP, exports as a percentage of GDP, Gini, left-right orientation, democracy, net enrollment, OECD category) as well as the interaction between scientific literacy (within a country) and OECD category. Like the re-estimated Models 1 and 3, Qatar is not </w:t>
      </w:r>
      <w:proofErr w:type="gramStart"/>
      <w:r>
        <w:t>included</w:t>
      </w:r>
      <w:proofErr w:type="gramEnd"/>
      <w:r>
        <w:t xml:space="preserve"> and the log of CO</w:t>
      </w:r>
      <w:r>
        <w:rPr>
          <w:vertAlign w:val="subscript"/>
        </w:rPr>
        <w:t>2</w:t>
      </w:r>
      <w:r>
        <w:t xml:space="preserve"> emissions is used. To aid in interpretation of the model, all variables that range from 0-1 (manufacturing, exports, Gini, left-right orientation, democracy index, and net enrollment) were rescaled by 100 (</w:t>
      </w:r>
      <m:oMath>
        <m:r>
          <w:rPr>
            <w:rFonts w:ascii="Cambria Math" w:hAnsi="Cambria Math"/>
          </w:rPr>
          <m:t>x</m:t>
        </m:r>
        <m:r>
          <m:rPr>
            <m:sty m:val="p"/>
          </m:rPr>
          <w:rPr>
            <w:rFonts w:ascii="Cambria Math" w:hAnsi="Cambria Math"/>
          </w:rPr>
          <m:t>×</m:t>
        </m:r>
        <m:r>
          <w:rPr>
            <w:rFonts w:ascii="Cambria Math" w:hAnsi="Cambria Math"/>
          </w:rPr>
          <m:t>100</m:t>
        </m:r>
      </m:oMath>
      <w:r>
        <w:t>). Exponentiated values of fixed effect coefficients for these variables now represent the percentage change in CO</w:t>
      </w:r>
      <w:r>
        <w:rPr>
          <w:vertAlign w:val="subscript"/>
        </w:rPr>
        <w:t>2</w:t>
      </w:r>
      <w:r>
        <w:t xml:space="preserve"> emissions for a 1% increase in the predictor, holding all other predictors constant.</w:t>
      </w:r>
    </w:p>
    <w:p w14:paraId="1EA4D519" w14:textId="37937C43" w:rsidR="0033629A" w:rsidRDefault="00186B85" w:rsidP="00186B85">
      <w:pPr>
        <w:pStyle w:val="BodyText"/>
      </w:pPr>
      <w:r>
        <w:t>In Model 4, time remains a significant predictor, indicating a decrease in CO</w:t>
      </w:r>
      <w:r>
        <w:rPr>
          <w:vertAlign w:val="subscript"/>
        </w:rPr>
        <w:t>2</w:t>
      </w:r>
      <w:r>
        <w:t xml:space="preserve"> emissions per capita in time, </w:t>
      </w:r>
      <w:proofErr w:type="gramStart"/>
      <w:r>
        <w:t>similar to</w:t>
      </w:r>
      <w:proofErr w:type="gramEnd"/>
      <w:r>
        <w:t xml:space="preserve"> Model 3. Triannually, CO</w:t>
      </w:r>
      <w:r>
        <w:rPr>
          <w:vertAlign w:val="subscript"/>
        </w:rPr>
        <w:t>2</w:t>
      </w:r>
      <w:r>
        <w:t xml:space="preserve"> emissions are expected to decrease around 3.5%. Likewise, scientific literacy between countries remains a significant </w:t>
      </w:r>
      <w:r w:rsidR="004409CB">
        <w:br w:type="page"/>
      </w:r>
    </w:p>
    <w:p w14:paraId="348FE518" w14:textId="77777777" w:rsidR="0033629A" w:rsidRDefault="004409CB">
      <w:pPr>
        <w:pStyle w:val="Figure"/>
        <w:jc w:val="center"/>
      </w:pPr>
      <w:r>
        <w:rPr>
          <w:noProof/>
        </w:rPr>
        <w:lastRenderedPageBreak/>
        <w:drawing>
          <wp:inline distT="0" distB="0" distL="0" distR="0" wp14:anchorId="3CB96C64" wp14:editId="307FFCF7">
            <wp:extent cx="5486400" cy="27432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
                    <pic:cNvPicPr>
                      <a:picLocks noChangeAspect="1" noChangeArrowheads="1"/>
                    </pic:cNvPicPr>
                  </pic:nvPicPr>
                  <pic:blipFill>
                    <a:blip r:embed="rId70"/>
                    <a:srcRect/>
                    <a:stretch>
                      <a:fillRect/>
                    </a:stretch>
                  </pic:blipFill>
                  <pic:spPr bwMode="auto">
                    <a:xfrm>
                      <a:off x="0" y="0"/>
                      <a:ext cx="76200" cy="38100"/>
                    </a:xfrm>
                    <a:prstGeom prst="rect">
                      <a:avLst/>
                    </a:prstGeom>
                    <a:noFill/>
                  </pic:spPr>
                </pic:pic>
              </a:graphicData>
            </a:graphic>
          </wp:inline>
        </w:drawing>
      </w:r>
    </w:p>
    <w:p w14:paraId="0F54885D" w14:textId="23EC21CE" w:rsidR="0033629A" w:rsidRDefault="004409CB">
      <w:pPr>
        <w:pStyle w:val="ImageCaption"/>
      </w:pPr>
      <w:bookmarkStart w:id="112" w:name="_Toc105675534"/>
      <w:r>
        <w:rPr>
          <w:b/>
        </w:rPr>
        <w:t xml:space="preserve">Figure </w:t>
      </w:r>
      <w:bookmarkStart w:id="113" w:name="linmod3"/>
      <w:r>
        <w:rPr>
          <w:b/>
        </w:rPr>
        <w:fldChar w:fldCharType="begin"/>
      </w:r>
      <w:r>
        <w:rPr>
          <w:b/>
        </w:rPr>
        <w:instrText>SEQ Figure \* Arabic</w:instrText>
      </w:r>
      <w:r>
        <w:rPr>
          <w:b/>
        </w:rPr>
        <w:fldChar w:fldCharType="separate"/>
      </w:r>
      <w:r w:rsidR="00766923">
        <w:rPr>
          <w:b/>
          <w:noProof/>
        </w:rPr>
        <w:t>19</w:t>
      </w:r>
      <w:r>
        <w:rPr>
          <w:b/>
        </w:rPr>
        <w:fldChar w:fldCharType="end"/>
      </w:r>
      <w:bookmarkEnd w:id="113"/>
      <w:r>
        <w:t>: Residuals plotted against fitted values to assess linearity and heterogeneity of variance for Model 3 and alternative models.</w:t>
      </w:r>
      <w:bookmarkEnd w:id="112"/>
    </w:p>
    <w:p w14:paraId="62C1B9A9" w14:textId="3CFC6C80" w:rsidR="00E20A86" w:rsidRDefault="00E20A86">
      <w:pPr>
        <w:pStyle w:val="ImageCaption"/>
      </w:pPr>
    </w:p>
    <w:p w14:paraId="3ADB37C0" w14:textId="77777777" w:rsidR="00E20A86" w:rsidRDefault="00E20A86">
      <w:pPr>
        <w:pStyle w:val="ImageCaption"/>
      </w:pPr>
    </w:p>
    <w:p w14:paraId="39000591" w14:textId="77777777" w:rsidR="0033629A" w:rsidRDefault="004409CB">
      <w:pPr>
        <w:pStyle w:val="Figure"/>
        <w:jc w:val="center"/>
      </w:pPr>
      <w:r>
        <w:rPr>
          <w:noProof/>
        </w:rPr>
        <w:drawing>
          <wp:inline distT="0" distB="0" distL="0" distR="0" wp14:anchorId="391851E5" wp14:editId="750A8093">
            <wp:extent cx="5486400" cy="27432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
                    <pic:cNvPicPr>
                      <a:picLocks noChangeAspect="1" noChangeArrowheads="1"/>
                    </pic:cNvPicPr>
                  </pic:nvPicPr>
                  <pic:blipFill>
                    <a:blip r:embed="rId71"/>
                    <a:srcRect/>
                    <a:stretch>
                      <a:fillRect/>
                    </a:stretch>
                  </pic:blipFill>
                  <pic:spPr bwMode="auto">
                    <a:xfrm>
                      <a:off x="0" y="0"/>
                      <a:ext cx="76200" cy="38100"/>
                    </a:xfrm>
                    <a:prstGeom prst="rect">
                      <a:avLst/>
                    </a:prstGeom>
                    <a:noFill/>
                  </pic:spPr>
                </pic:pic>
              </a:graphicData>
            </a:graphic>
          </wp:inline>
        </w:drawing>
      </w:r>
    </w:p>
    <w:p w14:paraId="0568944F" w14:textId="505D1B69" w:rsidR="00C601B2" w:rsidRDefault="004409CB">
      <w:pPr>
        <w:pStyle w:val="ImageCaption"/>
        <w:sectPr w:rsidR="00C601B2" w:rsidSect="001179F5">
          <w:headerReference w:type="even" r:id="rId72"/>
          <w:headerReference w:type="default" r:id="rId73"/>
          <w:footerReference w:type="even" r:id="rId74"/>
          <w:footerReference w:type="default" r:id="rId75"/>
          <w:headerReference w:type="first" r:id="rId76"/>
          <w:footerReference w:type="first" r:id="rId77"/>
          <w:pgSz w:w="11906" w:h="16838"/>
          <w:pgMar w:top="1440" w:right="1440" w:bottom="1440" w:left="1440" w:header="720" w:footer="720" w:gutter="0"/>
          <w:cols w:space="720"/>
          <w:docGrid w:linePitch="326"/>
        </w:sectPr>
      </w:pPr>
      <w:bookmarkStart w:id="114" w:name="_Toc105675535"/>
      <w:r>
        <w:rPr>
          <w:b/>
        </w:rPr>
        <w:t xml:space="preserve">Figure </w:t>
      </w:r>
      <w:bookmarkStart w:id="115" w:name="qqmod3"/>
      <w:r>
        <w:rPr>
          <w:b/>
        </w:rPr>
        <w:fldChar w:fldCharType="begin"/>
      </w:r>
      <w:r>
        <w:rPr>
          <w:b/>
        </w:rPr>
        <w:instrText>SEQ Figure \* Arabic</w:instrText>
      </w:r>
      <w:r>
        <w:rPr>
          <w:b/>
        </w:rPr>
        <w:fldChar w:fldCharType="separate"/>
      </w:r>
      <w:r w:rsidR="00766923">
        <w:rPr>
          <w:b/>
          <w:noProof/>
        </w:rPr>
        <w:t>20</w:t>
      </w:r>
      <w:r>
        <w:rPr>
          <w:b/>
        </w:rPr>
        <w:fldChar w:fldCharType="end"/>
      </w:r>
      <w:bookmarkEnd w:id="115"/>
      <w:r>
        <w:t>: QQ plots for Model 3 and alternatives</w:t>
      </w:r>
      <w:bookmarkEnd w:id="114"/>
    </w:p>
    <w:p w14:paraId="1C6980BF" w14:textId="01FF31E0" w:rsidR="00D52E9A" w:rsidRDefault="00D52E9A" w:rsidP="00D52E9A">
      <w:pPr>
        <w:spacing w:after="0"/>
      </w:pPr>
      <w:bookmarkStart w:id="116" w:name="_Toc105675510"/>
      <w:r>
        <w:rPr>
          <w:b/>
        </w:rPr>
        <w:lastRenderedPageBreak/>
        <w:t xml:space="preserve">Table </w:t>
      </w:r>
      <w:bookmarkStart w:id="117" w:name="modeltabletwo"/>
      <w:r>
        <w:rPr>
          <w:b/>
        </w:rPr>
        <w:fldChar w:fldCharType="begin"/>
      </w:r>
      <w:r>
        <w:rPr>
          <w:b/>
        </w:rPr>
        <w:instrText>SEQ tab \* Arabic</w:instrText>
      </w:r>
      <w:r>
        <w:rPr>
          <w:b/>
        </w:rPr>
        <w:fldChar w:fldCharType="separate"/>
      </w:r>
      <w:r w:rsidR="00766923">
        <w:rPr>
          <w:b/>
          <w:noProof/>
        </w:rPr>
        <w:t>6</w:t>
      </w:r>
      <w:r>
        <w:rPr>
          <w:b/>
        </w:rPr>
        <w:fldChar w:fldCharType="end"/>
      </w:r>
      <w:bookmarkEnd w:id="117"/>
      <w:r>
        <w:t>: Table of results for final multilevel growth models.</w:t>
      </w:r>
      <w:bookmarkEnd w:id="116"/>
    </w:p>
    <w:tbl>
      <w:tblPr>
        <w:tblW w:w="13840" w:type="dxa"/>
        <w:tblInd w:w="90" w:type="dxa"/>
        <w:tblLayout w:type="fixed"/>
        <w:tblLook w:val="0420" w:firstRow="1" w:lastRow="0" w:firstColumn="0" w:lastColumn="0" w:noHBand="0" w:noVBand="1"/>
      </w:tblPr>
      <w:tblGrid>
        <w:gridCol w:w="2456"/>
        <w:gridCol w:w="1091"/>
        <w:gridCol w:w="726"/>
        <w:gridCol w:w="818"/>
        <w:gridCol w:w="913"/>
        <w:gridCol w:w="1092"/>
        <w:gridCol w:w="818"/>
        <w:gridCol w:w="909"/>
        <w:gridCol w:w="913"/>
        <w:gridCol w:w="1183"/>
        <w:gridCol w:w="909"/>
        <w:gridCol w:w="909"/>
        <w:gridCol w:w="1095"/>
        <w:gridCol w:w="8"/>
      </w:tblGrid>
      <w:tr w:rsidR="00D52E9A" w:rsidRPr="00186B85" w14:paraId="5D0C5D5E" w14:textId="77777777" w:rsidTr="001179F5">
        <w:trPr>
          <w:cantSplit/>
          <w:trHeight w:val="376"/>
          <w:tblHeader/>
        </w:trPr>
        <w:tc>
          <w:tcPr>
            <w:tcW w:w="2458" w:type="dxa"/>
            <w:tcBorders>
              <w:bottom w:val="single" w:sz="8" w:space="0" w:color="666666"/>
            </w:tcBorders>
            <w:shd w:val="clear" w:color="auto" w:fill="FFFFFF"/>
            <w:tcMar>
              <w:top w:w="0" w:type="dxa"/>
              <w:left w:w="0" w:type="dxa"/>
              <w:bottom w:w="0" w:type="dxa"/>
              <w:right w:w="0" w:type="dxa"/>
            </w:tcMar>
          </w:tcPr>
          <w:p w14:paraId="167CEBE4" w14:textId="77777777" w:rsidR="00D52E9A" w:rsidRPr="00186B85" w:rsidRDefault="00D52E9A" w:rsidP="00350028">
            <w:pPr>
              <w:keepNext/>
              <w:spacing w:before="0" w:after="0" w:line="240" w:lineRule="auto"/>
              <w:ind w:left="100" w:right="100" w:firstLine="0"/>
              <w:jc w:val="center"/>
              <w:rPr>
                <w:sz w:val="20"/>
                <w:szCs w:val="20"/>
              </w:rPr>
            </w:pPr>
          </w:p>
        </w:tc>
        <w:tc>
          <w:tcPr>
            <w:tcW w:w="3550" w:type="dxa"/>
            <w:gridSpan w:val="4"/>
            <w:tcBorders>
              <w:bottom w:val="single" w:sz="8" w:space="0" w:color="666666"/>
            </w:tcBorders>
            <w:shd w:val="clear" w:color="auto" w:fill="FFFFFF"/>
            <w:tcMar>
              <w:top w:w="0" w:type="dxa"/>
              <w:left w:w="0" w:type="dxa"/>
              <w:bottom w:w="0" w:type="dxa"/>
              <w:right w:w="0" w:type="dxa"/>
            </w:tcMar>
          </w:tcPr>
          <w:p w14:paraId="51724EC3" w14:textId="77777777" w:rsidR="00D52E9A" w:rsidRPr="00186B85" w:rsidRDefault="00D52E9A" w:rsidP="00350028">
            <w:pPr>
              <w:keepNext/>
              <w:spacing w:before="0" w:after="0" w:line="240" w:lineRule="auto"/>
              <w:ind w:left="100" w:right="100" w:firstLine="0"/>
              <w:jc w:val="center"/>
              <w:rPr>
                <w:sz w:val="20"/>
                <w:szCs w:val="20"/>
              </w:rPr>
            </w:pPr>
            <w:r w:rsidRPr="00186B85">
              <w:rPr>
                <w:rFonts w:eastAsia="Arial"/>
                <w:b/>
                <w:color w:val="000000"/>
                <w:sz w:val="20"/>
                <w:szCs w:val="20"/>
              </w:rPr>
              <w:t xml:space="preserve">Model 1: Random Effect for Time </w:t>
            </w:r>
            <w:r>
              <w:rPr>
                <w:rFonts w:eastAsia="Arial"/>
                <w:b/>
                <w:color w:val="000000"/>
                <w:sz w:val="20"/>
                <w:szCs w:val="20"/>
              </w:rPr>
              <w:br/>
            </w:r>
            <w:r w:rsidRPr="00186B85">
              <w:rPr>
                <w:rFonts w:eastAsia="Arial"/>
                <w:b/>
                <w:color w:val="000000"/>
                <w:sz w:val="20"/>
                <w:szCs w:val="20"/>
              </w:rPr>
              <w:t>(Log of CO</w:t>
            </w:r>
            <w:r w:rsidRPr="00186B85">
              <w:rPr>
                <w:rFonts w:eastAsia="Arial"/>
                <w:b/>
                <w:color w:val="000000"/>
                <w:sz w:val="20"/>
                <w:szCs w:val="20"/>
                <w:vertAlign w:val="subscript"/>
              </w:rPr>
              <w:t>2</w:t>
            </w:r>
            <w:r w:rsidRPr="00186B85">
              <w:rPr>
                <w:rFonts w:eastAsia="Arial"/>
                <w:b/>
                <w:color w:val="000000"/>
                <w:sz w:val="20"/>
                <w:szCs w:val="20"/>
              </w:rPr>
              <w:t>)</w:t>
            </w:r>
          </w:p>
        </w:tc>
        <w:tc>
          <w:tcPr>
            <w:tcW w:w="3732" w:type="dxa"/>
            <w:gridSpan w:val="4"/>
            <w:tcBorders>
              <w:bottom w:val="single" w:sz="8" w:space="0" w:color="666666"/>
            </w:tcBorders>
            <w:shd w:val="clear" w:color="auto" w:fill="FFFFFF"/>
            <w:tcMar>
              <w:top w:w="0" w:type="dxa"/>
              <w:left w:w="0" w:type="dxa"/>
              <w:bottom w:w="0" w:type="dxa"/>
              <w:right w:w="0" w:type="dxa"/>
            </w:tcMar>
          </w:tcPr>
          <w:p w14:paraId="29446CE0" w14:textId="77777777" w:rsidR="00D52E9A" w:rsidRPr="00186B85" w:rsidRDefault="00D52E9A" w:rsidP="00350028">
            <w:pPr>
              <w:keepNext/>
              <w:spacing w:before="0" w:after="0" w:line="240" w:lineRule="auto"/>
              <w:ind w:left="100" w:right="100" w:firstLine="0"/>
              <w:jc w:val="center"/>
              <w:rPr>
                <w:sz w:val="20"/>
                <w:szCs w:val="20"/>
              </w:rPr>
            </w:pPr>
            <w:r w:rsidRPr="00186B85">
              <w:rPr>
                <w:rFonts w:eastAsia="Arial"/>
                <w:b/>
                <w:color w:val="000000"/>
                <w:sz w:val="20"/>
                <w:szCs w:val="20"/>
              </w:rPr>
              <w:t xml:space="preserve">Model 3: Conditional Model </w:t>
            </w:r>
            <w:r>
              <w:rPr>
                <w:rFonts w:eastAsia="Arial"/>
                <w:b/>
                <w:color w:val="000000"/>
                <w:sz w:val="20"/>
                <w:szCs w:val="20"/>
              </w:rPr>
              <w:br/>
            </w:r>
            <w:r w:rsidRPr="00186B85">
              <w:rPr>
                <w:rFonts w:eastAsia="Arial"/>
                <w:b/>
                <w:color w:val="000000"/>
                <w:sz w:val="20"/>
                <w:szCs w:val="20"/>
              </w:rPr>
              <w:t>(Log of CO</w:t>
            </w:r>
            <w:r w:rsidRPr="00186B85">
              <w:rPr>
                <w:rFonts w:eastAsia="Arial"/>
                <w:b/>
                <w:color w:val="000000"/>
                <w:sz w:val="20"/>
                <w:szCs w:val="20"/>
                <w:vertAlign w:val="subscript"/>
              </w:rPr>
              <w:t>2</w:t>
            </w:r>
            <w:r w:rsidRPr="00186B85">
              <w:rPr>
                <w:rFonts w:eastAsia="Arial"/>
                <w:b/>
                <w:color w:val="000000"/>
                <w:sz w:val="20"/>
                <w:szCs w:val="20"/>
              </w:rPr>
              <w:t>)</w:t>
            </w:r>
          </w:p>
        </w:tc>
        <w:tc>
          <w:tcPr>
            <w:tcW w:w="4098" w:type="dxa"/>
            <w:gridSpan w:val="5"/>
            <w:tcBorders>
              <w:bottom w:val="single" w:sz="8" w:space="0" w:color="666666"/>
            </w:tcBorders>
            <w:shd w:val="clear" w:color="auto" w:fill="FFFFFF"/>
            <w:tcMar>
              <w:top w:w="0" w:type="dxa"/>
              <w:left w:w="0" w:type="dxa"/>
              <w:bottom w:w="0" w:type="dxa"/>
              <w:right w:w="0" w:type="dxa"/>
            </w:tcMar>
          </w:tcPr>
          <w:p w14:paraId="4111A5A4" w14:textId="77777777" w:rsidR="00D52E9A" w:rsidRPr="00186B85" w:rsidRDefault="00D52E9A" w:rsidP="00350028">
            <w:pPr>
              <w:keepNext/>
              <w:spacing w:before="0" w:after="0" w:line="240" w:lineRule="auto"/>
              <w:ind w:left="100" w:right="100" w:firstLine="0"/>
              <w:jc w:val="center"/>
              <w:rPr>
                <w:sz w:val="20"/>
                <w:szCs w:val="20"/>
              </w:rPr>
            </w:pPr>
            <w:r w:rsidRPr="00186B85">
              <w:rPr>
                <w:rFonts w:eastAsia="Arial"/>
                <w:b/>
                <w:color w:val="000000"/>
                <w:sz w:val="20"/>
                <w:szCs w:val="20"/>
              </w:rPr>
              <w:t>Model 4: Conditional Model with Covariates (Log of CO</w:t>
            </w:r>
            <w:r w:rsidRPr="00186B85">
              <w:rPr>
                <w:rFonts w:eastAsia="Arial"/>
                <w:b/>
                <w:color w:val="000000"/>
                <w:sz w:val="20"/>
                <w:szCs w:val="20"/>
                <w:vertAlign w:val="subscript"/>
              </w:rPr>
              <w:t>2</w:t>
            </w:r>
            <w:r w:rsidRPr="00186B85">
              <w:rPr>
                <w:rFonts w:eastAsia="Arial"/>
                <w:b/>
                <w:color w:val="000000"/>
                <w:sz w:val="20"/>
                <w:szCs w:val="20"/>
              </w:rPr>
              <w:t>)</w:t>
            </w:r>
          </w:p>
        </w:tc>
      </w:tr>
      <w:tr w:rsidR="001179F5" w:rsidRPr="00186B85" w14:paraId="06B1F074" w14:textId="77777777" w:rsidTr="001179F5">
        <w:trPr>
          <w:gridAfter w:val="1"/>
          <w:wAfter w:w="8" w:type="dxa"/>
          <w:cantSplit/>
          <w:trHeight w:val="179"/>
          <w:tblHeader/>
        </w:trPr>
        <w:tc>
          <w:tcPr>
            <w:tcW w:w="2458" w:type="dxa"/>
            <w:tcBorders>
              <w:bottom w:val="single" w:sz="8" w:space="0" w:color="666666"/>
            </w:tcBorders>
            <w:shd w:val="clear" w:color="auto" w:fill="FFFFFF"/>
            <w:tcMar>
              <w:top w:w="0" w:type="dxa"/>
              <w:left w:w="0" w:type="dxa"/>
              <w:bottom w:w="0" w:type="dxa"/>
              <w:right w:w="0" w:type="dxa"/>
            </w:tcMar>
          </w:tcPr>
          <w:p w14:paraId="3E66C25B" w14:textId="77777777" w:rsidR="00D52E9A" w:rsidRPr="00186B85" w:rsidRDefault="00D52E9A" w:rsidP="00350028">
            <w:pPr>
              <w:keepNext/>
              <w:spacing w:before="0" w:after="0" w:line="240" w:lineRule="auto"/>
              <w:ind w:left="100" w:right="100" w:firstLine="0"/>
              <w:jc w:val="center"/>
              <w:rPr>
                <w:sz w:val="20"/>
                <w:szCs w:val="20"/>
              </w:rPr>
            </w:pPr>
            <w:r w:rsidRPr="00186B85">
              <w:rPr>
                <w:rFonts w:eastAsia="Arial"/>
                <w:b/>
                <w:color w:val="000000"/>
                <w:sz w:val="20"/>
                <w:szCs w:val="20"/>
              </w:rPr>
              <w:t>Variable</w:t>
            </w:r>
          </w:p>
        </w:tc>
        <w:tc>
          <w:tcPr>
            <w:tcW w:w="1092" w:type="dxa"/>
            <w:tcBorders>
              <w:bottom w:val="single" w:sz="8" w:space="0" w:color="666666"/>
            </w:tcBorders>
            <w:shd w:val="clear" w:color="auto" w:fill="FFFFFF"/>
            <w:tcMar>
              <w:top w:w="0" w:type="dxa"/>
              <w:left w:w="0" w:type="dxa"/>
              <w:bottom w:w="0" w:type="dxa"/>
              <w:right w:w="0" w:type="dxa"/>
            </w:tcMar>
          </w:tcPr>
          <w:p w14:paraId="073AE36C" w14:textId="77777777" w:rsidR="00D52E9A" w:rsidRPr="00186B85" w:rsidRDefault="00D52E9A" w:rsidP="00350028">
            <w:pPr>
              <w:keepNext/>
              <w:spacing w:before="0" w:after="0" w:line="240" w:lineRule="auto"/>
              <w:ind w:left="100" w:right="100" w:firstLine="0"/>
              <w:jc w:val="center"/>
              <w:rPr>
                <w:sz w:val="20"/>
                <w:szCs w:val="20"/>
              </w:rPr>
            </w:pPr>
            <w:r w:rsidRPr="00186B85">
              <w:rPr>
                <w:rFonts w:eastAsia="Arial"/>
                <w:b/>
                <w:i/>
                <w:color w:val="000000"/>
                <w:sz w:val="20"/>
                <w:szCs w:val="20"/>
              </w:rPr>
              <w:t>Estimate</w:t>
            </w:r>
          </w:p>
        </w:tc>
        <w:tc>
          <w:tcPr>
            <w:tcW w:w="727" w:type="dxa"/>
            <w:tcBorders>
              <w:bottom w:val="single" w:sz="8" w:space="0" w:color="666666"/>
            </w:tcBorders>
            <w:shd w:val="clear" w:color="auto" w:fill="FFFFFF"/>
            <w:tcMar>
              <w:top w:w="0" w:type="dxa"/>
              <w:left w:w="0" w:type="dxa"/>
              <w:bottom w:w="0" w:type="dxa"/>
              <w:right w:w="0" w:type="dxa"/>
            </w:tcMar>
          </w:tcPr>
          <w:p w14:paraId="793348D9" w14:textId="77777777" w:rsidR="00D52E9A" w:rsidRPr="00186B85" w:rsidRDefault="00D52E9A" w:rsidP="00350028">
            <w:pPr>
              <w:keepNext/>
              <w:spacing w:before="0" w:after="0" w:line="240" w:lineRule="auto"/>
              <w:ind w:left="100" w:right="100" w:firstLine="0"/>
              <w:jc w:val="center"/>
              <w:rPr>
                <w:sz w:val="20"/>
                <w:szCs w:val="20"/>
              </w:rPr>
            </w:pPr>
            <w:r w:rsidRPr="00186B85">
              <w:rPr>
                <w:rFonts w:eastAsia="Arial"/>
                <w:b/>
                <w:i/>
                <w:color w:val="000000"/>
                <w:sz w:val="20"/>
                <w:szCs w:val="20"/>
              </w:rPr>
              <w:t>%Δ</w:t>
            </w:r>
          </w:p>
        </w:tc>
        <w:tc>
          <w:tcPr>
            <w:tcW w:w="818" w:type="dxa"/>
            <w:tcBorders>
              <w:bottom w:val="single" w:sz="8" w:space="0" w:color="666666"/>
            </w:tcBorders>
            <w:shd w:val="clear" w:color="auto" w:fill="FFFFFF"/>
            <w:tcMar>
              <w:top w:w="0" w:type="dxa"/>
              <w:left w:w="0" w:type="dxa"/>
              <w:bottom w:w="0" w:type="dxa"/>
              <w:right w:w="0" w:type="dxa"/>
            </w:tcMar>
          </w:tcPr>
          <w:p w14:paraId="3F7EA9E3" w14:textId="77777777" w:rsidR="00D52E9A" w:rsidRPr="00186B85" w:rsidRDefault="00D52E9A" w:rsidP="00350028">
            <w:pPr>
              <w:keepNext/>
              <w:spacing w:before="0" w:after="0" w:line="240" w:lineRule="auto"/>
              <w:ind w:left="100" w:right="100" w:firstLine="0"/>
              <w:jc w:val="center"/>
              <w:rPr>
                <w:sz w:val="20"/>
                <w:szCs w:val="20"/>
              </w:rPr>
            </w:pPr>
            <w:r w:rsidRPr="00186B85">
              <w:rPr>
                <w:rFonts w:eastAsia="Arial"/>
                <w:b/>
                <w:i/>
                <w:color w:val="000000"/>
                <w:sz w:val="20"/>
                <w:szCs w:val="20"/>
              </w:rPr>
              <w:t>SE</w:t>
            </w:r>
          </w:p>
        </w:tc>
        <w:tc>
          <w:tcPr>
            <w:tcW w:w="911" w:type="dxa"/>
            <w:tcBorders>
              <w:bottom w:val="single" w:sz="8" w:space="0" w:color="666666"/>
            </w:tcBorders>
            <w:shd w:val="clear" w:color="auto" w:fill="FFFFFF"/>
            <w:tcMar>
              <w:top w:w="0" w:type="dxa"/>
              <w:left w:w="0" w:type="dxa"/>
              <w:bottom w:w="0" w:type="dxa"/>
              <w:right w:w="0" w:type="dxa"/>
            </w:tcMar>
          </w:tcPr>
          <w:p w14:paraId="79484972" w14:textId="77777777" w:rsidR="00D52E9A" w:rsidRPr="00186B85" w:rsidRDefault="00D52E9A" w:rsidP="00350028">
            <w:pPr>
              <w:keepNext/>
              <w:spacing w:before="0" w:after="0" w:line="240" w:lineRule="auto"/>
              <w:ind w:left="100" w:right="100" w:firstLine="0"/>
              <w:jc w:val="center"/>
              <w:rPr>
                <w:sz w:val="20"/>
                <w:szCs w:val="20"/>
              </w:rPr>
            </w:pPr>
            <w:r w:rsidRPr="00186B85">
              <w:rPr>
                <w:rFonts w:eastAsia="Arial"/>
                <w:b/>
                <w:i/>
                <w:color w:val="000000"/>
                <w:sz w:val="20"/>
                <w:szCs w:val="20"/>
              </w:rPr>
              <w:t>p</w:t>
            </w:r>
          </w:p>
        </w:tc>
        <w:tc>
          <w:tcPr>
            <w:tcW w:w="1092" w:type="dxa"/>
            <w:tcBorders>
              <w:bottom w:val="single" w:sz="8" w:space="0" w:color="666666"/>
            </w:tcBorders>
            <w:shd w:val="clear" w:color="auto" w:fill="FFFFFF"/>
            <w:tcMar>
              <w:top w:w="0" w:type="dxa"/>
              <w:left w:w="0" w:type="dxa"/>
              <w:bottom w:w="0" w:type="dxa"/>
              <w:right w:w="0" w:type="dxa"/>
            </w:tcMar>
          </w:tcPr>
          <w:p w14:paraId="65368E67" w14:textId="77777777" w:rsidR="00D52E9A" w:rsidRPr="00186B85" w:rsidRDefault="00D52E9A" w:rsidP="00350028">
            <w:pPr>
              <w:keepNext/>
              <w:spacing w:before="0" w:after="0" w:line="240" w:lineRule="auto"/>
              <w:ind w:left="100" w:right="100" w:firstLine="0"/>
              <w:jc w:val="center"/>
              <w:rPr>
                <w:sz w:val="20"/>
                <w:szCs w:val="20"/>
              </w:rPr>
            </w:pPr>
            <w:r w:rsidRPr="00186B85">
              <w:rPr>
                <w:rFonts w:eastAsia="Arial"/>
                <w:b/>
                <w:i/>
                <w:color w:val="000000"/>
                <w:sz w:val="20"/>
                <w:szCs w:val="20"/>
              </w:rPr>
              <w:t>Estimate</w:t>
            </w:r>
          </w:p>
        </w:tc>
        <w:tc>
          <w:tcPr>
            <w:tcW w:w="818" w:type="dxa"/>
            <w:tcBorders>
              <w:bottom w:val="single" w:sz="8" w:space="0" w:color="666666"/>
            </w:tcBorders>
            <w:shd w:val="clear" w:color="auto" w:fill="FFFFFF"/>
            <w:tcMar>
              <w:top w:w="0" w:type="dxa"/>
              <w:left w:w="0" w:type="dxa"/>
              <w:bottom w:w="0" w:type="dxa"/>
              <w:right w:w="0" w:type="dxa"/>
            </w:tcMar>
          </w:tcPr>
          <w:p w14:paraId="7901E626" w14:textId="77777777" w:rsidR="00D52E9A" w:rsidRPr="00186B85" w:rsidRDefault="00D52E9A" w:rsidP="00350028">
            <w:pPr>
              <w:keepNext/>
              <w:spacing w:before="0" w:after="0" w:line="240" w:lineRule="auto"/>
              <w:ind w:left="100" w:right="100" w:firstLine="0"/>
              <w:jc w:val="center"/>
              <w:rPr>
                <w:sz w:val="20"/>
                <w:szCs w:val="20"/>
              </w:rPr>
            </w:pPr>
            <w:r w:rsidRPr="00186B85">
              <w:rPr>
                <w:rFonts w:eastAsia="Arial"/>
                <w:b/>
                <w:i/>
                <w:color w:val="000000"/>
                <w:sz w:val="20"/>
                <w:szCs w:val="20"/>
              </w:rPr>
              <w:t>%Δ</w:t>
            </w:r>
          </w:p>
        </w:tc>
        <w:tc>
          <w:tcPr>
            <w:tcW w:w="909" w:type="dxa"/>
            <w:tcBorders>
              <w:bottom w:val="single" w:sz="8" w:space="0" w:color="666666"/>
            </w:tcBorders>
            <w:shd w:val="clear" w:color="auto" w:fill="FFFFFF"/>
            <w:tcMar>
              <w:top w:w="0" w:type="dxa"/>
              <w:left w:w="0" w:type="dxa"/>
              <w:bottom w:w="0" w:type="dxa"/>
              <w:right w:w="0" w:type="dxa"/>
            </w:tcMar>
          </w:tcPr>
          <w:p w14:paraId="58E72CC0" w14:textId="77777777" w:rsidR="00D52E9A" w:rsidRPr="00186B85" w:rsidRDefault="00D52E9A" w:rsidP="00350028">
            <w:pPr>
              <w:keepNext/>
              <w:spacing w:before="0" w:after="0" w:line="240" w:lineRule="auto"/>
              <w:ind w:left="100" w:right="100" w:firstLine="0"/>
              <w:jc w:val="center"/>
              <w:rPr>
                <w:sz w:val="20"/>
                <w:szCs w:val="20"/>
              </w:rPr>
            </w:pPr>
            <w:r w:rsidRPr="00186B85">
              <w:rPr>
                <w:rFonts w:eastAsia="Arial"/>
                <w:b/>
                <w:i/>
                <w:color w:val="000000"/>
                <w:sz w:val="20"/>
                <w:szCs w:val="20"/>
              </w:rPr>
              <w:t>SE</w:t>
            </w:r>
          </w:p>
        </w:tc>
        <w:tc>
          <w:tcPr>
            <w:tcW w:w="911" w:type="dxa"/>
            <w:tcBorders>
              <w:bottom w:val="single" w:sz="8" w:space="0" w:color="666666"/>
            </w:tcBorders>
            <w:shd w:val="clear" w:color="auto" w:fill="FFFFFF"/>
            <w:tcMar>
              <w:top w:w="0" w:type="dxa"/>
              <w:left w:w="0" w:type="dxa"/>
              <w:bottom w:w="0" w:type="dxa"/>
              <w:right w:w="0" w:type="dxa"/>
            </w:tcMar>
          </w:tcPr>
          <w:p w14:paraId="37AC9FC9" w14:textId="77777777" w:rsidR="00D52E9A" w:rsidRPr="00186B85" w:rsidRDefault="00D52E9A" w:rsidP="00350028">
            <w:pPr>
              <w:keepNext/>
              <w:spacing w:before="0" w:after="0" w:line="240" w:lineRule="auto"/>
              <w:ind w:left="100" w:right="100" w:firstLine="0"/>
              <w:jc w:val="center"/>
              <w:rPr>
                <w:sz w:val="20"/>
                <w:szCs w:val="20"/>
              </w:rPr>
            </w:pPr>
            <w:r w:rsidRPr="00186B85">
              <w:rPr>
                <w:rFonts w:eastAsia="Arial"/>
                <w:b/>
                <w:i/>
                <w:color w:val="000000"/>
                <w:sz w:val="20"/>
                <w:szCs w:val="20"/>
              </w:rPr>
              <w:t>p</w:t>
            </w:r>
          </w:p>
        </w:tc>
        <w:tc>
          <w:tcPr>
            <w:tcW w:w="1183" w:type="dxa"/>
            <w:tcBorders>
              <w:bottom w:val="single" w:sz="8" w:space="0" w:color="666666"/>
            </w:tcBorders>
            <w:shd w:val="clear" w:color="auto" w:fill="FFFFFF"/>
            <w:tcMar>
              <w:top w:w="0" w:type="dxa"/>
              <w:left w:w="0" w:type="dxa"/>
              <w:bottom w:w="0" w:type="dxa"/>
              <w:right w:w="0" w:type="dxa"/>
            </w:tcMar>
          </w:tcPr>
          <w:p w14:paraId="747ABA48" w14:textId="77777777" w:rsidR="00D52E9A" w:rsidRPr="00186B85" w:rsidRDefault="00D52E9A" w:rsidP="00350028">
            <w:pPr>
              <w:keepNext/>
              <w:spacing w:before="0" w:after="0" w:line="240" w:lineRule="auto"/>
              <w:ind w:left="100" w:right="100" w:firstLine="0"/>
              <w:jc w:val="center"/>
              <w:rPr>
                <w:sz w:val="20"/>
                <w:szCs w:val="20"/>
              </w:rPr>
            </w:pPr>
            <w:r w:rsidRPr="00186B85">
              <w:rPr>
                <w:rFonts w:eastAsia="Arial"/>
                <w:b/>
                <w:i/>
                <w:color w:val="000000"/>
                <w:sz w:val="20"/>
                <w:szCs w:val="20"/>
              </w:rPr>
              <w:t>Estimate</w:t>
            </w:r>
          </w:p>
        </w:tc>
        <w:tc>
          <w:tcPr>
            <w:tcW w:w="909" w:type="dxa"/>
            <w:tcBorders>
              <w:bottom w:val="single" w:sz="8" w:space="0" w:color="666666"/>
            </w:tcBorders>
            <w:shd w:val="clear" w:color="auto" w:fill="FFFFFF"/>
            <w:tcMar>
              <w:top w:w="0" w:type="dxa"/>
              <w:left w:w="0" w:type="dxa"/>
              <w:bottom w:w="0" w:type="dxa"/>
              <w:right w:w="0" w:type="dxa"/>
            </w:tcMar>
          </w:tcPr>
          <w:p w14:paraId="23495B50" w14:textId="77777777" w:rsidR="00D52E9A" w:rsidRPr="00186B85" w:rsidRDefault="00D52E9A" w:rsidP="00350028">
            <w:pPr>
              <w:keepNext/>
              <w:spacing w:before="0" w:after="0" w:line="240" w:lineRule="auto"/>
              <w:ind w:left="100" w:right="100" w:firstLine="0"/>
              <w:jc w:val="center"/>
              <w:rPr>
                <w:sz w:val="20"/>
                <w:szCs w:val="20"/>
              </w:rPr>
            </w:pPr>
            <w:r w:rsidRPr="00186B85">
              <w:rPr>
                <w:rFonts w:eastAsia="Arial"/>
                <w:b/>
                <w:i/>
                <w:color w:val="000000"/>
                <w:sz w:val="20"/>
                <w:szCs w:val="20"/>
              </w:rPr>
              <w:t>%Δ</w:t>
            </w:r>
          </w:p>
        </w:tc>
        <w:tc>
          <w:tcPr>
            <w:tcW w:w="909" w:type="dxa"/>
            <w:tcBorders>
              <w:bottom w:val="single" w:sz="8" w:space="0" w:color="666666"/>
            </w:tcBorders>
            <w:shd w:val="clear" w:color="auto" w:fill="FFFFFF"/>
            <w:tcMar>
              <w:top w:w="0" w:type="dxa"/>
              <w:left w:w="0" w:type="dxa"/>
              <w:bottom w:w="0" w:type="dxa"/>
              <w:right w:w="0" w:type="dxa"/>
            </w:tcMar>
          </w:tcPr>
          <w:p w14:paraId="5040C8FB" w14:textId="77777777" w:rsidR="00D52E9A" w:rsidRPr="00186B85" w:rsidRDefault="00D52E9A" w:rsidP="00350028">
            <w:pPr>
              <w:keepNext/>
              <w:spacing w:before="0" w:after="0" w:line="240" w:lineRule="auto"/>
              <w:ind w:left="100" w:right="100" w:firstLine="0"/>
              <w:jc w:val="center"/>
              <w:rPr>
                <w:sz w:val="20"/>
                <w:szCs w:val="20"/>
              </w:rPr>
            </w:pPr>
            <w:r w:rsidRPr="00186B85">
              <w:rPr>
                <w:rFonts w:eastAsia="Arial"/>
                <w:b/>
                <w:i/>
                <w:color w:val="000000"/>
                <w:sz w:val="20"/>
                <w:szCs w:val="20"/>
              </w:rPr>
              <w:t>SE</w:t>
            </w:r>
          </w:p>
        </w:tc>
        <w:tc>
          <w:tcPr>
            <w:tcW w:w="1095" w:type="dxa"/>
            <w:tcBorders>
              <w:bottom w:val="single" w:sz="8" w:space="0" w:color="666666"/>
            </w:tcBorders>
            <w:shd w:val="clear" w:color="auto" w:fill="FFFFFF"/>
            <w:tcMar>
              <w:top w:w="0" w:type="dxa"/>
              <w:left w:w="0" w:type="dxa"/>
              <w:bottom w:w="0" w:type="dxa"/>
              <w:right w:w="0" w:type="dxa"/>
            </w:tcMar>
          </w:tcPr>
          <w:p w14:paraId="606B1282" w14:textId="77777777" w:rsidR="00D52E9A" w:rsidRPr="00186B85" w:rsidRDefault="00D52E9A" w:rsidP="00350028">
            <w:pPr>
              <w:keepNext/>
              <w:spacing w:before="0" w:after="0" w:line="240" w:lineRule="auto"/>
              <w:ind w:left="100" w:right="100" w:firstLine="0"/>
              <w:jc w:val="center"/>
              <w:rPr>
                <w:sz w:val="20"/>
                <w:szCs w:val="20"/>
              </w:rPr>
            </w:pPr>
            <w:r w:rsidRPr="00186B85">
              <w:rPr>
                <w:rFonts w:eastAsia="Arial"/>
                <w:b/>
                <w:i/>
                <w:color w:val="000000"/>
                <w:sz w:val="20"/>
                <w:szCs w:val="20"/>
              </w:rPr>
              <w:t>p</w:t>
            </w:r>
          </w:p>
        </w:tc>
      </w:tr>
      <w:tr w:rsidR="001179F5" w:rsidRPr="00186B85" w14:paraId="34E88762" w14:textId="77777777" w:rsidTr="001179F5">
        <w:trPr>
          <w:gridAfter w:val="1"/>
          <w:wAfter w:w="8" w:type="dxa"/>
          <w:cantSplit/>
          <w:trHeight w:val="179"/>
        </w:trPr>
        <w:tc>
          <w:tcPr>
            <w:tcW w:w="2458" w:type="dxa"/>
            <w:shd w:val="clear" w:color="auto" w:fill="F6F6F6"/>
            <w:tcMar>
              <w:top w:w="0" w:type="dxa"/>
              <w:left w:w="0" w:type="dxa"/>
              <w:bottom w:w="0" w:type="dxa"/>
              <w:right w:w="0" w:type="dxa"/>
            </w:tcMar>
            <w:vAlign w:val="center"/>
          </w:tcPr>
          <w:p w14:paraId="736242D7"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(Intercept)</w:t>
            </w:r>
          </w:p>
        </w:tc>
        <w:tc>
          <w:tcPr>
            <w:tcW w:w="1092" w:type="dxa"/>
            <w:shd w:val="clear" w:color="auto" w:fill="F6F6F6"/>
            <w:tcMar>
              <w:top w:w="0" w:type="dxa"/>
              <w:left w:w="0" w:type="dxa"/>
              <w:bottom w:w="0" w:type="dxa"/>
              <w:right w:w="0" w:type="dxa"/>
            </w:tcMar>
            <w:vAlign w:val="center"/>
          </w:tcPr>
          <w:p w14:paraId="1BAB34DC"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1.778</w:t>
            </w:r>
          </w:p>
        </w:tc>
        <w:tc>
          <w:tcPr>
            <w:tcW w:w="727" w:type="dxa"/>
            <w:shd w:val="clear" w:color="auto" w:fill="F6F6F6"/>
            <w:tcMar>
              <w:top w:w="0" w:type="dxa"/>
              <w:left w:w="0" w:type="dxa"/>
              <w:bottom w:w="0" w:type="dxa"/>
              <w:right w:w="0" w:type="dxa"/>
            </w:tcMar>
            <w:vAlign w:val="center"/>
          </w:tcPr>
          <w:p w14:paraId="12178E0D"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2CB1500E"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0.093</w:t>
            </w:r>
          </w:p>
        </w:tc>
        <w:tc>
          <w:tcPr>
            <w:tcW w:w="911" w:type="dxa"/>
            <w:shd w:val="clear" w:color="auto" w:fill="F6F6F6"/>
            <w:tcMar>
              <w:top w:w="0" w:type="dxa"/>
              <w:left w:w="0" w:type="dxa"/>
              <w:bottom w:w="0" w:type="dxa"/>
              <w:right w:w="0" w:type="dxa"/>
            </w:tcMar>
            <w:vAlign w:val="center"/>
          </w:tcPr>
          <w:p w14:paraId="2958FFEE"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b/>
                <w:color w:val="000000"/>
                <w:sz w:val="20"/>
                <w:szCs w:val="20"/>
              </w:rPr>
              <w:t>&lt; 0.001</w:t>
            </w:r>
          </w:p>
        </w:tc>
        <w:tc>
          <w:tcPr>
            <w:tcW w:w="1092" w:type="dxa"/>
            <w:shd w:val="clear" w:color="auto" w:fill="F6F6F6"/>
            <w:tcMar>
              <w:top w:w="0" w:type="dxa"/>
              <w:left w:w="0" w:type="dxa"/>
              <w:bottom w:w="0" w:type="dxa"/>
              <w:right w:w="0" w:type="dxa"/>
            </w:tcMar>
            <w:vAlign w:val="center"/>
          </w:tcPr>
          <w:p w14:paraId="565F14F1"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-0.643</w:t>
            </w:r>
          </w:p>
        </w:tc>
        <w:tc>
          <w:tcPr>
            <w:tcW w:w="818" w:type="dxa"/>
            <w:shd w:val="clear" w:color="auto" w:fill="F6F6F6"/>
            <w:tcMar>
              <w:top w:w="0" w:type="dxa"/>
              <w:left w:w="0" w:type="dxa"/>
              <w:bottom w:w="0" w:type="dxa"/>
              <w:right w:w="0" w:type="dxa"/>
            </w:tcMar>
            <w:vAlign w:val="center"/>
          </w:tcPr>
          <w:p w14:paraId="18B34655"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6F6F6"/>
            <w:tcMar>
              <w:top w:w="0" w:type="dxa"/>
              <w:left w:w="0" w:type="dxa"/>
              <w:bottom w:w="0" w:type="dxa"/>
              <w:right w:w="0" w:type="dxa"/>
            </w:tcMar>
            <w:vAlign w:val="center"/>
          </w:tcPr>
          <w:p w14:paraId="309DEA1F"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0.556</w:t>
            </w:r>
          </w:p>
        </w:tc>
        <w:tc>
          <w:tcPr>
            <w:tcW w:w="911" w:type="dxa"/>
            <w:shd w:val="clear" w:color="auto" w:fill="F6F6F6"/>
            <w:tcMar>
              <w:top w:w="0" w:type="dxa"/>
              <w:left w:w="0" w:type="dxa"/>
              <w:bottom w:w="0" w:type="dxa"/>
              <w:right w:w="0" w:type="dxa"/>
            </w:tcMar>
            <w:vAlign w:val="center"/>
          </w:tcPr>
          <w:p w14:paraId="352B666D"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0.251</w:t>
            </w:r>
          </w:p>
        </w:tc>
        <w:tc>
          <w:tcPr>
            <w:tcW w:w="1183" w:type="dxa"/>
            <w:shd w:val="clear" w:color="auto" w:fill="F6F6F6"/>
            <w:tcMar>
              <w:top w:w="0" w:type="dxa"/>
              <w:left w:w="0" w:type="dxa"/>
              <w:bottom w:w="0" w:type="dxa"/>
              <w:right w:w="0" w:type="dxa"/>
            </w:tcMar>
            <w:vAlign w:val="center"/>
          </w:tcPr>
          <w:p w14:paraId="5D054228"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-0.259</w:t>
            </w:r>
          </w:p>
        </w:tc>
        <w:tc>
          <w:tcPr>
            <w:tcW w:w="909" w:type="dxa"/>
            <w:shd w:val="clear" w:color="auto" w:fill="F6F6F6"/>
            <w:tcMar>
              <w:top w:w="0" w:type="dxa"/>
              <w:left w:w="0" w:type="dxa"/>
              <w:bottom w:w="0" w:type="dxa"/>
              <w:right w:w="0" w:type="dxa"/>
            </w:tcMar>
            <w:vAlign w:val="center"/>
          </w:tcPr>
          <w:p w14:paraId="2DC7DB37"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6F6F6"/>
            <w:tcMar>
              <w:top w:w="0" w:type="dxa"/>
              <w:left w:w="0" w:type="dxa"/>
              <w:bottom w:w="0" w:type="dxa"/>
              <w:right w:w="0" w:type="dxa"/>
            </w:tcMar>
            <w:vAlign w:val="center"/>
          </w:tcPr>
          <w:p w14:paraId="673188EC"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0.672</w:t>
            </w:r>
          </w:p>
        </w:tc>
        <w:tc>
          <w:tcPr>
            <w:tcW w:w="1095" w:type="dxa"/>
            <w:shd w:val="clear" w:color="auto" w:fill="F6F6F6"/>
            <w:tcMar>
              <w:top w:w="0" w:type="dxa"/>
              <w:left w:w="0" w:type="dxa"/>
              <w:bottom w:w="0" w:type="dxa"/>
              <w:right w:w="0" w:type="dxa"/>
            </w:tcMar>
            <w:vAlign w:val="center"/>
          </w:tcPr>
          <w:p w14:paraId="725EAB8F"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0.7</w:t>
            </w:r>
          </w:p>
        </w:tc>
      </w:tr>
      <w:tr w:rsidR="001179F5" w:rsidRPr="00186B85" w14:paraId="5CA7C696" w14:textId="77777777" w:rsidTr="001179F5">
        <w:trPr>
          <w:gridAfter w:val="1"/>
          <w:wAfter w:w="8" w:type="dxa"/>
          <w:cantSplit/>
          <w:trHeight w:val="195"/>
        </w:trPr>
        <w:tc>
          <w:tcPr>
            <w:tcW w:w="2458" w:type="dxa"/>
            <w:shd w:val="clear" w:color="auto" w:fill="FFFFFF"/>
            <w:tcMar>
              <w:top w:w="0" w:type="dxa"/>
              <w:left w:w="0" w:type="dxa"/>
              <w:bottom w:w="0" w:type="dxa"/>
              <w:right w:w="0" w:type="dxa"/>
            </w:tcMar>
            <w:vAlign w:val="center"/>
          </w:tcPr>
          <w:p w14:paraId="579E8CF2"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Time</w:t>
            </w:r>
          </w:p>
        </w:tc>
        <w:tc>
          <w:tcPr>
            <w:tcW w:w="1092" w:type="dxa"/>
            <w:shd w:val="clear" w:color="auto" w:fill="FFFFFF"/>
            <w:tcMar>
              <w:top w:w="0" w:type="dxa"/>
              <w:left w:w="0" w:type="dxa"/>
              <w:bottom w:w="0" w:type="dxa"/>
              <w:right w:w="0" w:type="dxa"/>
            </w:tcMar>
            <w:vAlign w:val="center"/>
          </w:tcPr>
          <w:p w14:paraId="789211A7"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-0.030</w:t>
            </w:r>
          </w:p>
        </w:tc>
        <w:tc>
          <w:tcPr>
            <w:tcW w:w="727" w:type="dxa"/>
            <w:shd w:val="clear" w:color="auto" w:fill="FFFFFF"/>
            <w:tcMar>
              <w:top w:w="0" w:type="dxa"/>
              <w:left w:w="0" w:type="dxa"/>
              <w:bottom w:w="0" w:type="dxa"/>
              <w:right w:w="0" w:type="dxa"/>
            </w:tcMar>
            <w:vAlign w:val="center"/>
          </w:tcPr>
          <w:p w14:paraId="16BC2988"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-2.99</w:t>
            </w:r>
          </w:p>
        </w:tc>
        <w:tc>
          <w:tcPr>
            <w:tcW w:w="818" w:type="dxa"/>
            <w:shd w:val="clear" w:color="auto" w:fill="FFFFFF"/>
            <w:tcMar>
              <w:top w:w="0" w:type="dxa"/>
              <w:left w:w="0" w:type="dxa"/>
              <w:bottom w:w="0" w:type="dxa"/>
              <w:right w:w="0" w:type="dxa"/>
            </w:tcMar>
            <w:vAlign w:val="center"/>
          </w:tcPr>
          <w:p w14:paraId="4B92159B"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0.007</w:t>
            </w:r>
          </w:p>
        </w:tc>
        <w:tc>
          <w:tcPr>
            <w:tcW w:w="911" w:type="dxa"/>
            <w:shd w:val="clear" w:color="auto" w:fill="FFFFFF"/>
            <w:tcMar>
              <w:top w:w="0" w:type="dxa"/>
              <w:left w:w="0" w:type="dxa"/>
              <w:bottom w:w="0" w:type="dxa"/>
              <w:right w:w="0" w:type="dxa"/>
            </w:tcMar>
            <w:vAlign w:val="center"/>
          </w:tcPr>
          <w:p w14:paraId="3E53B4EC"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b/>
                <w:color w:val="000000"/>
                <w:sz w:val="20"/>
                <w:szCs w:val="20"/>
              </w:rPr>
              <w:t>&lt; 0.001</w:t>
            </w:r>
          </w:p>
        </w:tc>
        <w:tc>
          <w:tcPr>
            <w:tcW w:w="1092" w:type="dxa"/>
            <w:shd w:val="clear" w:color="auto" w:fill="FFFFFF"/>
            <w:tcMar>
              <w:top w:w="0" w:type="dxa"/>
              <w:left w:w="0" w:type="dxa"/>
              <w:bottom w:w="0" w:type="dxa"/>
              <w:right w:w="0" w:type="dxa"/>
            </w:tcMar>
            <w:vAlign w:val="center"/>
          </w:tcPr>
          <w:p w14:paraId="2C50A4DE"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-0.032</w:t>
            </w:r>
          </w:p>
        </w:tc>
        <w:tc>
          <w:tcPr>
            <w:tcW w:w="818" w:type="dxa"/>
            <w:shd w:val="clear" w:color="auto" w:fill="FFFFFF"/>
            <w:tcMar>
              <w:top w:w="0" w:type="dxa"/>
              <w:left w:w="0" w:type="dxa"/>
              <w:bottom w:w="0" w:type="dxa"/>
              <w:right w:w="0" w:type="dxa"/>
            </w:tcMar>
            <w:vAlign w:val="center"/>
          </w:tcPr>
          <w:p w14:paraId="2CD1980A"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-3.158</w:t>
            </w:r>
          </w:p>
        </w:tc>
        <w:tc>
          <w:tcPr>
            <w:tcW w:w="909" w:type="dxa"/>
            <w:shd w:val="clear" w:color="auto" w:fill="FFFFFF"/>
            <w:tcMar>
              <w:top w:w="0" w:type="dxa"/>
              <w:left w:w="0" w:type="dxa"/>
              <w:bottom w:w="0" w:type="dxa"/>
              <w:right w:w="0" w:type="dxa"/>
            </w:tcMar>
            <w:vAlign w:val="center"/>
          </w:tcPr>
          <w:p w14:paraId="7FC284BB"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0.007</w:t>
            </w:r>
          </w:p>
        </w:tc>
        <w:tc>
          <w:tcPr>
            <w:tcW w:w="911" w:type="dxa"/>
            <w:shd w:val="clear" w:color="auto" w:fill="FFFFFF"/>
            <w:tcMar>
              <w:top w:w="0" w:type="dxa"/>
              <w:left w:w="0" w:type="dxa"/>
              <w:bottom w:w="0" w:type="dxa"/>
              <w:right w:w="0" w:type="dxa"/>
            </w:tcMar>
            <w:vAlign w:val="center"/>
          </w:tcPr>
          <w:p w14:paraId="646AF69D"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b/>
                <w:color w:val="000000"/>
                <w:sz w:val="20"/>
                <w:szCs w:val="20"/>
              </w:rPr>
              <w:t>&lt; 0.001</w:t>
            </w:r>
          </w:p>
        </w:tc>
        <w:tc>
          <w:tcPr>
            <w:tcW w:w="1183" w:type="dxa"/>
            <w:shd w:val="clear" w:color="auto" w:fill="FFFFFF"/>
            <w:tcMar>
              <w:top w:w="0" w:type="dxa"/>
              <w:left w:w="0" w:type="dxa"/>
              <w:bottom w:w="0" w:type="dxa"/>
              <w:right w:w="0" w:type="dxa"/>
            </w:tcMar>
            <w:vAlign w:val="center"/>
          </w:tcPr>
          <w:p w14:paraId="7683C876"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-0.036</w:t>
            </w:r>
          </w:p>
        </w:tc>
        <w:tc>
          <w:tcPr>
            <w:tcW w:w="909" w:type="dxa"/>
            <w:shd w:val="clear" w:color="auto" w:fill="FFFFFF"/>
            <w:tcMar>
              <w:top w:w="0" w:type="dxa"/>
              <w:left w:w="0" w:type="dxa"/>
              <w:bottom w:w="0" w:type="dxa"/>
              <w:right w:w="0" w:type="dxa"/>
            </w:tcMar>
            <w:vAlign w:val="center"/>
          </w:tcPr>
          <w:p w14:paraId="38AE587E"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-3.552</w:t>
            </w:r>
          </w:p>
        </w:tc>
        <w:tc>
          <w:tcPr>
            <w:tcW w:w="909" w:type="dxa"/>
            <w:shd w:val="clear" w:color="auto" w:fill="FFFFFF"/>
            <w:tcMar>
              <w:top w:w="0" w:type="dxa"/>
              <w:left w:w="0" w:type="dxa"/>
              <w:bottom w:w="0" w:type="dxa"/>
              <w:right w:w="0" w:type="dxa"/>
            </w:tcMar>
            <w:vAlign w:val="center"/>
          </w:tcPr>
          <w:p w14:paraId="1385BCE8"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0.008</w:t>
            </w:r>
          </w:p>
        </w:tc>
        <w:tc>
          <w:tcPr>
            <w:tcW w:w="1095" w:type="dxa"/>
            <w:shd w:val="clear" w:color="auto" w:fill="FFFFFF"/>
            <w:tcMar>
              <w:top w:w="0" w:type="dxa"/>
              <w:left w:w="0" w:type="dxa"/>
              <w:bottom w:w="0" w:type="dxa"/>
              <w:right w:w="0" w:type="dxa"/>
            </w:tcMar>
            <w:vAlign w:val="center"/>
          </w:tcPr>
          <w:p w14:paraId="0CACCFAD"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b/>
                <w:color w:val="000000"/>
                <w:sz w:val="20"/>
                <w:szCs w:val="20"/>
              </w:rPr>
              <w:t>&lt; 0.001</w:t>
            </w:r>
          </w:p>
        </w:tc>
      </w:tr>
      <w:tr w:rsidR="001179F5" w:rsidRPr="00186B85" w14:paraId="473D284D" w14:textId="77777777" w:rsidTr="001179F5">
        <w:trPr>
          <w:gridAfter w:val="1"/>
          <w:wAfter w:w="8" w:type="dxa"/>
          <w:cantSplit/>
          <w:trHeight w:val="285"/>
        </w:trPr>
        <w:tc>
          <w:tcPr>
            <w:tcW w:w="2458" w:type="dxa"/>
            <w:shd w:val="clear" w:color="auto" w:fill="F6F6F6"/>
            <w:tcMar>
              <w:top w:w="0" w:type="dxa"/>
              <w:left w:w="0" w:type="dxa"/>
              <w:bottom w:w="0" w:type="dxa"/>
              <w:right w:w="0" w:type="dxa"/>
            </w:tcMar>
            <w:vAlign w:val="center"/>
          </w:tcPr>
          <w:p w14:paraId="2B7A3ED0"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Scientific Literacy (within)</w:t>
            </w:r>
          </w:p>
        </w:tc>
        <w:tc>
          <w:tcPr>
            <w:tcW w:w="1092" w:type="dxa"/>
            <w:shd w:val="clear" w:color="auto" w:fill="F6F6F6"/>
            <w:tcMar>
              <w:top w:w="0" w:type="dxa"/>
              <w:left w:w="0" w:type="dxa"/>
              <w:bottom w:w="0" w:type="dxa"/>
              <w:right w:w="0" w:type="dxa"/>
            </w:tcMar>
            <w:vAlign w:val="center"/>
          </w:tcPr>
          <w:p w14:paraId="0BC86EA2" w14:textId="77777777" w:rsidR="00D52E9A" w:rsidRPr="00186B85" w:rsidRDefault="00D52E9A" w:rsidP="00350028">
            <w:pPr>
              <w:keepNext/>
              <w:spacing w:before="0" w:after="0" w:line="240" w:lineRule="auto"/>
              <w:ind w:left="100" w:right="100" w:firstLine="0"/>
              <w:jc w:val="right"/>
              <w:rPr>
                <w:sz w:val="20"/>
                <w:szCs w:val="20"/>
              </w:rPr>
            </w:pPr>
          </w:p>
        </w:tc>
        <w:tc>
          <w:tcPr>
            <w:tcW w:w="727" w:type="dxa"/>
            <w:shd w:val="clear" w:color="auto" w:fill="F6F6F6"/>
            <w:tcMar>
              <w:top w:w="0" w:type="dxa"/>
              <w:left w:w="0" w:type="dxa"/>
              <w:bottom w:w="0" w:type="dxa"/>
              <w:right w:w="0" w:type="dxa"/>
            </w:tcMar>
            <w:vAlign w:val="center"/>
          </w:tcPr>
          <w:p w14:paraId="2348F1C1"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406F35BB"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056D1EC1" w14:textId="77777777" w:rsidR="00D52E9A" w:rsidRPr="00186B85" w:rsidRDefault="00D52E9A" w:rsidP="00350028">
            <w:pPr>
              <w:keepNext/>
              <w:spacing w:before="0" w:after="0" w:line="240" w:lineRule="auto"/>
              <w:ind w:left="100" w:right="100" w:firstLine="0"/>
              <w:jc w:val="right"/>
              <w:rPr>
                <w:sz w:val="20"/>
                <w:szCs w:val="20"/>
              </w:rPr>
            </w:pPr>
          </w:p>
        </w:tc>
        <w:tc>
          <w:tcPr>
            <w:tcW w:w="1092" w:type="dxa"/>
            <w:shd w:val="clear" w:color="auto" w:fill="F6F6F6"/>
            <w:tcMar>
              <w:top w:w="0" w:type="dxa"/>
              <w:left w:w="0" w:type="dxa"/>
              <w:bottom w:w="0" w:type="dxa"/>
              <w:right w:w="0" w:type="dxa"/>
            </w:tcMar>
            <w:vAlign w:val="center"/>
          </w:tcPr>
          <w:p w14:paraId="46418118"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0.000</w:t>
            </w:r>
          </w:p>
        </w:tc>
        <w:tc>
          <w:tcPr>
            <w:tcW w:w="818" w:type="dxa"/>
            <w:shd w:val="clear" w:color="auto" w:fill="F6F6F6"/>
            <w:tcMar>
              <w:top w:w="0" w:type="dxa"/>
              <w:left w:w="0" w:type="dxa"/>
              <w:bottom w:w="0" w:type="dxa"/>
              <w:right w:w="0" w:type="dxa"/>
            </w:tcMar>
            <w:vAlign w:val="center"/>
          </w:tcPr>
          <w:p w14:paraId="5A024B49"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0.029</w:t>
            </w:r>
          </w:p>
        </w:tc>
        <w:tc>
          <w:tcPr>
            <w:tcW w:w="909" w:type="dxa"/>
            <w:shd w:val="clear" w:color="auto" w:fill="F6F6F6"/>
            <w:tcMar>
              <w:top w:w="0" w:type="dxa"/>
              <w:left w:w="0" w:type="dxa"/>
              <w:bottom w:w="0" w:type="dxa"/>
              <w:right w:w="0" w:type="dxa"/>
            </w:tcMar>
            <w:vAlign w:val="center"/>
          </w:tcPr>
          <w:p w14:paraId="250F19FF"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0.001</w:t>
            </w:r>
          </w:p>
        </w:tc>
        <w:tc>
          <w:tcPr>
            <w:tcW w:w="911" w:type="dxa"/>
            <w:shd w:val="clear" w:color="auto" w:fill="F6F6F6"/>
            <w:tcMar>
              <w:top w:w="0" w:type="dxa"/>
              <w:left w:w="0" w:type="dxa"/>
              <w:bottom w:w="0" w:type="dxa"/>
              <w:right w:w="0" w:type="dxa"/>
            </w:tcMar>
            <w:vAlign w:val="center"/>
          </w:tcPr>
          <w:p w14:paraId="4F650362"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0.567</w:t>
            </w:r>
          </w:p>
        </w:tc>
        <w:tc>
          <w:tcPr>
            <w:tcW w:w="1183" w:type="dxa"/>
            <w:shd w:val="clear" w:color="auto" w:fill="F6F6F6"/>
            <w:tcMar>
              <w:top w:w="0" w:type="dxa"/>
              <w:left w:w="0" w:type="dxa"/>
              <w:bottom w:w="0" w:type="dxa"/>
              <w:right w:w="0" w:type="dxa"/>
            </w:tcMar>
            <w:vAlign w:val="center"/>
          </w:tcPr>
          <w:p w14:paraId="713FA5D5"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0.001</w:t>
            </w:r>
          </w:p>
        </w:tc>
        <w:tc>
          <w:tcPr>
            <w:tcW w:w="909" w:type="dxa"/>
            <w:shd w:val="clear" w:color="auto" w:fill="F6F6F6"/>
            <w:tcMar>
              <w:top w:w="0" w:type="dxa"/>
              <w:left w:w="0" w:type="dxa"/>
              <w:bottom w:w="0" w:type="dxa"/>
              <w:right w:w="0" w:type="dxa"/>
            </w:tcMar>
            <w:vAlign w:val="center"/>
          </w:tcPr>
          <w:p w14:paraId="31C9D76A"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0.054</w:t>
            </w:r>
          </w:p>
        </w:tc>
        <w:tc>
          <w:tcPr>
            <w:tcW w:w="909" w:type="dxa"/>
            <w:shd w:val="clear" w:color="auto" w:fill="F6F6F6"/>
            <w:tcMar>
              <w:top w:w="0" w:type="dxa"/>
              <w:left w:w="0" w:type="dxa"/>
              <w:bottom w:w="0" w:type="dxa"/>
              <w:right w:w="0" w:type="dxa"/>
            </w:tcMar>
            <w:vAlign w:val="center"/>
          </w:tcPr>
          <w:p w14:paraId="2759BAE0"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0.001</w:t>
            </w:r>
          </w:p>
        </w:tc>
        <w:tc>
          <w:tcPr>
            <w:tcW w:w="1095" w:type="dxa"/>
            <w:shd w:val="clear" w:color="auto" w:fill="F6F6F6"/>
            <w:tcMar>
              <w:top w:w="0" w:type="dxa"/>
              <w:left w:w="0" w:type="dxa"/>
              <w:bottom w:w="0" w:type="dxa"/>
              <w:right w:w="0" w:type="dxa"/>
            </w:tcMar>
            <w:vAlign w:val="center"/>
          </w:tcPr>
          <w:p w14:paraId="3862F426"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0.384</w:t>
            </w:r>
          </w:p>
        </w:tc>
      </w:tr>
      <w:tr w:rsidR="001179F5" w:rsidRPr="00186B85" w14:paraId="1A54AC01" w14:textId="77777777" w:rsidTr="001179F5">
        <w:trPr>
          <w:gridAfter w:val="1"/>
          <w:wAfter w:w="8" w:type="dxa"/>
          <w:cantSplit/>
          <w:trHeight w:val="165"/>
        </w:trPr>
        <w:tc>
          <w:tcPr>
            <w:tcW w:w="2458" w:type="dxa"/>
            <w:shd w:val="clear" w:color="auto" w:fill="FFFFFF"/>
            <w:tcMar>
              <w:top w:w="0" w:type="dxa"/>
              <w:left w:w="0" w:type="dxa"/>
              <w:bottom w:w="0" w:type="dxa"/>
              <w:right w:w="0" w:type="dxa"/>
            </w:tcMar>
            <w:vAlign w:val="center"/>
          </w:tcPr>
          <w:p w14:paraId="103FEB4A"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Scientific Literacy (between)</w:t>
            </w:r>
          </w:p>
        </w:tc>
        <w:tc>
          <w:tcPr>
            <w:tcW w:w="1092" w:type="dxa"/>
            <w:shd w:val="clear" w:color="auto" w:fill="FFFFFF"/>
            <w:tcMar>
              <w:top w:w="0" w:type="dxa"/>
              <w:left w:w="0" w:type="dxa"/>
              <w:bottom w:w="0" w:type="dxa"/>
              <w:right w:w="0" w:type="dxa"/>
            </w:tcMar>
            <w:vAlign w:val="center"/>
          </w:tcPr>
          <w:p w14:paraId="7F323D23" w14:textId="77777777" w:rsidR="00D52E9A" w:rsidRPr="00186B85" w:rsidRDefault="00D52E9A" w:rsidP="00350028">
            <w:pPr>
              <w:keepNext/>
              <w:spacing w:before="0" w:after="0" w:line="240" w:lineRule="auto"/>
              <w:ind w:left="100" w:right="100" w:firstLine="0"/>
              <w:jc w:val="right"/>
              <w:rPr>
                <w:sz w:val="20"/>
                <w:szCs w:val="20"/>
              </w:rPr>
            </w:pPr>
          </w:p>
        </w:tc>
        <w:tc>
          <w:tcPr>
            <w:tcW w:w="727" w:type="dxa"/>
            <w:shd w:val="clear" w:color="auto" w:fill="FFFFFF"/>
            <w:tcMar>
              <w:top w:w="0" w:type="dxa"/>
              <w:left w:w="0" w:type="dxa"/>
              <w:bottom w:w="0" w:type="dxa"/>
              <w:right w:w="0" w:type="dxa"/>
            </w:tcMar>
            <w:vAlign w:val="center"/>
          </w:tcPr>
          <w:p w14:paraId="45605DF4"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FFFFF"/>
            <w:tcMar>
              <w:top w:w="0" w:type="dxa"/>
              <w:left w:w="0" w:type="dxa"/>
              <w:bottom w:w="0" w:type="dxa"/>
              <w:right w:w="0" w:type="dxa"/>
            </w:tcMar>
            <w:vAlign w:val="center"/>
          </w:tcPr>
          <w:p w14:paraId="1D012565"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50045FAB" w14:textId="77777777" w:rsidR="00D52E9A" w:rsidRPr="00186B85" w:rsidRDefault="00D52E9A" w:rsidP="00350028">
            <w:pPr>
              <w:keepNext/>
              <w:spacing w:before="0" w:after="0" w:line="240" w:lineRule="auto"/>
              <w:ind w:left="100" w:right="100" w:firstLine="0"/>
              <w:jc w:val="right"/>
              <w:rPr>
                <w:sz w:val="20"/>
                <w:szCs w:val="20"/>
              </w:rPr>
            </w:pPr>
          </w:p>
        </w:tc>
        <w:tc>
          <w:tcPr>
            <w:tcW w:w="1092" w:type="dxa"/>
            <w:shd w:val="clear" w:color="auto" w:fill="FFFFFF"/>
            <w:tcMar>
              <w:top w:w="0" w:type="dxa"/>
              <w:left w:w="0" w:type="dxa"/>
              <w:bottom w:w="0" w:type="dxa"/>
              <w:right w:w="0" w:type="dxa"/>
            </w:tcMar>
            <w:vAlign w:val="center"/>
          </w:tcPr>
          <w:p w14:paraId="52D70401"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0.005</w:t>
            </w:r>
          </w:p>
        </w:tc>
        <w:tc>
          <w:tcPr>
            <w:tcW w:w="818" w:type="dxa"/>
            <w:shd w:val="clear" w:color="auto" w:fill="FFFFFF"/>
            <w:tcMar>
              <w:top w:w="0" w:type="dxa"/>
              <w:left w:w="0" w:type="dxa"/>
              <w:bottom w:w="0" w:type="dxa"/>
              <w:right w:w="0" w:type="dxa"/>
            </w:tcMar>
            <w:vAlign w:val="center"/>
          </w:tcPr>
          <w:p w14:paraId="1DC16EE3"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0.531</w:t>
            </w:r>
          </w:p>
        </w:tc>
        <w:tc>
          <w:tcPr>
            <w:tcW w:w="909" w:type="dxa"/>
            <w:shd w:val="clear" w:color="auto" w:fill="FFFFFF"/>
            <w:tcMar>
              <w:top w:w="0" w:type="dxa"/>
              <w:left w:w="0" w:type="dxa"/>
              <w:bottom w:w="0" w:type="dxa"/>
              <w:right w:w="0" w:type="dxa"/>
            </w:tcMar>
            <w:vAlign w:val="center"/>
          </w:tcPr>
          <w:p w14:paraId="20C7A9BF"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0.001</w:t>
            </w:r>
          </w:p>
        </w:tc>
        <w:tc>
          <w:tcPr>
            <w:tcW w:w="911" w:type="dxa"/>
            <w:shd w:val="clear" w:color="auto" w:fill="FFFFFF"/>
            <w:tcMar>
              <w:top w:w="0" w:type="dxa"/>
              <w:left w:w="0" w:type="dxa"/>
              <w:bottom w:w="0" w:type="dxa"/>
              <w:right w:w="0" w:type="dxa"/>
            </w:tcMar>
            <w:vAlign w:val="center"/>
          </w:tcPr>
          <w:p w14:paraId="26C7CF77"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b/>
                <w:color w:val="000000"/>
                <w:sz w:val="20"/>
                <w:szCs w:val="20"/>
              </w:rPr>
              <w:t>&lt; 0.001</w:t>
            </w:r>
          </w:p>
        </w:tc>
        <w:tc>
          <w:tcPr>
            <w:tcW w:w="1183" w:type="dxa"/>
            <w:shd w:val="clear" w:color="auto" w:fill="FFFFFF"/>
            <w:tcMar>
              <w:top w:w="0" w:type="dxa"/>
              <w:left w:w="0" w:type="dxa"/>
              <w:bottom w:w="0" w:type="dxa"/>
              <w:right w:w="0" w:type="dxa"/>
            </w:tcMar>
            <w:vAlign w:val="center"/>
          </w:tcPr>
          <w:p w14:paraId="5A6EE238"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0.004</w:t>
            </w:r>
          </w:p>
        </w:tc>
        <w:tc>
          <w:tcPr>
            <w:tcW w:w="909" w:type="dxa"/>
            <w:shd w:val="clear" w:color="auto" w:fill="FFFFFF"/>
            <w:tcMar>
              <w:top w:w="0" w:type="dxa"/>
              <w:left w:w="0" w:type="dxa"/>
              <w:bottom w:w="0" w:type="dxa"/>
              <w:right w:w="0" w:type="dxa"/>
            </w:tcMar>
            <w:vAlign w:val="center"/>
          </w:tcPr>
          <w:p w14:paraId="6AE95DF3"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0.447</w:t>
            </w:r>
          </w:p>
        </w:tc>
        <w:tc>
          <w:tcPr>
            <w:tcW w:w="909" w:type="dxa"/>
            <w:shd w:val="clear" w:color="auto" w:fill="FFFFFF"/>
            <w:tcMar>
              <w:top w:w="0" w:type="dxa"/>
              <w:left w:w="0" w:type="dxa"/>
              <w:bottom w:w="0" w:type="dxa"/>
              <w:right w:w="0" w:type="dxa"/>
            </w:tcMar>
            <w:vAlign w:val="center"/>
          </w:tcPr>
          <w:p w14:paraId="15C62ACA"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0.001</w:t>
            </w:r>
          </w:p>
        </w:tc>
        <w:tc>
          <w:tcPr>
            <w:tcW w:w="1095" w:type="dxa"/>
            <w:shd w:val="clear" w:color="auto" w:fill="FFFFFF"/>
            <w:tcMar>
              <w:top w:w="0" w:type="dxa"/>
              <w:left w:w="0" w:type="dxa"/>
              <w:bottom w:w="0" w:type="dxa"/>
              <w:right w:w="0" w:type="dxa"/>
            </w:tcMar>
            <w:vAlign w:val="center"/>
          </w:tcPr>
          <w:p w14:paraId="6E64566E"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b/>
                <w:color w:val="000000"/>
                <w:sz w:val="20"/>
                <w:szCs w:val="20"/>
              </w:rPr>
              <w:t>0.002</w:t>
            </w:r>
          </w:p>
        </w:tc>
      </w:tr>
      <w:tr w:rsidR="001179F5" w:rsidRPr="00186B85" w14:paraId="027FB2FC" w14:textId="77777777" w:rsidTr="001179F5">
        <w:trPr>
          <w:gridAfter w:val="1"/>
          <w:wAfter w:w="8" w:type="dxa"/>
          <w:cantSplit/>
          <w:trHeight w:val="195"/>
        </w:trPr>
        <w:tc>
          <w:tcPr>
            <w:tcW w:w="2458" w:type="dxa"/>
            <w:shd w:val="clear" w:color="auto" w:fill="F6F6F6"/>
            <w:tcMar>
              <w:top w:w="0" w:type="dxa"/>
              <w:left w:w="0" w:type="dxa"/>
              <w:bottom w:w="0" w:type="dxa"/>
              <w:right w:w="0" w:type="dxa"/>
            </w:tcMar>
            <w:vAlign w:val="center"/>
          </w:tcPr>
          <w:p w14:paraId="3D576786"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Population</w:t>
            </w:r>
          </w:p>
        </w:tc>
        <w:tc>
          <w:tcPr>
            <w:tcW w:w="1092" w:type="dxa"/>
            <w:shd w:val="clear" w:color="auto" w:fill="F6F6F6"/>
            <w:tcMar>
              <w:top w:w="0" w:type="dxa"/>
              <w:left w:w="0" w:type="dxa"/>
              <w:bottom w:w="0" w:type="dxa"/>
              <w:right w:w="0" w:type="dxa"/>
            </w:tcMar>
            <w:vAlign w:val="center"/>
          </w:tcPr>
          <w:p w14:paraId="5D2B4C41" w14:textId="77777777" w:rsidR="00D52E9A" w:rsidRPr="00186B85" w:rsidRDefault="00D52E9A" w:rsidP="00350028">
            <w:pPr>
              <w:keepNext/>
              <w:spacing w:before="0" w:after="0" w:line="240" w:lineRule="auto"/>
              <w:ind w:left="100" w:right="100" w:firstLine="0"/>
              <w:jc w:val="right"/>
              <w:rPr>
                <w:sz w:val="20"/>
                <w:szCs w:val="20"/>
              </w:rPr>
            </w:pPr>
          </w:p>
        </w:tc>
        <w:tc>
          <w:tcPr>
            <w:tcW w:w="727" w:type="dxa"/>
            <w:shd w:val="clear" w:color="auto" w:fill="F6F6F6"/>
            <w:tcMar>
              <w:top w:w="0" w:type="dxa"/>
              <w:left w:w="0" w:type="dxa"/>
              <w:bottom w:w="0" w:type="dxa"/>
              <w:right w:w="0" w:type="dxa"/>
            </w:tcMar>
            <w:vAlign w:val="center"/>
          </w:tcPr>
          <w:p w14:paraId="61194BE1"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2280D0A8"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42D16F4F" w14:textId="77777777" w:rsidR="00D52E9A" w:rsidRPr="00186B85" w:rsidRDefault="00D52E9A" w:rsidP="00350028">
            <w:pPr>
              <w:keepNext/>
              <w:spacing w:before="0" w:after="0" w:line="240" w:lineRule="auto"/>
              <w:ind w:left="100" w:right="100" w:firstLine="0"/>
              <w:jc w:val="right"/>
              <w:rPr>
                <w:sz w:val="20"/>
                <w:szCs w:val="20"/>
              </w:rPr>
            </w:pPr>
          </w:p>
        </w:tc>
        <w:tc>
          <w:tcPr>
            <w:tcW w:w="1092" w:type="dxa"/>
            <w:shd w:val="clear" w:color="auto" w:fill="F6F6F6"/>
            <w:tcMar>
              <w:top w:w="0" w:type="dxa"/>
              <w:left w:w="0" w:type="dxa"/>
              <w:bottom w:w="0" w:type="dxa"/>
              <w:right w:w="0" w:type="dxa"/>
            </w:tcMar>
            <w:vAlign w:val="center"/>
          </w:tcPr>
          <w:p w14:paraId="77A7FEF7"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02ED3EB3"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6F6F6"/>
            <w:tcMar>
              <w:top w:w="0" w:type="dxa"/>
              <w:left w:w="0" w:type="dxa"/>
              <w:bottom w:w="0" w:type="dxa"/>
              <w:right w:w="0" w:type="dxa"/>
            </w:tcMar>
            <w:vAlign w:val="center"/>
          </w:tcPr>
          <w:p w14:paraId="628AFAF8"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08CAE0CE" w14:textId="77777777" w:rsidR="00D52E9A" w:rsidRPr="00186B85" w:rsidRDefault="00D52E9A" w:rsidP="00350028">
            <w:pPr>
              <w:keepNext/>
              <w:spacing w:before="0" w:after="0" w:line="240" w:lineRule="auto"/>
              <w:ind w:left="100" w:right="100" w:firstLine="0"/>
              <w:jc w:val="right"/>
              <w:rPr>
                <w:sz w:val="20"/>
                <w:szCs w:val="20"/>
              </w:rPr>
            </w:pPr>
          </w:p>
        </w:tc>
        <w:tc>
          <w:tcPr>
            <w:tcW w:w="1183" w:type="dxa"/>
            <w:shd w:val="clear" w:color="auto" w:fill="F6F6F6"/>
            <w:tcMar>
              <w:top w:w="0" w:type="dxa"/>
              <w:left w:w="0" w:type="dxa"/>
              <w:bottom w:w="0" w:type="dxa"/>
              <w:right w:w="0" w:type="dxa"/>
            </w:tcMar>
            <w:vAlign w:val="center"/>
          </w:tcPr>
          <w:p w14:paraId="6A1EE7BF"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0.002</w:t>
            </w:r>
          </w:p>
        </w:tc>
        <w:tc>
          <w:tcPr>
            <w:tcW w:w="909" w:type="dxa"/>
            <w:shd w:val="clear" w:color="auto" w:fill="F6F6F6"/>
            <w:tcMar>
              <w:top w:w="0" w:type="dxa"/>
              <w:left w:w="0" w:type="dxa"/>
              <w:bottom w:w="0" w:type="dxa"/>
              <w:right w:w="0" w:type="dxa"/>
            </w:tcMar>
            <w:vAlign w:val="center"/>
          </w:tcPr>
          <w:p w14:paraId="3EAD6AF8"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0.191</w:t>
            </w:r>
          </w:p>
        </w:tc>
        <w:tc>
          <w:tcPr>
            <w:tcW w:w="909" w:type="dxa"/>
            <w:shd w:val="clear" w:color="auto" w:fill="F6F6F6"/>
            <w:tcMar>
              <w:top w:w="0" w:type="dxa"/>
              <w:left w:w="0" w:type="dxa"/>
              <w:bottom w:w="0" w:type="dxa"/>
              <w:right w:w="0" w:type="dxa"/>
            </w:tcMar>
            <w:vAlign w:val="center"/>
          </w:tcPr>
          <w:p w14:paraId="1DED8B1B"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0.004</w:t>
            </w:r>
          </w:p>
        </w:tc>
        <w:tc>
          <w:tcPr>
            <w:tcW w:w="1095" w:type="dxa"/>
            <w:shd w:val="clear" w:color="auto" w:fill="F6F6F6"/>
            <w:tcMar>
              <w:top w:w="0" w:type="dxa"/>
              <w:left w:w="0" w:type="dxa"/>
              <w:bottom w:w="0" w:type="dxa"/>
              <w:right w:w="0" w:type="dxa"/>
            </w:tcMar>
            <w:vAlign w:val="center"/>
          </w:tcPr>
          <w:p w14:paraId="3CFE4A93"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0.657</w:t>
            </w:r>
          </w:p>
        </w:tc>
      </w:tr>
      <w:tr w:rsidR="001179F5" w:rsidRPr="00186B85" w14:paraId="004A434A" w14:textId="77777777" w:rsidTr="001179F5">
        <w:trPr>
          <w:gridAfter w:val="1"/>
          <w:wAfter w:w="8" w:type="dxa"/>
          <w:cantSplit/>
          <w:trHeight w:val="179"/>
        </w:trPr>
        <w:tc>
          <w:tcPr>
            <w:tcW w:w="2458" w:type="dxa"/>
            <w:shd w:val="clear" w:color="auto" w:fill="FFFFFF"/>
            <w:tcMar>
              <w:top w:w="0" w:type="dxa"/>
              <w:left w:w="0" w:type="dxa"/>
              <w:bottom w:w="0" w:type="dxa"/>
              <w:right w:w="0" w:type="dxa"/>
            </w:tcMar>
            <w:vAlign w:val="center"/>
          </w:tcPr>
          <w:p w14:paraId="78022F42"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GDP</w:t>
            </w:r>
          </w:p>
        </w:tc>
        <w:tc>
          <w:tcPr>
            <w:tcW w:w="1092" w:type="dxa"/>
            <w:shd w:val="clear" w:color="auto" w:fill="FFFFFF"/>
            <w:tcMar>
              <w:top w:w="0" w:type="dxa"/>
              <w:left w:w="0" w:type="dxa"/>
              <w:bottom w:w="0" w:type="dxa"/>
              <w:right w:w="0" w:type="dxa"/>
            </w:tcMar>
            <w:vAlign w:val="center"/>
          </w:tcPr>
          <w:p w14:paraId="06DBDC49" w14:textId="77777777" w:rsidR="00D52E9A" w:rsidRPr="00186B85" w:rsidRDefault="00D52E9A" w:rsidP="00350028">
            <w:pPr>
              <w:keepNext/>
              <w:spacing w:before="0" w:after="0" w:line="240" w:lineRule="auto"/>
              <w:ind w:left="100" w:right="100" w:firstLine="0"/>
              <w:jc w:val="right"/>
              <w:rPr>
                <w:sz w:val="20"/>
                <w:szCs w:val="20"/>
              </w:rPr>
            </w:pPr>
          </w:p>
        </w:tc>
        <w:tc>
          <w:tcPr>
            <w:tcW w:w="727" w:type="dxa"/>
            <w:shd w:val="clear" w:color="auto" w:fill="FFFFFF"/>
            <w:tcMar>
              <w:top w:w="0" w:type="dxa"/>
              <w:left w:w="0" w:type="dxa"/>
              <w:bottom w:w="0" w:type="dxa"/>
              <w:right w:w="0" w:type="dxa"/>
            </w:tcMar>
            <w:vAlign w:val="center"/>
          </w:tcPr>
          <w:p w14:paraId="3B9E96E4"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FFFFF"/>
            <w:tcMar>
              <w:top w:w="0" w:type="dxa"/>
              <w:left w:w="0" w:type="dxa"/>
              <w:bottom w:w="0" w:type="dxa"/>
              <w:right w:w="0" w:type="dxa"/>
            </w:tcMar>
            <w:vAlign w:val="center"/>
          </w:tcPr>
          <w:p w14:paraId="4E0F6F69"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4131ED08" w14:textId="77777777" w:rsidR="00D52E9A" w:rsidRPr="00186B85" w:rsidRDefault="00D52E9A" w:rsidP="00350028">
            <w:pPr>
              <w:keepNext/>
              <w:spacing w:before="0" w:after="0" w:line="240" w:lineRule="auto"/>
              <w:ind w:left="100" w:right="100" w:firstLine="0"/>
              <w:jc w:val="right"/>
              <w:rPr>
                <w:sz w:val="20"/>
                <w:szCs w:val="20"/>
              </w:rPr>
            </w:pPr>
          </w:p>
        </w:tc>
        <w:tc>
          <w:tcPr>
            <w:tcW w:w="1092" w:type="dxa"/>
            <w:shd w:val="clear" w:color="auto" w:fill="FFFFFF"/>
            <w:tcMar>
              <w:top w:w="0" w:type="dxa"/>
              <w:left w:w="0" w:type="dxa"/>
              <w:bottom w:w="0" w:type="dxa"/>
              <w:right w:w="0" w:type="dxa"/>
            </w:tcMar>
            <w:vAlign w:val="center"/>
          </w:tcPr>
          <w:p w14:paraId="335F163C"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FFFFF"/>
            <w:tcMar>
              <w:top w:w="0" w:type="dxa"/>
              <w:left w:w="0" w:type="dxa"/>
              <w:bottom w:w="0" w:type="dxa"/>
              <w:right w:w="0" w:type="dxa"/>
            </w:tcMar>
            <w:vAlign w:val="center"/>
          </w:tcPr>
          <w:p w14:paraId="61E4DCD4"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FFFFF"/>
            <w:tcMar>
              <w:top w:w="0" w:type="dxa"/>
              <w:left w:w="0" w:type="dxa"/>
              <w:bottom w:w="0" w:type="dxa"/>
              <w:right w:w="0" w:type="dxa"/>
            </w:tcMar>
            <w:vAlign w:val="center"/>
          </w:tcPr>
          <w:p w14:paraId="23F89379"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123E565C" w14:textId="77777777" w:rsidR="00D52E9A" w:rsidRPr="00186B85" w:rsidRDefault="00D52E9A" w:rsidP="00350028">
            <w:pPr>
              <w:keepNext/>
              <w:spacing w:before="0" w:after="0" w:line="240" w:lineRule="auto"/>
              <w:ind w:left="100" w:right="100" w:firstLine="0"/>
              <w:jc w:val="right"/>
              <w:rPr>
                <w:sz w:val="20"/>
                <w:szCs w:val="20"/>
              </w:rPr>
            </w:pPr>
          </w:p>
        </w:tc>
        <w:tc>
          <w:tcPr>
            <w:tcW w:w="1183" w:type="dxa"/>
            <w:shd w:val="clear" w:color="auto" w:fill="FFFFFF"/>
            <w:tcMar>
              <w:top w:w="0" w:type="dxa"/>
              <w:left w:w="0" w:type="dxa"/>
              <w:bottom w:w="0" w:type="dxa"/>
              <w:right w:w="0" w:type="dxa"/>
            </w:tcMar>
            <w:vAlign w:val="center"/>
          </w:tcPr>
          <w:p w14:paraId="7C83D33F"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0.002</w:t>
            </w:r>
          </w:p>
        </w:tc>
        <w:tc>
          <w:tcPr>
            <w:tcW w:w="909" w:type="dxa"/>
            <w:shd w:val="clear" w:color="auto" w:fill="FFFFFF"/>
            <w:tcMar>
              <w:top w:w="0" w:type="dxa"/>
              <w:left w:w="0" w:type="dxa"/>
              <w:bottom w:w="0" w:type="dxa"/>
              <w:right w:w="0" w:type="dxa"/>
            </w:tcMar>
            <w:vAlign w:val="center"/>
          </w:tcPr>
          <w:p w14:paraId="684C1132"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0.175</w:t>
            </w:r>
          </w:p>
        </w:tc>
        <w:tc>
          <w:tcPr>
            <w:tcW w:w="909" w:type="dxa"/>
            <w:shd w:val="clear" w:color="auto" w:fill="FFFFFF"/>
            <w:tcMar>
              <w:top w:w="0" w:type="dxa"/>
              <w:left w:w="0" w:type="dxa"/>
              <w:bottom w:w="0" w:type="dxa"/>
              <w:right w:w="0" w:type="dxa"/>
            </w:tcMar>
            <w:vAlign w:val="center"/>
          </w:tcPr>
          <w:p w14:paraId="493C8800"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0.020</w:t>
            </w:r>
          </w:p>
        </w:tc>
        <w:tc>
          <w:tcPr>
            <w:tcW w:w="1095" w:type="dxa"/>
            <w:shd w:val="clear" w:color="auto" w:fill="FFFFFF"/>
            <w:tcMar>
              <w:top w:w="0" w:type="dxa"/>
              <w:left w:w="0" w:type="dxa"/>
              <w:bottom w:w="0" w:type="dxa"/>
              <w:right w:w="0" w:type="dxa"/>
            </w:tcMar>
            <w:vAlign w:val="center"/>
          </w:tcPr>
          <w:p w14:paraId="323A43DD"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0.93</w:t>
            </w:r>
          </w:p>
        </w:tc>
      </w:tr>
      <w:tr w:rsidR="001179F5" w:rsidRPr="00186B85" w14:paraId="21F9A066" w14:textId="77777777" w:rsidTr="001179F5">
        <w:trPr>
          <w:gridAfter w:val="1"/>
          <w:wAfter w:w="8" w:type="dxa"/>
          <w:cantSplit/>
          <w:trHeight w:val="62"/>
        </w:trPr>
        <w:tc>
          <w:tcPr>
            <w:tcW w:w="2458" w:type="dxa"/>
            <w:shd w:val="clear" w:color="auto" w:fill="F6F6F6"/>
            <w:tcMar>
              <w:top w:w="0" w:type="dxa"/>
              <w:left w:w="0" w:type="dxa"/>
              <w:bottom w:w="0" w:type="dxa"/>
              <w:right w:w="0" w:type="dxa"/>
            </w:tcMar>
            <w:vAlign w:val="center"/>
          </w:tcPr>
          <w:p w14:paraId="3C0424BB"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Manufacturing</w:t>
            </w:r>
          </w:p>
        </w:tc>
        <w:tc>
          <w:tcPr>
            <w:tcW w:w="1092" w:type="dxa"/>
            <w:shd w:val="clear" w:color="auto" w:fill="F6F6F6"/>
            <w:tcMar>
              <w:top w:w="0" w:type="dxa"/>
              <w:left w:w="0" w:type="dxa"/>
              <w:bottom w:w="0" w:type="dxa"/>
              <w:right w:w="0" w:type="dxa"/>
            </w:tcMar>
            <w:vAlign w:val="center"/>
          </w:tcPr>
          <w:p w14:paraId="0601F248" w14:textId="77777777" w:rsidR="00D52E9A" w:rsidRPr="00186B85" w:rsidRDefault="00D52E9A" w:rsidP="00350028">
            <w:pPr>
              <w:keepNext/>
              <w:spacing w:before="0" w:after="0" w:line="240" w:lineRule="auto"/>
              <w:ind w:left="100" w:right="100" w:firstLine="0"/>
              <w:jc w:val="right"/>
              <w:rPr>
                <w:sz w:val="20"/>
                <w:szCs w:val="20"/>
              </w:rPr>
            </w:pPr>
          </w:p>
        </w:tc>
        <w:tc>
          <w:tcPr>
            <w:tcW w:w="727" w:type="dxa"/>
            <w:shd w:val="clear" w:color="auto" w:fill="F6F6F6"/>
            <w:tcMar>
              <w:top w:w="0" w:type="dxa"/>
              <w:left w:w="0" w:type="dxa"/>
              <w:bottom w:w="0" w:type="dxa"/>
              <w:right w:w="0" w:type="dxa"/>
            </w:tcMar>
            <w:vAlign w:val="center"/>
          </w:tcPr>
          <w:p w14:paraId="13B85594"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21B7C2B1"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21B4D56C" w14:textId="77777777" w:rsidR="00D52E9A" w:rsidRPr="00186B85" w:rsidRDefault="00D52E9A" w:rsidP="00350028">
            <w:pPr>
              <w:keepNext/>
              <w:spacing w:before="0" w:after="0" w:line="240" w:lineRule="auto"/>
              <w:ind w:left="100" w:right="100" w:firstLine="0"/>
              <w:jc w:val="right"/>
              <w:rPr>
                <w:sz w:val="20"/>
                <w:szCs w:val="20"/>
              </w:rPr>
            </w:pPr>
          </w:p>
        </w:tc>
        <w:tc>
          <w:tcPr>
            <w:tcW w:w="1092" w:type="dxa"/>
            <w:shd w:val="clear" w:color="auto" w:fill="F6F6F6"/>
            <w:tcMar>
              <w:top w:w="0" w:type="dxa"/>
              <w:left w:w="0" w:type="dxa"/>
              <w:bottom w:w="0" w:type="dxa"/>
              <w:right w:w="0" w:type="dxa"/>
            </w:tcMar>
            <w:vAlign w:val="center"/>
          </w:tcPr>
          <w:p w14:paraId="316C50E6"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23685808"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6F6F6"/>
            <w:tcMar>
              <w:top w:w="0" w:type="dxa"/>
              <w:left w:w="0" w:type="dxa"/>
              <w:bottom w:w="0" w:type="dxa"/>
              <w:right w:w="0" w:type="dxa"/>
            </w:tcMar>
            <w:vAlign w:val="center"/>
          </w:tcPr>
          <w:p w14:paraId="7505E187"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7DA9E1D7" w14:textId="77777777" w:rsidR="00D52E9A" w:rsidRPr="00186B85" w:rsidRDefault="00D52E9A" w:rsidP="00350028">
            <w:pPr>
              <w:keepNext/>
              <w:spacing w:before="0" w:after="0" w:line="240" w:lineRule="auto"/>
              <w:ind w:left="100" w:right="100" w:firstLine="0"/>
              <w:jc w:val="right"/>
              <w:rPr>
                <w:sz w:val="20"/>
                <w:szCs w:val="20"/>
              </w:rPr>
            </w:pPr>
          </w:p>
        </w:tc>
        <w:tc>
          <w:tcPr>
            <w:tcW w:w="1183" w:type="dxa"/>
            <w:shd w:val="clear" w:color="auto" w:fill="F6F6F6"/>
            <w:tcMar>
              <w:top w:w="0" w:type="dxa"/>
              <w:left w:w="0" w:type="dxa"/>
              <w:bottom w:w="0" w:type="dxa"/>
              <w:right w:w="0" w:type="dxa"/>
            </w:tcMar>
            <w:vAlign w:val="center"/>
          </w:tcPr>
          <w:p w14:paraId="7949E139"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0.004</w:t>
            </w:r>
          </w:p>
        </w:tc>
        <w:tc>
          <w:tcPr>
            <w:tcW w:w="909" w:type="dxa"/>
            <w:shd w:val="clear" w:color="auto" w:fill="F6F6F6"/>
            <w:tcMar>
              <w:top w:w="0" w:type="dxa"/>
              <w:left w:w="0" w:type="dxa"/>
              <w:bottom w:w="0" w:type="dxa"/>
              <w:right w:w="0" w:type="dxa"/>
            </w:tcMar>
            <w:vAlign w:val="center"/>
          </w:tcPr>
          <w:p w14:paraId="22524C1C"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0.353</w:t>
            </w:r>
          </w:p>
        </w:tc>
        <w:tc>
          <w:tcPr>
            <w:tcW w:w="909" w:type="dxa"/>
            <w:shd w:val="clear" w:color="auto" w:fill="F6F6F6"/>
            <w:tcMar>
              <w:top w:w="0" w:type="dxa"/>
              <w:left w:w="0" w:type="dxa"/>
              <w:bottom w:w="0" w:type="dxa"/>
              <w:right w:w="0" w:type="dxa"/>
            </w:tcMar>
            <w:vAlign w:val="center"/>
          </w:tcPr>
          <w:p w14:paraId="4A3E8026"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0.004</w:t>
            </w:r>
          </w:p>
        </w:tc>
        <w:tc>
          <w:tcPr>
            <w:tcW w:w="1095" w:type="dxa"/>
            <w:shd w:val="clear" w:color="auto" w:fill="F6F6F6"/>
            <w:tcMar>
              <w:top w:w="0" w:type="dxa"/>
              <w:left w:w="0" w:type="dxa"/>
              <w:bottom w:w="0" w:type="dxa"/>
              <w:right w:w="0" w:type="dxa"/>
            </w:tcMar>
            <w:vAlign w:val="center"/>
          </w:tcPr>
          <w:p w14:paraId="5AC71190"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0.41</w:t>
            </w:r>
          </w:p>
        </w:tc>
      </w:tr>
      <w:tr w:rsidR="001179F5" w:rsidRPr="00186B85" w14:paraId="3F19F6F0" w14:textId="77777777" w:rsidTr="001179F5">
        <w:trPr>
          <w:gridAfter w:val="1"/>
          <w:wAfter w:w="8" w:type="dxa"/>
          <w:cantSplit/>
          <w:trHeight w:val="179"/>
        </w:trPr>
        <w:tc>
          <w:tcPr>
            <w:tcW w:w="2458" w:type="dxa"/>
            <w:shd w:val="clear" w:color="auto" w:fill="FFFFFF"/>
            <w:tcMar>
              <w:top w:w="0" w:type="dxa"/>
              <w:left w:w="0" w:type="dxa"/>
              <w:bottom w:w="0" w:type="dxa"/>
              <w:right w:w="0" w:type="dxa"/>
            </w:tcMar>
            <w:vAlign w:val="center"/>
          </w:tcPr>
          <w:p w14:paraId="008B2FCB"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Exports</w:t>
            </w:r>
          </w:p>
        </w:tc>
        <w:tc>
          <w:tcPr>
            <w:tcW w:w="1092" w:type="dxa"/>
            <w:shd w:val="clear" w:color="auto" w:fill="FFFFFF"/>
            <w:tcMar>
              <w:top w:w="0" w:type="dxa"/>
              <w:left w:w="0" w:type="dxa"/>
              <w:bottom w:w="0" w:type="dxa"/>
              <w:right w:w="0" w:type="dxa"/>
            </w:tcMar>
            <w:vAlign w:val="center"/>
          </w:tcPr>
          <w:p w14:paraId="76B51DD7" w14:textId="77777777" w:rsidR="00D52E9A" w:rsidRPr="00186B85" w:rsidRDefault="00D52E9A" w:rsidP="00350028">
            <w:pPr>
              <w:keepNext/>
              <w:spacing w:before="0" w:after="0" w:line="240" w:lineRule="auto"/>
              <w:ind w:left="100" w:right="100" w:firstLine="0"/>
              <w:jc w:val="right"/>
              <w:rPr>
                <w:sz w:val="20"/>
                <w:szCs w:val="20"/>
              </w:rPr>
            </w:pPr>
          </w:p>
        </w:tc>
        <w:tc>
          <w:tcPr>
            <w:tcW w:w="727" w:type="dxa"/>
            <w:shd w:val="clear" w:color="auto" w:fill="FFFFFF"/>
            <w:tcMar>
              <w:top w:w="0" w:type="dxa"/>
              <w:left w:w="0" w:type="dxa"/>
              <w:bottom w:w="0" w:type="dxa"/>
              <w:right w:w="0" w:type="dxa"/>
            </w:tcMar>
            <w:vAlign w:val="center"/>
          </w:tcPr>
          <w:p w14:paraId="1D46A98F"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FFFFF"/>
            <w:tcMar>
              <w:top w:w="0" w:type="dxa"/>
              <w:left w:w="0" w:type="dxa"/>
              <w:bottom w:w="0" w:type="dxa"/>
              <w:right w:w="0" w:type="dxa"/>
            </w:tcMar>
            <w:vAlign w:val="center"/>
          </w:tcPr>
          <w:p w14:paraId="3AE399E8"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489433A5" w14:textId="77777777" w:rsidR="00D52E9A" w:rsidRPr="00186B85" w:rsidRDefault="00D52E9A" w:rsidP="00350028">
            <w:pPr>
              <w:keepNext/>
              <w:spacing w:before="0" w:after="0" w:line="240" w:lineRule="auto"/>
              <w:ind w:left="100" w:right="100" w:firstLine="0"/>
              <w:jc w:val="right"/>
              <w:rPr>
                <w:sz w:val="20"/>
                <w:szCs w:val="20"/>
              </w:rPr>
            </w:pPr>
          </w:p>
        </w:tc>
        <w:tc>
          <w:tcPr>
            <w:tcW w:w="1092" w:type="dxa"/>
            <w:shd w:val="clear" w:color="auto" w:fill="FFFFFF"/>
            <w:tcMar>
              <w:top w:w="0" w:type="dxa"/>
              <w:left w:w="0" w:type="dxa"/>
              <w:bottom w:w="0" w:type="dxa"/>
              <w:right w:w="0" w:type="dxa"/>
            </w:tcMar>
            <w:vAlign w:val="center"/>
          </w:tcPr>
          <w:p w14:paraId="788E1D06"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FFFFF"/>
            <w:tcMar>
              <w:top w:w="0" w:type="dxa"/>
              <w:left w:w="0" w:type="dxa"/>
              <w:bottom w:w="0" w:type="dxa"/>
              <w:right w:w="0" w:type="dxa"/>
            </w:tcMar>
            <w:vAlign w:val="center"/>
          </w:tcPr>
          <w:p w14:paraId="7EFC7872"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FFFFF"/>
            <w:tcMar>
              <w:top w:w="0" w:type="dxa"/>
              <w:left w:w="0" w:type="dxa"/>
              <w:bottom w:w="0" w:type="dxa"/>
              <w:right w:w="0" w:type="dxa"/>
            </w:tcMar>
            <w:vAlign w:val="center"/>
          </w:tcPr>
          <w:p w14:paraId="36A5A4A0"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0BA967AB" w14:textId="77777777" w:rsidR="00D52E9A" w:rsidRPr="00186B85" w:rsidRDefault="00D52E9A" w:rsidP="00350028">
            <w:pPr>
              <w:keepNext/>
              <w:spacing w:before="0" w:after="0" w:line="240" w:lineRule="auto"/>
              <w:ind w:left="100" w:right="100" w:firstLine="0"/>
              <w:jc w:val="right"/>
              <w:rPr>
                <w:sz w:val="20"/>
                <w:szCs w:val="20"/>
              </w:rPr>
            </w:pPr>
          </w:p>
        </w:tc>
        <w:tc>
          <w:tcPr>
            <w:tcW w:w="1183" w:type="dxa"/>
            <w:shd w:val="clear" w:color="auto" w:fill="FFFFFF"/>
            <w:tcMar>
              <w:top w:w="0" w:type="dxa"/>
              <w:left w:w="0" w:type="dxa"/>
              <w:bottom w:w="0" w:type="dxa"/>
              <w:right w:w="0" w:type="dxa"/>
            </w:tcMar>
            <w:vAlign w:val="center"/>
          </w:tcPr>
          <w:p w14:paraId="7CFAC0EB"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-0.001</w:t>
            </w:r>
          </w:p>
        </w:tc>
        <w:tc>
          <w:tcPr>
            <w:tcW w:w="909" w:type="dxa"/>
            <w:shd w:val="clear" w:color="auto" w:fill="FFFFFF"/>
            <w:tcMar>
              <w:top w:w="0" w:type="dxa"/>
              <w:left w:w="0" w:type="dxa"/>
              <w:bottom w:w="0" w:type="dxa"/>
              <w:right w:w="0" w:type="dxa"/>
            </w:tcMar>
            <w:vAlign w:val="center"/>
          </w:tcPr>
          <w:p w14:paraId="3AC7E13F"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-0.050</w:t>
            </w:r>
          </w:p>
        </w:tc>
        <w:tc>
          <w:tcPr>
            <w:tcW w:w="909" w:type="dxa"/>
            <w:shd w:val="clear" w:color="auto" w:fill="FFFFFF"/>
            <w:tcMar>
              <w:top w:w="0" w:type="dxa"/>
              <w:left w:w="0" w:type="dxa"/>
              <w:bottom w:w="0" w:type="dxa"/>
              <w:right w:w="0" w:type="dxa"/>
            </w:tcMar>
            <w:vAlign w:val="center"/>
          </w:tcPr>
          <w:p w14:paraId="2118FAB1"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0.001</w:t>
            </w:r>
          </w:p>
        </w:tc>
        <w:tc>
          <w:tcPr>
            <w:tcW w:w="1095" w:type="dxa"/>
            <w:shd w:val="clear" w:color="auto" w:fill="FFFFFF"/>
            <w:tcMar>
              <w:top w:w="0" w:type="dxa"/>
              <w:left w:w="0" w:type="dxa"/>
              <w:bottom w:w="0" w:type="dxa"/>
              <w:right w:w="0" w:type="dxa"/>
            </w:tcMar>
            <w:vAlign w:val="center"/>
          </w:tcPr>
          <w:p w14:paraId="565612BE"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0.572</w:t>
            </w:r>
          </w:p>
        </w:tc>
      </w:tr>
      <w:tr w:rsidR="001179F5" w:rsidRPr="00186B85" w14:paraId="5108A9BD" w14:textId="77777777" w:rsidTr="001179F5">
        <w:trPr>
          <w:gridAfter w:val="1"/>
          <w:wAfter w:w="8" w:type="dxa"/>
          <w:cantSplit/>
          <w:trHeight w:val="179"/>
        </w:trPr>
        <w:tc>
          <w:tcPr>
            <w:tcW w:w="2458" w:type="dxa"/>
            <w:shd w:val="clear" w:color="auto" w:fill="F6F6F6"/>
            <w:tcMar>
              <w:top w:w="0" w:type="dxa"/>
              <w:left w:w="0" w:type="dxa"/>
              <w:bottom w:w="0" w:type="dxa"/>
              <w:right w:w="0" w:type="dxa"/>
            </w:tcMar>
            <w:vAlign w:val="center"/>
          </w:tcPr>
          <w:p w14:paraId="62232EF3"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Gini</w:t>
            </w:r>
          </w:p>
        </w:tc>
        <w:tc>
          <w:tcPr>
            <w:tcW w:w="1092" w:type="dxa"/>
            <w:shd w:val="clear" w:color="auto" w:fill="F6F6F6"/>
            <w:tcMar>
              <w:top w:w="0" w:type="dxa"/>
              <w:left w:w="0" w:type="dxa"/>
              <w:bottom w:w="0" w:type="dxa"/>
              <w:right w:w="0" w:type="dxa"/>
            </w:tcMar>
            <w:vAlign w:val="center"/>
          </w:tcPr>
          <w:p w14:paraId="7ACD1157" w14:textId="77777777" w:rsidR="00D52E9A" w:rsidRPr="00186B85" w:rsidRDefault="00D52E9A" w:rsidP="00350028">
            <w:pPr>
              <w:keepNext/>
              <w:spacing w:before="0" w:after="0" w:line="240" w:lineRule="auto"/>
              <w:ind w:left="100" w:right="100" w:firstLine="0"/>
              <w:jc w:val="right"/>
              <w:rPr>
                <w:sz w:val="20"/>
                <w:szCs w:val="20"/>
              </w:rPr>
            </w:pPr>
          </w:p>
        </w:tc>
        <w:tc>
          <w:tcPr>
            <w:tcW w:w="727" w:type="dxa"/>
            <w:shd w:val="clear" w:color="auto" w:fill="F6F6F6"/>
            <w:tcMar>
              <w:top w:w="0" w:type="dxa"/>
              <w:left w:w="0" w:type="dxa"/>
              <w:bottom w:w="0" w:type="dxa"/>
              <w:right w:w="0" w:type="dxa"/>
            </w:tcMar>
            <w:vAlign w:val="center"/>
          </w:tcPr>
          <w:p w14:paraId="281F3A7B"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51134E89"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6CB8AD0B" w14:textId="77777777" w:rsidR="00D52E9A" w:rsidRPr="00186B85" w:rsidRDefault="00D52E9A" w:rsidP="00350028">
            <w:pPr>
              <w:keepNext/>
              <w:spacing w:before="0" w:after="0" w:line="240" w:lineRule="auto"/>
              <w:ind w:left="100" w:right="100" w:firstLine="0"/>
              <w:jc w:val="right"/>
              <w:rPr>
                <w:sz w:val="20"/>
                <w:szCs w:val="20"/>
              </w:rPr>
            </w:pPr>
          </w:p>
        </w:tc>
        <w:tc>
          <w:tcPr>
            <w:tcW w:w="1092" w:type="dxa"/>
            <w:shd w:val="clear" w:color="auto" w:fill="F6F6F6"/>
            <w:tcMar>
              <w:top w:w="0" w:type="dxa"/>
              <w:left w:w="0" w:type="dxa"/>
              <w:bottom w:w="0" w:type="dxa"/>
              <w:right w:w="0" w:type="dxa"/>
            </w:tcMar>
            <w:vAlign w:val="center"/>
          </w:tcPr>
          <w:p w14:paraId="03D35F95"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5F068FD9"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6F6F6"/>
            <w:tcMar>
              <w:top w:w="0" w:type="dxa"/>
              <w:left w:w="0" w:type="dxa"/>
              <w:bottom w:w="0" w:type="dxa"/>
              <w:right w:w="0" w:type="dxa"/>
            </w:tcMar>
            <w:vAlign w:val="center"/>
          </w:tcPr>
          <w:p w14:paraId="19C964EE"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5E31C3EB" w14:textId="77777777" w:rsidR="00D52E9A" w:rsidRPr="00186B85" w:rsidRDefault="00D52E9A" w:rsidP="00350028">
            <w:pPr>
              <w:keepNext/>
              <w:spacing w:before="0" w:after="0" w:line="240" w:lineRule="auto"/>
              <w:ind w:left="100" w:right="100" w:firstLine="0"/>
              <w:jc w:val="right"/>
              <w:rPr>
                <w:sz w:val="20"/>
                <w:szCs w:val="20"/>
              </w:rPr>
            </w:pPr>
          </w:p>
        </w:tc>
        <w:tc>
          <w:tcPr>
            <w:tcW w:w="1183" w:type="dxa"/>
            <w:shd w:val="clear" w:color="auto" w:fill="F6F6F6"/>
            <w:tcMar>
              <w:top w:w="0" w:type="dxa"/>
              <w:left w:w="0" w:type="dxa"/>
              <w:bottom w:w="0" w:type="dxa"/>
              <w:right w:w="0" w:type="dxa"/>
            </w:tcMar>
            <w:vAlign w:val="center"/>
          </w:tcPr>
          <w:p w14:paraId="3635F6D2"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-0.017</w:t>
            </w:r>
          </w:p>
        </w:tc>
        <w:tc>
          <w:tcPr>
            <w:tcW w:w="909" w:type="dxa"/>
            <w:shd w:val="clear" w:color="auto" w:fill="F6F6F6"/>
            <w:tcMar>
              <w:top w:w="0" w:type="dxa"/>
              <w:left w:w="0" w:type="dxa"/>
              <w:bottom w:w="0" w:type="dxa"/>
              <w:right w:w="0" w:type="dxa"/>
            </w:tcMar>
            <w:vAlign w:val="center"/>
          </w:tcPr>
          <w:p w14:paraId="4F4AB812"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-1.650</w:t>
            </w:r>
          </w:p>
        </w:tc>
        <w:tc>
          <w:tcPr>
            <w:tcW w:w="909" w:type="dxa"/>
            <w:shd w:val="clear" w:color="auto" w:fill="F6F6F6"/>
            <w:tcMar>
              <w:top w:w="0" w:type="dxa"/>
              <w:left w:w="0" w:type="dxa"/>
              <w:bottom w:w="0" w:type="dxa"/>
              <w:right w:w="0" w:type="dxa"/>
            </w:tcMar>
            <w:vAlign w:val="center"/>
          </w:tcPr>
          <w:p w14:paraId="008465F5"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0.007</w:t>
            </w:r>
          </w:p>
        </w:tc>
        <w:tc>
          <w:tcPr>
            <w:tcW w:w="1095" w:type="dxa"/>
            <w:shd w:val="clear" w:color="auto" w:fill="F6F6F6"/>
            <w:tcMar>
              <w:top w:w="0" w:type="dxa"/>
              <w:left w:w="0" w:type="dxa"/>
              <w:bottom w:w="0" w:type="dxa"/>
              <w:right w:w="0" w:type="dxa"/>
            </w:tcMar>
            <w:vAlign w:val="center"/>
          </w:tcPr>
          <w:p w14:paraId="72480C31"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b/>
                <w:color w:val="000000"/>
                <w:sz w:val="20"/>
                <w:szCs w:val="20"/>
              </w:rPr>
              <w:t>0.013</w:t>
            </w:r>
          </w:p>
        </w:tc>
      </w:tr>
      <w:tr w:rsidR="001179F5" w:rsidRPr="00186B85" w14:paraId="613B0B43" w14:textId="77777777" w:rsidTr="001179F5">
        <w:trPr>
          <w:gridAfter w:val="1"/>
          <w:wAfter w:w="8" w:type="dxa"/>
          <w:cantSplit/>
          <w:trHeight w:val="276"/>
        </w:trPr>
        <w:tc>
          <w:tcPr>
            <w:tcW w:w="2458" w:type="dxa"/>
            <w:shd w:val="clear" w:color="auto" w:fill="FFFFFF"/>
            <w:tcMar>
              <w:top w:w="0" w:type="dxa"/>
              <w:left w:w="0" w:type="dxa"/>
              <w:bottom w:w="0" w:type="dxa"/>
              <w:right w:w="0" w:type="dxa"/>
            </w:tcMar>
            <w:vAlign w:val="center"/>
          </w:tcPr>
          <w:p w14:paraId="5464994A"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Left-Right Orientation</w:t>
            </w:r>
          </w:p>
        </w:tc>
        <w:tc>
          <w:tcPr>
            <w:tcW w:w="1092" w:type="dxa"/>
            <w:shd w:val="clear" w:color="auto" w:fill="FFFFFF"/>
            <w:tcMar>
              <w:top w:w="0" w:type="dxa"/>
              <w:left w:w="0" w:type="dxa"/>
              <w:bottom w:w="0" w:type="dxa"/>
              <w:right w:w="0" w:type="dxa"/>
            </w:tcMar>
            <w:vAlign w:val="center"/>
          </w:tcPr>
          <w:p w14:paraId="32599FB9" w14:textId="77777777" w:rsidR="00D52E9A" w:rsidRPr="00186B85" w:rsidRDefault="00D52E9A" w:rsidP="00350028">
            <w:pPr>
              <w:keepNext/>
              <w:spacing w:before="0" w:after="0" w:line="240" w:lineRule="auto"/>
              <w:ind w:left="100" w:right="100" w:firstLine="0"/>
              <w:jc w:val="right"/>
              <w:rPr>
                <w:sz w:val="20"/>
                <w:szCs w:val="20"/>
              </w:rPr>
            </w:pPr>
          </w:p>
        </w:tc>
        <w:tc>
          <w:tcPr>
            <w:tcW w:w="727" w:type="dxa"/>
            <w:shd w:val="clear" w:color="auto" w:fill="FFFFFF"/>
            <w:tcMar>
              <w:top w:w="0" w:type="dxa"/>
              <w:left w:w="0" w:type="dxa"/>
              <w:bottom w:w="0" w:type="dxa"/>
              <w:right w:w="0" w:type="dxa"/>
            </w:tcMar>
            <w:vAlign w:val="center"/>
          </w:tcPr>
          <w:p w14:paraId="33514F01"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FFFFF"/>
            <w:tcMar>
              <w:top w:w="0" w:type="dxa"/>
              <w:left w:w="0" w:type="dxa"/>
              <w:bottom w:w="0" w:type="dxa"/>
              <w:right w:w="0" w:type="dxa"/>
            </w:tcMar>
            <w:vAlign w:val="center"/>
          </w:tcPr>
          <w:p w14:paraId="5150A830"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1E511693" w14:textId="77777777" w:rsidR="00D52E9A" w:rsidRPr="00186B85" w:rsidRDefault="00D52E9A" w:rsidP="00350028">
            <w:pPr>
              <w:keepNext/>
              <w:spacing w:before="0" w:after="0" w:line="240" w:lineRule="auto"/>
              <w:ind w:left="100" w:right="100" w:firstLine="0"/>
              <w:jc w:val="right"/>
              <w:rPr>
                <w:sz w:val="20"/>
                <w:szCs w:val="20"/>
              </w:rPr>
            </w:pPr>
          </w:p>
        </w:tc>
        <w:tc>
          <w:tcPr>
            <w:tcW w:w="1092" w:type="dxa"/>
            <w:shd w:val="clear" w:color="auto" w:fill="FFFFFF"/>
            <w:tcMar>
              <w:top w:w="0" w:type="dxa"/>
              <w:left w:w="0" w:type="dxa"/>
              <w:bottom w:w="0" w:type="dxa"/>
              <w:right w:w="0" w:type="dxa"/>
            </w:tcMar>
            <w:vAlign w:val="center"/>
          </w:tcPr>
          <w:p w14:paraId="27DBD6C7"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FFFFF"/>
            <w:tcMar>
              <w:top w:w="0" w:type="dxa"/>
              <w:left w:w="0" w:type="dxa"/>
              <w:bottom w:w="0" w:type="dxa"/>
              <w:right w:w="0" w:type="dxa"/>
            </w:tcMar>
            <w:vAlign w:val="center"/>
          </w:tcPr>
          <w:p w14:paraId="37CB4DCF"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FFFFF"/>
            <w:tcMar>
              <w:top w:w="0" w:type="dxa"/>
              <w:left w:w="0" w:type="dxa"/>
              <w:bottom w:w="0" w:type="dxa"/>
              <w:right w:w="0" w:type="dxa"/>
            </w:tcMar>
            <w:vAlign w:val="center"/>
          </w:tcPr>
          <w:p w14:paraId="0D74DCE9"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574BA0E6" w14:textId="77777777" w:rsidR="00D52E9A" w:rsidRPr="00186B85" w:rsidRDefault="00D52E9A" w:rsidP="00350028">
            <w:pPr>
              <w:keepNext/>
              <w:spacing w:before="0" w:after="0" w:line="240" w:lineRule="auto"/>
              <w:ind w:left="100" w:right="100" w:firstLine="0"/>
              <w:jc w:val="right"/>
              <w:rPr>
                <w:sz w:val="20"/>
                <w:szCs w:val="20"/>
              </w:rPr>
            </w:pPr>
          </w:p>
        </w:tc>
        <w:tc>
          <w:tcPr>
            <w:tcW w:w="1183" w:type="dxa"/>
            <w:shd w:val="clear" w:color="auto" w:fill="FFFFFF"/>
            <w:tcMar>
              <w:top w:w="0" w:type="dxa"/>
              <w:left w:w="0" w:type="dxa"/>
              <w:bottom w:w="0" w:type="dxa"/>
              <w:right w:w="0" w:type="dxa"/>
            </w:tcMar>
            <w:vAlign w:val="center"/>
          </w:tcPr>
          <w:p w14:paraId="0B68719F"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-0.001</w:t>
            </w:r>
          </w:p>
        </w:tc>
        <w:tc>
          <w:tcPr>
            <w:tcW w:w="909" w:type="dxa"/>
            <w:shd w:val="clear" w:color="auto" w:fill="FFFFFF"/>
            <w:tcMar>
              <w:top w:w="0" w:type="dxa"/>
              <w:left w:w="0" w:type="dxa"/>
              <w:bottom w:w="0" w:type="dxa"/>
              <w:right w:w="0" w:type="dxa"/>
            </w:tcMar>
            <w:vAlign w:val="center"/>
          </w:tcPr>
          <w:p w14:paraId="40DBA0FA"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-0.089</w:t>
            </w:r>
          </w:p>
        </w:tc>
        <w:tc>
          <w:tcPr>
            <w:tcW w:w="909" w:type="dxa"/>
            <w:shd w:val="clear" w:color="auto" w:fill="FFFFFF"/>
            <w:tcMar>
              <w:top w:w="0" w:type="dxa"/>
              <w:left w:w="0" w:type="dxa"/>
              <w:bottom w:w="0" w:type="dxa"/>
              <w:right w:w="0" w:type="dxa"/>
            </w:tcMar>
            <w:vAlign w:val="center"/>
          </w:tcPr>
          <w:p w14:paraId="44BB63D9"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0.002</w:t>
            </w:r>
          </w:p>
        </w:tc>
        <w:tc>
          <w:tcPr>
            <w:tcW w:w="1095" w:type="dxa"/>
            <w:shd w:val="clear" w:color="auto" w:fill="FFFFFF"/>
            <w:tcMar>
              <w:top w:w="0" w:type="dxa"/>
              <w:left w:w="0" w:type="dxa"/>
              <w:bottom w:w="0" w:type="dxa"/>
              <w:right w:w="0" w:type="dxa"/>
            </w:tcMar>
            <w:vAlign w:val="center"/>
          </w:tcPr>
          <w:p w14:paraId="63F24B2E"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0.592</w:t>
            </w:r>
          </w:p>
        </w:tc>
      </w:tr>
      <w:tr w:rsidR="001179F5" w:rsidRPr="00186B85" w14:paraId="4D4ED38F" w14:textId="77777777" w:rsidTr="001179F5">
        <w:trPr>
          <w:gridAfter w:val="1"/>
          <w:wAfter w:w="8" w:type="dxa"/>
          <w:cantSplit/>
          <w:trHeight w:val="149"/>
        </w:trPr>
        <w:tc>
          <w:tcPr>
            <w:tcW w:w="2458" w:type="dxa"/>
            <w:shd w:val="clear" w:color="auto" w:fill="F6F6F6"/>
            <w:tcMar>
              <w:top w:w="0" w:type="dxa"/>
              <w:left w:w="0" w:type="dxa"/>
              <w:bottom w:w="0" w:type="dxa"/>
              <w:right w:w="0" w:type="dxa"/>
            </w:tcMar>
            <w:vAlign w:val="center"/>
          </w:tcPr>
          <w:p w14:paraId="312BE43B"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Democracy Index</w:t>
            </w:r>
          </w:p>
        </w:tc>
        <w:tc>
          <w:tcPr>
            <w:tcW w:w="1092" w:type="dxa"/>
            <w:shd w:val="clear" w:color="auto" w:fill="F6F6F6"/>
            <w:tcMar>
              <w:top w:w="0" w:type="dxa"/>
              <w:left w:w="0" w:type="dxa"/>
              <w:bottom w:w="0" w:type="dxa"/>
              <w:right w:w="0" w:type="dxa"/>
            </w:tcMar>
            <w:vAlign w:val="center"/>
          </w:tcPr>
          <w:p w14:paraId="7BDF6B92" w14:textId="77777777" w:rsidR="00D52E9A" w:rsidRPr="00186B85" w:rsidRDefault="00D52E9A" w:rsidP="00350028">
            <w:pPr>
              <w:keepNext/>
              <w:spacing w:before="0" w:after="0" w:line="240" w:lineRule="auto"/>
              <w:ind w:left="100" w:right="100" w:firstLine="0"/>
              <w:jc w:val="right"/>
              <w:rPr>
                <w:sz w:val="20"/>
                <w:szCs w:val="20"/>
              </w:rPr>
            </w:pPr>
          </w:p>
        </w:tc>
        <w:tc>
          <w:tcPr>
            <w:tcW w:w="727" w:type="dxa"/>
            <w:shd w:val="clear" w:color="auto" w:fill="F6F6F6"/>
            <w:tcMar>
              <w:top w:w="0" w:type="dxa"/>
              <w:left w:w="0" w:type="dxa"/>
              <w:bottom w:w="0" w:type="dxa"/>
              <w:right w:w="0" w:type="dxa"/>
            </w:tcMar>
            <w:vAlign w:val="center"/>
          </w:tcPr>
          <w:p w14:paraId="452EAC76"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2A9AFE6A"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171EF04B" w14:textId="77777777" w:rsidR="00D52E9A" w:rsidRPr="00186B85" w:rsidRDefault="00D52E9A" w:rsidP="00350028">
            <w:pPr>
              <w:keepNext/>
              <w:spacing w:before="0" w:after="0" w:line="240" w:lineRule="auto"/>
              <w:ind w:left="100" w:right="100" w:firstLine="0"/>
              <w:jc w:val="right"/>
              <w:rPr>
                <w:sz w:val="20"/>
                <w:szCs w:val="20"/>
              </w:rPr>
            </w:pPr>
          </w:p>
        </w:tc>
        <w:tc>
          <w:tcPr>
            <w:tcW w:w="1092" w:type="dxa"/>
            <w:shd w:val="clear" w:color="auto" w:fill="F6F6F6"/>
            <w:tcMar>
              <w:top w:w="0" w:type="dxa"/>
              <w:left w:w="0" w:type="dxa"/>
              <w:bottom w:w="0" w:type="dxa"/>
              <w:right w:w="0" w:type="dxa"/>
            </w:tcMar>
            <w:vAlign w:val="center"/>
          </w:tcPr>
          <w:p w14:paraId="18F5212D"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0F066A1B"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6F6F6"/>
            <w:tcMar>
              <w:top w:w="0" w:type="dxa"/>
              <w:left w:w="0" w:type="dxa"/>
              <w:bottom w:w="0" w:type="dxa"/>
              <w:right w:w="0" w:type="dxa"/>
            </w:tcMar>
            <w:vAlign w:val="center"/>
          </w:tcPr>
          <w:p w14:paraId="04214E7A"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0CCC486F" w14:textId="77777777" w:rsidR="00D52E9A" w:rsidRPr="00186B85" w:rsidRDefault="00D52E9A" w:rsidP="00350028">
            <w:pPr>
              <w:keepNext/>
              <w:spacing w:before="0" w:after="0" w:line="240" w:lineRule="auto"/>
              <w:ind w:left="100" w:right="100" w:firstLine="0"/>
              <w:jc w:val="right"/>
              <w:rPr>
                <w:sz w:val="20"/>
                <w:szCs w:val="20"/>
              </w:rPr>
            </w:pPr>
          </w:p>
        </w:tc>
        <w:tc>
          <w:tcPr>
            <w:tcW w:w="1183" w:type="dxa"/>
            <w:shd w:val="clear" w:color="auto" w:fill="F6F6F6"/>
            <w:tcMar>
              <w:top w:w="0" w:type="dxa"/>
              <w:left w:w="0" w:type="dxa"/>
              <w:bottom w:w="0" w:type="dxa"/>
              <w:right w:w="0" w:type="dxa"/>
            </w:tcMar>
            <w:vAlign w:val="center"/>
          </w:tcPr>
          <w:p w14:paraId="140380F3"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-0.002</w:t>
            </w:r>
          </w:p>
        </w:tc>
        <w:tc>
          <w:tcPr>
            <w:tcW w:w="909" w:type="dxa"/>
            <w:shd w:val="clear" w:color="auto" w:fill="F6F6F6"/>
            <w:tcMar>
              <w:top w:w="0" w:type="dxa"/>
              <w:left w:w="0" w:type="dxa"/>
              <w:bottom w:w="0" w:type="dxa"/>
              <w:right w:w="0" w:type="dxa"/>
            </w:tcMar>
            <w:vAlign w:val="center"/>
          </w:tcPr>
          <w:p w14:paraId="6576ADB6"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-0.156</w:t>
            </w:r>
          </w:p>
        </w:tc>
        <w:tc>
          <w:tcPr>
            <w:tcW w:w="909" w:type="dxa"/>
            <w:shd w:val="clear" w:color="auto" w:fill="F6F6F6"/>
            <w:tcMar>
              <w:top w:w="0" w:type="dxa"/>
              <w:left w:w="0" w:type="dxa"/>
              <w:bottom w:w="0" w:type="dxa"/>
              <w:right w:w="0" w:type="dxa"/>
            </w:tcMar>
            <w:vAlign w:val="center"/>
          </w:tcPr>
          <w:p w14:paraId="14F30B3E"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0.001</w:t>
            </w:r>
          </w:p>
        </w:tc>
        <w:tc>
          <w:tcPr>
            <w:tcW w:w="1095" w:type="dxa"/>
            <w:shd w:val="clear" w:color="auto" w:fill="F6F6F6"/>
            <w:tcMar>
              <w:top w:w="0" w:type="dxa"/>
              <w:left w:w="0" w:type="dxa"/>
              <w:bottom w:w="0" w:type="dxa"/>
              <w:right w:w="0" w:type="dxa"/>
            </w:tcMar>
            <w:vAlign w:val="center"/>
          </w:tcPr>
          <w:p w14:paraId="4B03011F"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0.178</w:t>
            </w:r>
          </w:p>
        </w:tc>
      </w:tr>
      <w:tr w:rsidR="001179F5" w:rsidRPr="00186B85" w14:paraId="31B8DA0A" w14:textId="77777777" w:rsidTr="001179F5">
        <w:trPr>
          <w:gridAfter w:val="1"/>
          <w:wAfter w:w="8" w:type="dxa"/>
          <w:cantSplit/>
          <w:trHeight w:val="189"/>
        </w:trPr>
        <w:tc>
          <w:tcPr>
            <w:tcW w:w="2458" w:type="dxa"/>
            <w:shd w:val="clear" w:color="auto" w:fill="FFFFFF"/>
            <w:tcMar>
              <w:top w:w="0" w:type="dxa"/>
              <w:left w:w="0" w:type="dxa"/>
              <w:bottom w:w="0" w:type="dxa"/>
              <w:right w:w="0" w:type="dxa"/>
            </w:tcMar>
            <w:vAlign w:val="center"/>
          </w:tcPr>
          <w:p w14:paraId="6416F1DC"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Net Enrollment</w:t>
            </w:r>
          </w:p>
        </w:tc>
        <w:tc>
          <w:tcPr>
            <w:tcW w:w="1092" w:type="dxa"/>
            <w:shd w:val="clear" w:color="auto" w:fill="FFFFFF"/>
            <w:tcMar>
              <w:top w:w="0" w:type="dxa"/>
              <w:left w:w="0" w:type="dxa"/>
              <w:bottom w:w="0" w:type="dxa"/>
              <w:right w:w="0" w:type="dxa"/>
            </w:tcMar>
            <w:vAlign w:val="center"/>
          </w:tcPr>
          <w:p w14:paraId="5F4967C0" w14:textId="77777777" w:rsidR="00D52E9A" w:rsidRPr="00186B85" w:rsidRDefault="00D52E9A" w:rsidP="00350028">
            <w:pPr>
              <w:keepNext/>
              <w:spacing w:before="0" w:after="0" w:line="240" w:lineRule="auto"/>
              <w:ind w:left="100" w:right="100" w:firstLine="0"/>
              <w:jc w:val="right"/>
              <w:rPr>
                <w:sz w:val="20"/>
                <w:szCs w:val="20"/>
              </w:rPr>
            </w:pPr>
          </w:p>
        </w:tc>
        <w:tc>
          <w:tcPr>
            <w:tcW w:w="727" w:type="dxa"/>
            <w:shd w:val="clear" w:color="auto" w:fill="FFFFFF"/>
            <w:tcMar>
              <w:top w:w="0" w:type="dxa"/>
              <w:left w:w="0" w:type="dxa"/>
              <w:bottom w:w="0" w:type="dxa"/>
              <w:right w:w="0" w:type="dxa"/>
            </w:tcMar>
            <w:vAlign w:val="center"/>
          </w:tcPr>
          <w:p w14:paraId="1E1E20FF"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FFFFF"/>
            <w:tcMar>
              <w:top w:w="0" w:type="dxa"/>
              <w:left w:w="0" w:type="dxa"/>
              <w:bottom w:w="0" w:type="dxa"/>
              <w:right w:w="0" w:type="dxa"/>
            </w:tcMar>
            <w:vAlign w:val="center"/>
          </w:tcPr>
          <w:p w14:paraId="04E48DDD"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4F2305BD" w14:textId="77777777" w:rsidR="00D52E9A" w:rsidRPr="00186B85" w:rsidRDefault="00D52E9A" w:rsidP="00350028">
            <w:pPr>
              <w:keepNext/>
              <w:spacing w:before="0" w:after="0" w:line="240" w:lineRule="auto"/>
              <w:ind w:left="100" w:right="100" w:firstLine="0"/>
              <w:jc w:val="right"/>
              <w:rPr>
                <w:sz w:val="20"/>
                <w:szCs w:val="20"/>
              </w:rPr>
            </w:pPr>
          </w:p>
        </w:tc>
        <w:tc>
          <w:tcPr>
            <w:tcW w:w="1092" w:type="dxa"/>
            <w:shd w:val="clear" w:color="auto" w:fill="FFFFFF"/>
            <w:tcMar>
              <w:top w:w="0" w:type="dxa"/>
              <w:left w:w="0" w:type="dxa"/>
              <w:bottom w:w="0" w:type="dxa"/>
              <w:right w:w="0" w:type="dxa"/>
            </w:tcMar>
            <w:vAlign w:val="center"/>
          </w:tcPr>
          <w:p w14:paraId="0DA0152E"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FFFFF"/>
            <w:tcMar>
              <w:top w:w="0" w:type="dxa"/>
              <w:left w:w="0" w:type="dxa"/>
              <w:bottom w:w="0" w:type="dxa"/>
              <w:right w:w="0" w:type="dxa"/>
            </w:tcMar>
            <w:vAlign w:val="center"/>
          </w:tcPr>
          <w:p w14:paraId="5159404E"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FFFFF"/>
            <w:tcMar>
              <w:top w:w="0" w:type="dxa"/>
              <w:left w:w="0" w:type="dxa"/>
              <w:bottom w:w="0" w:type="dxa"/>
              <w:right w:w="0" w:type="dxa"/>
            </w:tcMar>
            <w:vAlign w:val="center"/>
          </w:tcPr>
          <w:p w14:paraId="6804CBD2"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1B0C2F2D" w14:textId="77777777" w:rsidR="00D52E9A" w:rsidRPr="00186B85" w:rsidRDefault="00D52E9A" w:rsidP="00350028">
            <w:pPr>
              <w:keepNext/>
              <w:spacing w:before="0" w:after="0" w:line="240" w:lineRule="auto"/>
              <w:ind w:left="100" w:right="100" w:firstLine="0"/>
              <w:jc w:val="right"/>
              <w:rPr>
                <w:sz w:val="20"/>
                <w:szCs w:val="20"/>
              </w:rPr>
            </w:pPr>
          </w:p>
        </w:tc>
        <w:tc>
          <w:tcPr>
            <w:tcW w:w="1183" w:type="dxa"/>
            <w:shd w:val="clear" w:color="auto" w:fill="FFFFFF"/>
            <w:tcMar>
              <w:top w:w="0" w:type="dxa"/>
              <w:left w:w="0" w:type="dxa"/>
              <w:bottom w:w="0" w:type="dxa"/>
              <w:right w:w="0" w:type="dxa"/>
            </w:tcMar>
            <w:vAlign w:val="center"/>
          </w:tcPr>
          <w:p w14:paraId="3D7A9CCD"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0.000</w:t>
            </w:r>
          </w:p>
        </w:tc>
        <w:tc>
          <w:tcPr>
            <w:tcW w:w="909" w:type="dxa"/>
            <w:shd w:val="clear" w:color="auto" w:fill="FFFFFF"/>
            <w:tcMar>
              <w:top w:w="0" w:type="dxa"/>
              <w:left w:w="0" w:type="dxa"/>
              <w:bottom w:w="0" w:type="dxa"/>
              <w:right w:w="0" w:type="dxa"/>
            </w:tcMar>
            <w:vAlign w:val="center"/>
          </w:tcPr>
          <w:p w14:paraId="23DE3AF1"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0.003</w:t>
            </w:r>
          </w:p>
        </w:tc>
        <w:tc>
          <w:tcPr>
            <w:tcW w:w="909" w:type="dxa"/>
            <w:shd w:val="clear" w:color="auto" w:fill="FFFFFF"/>
            <w:tcMar>
              <w:top w:w="0" w:type="dxa"/>
              <w:left w:w="0" w:type="dxa"/>
              <w:bottom w:w="0" w:type="dxa"/>
              <w:right w:w="0" w:type="dxa"/>
            </w:tcMar>
            <w:vAlign w:val="center"/>
          </w:tcPr>
          <w:p w14:paraId="1F87FA8E"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0.001</w:t>
            </w:r>
          </w:p>
        </w:tc>
        <w:tc>
          <w:tcPr>
            <w:tcW w:w="1095" w:type="dxa"/>
            <w:shd w:val="clear" w:color="auto" w:fill="FFFFFF"/>
            <w:tcMar>
              <w:top w:w="0" w:type="dxa"/>
              <w:left w:w="0" w:type="dxa"/>
              <w:bottom w:w="0" w:type="dxa"/>
              <w:right w:w="0" w:type="dxa"/>
            </w:tcMar>
            <w:vAlign w:val="center"/>
          </w:tcPr>
          <w:p w14:paraId="3EA3EC9B"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0.975</w:t>
            </w:r>
          </w:p>
        </w:tc>
      </w:tr>
      <w:tr w:rsidR="001179F5" w:rsidRPr="00186B85" w14:paraId="55BD6AB1" w14:textId="77777777" w:rsidTr="001179F5">
        <w:trPr>
          <w:gridAfter w:val="1"/>
          <w:wAfter w:w="8" w:type="dxa"/>
          <w:cantSplit/>
          <w:trHeight w:val="179"/>
        </w:trPr>
        <w:tc>
          <w:tcPr>
            <w:tcW w:w="2458" w:type="dxa"/>
            <w:shd w:val="clear" w:color="auto" w:fill="F6F6F6"/>
            <w:tcMar>
              <w:top w:w="0" w:type="dxa"/>
              <w:left w:w="0" w:type="dxa"/>
              <w:bottom w:w="0" w:type="dxa"/>
              <w:right w:w="0" w:type="dxa"/>
            </w:tcMar>
            <w:vAlign w:val="center"/>
          </w:tcPr>
          <w:p w14:paraId="1B918268"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OECD</w:t>
            </w:r>
          </w:p>
        </w:tc>
        <w:tc>
          <w:tcPr>
            <w:tcW w:w="1092" w:type="dxa"/>
            <w:shd w:val="clear" w:color="auto" w:fill="F6F6F6"/>
            <w:tcMar>
              <w:top w:w="0" w:type="dxa"/>
              <w:left w:w="0" w:type="dxa"/>
              <w:bottom w:w="0" w:type="dxa"/>
              <w:right w:w="0" w:type="dxa"/>
            </w:tcMar>
            <w:vAlign w:val="center"/>
          </w:tcPr>
          <w:p w14:paraId="3844A247" w14:textId="77777777" w:rsidR="00D52E9A" w:rsidRPr="00186B85" w:rsidRDefault="00D52E9A" w:rsidP="00350028">
            <w:pPr>
              <w:keepNext/>
              <w:spacing w:before="0" w:after="0" w:line="240" w:lineRule="auto"/>
              <w:ind w:left="100" w:right="100" w:firstLine="0"/>
              <w:jc w:val="right"/>
              <w:rPr>
                <w:sz w:val="20"/>
                <w:szCs w:val="20"/>
              </w:rPr>
            </w:pPr>
          </w:p>
        </w:tc>
        <w:tc>
          <w:tcPr>
            <w:tcW w:w="727" w:type="dxa"/>
            <w:shd w:val="clear" w:color="auto" w:fill="F6F6F6"/>
            <w:tcMar>
              <w:top w:w="0" w:type="dxa"/>
              <w:left w:w="0" w:type="dxa"/>
              <w:bottom w:w="0" w:type="dxa"/>
              <w:right w:w="0" w:type="dxa"/>
            </w:tcMar>
            <w:vAlign w:val="center"/>
          </w:tcPr>
          <w:p w14:paraId="3C12571C"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26A4946E"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12DF0FD6" w14:textId="77777777" w:rsidR="00D52E9A" w:rsidRPr="00186B85" w:rsidRDefault="00D52E9A" w:rsidP="00350028">
            <w:pPr>
              <w:keepNext/>
              <w:spacing w:before="0" w:after="0" w:line="240" w:lineRule="auto"/>
              <w:ind w:left="100" w:right="100" w:firstLine="0"/>
              <w:jc w:val="right"/>
              <w:rPr>
                <w:sz w:val="20"/>
                <w:szCs w:val="20"/>
              </w:rPr>
            </w:pPr>
          </w:p>
        </w:tc>
        <w:tc>
          <w:tcPr>
            <w:tcW w:w="1092" w:type="dxa"/>
            <w:shd w:val="clear" w:color="auto" w:fill="F6F6F6"/>
            <w:tcMar>
              <w:top w:w="0" w:type="dxa"/>
              <w:left w:w="0" w:type="dxa"/>
              <w:bottom w:w="0" w:type="dxa"/>
              <w:right w:w="0" w:type="dxa"/>
            </w:tcMar>
            <w:vAlign w:val="center"/>
          </w:tcPr>
          <w:p w14:paraId="126F5059"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536A245F"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6F6F6"/>
            <w:tcMar>
              <w:top w:w="0" w:type="dxa"/>
              <w:left w:w="0" w:type="dxa"/>
              <w:bottom w:w="0" w:type="dxa"/>
              <w:right w:w="0" w:type="dxa"/>
            </w:tcMar>
            <w:vAlign w:val="center"/>
          </w:tcPr>
          <w:p w14:paraId="2A0239A3"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3269F5FC" w14:textId="77777777" w:rsidR="00D52E9A" w:rsidRPr="00186B85" w:rsidRDefault="00D52E9A" w:rsidP="00350028">
            <w:pPr>
              <w:keepNext/>
              <w:spacing w:before="0" w:after="0" w:line="240" w:lineRule="auto"/>
              <w:ind w:left="100" w:right="100" w:firstLine="0"/>
              <w:jc w:val="right"/>
              <w:rPr>
                <w:sz w:val="20"/>
                <w:szCs w:val="20"/>
              </w:rPr>
            </w:pPr>
          </w:p>
        </w:tc>
        <w:tc>
          <w:tcPr>
            <w:tcW w:w="1183" w:type="dxa"/>
            <w:shd w:val="clear" w:color="auto" w:fill="F6F6F6"/>
            <w:tcMar>
              <w:top w:w="0" w:type="dxa"/>
              <w:left w:w="0" w:type="dxa"/>
              <w:bottom w:w="0" w:type="dxa"/>
              <w:right w:w="0" w:type="dxa"/>
            </w:tcMar>
            <w:vAlign w:val="center"/>
          </w:tcPr>
          <w:p w14:paraId="260EA13C"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0.037</w:t>
            </w:r>
          </w:p>
        </w:tc>
        <w:tc>
          <w:tcPr>
            <w:tcW w:w="909" w:type="dxa"/>
            <w:shd w:val="clear" w:color="auto" w:fill="F6F6F6"/>
            <w:tcMar>
              <w:top w:w="0" w:type="dxa"/>
              <w:left w:w="0" w:type="dxa"/>
              <w:bottom w:w="0" w:type="dxa"/>
              <w:right w:w="0" w:type="dxa"/>
            </w:tcMar>
            <w:vAlign w:val="center"/>
          </w:tcPr>
          <w:p w14:paraId="1A4C48BA"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3.742</w:t>
            </w:r>
          </w:p>
        </w:tc>
        <w:tc>
          <w:tcPr>
            <w:tcW w:w="909" w:type="dxa"/>
            <w:shd w:val="clear" w:color="auto" w:fill="F6F6F6"/>
            <w:tcMar>
              <w:top w:w="0" w:type="dxa"/>
              <w:left w:w="0" w:type="dxa"/>
              <w:bottom w:w="0" w:type="dxa"/>
              <w:right w:w="0" w:type="dxa"/>
            </w:tcMar>
            <w:vAlign w:val="center"/>
          </w:tcPr>
          <w:p w14:paraId="7B8EB772"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0.039</w:t>
            </w:r>
          </w:p>
        </w:tc>
        <w:tc>
          <w:tcPr>
            <w:tcW w:w="1095" w:type="dxa"/>
            <w:shd w:val="clear" w:color="auto" w:fill="F6F6F6"/>
            <w:tcMar>
              <w:top w:w="0" w:type="dxa"/>
              <w:left w:w="0" w:type="dxa"/>
              <w:bottom w:w="0" w:type="dxa"/>
              <w:right w:w="0" w:type="dxa"/>
            </w:tcMar>
            <w:vAlign w:val="center"/>
          </w:tcPr>
          <w:p w14:paraId="2D20933E"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0.345</w:t>
            </w:r>
          </w:p>
        </w:tc>
      </w:tr>
      <w:tr w:rsidR="001179F5" w:rsidRPr="00186B85" w14:paraId="6F3B7509" w14:textId="77777777" w:rsidTr="001179F5">
        <w:trPr>
          <w:gridAfter w:val="1"/>
          <w:wAfter w:w="8" w:type="dxa"/>
          <w:cantSplit/>
          <w:trHeight w:val="198"/>
        </w:trPr>
        <w:tc>
          <w:tcPr>
            <w:tcW w:w="2458" w:type="dxa"/>
            <w:tcBorders>
              <w:bottom w:val="single" w:sz="12" w:space="0" w:color="000000"/>
            </w:tcBorders>
            <w:shd w:val="clear" w:color="auto" w:fill="FFFFFF"/>
            <w:tcMar>
              <w:top w:w="0" w:type="dxa"/>
              <w:left w:w="0" w:type="dxa"/>
              <w:bottom w:w="0" w:type="dxa"/>
              <w:right w:w="0" w:type="dxa"/>
            </w:tcMar>
            <w:vAlign w:val="center"/>
          </w:tcPr>
          <w:p w14:paraId="5EB2F8D7"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Scientific Literacy (within) x OECD</w:t>
            </w:r>
          </w:p>
        </w:tc>
        <w:tc>
          <w:tcPr>
            <w:tcW w:w="1092" w:type="dxa"/>
            <w:tcBorders>
              <w:bottom w:val="single" w:sz="12" w:space="0" w:color="000000"/>
            </w:tcBorders>
            <w:shd w:val="clear" w:color="auto" w:fill="FFFFFF"/>
            <w:tcMar>
              <w:top w:w="0" w:type="dxa"/>
              <w:left w:w="0" w:type="dxa"/>
              <w:bottom w:w="0" w:type="dxa"/>
              <w:right w:w="0" w:type="dxa"/>
            </w:tcMar>
            <w:vAlign w:val="center"/>
          </w:tcPr>
          <w:p w14:paraId="13014991" w14:textId="77777777" w:rsidR="00D52E9A" w:rsidRPr="00186B85" w:rsidRDefault="00D52E9A" w:rsidP="00350028">
            <w:pPr>
              <w:keepNext/>
              <w:spacing w:before="0" w:after="0" w:line="240" w:lineRule="auto"/>
              <w:ind w:left="100" w:right="100" w:firstLine="0"/>
              <w:jc w:val="right"/>
              <w:rPr>
                <w:sz w:val="20"/>
                <w:szCs w:val="20"/>
              </w:rPr>
            </w:pPr>
          </w:p>
        </w:tc>
        <w:tc>
          <w:tcPr>
            <w:tcW w:w="727" w:type="dxa"/>
            <w:tcBorders>
              <w:bottom w:val="single" w:sz="12" w:space="0" w:color="000000"/>
            </w:tcBorders>
            <w:shd w:val="clear" w:color="auto" w:fill="FFFFFF"/>
            <w:tcMar>
              <w:top w:w="0" w:type="dxa"/>
              <w:left w:w="0" w:type="dxa"/>
              <w:bottom w:w="0" w:type="dxa"/>
              <w:right w:w="0" w:type="dxa"/>
            </w:tcMar>
            <w:vAlign w:val="center"/>
          </w:tcPr>
          <w:p w14:paraId="33700403" w14:textId="77777777" w:rsidR="00D52E9A" w:rsidRPr="00186B85" w:rsidRDefault="00D52E9A" w:rsidP="00350028">
            <w:pPr>
              <w:keepNext/>
              <w:spacing w:before="0" w:after="0" w:line="240" w:lineRule="auto"/>
              <w:ind w:left="100" w:right="100" w:firstLine="0"/>
              <w:jc w:val="right"/>
              <w:rPr>
                <w:sz w:val="20"/>
                <w:szCs w:val="20"/>
              </w:rPr>
            </w:pPr>
          </w:p>
        </w:tc>
        <w:tc>
          <w:tcPr>
            <w:tcW w:w="818" w:type="dxa"/>
            <w:tcBorders>
              <w:bottom w:val="single" w:sz="12" w:space="0" w:color="000000"/>
            </w:tcBorders>
            <w:shd w:val="clear" w:color="auto" w:fill="FFFFFF"/>
            <w:tcMar>
              <w:top w:w="0" w:type="dxa"/>
              <w:left w:w="0" w:type="dxa"/>
              <w:bottom w:w="0" w:type="dxa"/>
              <w:right w:w="0" w:type="dxa"/>
            </w:tcMar>
            <w:vAlign w:val="center"/>
          </w:tcPr>
          <w:p w14:paraId="6B56B3BD" w14:textId="77777777" w:rsidR="00D52E9A" w:rsidRPr="00186B85" w:rsidRDefault="00D52E9A" w:rsidP="00350028">
            <w:pPr>
              <w:keepNext/>
              <w:spacing w:before="0" w:after="0" w:line="240" w:lineRule="auto"/>
              <w:ind w:left="100" w:right="100" w:firstLine="0"/>
              <w:jc w:val="right"/>
              <w:rPr>
                <w:sz w:val="20"/>
                <w:szCs w:val="20"/>
              </w:rPr>
            </w:pPr>
          </w:p>
        </w:tc>
        <w:tc>
          <w:tcPr>
            <w:tcW w:w="911" w:type="dxa"/>
            <w:tcBorders>
              <w:bottom w:val="single" w:sz="12" w:space="0" w:color="000000"/>
            </w:tcBorders>
            <w:shd w:val="clear" w:color="auto" w:fill="FFFFFF"/>
            <w:tcMar>
              <w:top w:w="0" w:type="dxa"/>
              <w:left w:w="0" w:type="dxa"/>
              <w:bottom w:w="0" w:type="dxa"/>
              <w:right w:w="0" w:type="dxa"/>
            </w:tcMar>
            <w:vAlign w:val="center"/>
          </w:tcPr>
          <w:p w14:paraId="783A52E4" w14:textId="77777777" w:rsidR="00D52E9A" w:rsidRPr="00186B85" w:rsidRDefault="00D52E9A" w:rsidP="00350028">
            <w:pPr>
              <w:keepNext/>
              <w:spacing w:before="0" w:after="0" w:line="240" w:lineRule="auto"/>
              <w:ind w:left="100" w:right="100" w:firstLine="0"/>
              <w:jc w:val="right"/>
              <w:rPr>
                <w:sz w:val="20"/>
                <w:szCs w:val="20"/>
              </w:rPr>
            </w:pPr>
          </w:p>
        </w:tc>
        <w:tc>
          <w:tcPr>
            <w:tcW w:w="1092" w:type="dxa"/>
            <w:tcBorders>
              <w:bottom w:val="single" w:sz="12" w:space="0" w:color="000000"/>
            </w:tcBorders>
            <w:shd w:val="clear" w:color="auto" w:fill="FFFFFF"/>
            <w:tcMar>
              <w:top w:w="0" w:type="dxa"/>
              <w:left w:w="0" w:type="dxa"/>
              <w:bottom w:w="0" w:type="dxa"/>
              <w:right w:w="0" w:type="dxa"/>
            </w:tcMar>
            <w:vAlign w:val="center"/>
          </w:tcPr>
          <w:p w14:paraId="708AF122" w14:textId="77777777" w:rsidR="00D52E9A" w:rsidRPr="00186B85" w:rsidRDefault="00D52E9A" w:rsidP="00350028">
            <w:pPr>
              <w:keepNext/>
              <w:spacing w:before="0" w:after="0" w:line="240" w:lineRule="auto"/>
              <w:ind w:left="100" w:right="100" w:firstLine="0"/>
              <w:jc w:val="right"/>
              <w:rPr>
                <w:sz w:val="20"/>
                <w:szCs w:val="20"/>
              </w:rPr>
            </w:pPr>
          </w:p>
        </w:tc>
        <w:tc>
          <w:tcPr>
            <w:tcW w:w="818" w:type="dxa"/>
            <w:tcBorders>
              <w:bottom w:val="single" w:sz="12" w:space="0" w:color="000000"/>
            </w:tcBorders>
            <w:shd w:val="clear" w:color="auto" w:fill="FFFFFF"/>
            <w:tcMar>
              <w:top w:w="0" w:type="dxa"/>
              <w:left w:w="0" w:type="dxa"/>
              <w:bottom w:w="0" w:type="dxa"/>
              <w:right w:w="0" w:type="dxa"/>
            </w:tcMar>
            <w:vAlign w:val="center"/>
          </w:tcPr>
          <w:p w14:paraId="1D518C61" w14:textId="77777777" w:rsidR="00D52E9A" w:rsidRPr="00186B85" w:rsidRDefault="00D52E9A" w:rsidP="00350028">
            <w:pPr>
              <w:keepNext/>
              <w:spacing w:before="0" w:after="0" w:line="240" w:lineRule="auto"/>
              <w:ind w:left="100" w:right="100" w:firstLine="0"/>
              <w:jc w:val="right"/>
              <w:rPr>
                <w:sz w:val="20"/>
                <w:szCs w:val="20"/>
              </w:rPr>
            </w:pPr>
          </w:p>
        </w:tc>
        <w:tc>
          <w:tcPr>
            <w:tcW w:w="909" w:type="dxa"/>
            <w:tcBorders>
              <w:bottom w:val="single" w:sz="12" w:space="0" w:color="000000"/>
            </w:tcBorders>
            <w:shd w:val="clear" w:color="auto" w:fill="FFFFFF"/>
            <w:tcMar>
              <w:top w:w="0" w:type="dxa"/>
              <w:left w:w="0" w:type="dxa"/>
              <w:bottom w:w="0" w:type="dxa"/>
              <w:right w:w="0" w:type="dxa"/>
            </w:tcMar>
            <w:vAlign w:val="center"/>
          </w:tcPr>
          <w:p w14:paraId="5C8335C9" w14:textId="77777777" w:rsidR="00D52E9A" w:rsidRPr="00186B85" w:rsidRDefault="00D52E9A" w:rsidP="00350028">
            <w:pPr>
              <w:keepNext/>
              <w:spacing w:before="0" w:after="0" w:line="240" w:lineRule="auto"/>
              <w:ind w:left="100" w:right="100" w:firstLine="0"/>
              <w:jc w:val="right"/>
              <w:rPr>
                <w:sz w:val="20"/>
                <w:szCs w:val="20"/>
              </w:rPr>
            </w:pPr>
          </w:p>
        </w:tc>
        <w:tc>
          <w:tcPr>
            <w:tcW w:w="911" w:type="dxa"/>
            <w:tcBorders>
              <w:bottom w:val="single" w:sz="12" w:space="0" w:color="000000"/>
            </w:tcBorders>
            <w:shd w:val="clear" w:color="auto" w:fill="FFFFFF"/>
            <w:tcMar>
              <w:top w:w="0" w:type="dxa"/>
              <w:left w:w="0" w:type="dxa"/>
              <w:bottom w:w="0" w:type="dxa"/>
              <w:right w:w="0" w:type="dxa"/>
            </w:tcMar>
            <w:vAlign w:val="center"/>
          </w:tcPr>
          <w:p w14:paraId="30B343FA" w14:textId="77777777" w:rsidR="00D52E9A" w:rsidRPr="00186B85" w:rsidRDefault="00D52E9A" w:rsidP="00350028">
            <w:pPr>
              <w:keepNext/>
              <w:spacing w:before="0" w:after="0" w:line="240" w:lineRule="auto"/>
              <w:ind w:left="100" w:right="100" w:firstLine="0"/>
              <w:jc w:val="right"/>
              <w:rPr>
                <w:sz w:val="20"/>
                <w:szCs w:val="20"/>
              </w:rPr>
            </w:pPr>
          </w:p>
        </w:tc>
        <w:tc>
          <w:tcPr>
            <w:tcW w:w="1183" w:type="dxa"/>
            <w:tcBorders>
              <w:bottom w:val="single" w:sz="12" w:space="0" w:color="000000"/>
            </w:tcBorders>
            <w:shd w:val="clear" w:color="auto" w:fill="FFFFFF"/>
            <w:tcMar>
              <w:top w:w="0" w:type="dxa"/>
              <w:left w:w="0" w:type="dxa"/>
              <w:bottom w:w="0" w:type="dxa"/>
              <w:right w:w="0" w:type="dxa"/>
            </w:tcMar>
            <w:vAlign w:val="center"/>
          </w:tcPr>
          <w:p w14:paraId="68438D22"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0.000</w:t>
            </w:r>
          </w:p>
        </w:tc>
        <w:tc>
          <w:tcPr>
            <w:tcW w:w="909" w:type="dxa"/>
            <w:tcBorders>
              <w:bottom w:val="single" w:sz="12" w:space="0" w:color="000000"/>
            </w:tcBorders>
            <w:shd w:val="clear" w:color="auto" w:fill="FFFFFF"/>
            <w:tcMar>
              <w:top w:w="0" w:type="dxa"/>
              <w:left w:w="0" w:type="dxa"/>
              <w:bottom w:w="0" w:type="dxa"/>
              <w:right w:w="0" w:type="dxa"/>
            </w:tcMar>
            <w:vAlign w:val="center"/>
          </w:tcPr>
          <w:p w14:paraId="028A3DDA"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-0.043</w:t>
            </w:r>
          </w:p>
        </w:tc>
        <w:tc>
          <w:tcPr>
            <w:tcW w:w="909" w:type="dxa"/>
            <w:tcBorders>
              <w:bottom w:val="single" w:sz="12" w:space="0" w:color="000000"/>
            </w:tcBorders>
            <w:shd w:val="clear" w:color="auto" w:fill="FFFFFF"/>
            <w:tcMar>
              <w:top w:w="0" w:type="dxa"/>
              <w:left w:w="0" w:type="dxa"/>
              <w:bottom w:w="0" w:type="dxa"/>
              <w:right w:w="0" w:type="dxa"/>
            </w:tcMar>
            <w:vAlign w:val="center"/>
          </w:tcPr>
          <w:p w14:paraId="0C738846"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0.001</w:t>
            </w:r>
          </w:p>
        </w:tc>
        <w:tc>
          <w:tcPr>
            <w:tcW w:w="1095" w:type="dxa"/>
            <w:tcBorders>
              <w:bottom w:val="single" w:sz="12" w:space="0" w:color="000000"/>
            </w:tcBorders>
            <w:shd w:val="clear" w:color="auto" w:fill="FFFFFF"/>
            <w:tcMar>
              <w:top w:w="0" w:type="dxa"/>
              <w:left w:w="0" w:type="dxa"/>
              <w:bottom w:w="0" w:type="dxa"/>
              <w:right w:w="0" w:type="dxa"/>
            </w:tcMar>
            <w:vAlign w:val="center"/>
          </w:tcPr>
          <w:p w14:paraId="473FA220"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0.696</w:t>
            </w:r>
          </w:p>
        </w:tc>
      </w:tr>
      <w:tr w:rsidR="001179F5" w:rsidRPr="00186B85" w14:paraId="5E8A8181" w14:textId="77777777" w:rsidTr="001179F5">
        <w:trPr>
          <w:gridAfter w:val="1"/>
          <w:wAfter w:w="8" w:type="dxa"/>
          <w:cantSplit/>
          <w:trHeight w:val="179"/>
        </w:trPr>
        <w:tc>
          <w:tcPr>
            <w:tcW w:w="2458" w:type="dxa"/>
            <w:tcBorders>
              <w:top w:val="single" w:sz="12" w:space="0" w:color="000000"/>
            </w:tcBorders>
            <w:shd w:val="clear" w:color="auto" w:fill="F6F6F6"/>
            <w:tcMar>
              <w:top w:w="0" w:type="dxa"/>
              <w:left w:w="0" w:type="dxa"/>
              <w:bottom w:w="0" w:type="dxa"/>
              <w:right w:w="0" w:type="dxa"/>
            </w:tcMar>
            <w:vAlign w:val="center"/>
          </w:tcPr>
          <w:p w14:paraId="5705DFDE" w14:textId="77777777" w:rsidR="00D52E9A" w:rsidRPr="00186B85" w:rsidRDefault="00D52E9A" w:rsidP="00350028">
            <w:pPr>
              <w:keepNext/>
              <w:spacing w:before="0" w:after="0" w:line="240" w:lineRule="auto"/>
              <w:ind w:left="100" w:right="100" w:firstLine="0"/>
              <w:rPr>
                <w:sz w:val="20"/>
                <w:szCs w:val="20"/>
              </w:rPr>
            </w:pPr>
            <w:r w:rsidRPr="00186B85">
              <w:rPr>
                <w:rFonts w:eastAsia="Arial"/>
                <w:i/>
                <w:color w:val="000000"/>
                <w:sz w:val="20"/>
                <w:szCs w:val="20"/>
              </w:rPr>
              <w:t>τ</w:t>
            </w:r>
            <w:r w:rsidRPr="00186B85">
              <w:rPr>
                <w:rFonts w:eastAsia="Arial"/>
                <w:color w:val="000000"/>
                <w:sz w:val="20"/>
                <w:szCs w:val="20"/>
                <w:vertAlign w:val="subscript"/>
              </w:rPr>
              <w:t>00</w:t>
            </w:r>
          </w:p>
        </w:tc>
        <w:tc>
          <w:tcPr>
            <w:tcW w:w="1092" w:type="dxa"/>
            <w:tcBorders>
              <w:top w:val="single" w:sz="12" w:space="0" w:color="000000"/>
            </w:tcBorders>
            <w:shd w:val="clear" w:color="auto" w:fill="F6F6F6"/>
            <w:tcMar>
              <w:top w:w="0" w:type="dxa"/>
              <w:left w:w="0" w:type="dxa"/>
              <w:bottom w:w="0" w:type="dxa"/>
              <w:right w:w="0" w:type="dxa"/>
            </w:tcMar>
            <w:vAlign w:val="center"/>
          </w:tcPr>
          <w:p w14:paraId="176A1C65"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0.827</w:t>
            </w:r>
          </w:p>
        </w:tc>
        <w:tc>
          <w:tcPr>
            <w:tcW w:w="727" w:type="dxa"/>
            <w:tcBorders>
              <w:top w:val="single" w:sz="12" w:space="0" w:color="000000"/>
            </w:tcBorders>
            <w:shd w:val="clear" w:color="auto" w:fill="F6F6F6"/>
            <w:tcMar>
              <w:top w:w="0" w:type="dxa"/>
              <w:left w:w="0" w:type="dxa"/>
              <w:bottom w:w="0" w:type="dxa"/>
              <w:right w:w="0" w:type="dxa"/>
            </w:tcMar>
            <w:vAlign w:val="center"/>
          </w:tcPr>
          <w:p w14:paraId="5CD012E0" w14:textId="77777777" w:rsidR="00D52E9A" w:rsidRPr="00186B85" w:rsidRDefault="00D52E9A" w:rsidP="00350028">
            <w:pPr>
              <w:keepNext/>
              <w:spacing w:before="0" w:after="0" w:line="240" w:lineRule="auto"/>
              <w:ind w:left="100" w:right="100" w:firstLine="0"/>
              <w:jc w:val="right"/>
              <w:rPr>
                <w:sz w:val="20"/>
                <w:szCs w:val="20"/>
              </w:rPr>
            </w:pPr>
          </w:p>
        </w:tc>
        <w:tc>
          <w:tcPr>
            <w:tcW w:w="818" w:type="dxa"/>
            <w:tcBorders>
              <w:top w:val="single" w:sz="12" w:space="0" w:color="000000"/>
            </w:tcBorders>
            <w:shd w:val="clear" w:color="auto" w:fill="F6F6F6"/>
            <w:tcMar>
              <w:top w:w="0" w:type="dxa"/>
              <w:left w:w="0" w:type="dxa"/>
              <w:bottom w:w="0" w:type="dxa"/>
              <w:right w:w="0" w:type="dxa"/>
            </w:tcMar>
            <w:vAlign w:val="center"/>
          </w:tcPr>
          <w:p w14:paraId="35710074" w14:textId="77777777" w:rsidR="00D52E9A" w:rsidRPr="00186B85" w:rsidRDefault="00D52E9A" w:rsidP="00350028">
            <w:pPr>
              <w:keepNext/>
              <w:spacing w:before="0" w:after="0" w:line="240" w:lineRule="auto"/>
              <w:ind w:left="100" w:right="100" w:firstLine="0"/>
              <w:jc w:val="right"/>
              <w:rPr>
                <w:sz w:val="20"/>
                <w:szCs w:val="20"/>
              </w:rPr>
            </w:pPr>
          </w:p>
        </w:tc>
        <w:tc>
          <w:tcPr>
            <w:tcW w:w="911" w:type="dxa"/>
            <w:tcBorders>
              <w:top w:val="single" w:sz="12" w:space="0" w:color="000000"/>
            </w:tcBorders>
            <w:shd w:val="clear" w:color="auto" w:fill="F6F6F6"/>
            <w:tcMar>
              <w:top w:w="0" w:type="dxa"/>
              <w:left w:w="0" w:type="dxa"/>
              <w:bottom w:w="0" w:type="dxa"/>
              <w:right w:w="0" w:type="dxa"/>
            </w:tcMar>
            <w:vAlign w:val="center"/>
          </w:tcPr>
          <w:p w14:paraId="4B2B3D41" w14:textId="77777777" w:rsidR="00D52E9A" w:rsidRPr="00186B85" w:rsidRDefault="00D52E9A" w:rsidP="00350028">
            <w:pPr>
              <w:keepNext/>
              <w:spacing w:before="0" w:after="0" w:line="240" w:lineRule="auto"/>
              <w:ind w:left="100" w:right="100" w:firstLine="0"/>
              <w:rPr>
                <w:sz w:val="20"/>
                <w:szCs w:val="20"/>
              </w:rPr>
            </w:pPr>
          </w:p>
        </w:tc>
        <w:tc>
          <w:tcPr>
            <w:tcW w:w="1092" w:type="dxa"/>
            <w:tcBorders>
              <w:top w:val="single" w:sz="12" w:space="0" w:color="000000"/>
            </w:tcBorders>
            <w:shd w:val="clear" w:color="auto" w:fill="F6F6F6"/>
            <w:tcMar>
              <w:top w:w="0" w:type="dxa"/>
              <w:left w:w="0" w:type="dxa"/>
              <w:bottom w:w="0" w:type="dxa"/>
              <w:right w:w="0" w:type="dxa"/>
            </w:tcMar>
            <w:vAlign w:val="center"/>
          </w:tcPr>
          <w:p w14:paraId="54D9BBA8"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0.710</w:t>
            </w:r>
          </w:p>
        </w:tc>
        <w:tc>
          <w:tcPr>
            <w:tcW w:w="818" w:type="dxa"/>
            <w:tcBorders>
              <w:top w:val="single" w:sz="12" w:space="0" w:color="000000"/>
            </w:tcBorders>
            <w:shd w:val="clear" w:color="auto" w:fill="F6F6F6"/>
            <w:tcMar>
              <w:top w:w="0" w:type="dxa"/>
              <w:left w:w="0" w:type="dxa"/>
              <w:bottom w:w="0" w:type="dxa"/>
              <w:right w:w="0" w:type="dxa"/>
            </w:tcMar>
            <w:vAlign w:val="center"/>
          </w:tcPr>
          <w:p w14:paraId="4000FC17" w14:textId="77777777" w:rsidR="00D52E9A" w:rsidRPr="00186B85" w:rsidRDefault="00D52E9A" w:rsidP="00350028">
            <w:pPr>
              <w:keepNext/>
              <w:spacing w:before="0" w:after="0" w:line="240" w:lineRule="auto"/>
              <w:ind w:left="100" w:right="100" w:firstLine="0"/>
              <w:jc w:val="right"/>
              <w:rPr>
                <w:sz w:val="20"/>
                <w:szCs w:val="20"/>
              </w:rPr>
            </w:pPr>
          </w:p>
        </w:tc>
        <w:tc>
          <w:tcPr>
            <w:tcW w:w="909" w:type="dxa"/>
            <w:tcBorders>
              <w:top w:val="single" w:sz="12" w:space="0" w:color="000000"/>
            </w:tcBorders>
            <w:shd w:val="clear" w:color="auto" w:fill="F6F6F6"/>
            <w:tcMar>
              <w:top w:w="0" w:type="dxa"/>
              <w:left w:w="0" w:type="dxa"/>
              <w:bottom w:w="0" w:type="dxa"/>
              <w:right w:w="0" w:type="dxa"/>
            </w:tcMar>
            <w:vAlign w:val="center"/>
          </w:tcPr>
          <w:p w14:paraId="00D3D2F4" w14:textId="77777777" w:rsidR="00D52E9A" w:rsidRPr="00186B85" w:rsidRDefault="00D52E9A" w:rsidP="00350028">
            <w:pPr>
              <w:keepNext/>
              <w:spacing w:before="0" w:after="0" w:line="240" w:lineRule="auto"/>
              <w:ind w:left="100" w:right="100" w:firstLine="0"/>
              <w:jc w:val="right"/>
              <w:rPr>
                <w:sz w:val="20"/>
                <w:szCs w:val="20"/>
              </w:rPr>
            </w:pPr>
          </w:p>
        </w:tc>
        <w:tc>
          <w:tcPr>
            <w:tcW w:w="911" w:type="dxa"/>
            <w:tcBorders>
              <w:top w:val="single" w:sz="12" w:space="0" w:color="000000"/>
            </w:tcBorders>
            <w:shd w:val="clear" w:color="auto" w:fill="F6F6F6"/>
            <w:tcMar>
              <w:top w:w="0" w:type="dxa"/>
              <w:left w:w="0" w:type="dxa"/>
              <w:bottom w:w="0" w:type="dxa"/>
              <w:right w:w="0" w:type="dxa"/>
            </w:tcMar>
            <w:vAlign w:val="center"/>
          </w:tcPr>
          <w:p w14:paraId="595090E3" w14:textId="77777777" w:rsidR="00D52E9A" w:rsidRPr="00186B85" w:rsidRDefault="00D52E9A" w:rsidP="00350028">
            <w:pPr>
              <w:keepNext/>
              <w:spacing w:before="0" w:after="0" w:line="240" w:lineRule="auto"/>
              <w:ind w:left="100" w:right="100" w:firstLine="0"/>
              <w:rPr>
                <w:sz w:val="20"/>
                <w:szCs w:val="20"/>
              </w:rPr>
            </w:pPr>
          </w:p>
        </w:tc>
        <w:tc>
          <w:tcPr>
            <w:tcW w:w="1183" w:type="dxa"/>
            <w:tcBorders>
              <w:top w:val="single" w:sz="12" w:space="0" w:color="000000"/>
            </w:tcBorders>
            <w:shd w:val="clear" w:color="auto" w:fill="F6F6F6"/>
            <w:tcMar>
              <w:top w:w="0" w:type="dxa"/>
              <w:left w:w="0" w:type="dxa"/>
              <w:bottom w:w="0" w:type="dxa"/>
              <w:right w:w="0" w:type="dxa"/>
            </w:tcMar>
            <w:vAlign w:val="center"/>
          </w:tcPr>
          <w:p w14:paraId="02D341CA"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0.682</w:t>
            </w:r>
          </w:p>
        </w:tc>
        <w:tc>
          <w:tcPr>
            <w:tcW w:w="909" w:type="dxa"/>
            <w:tcBorders>
              <w:top w:val="single" w:sz="12" w:space="0" w:color="000000"/>
            </w:tcBorders>
            <w:shd w:val="clear" w:color="auto" w:fill="F6F6F6"/>
            <w:tcMar>
              <w:top w:w="0" w:type="dxa"/>
              <w:left w:w="0" w:type="dxa"/>
              <w:bottom w:w="0" w:type="dxa"/>
              <w:right w:w="0" w:type="dxa"/>
            </w:tcMar>
            <w:vAlign w:val="center"/>
          </w:tcPr>
          <w:p w14:paraId="7D8FA1D8" w14:textId="77777777" w:rsidR="00D52E9A" w:rsidRPr="00186B85" w:rsidRDefault="00D52E9A" w:rsidP="00350028">
            <w:pPr>
              <w:keepNext/>
              <w:spacing w:before="0" w:after="0" w:line="240" w:lineRule="auto"/>
              <w:ind w:left="100" w:right="100" w:firstLine="0"/>
              <w:jc w:val="right"/>
              <w:rPr>
                <w:sz w:val="20"/>
                <w:szCs w:val="20"/>
              </w:rPr>
            </w:pPr>
          </w:p>
        </w:tc>
        <w:tc>
          <w:tcPr>
            <w:tcW w:w="909" w:type="dxa"/>
            <w:tcBorders>
              <w:top w:val="single" w:sz="12" w:space="0" w:color="000000"/>
            </w:tcBorders>
            <w:shd w:val="clear" w:color="auto" w:fill="F6F6F6"/>
            <w:tcMar>
              <w:top w:w="0" w:type="dxa"/>
              <w:left w:w="0" w:type="dxa"/>
              <w:bottom w:w="0" w:type="dxa"/>
              <w:right w:w="0" w:type="dxa"/>
            </w:tcMar>
            <w:vAlign w:val="center"/>
          </w:tcPr>
          <w:p w14:paraId="0A40D5E8" w14:textId="77777777" w:rsidR="00D52E9A" w:rsidRPr="00186B85" w:rsidRDefault="00D52E9A" w:rsidP="00350028">
            <w:pPr>
              <w:keepNext/>
              <w:spacing w:before="0" w:after="0" w:line="240" w:lineRule="auto"/>
              <w:ind w:left="100" w:right="100" w:firstLine="0"/>
              <w:jc w:val="right"/>
              <w:rPr>
                <w:sz w:val="20"/>
                <w:szCs w:val="20"/>
              </w:rPr>
            </w:pPr>
          </w:p>
        </w:tc>
        <w:tc>
          <w:tcPr>
            <w:tcW w:w="1095" w:type="dxa"/>
            <w:tcBorders>
              <w:top w:val="single" w:sz="12" w:space="0" w:color="000000"/>
            </w:tcBorders>
            <w:shd w:val="clear" w:color="auto" w:fill="F6F6F6"/>
            <w:tcMar>
              <w:top w:w="0" w:type="dxa"/>
              <w:left w:w="0" w:type="dxa"/>
              <w:bottom w:w="0" w:type="dxa"/>
              <w:right w:w="0" w:type="dxa"/>
            </w:tcMar>
            <w:vAlign w:val="center"/>
          </w:tcPr>
          <w:p w14:paraId="745AE830" w14:textId="77777777" w:rsidR="00D52E9A" w:rsidRPr="00186B85" w:rsidRDefault="00D52E9A" w:rsidP="00350028">
            <w:pPr>
              <w:keepNext/>
              <w:spacing w:before="0" w:after="0" w:line="240" w:lineRule="auto"/>
              <w:ind w:left="100" w:right="100" w:firstLine="0"/>
              <w:rPr>
                <w:sz w:val="20"/>
                <w:szCs w:val="20"/>
              </w:rPr>
            </w:pPr>
          </w:p>
        </w:tc>
      </w:tr>
      <w:tr w:rsidR="001179F5" w:rsidRPr="00186B85" w14:paraId="1825FB5C" w14:textId="77777777" w:rsidTr="001179F5">
        <w:trPr>
          <w:gridAfter w:val="1"/>
          <w:wAfter w:w="8" w:type="dxa"/>
          <w:cantSplit/>
          <w:trHeight w:val="179"/>
        </w:trPr>
        <w:tc>
          <w:tcPr>
            <w:tcW w:w="2458" w:type="dxa"/>
            <w:shd w:val="clear" w:color="auto" w:fill="FFFFFF"/>
            <w:tcMar>
              <w:top w:w="0" w:type="dxa"/>
              <w:left w:w="0" w:type="dxa"/>
              <w:bottom w:w="0" w:type="dxa"/>
              <w:right w:w="0" w:type="dxa"/>
            </w:tcMar>
            <w:vAlign w:val="center"/>
          </w:tcPr>
          <w:p w14:paraId="02972CAD" w14:textId="77777777" w:rsidR="00D52E9A" w:rsidRPr="00186B85" w:rsidRDefault="00D52E9A" w:rsidP="00350028">
            <w:pPr>
              <w:keepNext/>
              <w:spacing w:before="0" w:after="0" w:line="240" w:lineRule="auto"/>
              <w:ind w:left="100" w:right="100" w:firstLine="0"/>
              <w:rPr>
                <w:sz w:val="20"/>
                <w:szCs w:val="20"/>
              </w:rPr>
            </w:pPr>
            <w:r w:rsidRPr="00186B85">
              <w:rPr>
                <w:rFonts w:eastAsia="Arial"/>
                <w:i/>
                <w:color w:val="000000"/>
                <w:sz w:val="20"/>
                <w:szCs w:val="20"/>
              </w:rPr>
              <w:t>τ</w:t>
            </w:r>
            <w:r w:rsidRPr="00186B85">
              <w:rPr>
                <w:rFonts w:eastAsia="Arial"/>
                <w:color w:val="000000"/>
                <w:sz w:val="20"/>
                <w:szCs w:val="20"/>
                <w:vertAlign w:val="subscript"/>
              </w:rPr>
              <w:t>11</w:t>
            </w:r>
          </w:p>
        </w:tc>
        <w:tc>
          <w:tcPr>
            <w:tcW w:w="1092" w:type="dxa"/>
            <w:shd w:val="clear" w:color="auto" w:fill="FFFFFF"/>
            <w:tcMar>
              <w:top w:w="0" w:type="dxa"/>
              <w:left w:w="0" w:type="dxa"/>
              <w:bottom w:w="0" w:type="dxa"/>
              <w:right w:w="0" w:type="dxa"/>
            </w:tcMar>
            <w:vAlign w:val="center"/>
          </w:tcPr>
          <w:p w14:paraId="7C999128"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0.058</w:t>
            </w:r>
          </w:p>
        </w:tc>
        <w:tc>
          <w:tcPr>
            <w:tcW w:w="727" w:type="dxa"/>
            <w:shd w:val="clear" w:color="auto" w:fill="FFFFFF"/>
            <w:tcMar>
              <w:top w:w="0" w:type="dxa"/>
              <w:left w:w="0" w:type="dxa"/>
              <w:bottom w:w="0" w:type="dxa"/>
              <w:right w:w="0" w:type="dxa"/>
            </w:tcMar>
            <w:vAlign w:val="center"/>
          </w:tcPr>
          <w:p w14:paraId="2A62A119"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FFFFF"/>
            <w:tcMar>
              <w:top w:w="0" w:type="dxa"/>
              <w:left w:w="0" w:type="dxa"/>
              <w:bottom w:w="0" w:type="dxa"/>
              <w:right w:w="0" w:type="dxa"/>
            </w:tcMar>
            <w:vAlign w:val="center"/>
          </w:tcPr>
          <w:p w14:paraId="24CB0657"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1BBEEB4F" w14:textId="77777777" w:rsidR="00D52E9A" w:rsidRPr="00186B85" w:rsidRDefault="00D52E9A" w:rsidP="00350028">
            <w:pPr>
              <w:keepNext/>
              <w:spacing w:before="0" w:after="0" w:line="240" w:lineRule="auto"/>
              <w:ind w:left="100" w:right="100" w:firstLine="0"/>
              <w:rPr>
                <w:sz w:val="20"/>
                <w:szCs w:val="20"/>
              </w:rPr>
            </w:pPr>
          </w:p>
        </w:tc>
        <w:tc>
          <w:tcPr>
            <w:tcW w:w="1092" w:type="dxa"/>
            <w:shd w:val="clear" w:color="auto" w:fill="FFFFFF"/>
            <w:tcMar>
              <w:top w:w="0" w:type="dxa"/>
              <w:left w:w="0" w:type="dxa"/>
              <w:bottom w:w="0" w:type="dxa"/>
              <w:right w:w="0" w:type="dxa"/>
            </w:tcMar>
            <w:vAlign w:val="center"/>
          </w:tcPr>
          <w:p w14:paraId="0655F5EB"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0.057</w:t>
            </w:r>
          </w:p>
        </w:tc>
        <w:tc>
          <w:tcPr>
            <w:tcW w:w="818" w:type="dxa"/>
            <w:shd w:val="clear" w:color="auto" w:fill="FFFFFF"/>
            <w:tcMar>
              <w:top w:w="0" w:type="dxa"/>
              <w:left w:w="0" w:type="dxa"/>
              <w:bottom w:w="0" w:type="dxa"/>
              <w:right w:w="0" w:type="dxa"/>
            </w:tcMar>
            <w:vAlign w:val="center"/>
          </w:tcPr>
          <w:p w14:paraId="2AC7DF09"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FFFFF"/>
            <w:tcMar>
              <w:top w:w="0" w:type="dxa"/>
              <w:left w:w="0" w:type="dxa"/>
              <w:bottom w:w="0" w:type="dxa"/>
              <w:right w:w="0" w:type="dxa"/>
            </w:tcMar>
            <w:vAlign w:val="center"/>
          </w:tcPr>
          <w:p w14:paraId="50C42B9E"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10CA33F4" w14:textId="77777777" w:rsidR="00D52E9A" w:rsidRPr="00186B85" w:rsidRDefault="00D52E9A" w:rsidP="00350028">
            <w:pPr>
              <w:keepNext/>
              <w:spacing w:before="0" w:after="0" w:line="240" w:lineRule="auto"/>
              <w:ind w:left="100" w:right="100" w:firstLine="0"/>
              <w:rPr>
                <w:sz w:val="20"/>
                <w:szCs w:val="20"/>
              </w:rPr>
            </w:pPr>
          </w:p>
        </w:tc>
        <w:tc>
          <w:tcPr>
            <w:tcW w:w="1183" w:type="dxa"/>
            <w:shd w:val="clear" w:color="auto" w:fill="FFFFFF"/>
            <w:tcMar>
              <w:top w:w="0" w:type="dxa"/>
              <w:left w:w="0" w:type="dxa"/>
              <w:bottom w:w="0" w:type="dxa"/>
              <w:right w:w="0" w:type="dxa"/>
            </w:tcMar>
            <w:vAlign w:val="center"/>
          </w:tcPr>
          <w:p w14:paraId="3837CC2B"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0.056</w:t>
            </w:r>
          </w:p>
        </w:tc>
        <w:tc>
          <w:tcPr>
            <w:tcW w:w="909" w:type="dxa"/>
            <w:shd w:val="clear" w:color="auto" w:fill="FFFFFF"/>
            <w:tcMar>
              <w:top w:w="0" w:type="dxa"/>
              <w:left w:w="0" w:type="dxa"/>
              <w:bottom w:w="0" w:type="dxa"/>
              <w:right w:w="0" w:type="dxa"/>
            </w:tcMar>
            <w:vAlign w:val="center"/>
          </w:tcPr>
          <w:p w14:paraId="4FA04DC2"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FFFFF"/>
            <w:tcMar>
              <w:top w:w="0" w:type="dxa"/>
              <w:left w:w="0" w:type="dxa"/>
              <w:bottom w:w="0" w:type="dxa"/>
              <w:right w:w="0" w:type="dxa"/>
            </w:tcMar>
            <w:vAlign w:val="center"/>
          </w:tcPr>
          <w:p w14:paraId="53D3F7E6" w14:textId="77777777" w:rsidR="00D52E9A" w:rsidRPr="00186B85" w:rsidRDefault="00D52E9A" w:rsidP="00350028">
            <w:pPr>
              <w:keepNext/>
              <w:spacing w:before="0" w:after="0" w:line="240" w:lineRule="auto"/>
              <w:ind w:left="100" w:right="100" w:firstLine="0"/>
              <w:jc w:val="right"/>
              <w:rPr>
                <w:sz w:val="20"/>
                <w:szCs w:val="20"/>
              </w:rPr>
            </w:pPr>
          </w:p>
        </w:tc>
        <w:tc>
          <w:tcPr>
            <w:tcW w:w="1095" w:type="dxa"/>
            <w:shd w:val="clear" w:color="auto" w:fill="FFFFFF"/>
            <w:tcMar>
              <w:top w:w="0" w:type="dxa"/>
              <w:left w:w="0" w:type="dxa"/>
              <w:bottom w:w="0" w:type="dxa"/>
              <w:right w:w="0" w:type="dxa"/>
            </w:tcMar>
            <w:vAlign w:val="center"/>
          </w:tcPr>
          <w:p w14:paraId="05DA0607" w14:textId="77777777" w:rsidR="00D52E9A" w:rsidRPr="00186B85" w:rsidRDefault="00D52E9A" w:rsidP="00350028">
            <w:pPr>
              <w:keepNext/>
              <w:spacing w:before="0" w:after="0" w:line="240" w:lineRule="auto"/>
              <w:ind w:left="100" w:right="100" w:firstLine="0"/>
              <w:rPr>
                <w:sz w:val="20"/>
                <w:szCs w:val="20"/>
              </w:rPr>
            </w:pPr>
          </w:p>
        </w:tc>
      </w:tr>
      <w:tr w:rsidR="001179F5" w:rsidRPr="00186B85" w14:paraId="1CD6D2F4" w14:textId="77777777" w:rsidTr="001179F5">
        <w:trPr>
          <w:gridAfter w:val="1"/>
          <w:wAfter w:w="8" w:type="dxa"/>
          <w:cantSplit/>
          <w:trHeight w:val="195"/>
        </w:trPr>
        <w:tc>
          <w:tcPr>
            <w:tcW w:w="2458" w:type="dxa"/>
            <w:shd w:val="clear" w:color="auto" w:fill="F6F6F6"/>
            <w:tcMar>
              <w:top w:w="0" w:type="dxa"/>
              <w:left w:w="0" w:type="dxa"/>
              <w:bottom w:w="0" w:type="dxa"/>
              <w:right w:w="0" w:type="dxa"/>
            </w:tcMar>
            <w:vAlign w:val="center"/>
          </w:tcPr>
          <w:p w14:paraId="0428B079" w14:textId="77777777" w:rsidR="00D52E9A" w:rsidRPr="00186B85" w:rsidRDefault="00D52E9A" w:rsidP="00350028">
            <w:pPr>
              <w:keepNext/>
              <w:spacing w:before="0" w:after="0" w:line="240" w:lineRule="auto"/>
              <w:ind w:left="100" w:right="100" w:firstLine="0"/>
              <w:rPr>
                <w:sz w:val="20"/>
                <w:szCs w:val="20"/>
              </w:rPr>
            </w:pPr>
            <w:r w:rsidRPr="00186B85">
              <w:rPr>
                <w:rFonts w:eastAsia="Arial"/>
                <w:i/>
                <w:color w:val="000000"/>
                <w:sz w:val="20"/>
                <w:szCs w:val="20"/>
              </w:rPr>
              <w:t>σ</w:t>
            </w:r>
          </w:p>
        </w:tc>
        <w:tc>
          <w:tcPr>
            <w:tcW w:w="1092" w:type="dxa"/>
            <w:shd w:val="clear" w:color="auto" w:fill="F6F6F6"/>
            <w:tcMar>
              <w:top w:w="0" w:type="dxa"/>
              <w:left w:w="0" w:type="dxa"/>
              <w:bottom w:w="0" w:type="dxa"/>
              <w:right w:w="0" w:type="dxa"/>
            </w:tcMar>
            <w:vAlign w:val="center"/>
          </w:tcPr>
          <w:p w14:paraId="2806C057"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0.071</w:t>
            </w:r>
          </w:p>
        </w:tc>
        <w:tc>
          <w:tcPr>
            <w:tcW w:w="727" w:type="dxa"/>
            <w:shd w:val="clear" w:color="auto" w:fill="F6F6F6"/>
            <w:tcMar>
              <w:top w:w="0" w:type="dxa"/>
              <w:left w:w="0" w:type="dxa"/>
              <w:bottom w:w="0" w:type="dxa"/>
              <w:right w:w="0" w:type="dxa"/>
            </w:tcMar>
            <w:vAlign w:val="center"/>
          </w:tcPr>
          <w:p w14:paraId="260D8DCB"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71056375"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76C580FA" w14:textId="77777777" w:rsidR="00D52E9A" w:rsidRPr="00186B85" w:rsidRDefault="00D52E9A" w:rsidP="00350028">
            <w:pPr>
              <w:keepNext/>
              <w:spacing w:before="0" w:after="0" w:line="240" w:lineRule="auto"/>
              <w:ind w:left="100" w:right="100" w:firstLine="0"/>
              <w:rPr>
                <w:sz w:val="20"/>
                <w:szCs w:val="20"/>
              </w:rPr>
            </w:pPr>
          </w:p>
        </w:tc>
        <w:tc>
          <w:tcPr>
            <w:tcW w:w="1092" w:type="dxa"/>
            <w:shd w:val="clear" w:color="auto" w:fill="F6F6F6"/>
            <w:tcMar>
              <w:top w:w="0" w:type="dxa"/>
              <w:left w:w="0" w:type="dxa"/>
              <w:bottom w:w="0" w:type="dxa"/>
              <w:right w:w="0" w:type="dxa"/>
            </w:tcMar>
            <w:vAlign w:val="center"/>
          </w:tcPr>
          <w:p w14:paraId="11F1F23B"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0.071</w:t>
            </w:r>
          </w:p>
        </w:tc>
        <w:tc>
          <w:tcPr>
            <w:tcW w:w="818" w:type="dxa"/>
            <w:shd w:val="clear" w:color="auto" w:fill="F6F6F6"/>
            <w:tcMar>
              <w:top w:w="0" w:type="dxa"/>
              <w:left w:w="0" w:type="dxa"/>
              <w:bottom w:w="0" w:type="dxa"/>
              <w:right w:w="0" w:type="dxa"/>
            </w:tcMar>
            <w:vAlign w:val="center"/>
          </w:tcPr>
          <w:p w14:paraId="09E67B35"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6F6F6"/>
            <w:tcMar>
              <w:top w:w="0" w:type="dxa"/>
              <w:left w:w="0" w:type="dxa"/>
              <w:bottom w:w="0" w:type="dxa"/>
              <w:right w:w="0" w:type="dxa"/>
            </w:tcMar>
            <w:vAlign w:val="center"/>
          </w:tcPr>
          <w:p w14:paraId="6A115573"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36081BA2" w14:textId="77777777" w:rsidR="00D52E9A" w:rsidRPr="00186B85" w:rsidRDefault="00D52E9A" w:rsidP="00350028">
            <w:pPr>
              <w:keepNext/>
              <w:spacing w:before="0" w:after="0" w:line="240" w:lineRule="auto"/>
              <w:ind w:left="100" w:right="100" w:firstLine="0"/>
              <w:rPr>
                <w:sz w:val="20"/>
                <w:szCs w:val="20"/>
              </w:rPr>
            </w:pPr>
          </w:p>
        </w:tc>
        <w:tc>
          <w:tcPr>
            <w:tcW w:w="1183" w:type="dxa"/>
            <w:shd w:val="clear" w:color="auto" w:fill="F6F6F6"/>
            <w:tcMar>
              <w:top w:w="0" w:type="dxa"/>
              <w:left w:w="0" w:type="dxa"/>
              <w:bottom w:w="0" w:type="dxa"/>
              <w:right w:w="0" w:type="dxa"/>
            </w:tcMar>
            <w:vAlign w:val="center"/>
          </w:tcPr>
          <w:p w14:paraId="7018DD2E"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0.069</w:t>
            </w:r>
          </w:p>
        </w:tc>
        <w:tc>
          <w:tcPr>
            <w:tcW w:w="909" w:type="dxa"/>
            <w:shd w:val="clear" w:color="auto" w:fill="F6F6F6"/>
            <w:tcMar>
              <w:top w:w="0" w:type="dxa"/>
              <w:left w:w="0" w:type="dxa"/>
              <w:bottom w:w="0" w:type="dxa"/>
              <w:right w:w="0" w:type="dxa"/>
            </w:tcMar>
            <w:vAlign w:val="center"/>
          </w:tcPr>
          <w:p w14:paraId="04EA2AEC"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6F6F6"/>
            <w:tcMar>
              <w:top w:w="0" w:type="dxa"/>
              <w:left w:w="0" w:type="dxa"/>
              <w:bottom w:w="0" w:type="dxa"/>
              <w:right w:w="0" w:type="dxa"/>
            </w:tcMar>
            <w:vAlign w:val="center"/>
          </w:tcPr>
          <w:p w14:paraId="267D40EE" w14:textId="77777777" w:rsidR="00D52E9A" w:rsidRPr="00186B85" w:rsidRDefault="00D52E9A" w:rsidP="00350028">
            <w:pPr>
              <w:keepNext/>
              <w:spacing w:before="0" w:after="0" w:line="240" w:lineRule="auto"/>
              <w:ind w:left="100" w:right="100" w:firstLine="0"/>
              <w:jc w:val="right"/>
              <w:rPr>
                <w:sz w:val="20"/>
                <w:szCs w:val="20"/>
              </w:rPr>
            </w:pPr>
          </w:p>
        </w:tc>
        <w:tc>
          <w:tcPr>
            <w:tcW w:w="1095" w:type="dxa"/>
            <w:shd w:val="clear" w:color="auto" w:fill="F6F6F6"/>
            <w:tcMar>
              <w:top w:w="0" w:type="dxa"/>
              <w:left w:w="0" w:type="dxa"/>
              <w:bottom w:w="0" w:type="dxa"/>
              <w:right w:w="0" w:type="dxa"/>
            </w:tcMar>
            <w:vAlign w:val="center"/>
          </w:tcPr>
          <w:p w14:paraId="2E30AFD9" w14:textId="77777777" w:rsidR="00D52E9A" w:rsidRPr="00186B85" w:rsidRDefault="00D52E9A" w:rsidP="00350028">
            <w:pPr>
              <w:keepNext/>
              <w:spacing w:before="0" w:after="0" w:line="240" w:lineRule="auto"/>
              <w:ind w:left="100" w:right="100" w:firstLine="0"/>
              <w:rPr>
                <w:sz w:val="20"/>
                <w:szCs w:val="20"/>
              </w:rPr>
            </w:pPr>
          </w:p>
        </w:tc>
      </w:tr>
      <w:tr w:rsidR="001179F5" w:rsidRPr="00186B85" w14:paraId="33193CC2" w14:textId="77777777" w:rsidTr="001179F5">
        <w:trPr>
          <w:gridAfter w:val="1"/>
          <w:wAfter w:w="8" w:type="dxa"/>
          <w:cantSplit/>
          <w:trHeight w:val="179"/>
        </w:trPr>
        <w:tc>
          <w:tcPr>
            <w:tcW w:w="2458" w:type="dxa"/>
            <w:shd w:val="clear" w:color="auto" w:fill="FFFFFF"/>
            <w:tcMar>
              <w:top w:w="0" w:type="dxa"/>
              <w:left w:w="0" w:type="dxa"/>
              <w:bottom w:w="0" w:type="dxa"/>
              <w:right w:w="0" w:type="dxa"/>
            </w:tcMar>
            <w:vAlign w:val="center"/>
          </w:tcPr>
          <w:p w14:paraId="78679A2D" w14:textId="77777777" w:rsidR="00D52E9A" w:rsidRPr="00186B85" w:rsidRDefault="00D52E9A" w:rsidP="00350028">
            <w:pPr>
              <w:keepNext/>
              <w:spacing w:before="0" w:after="0" w:line="240" w:lineRule="auto"/>
              <w:ind w:left="100" w:right="100" w:firstLine="0"/>
              <w:rPr>
                <w:sz w:val="20"/>
                <w:szCs w:val="20"/>
              </w:rPr>
            </w:pPr>
            <w:r w:rsidRPr="00186B85">
              <w:rPr>
                <w:rFonts w:eastAsia="Arial"/>
                <w:i/>
                <w:color w:val="000000"/>
                <w:sz w:val="20"/>
                <w:szCs w:val="20"/>
              </w:rPr>
              <w:t>ρ</w:t>
            </w:r>
            <w:r w:rsidRPr="00186B85">
              <w:rPr>
                <w:rFonts w:eastAsia="Arial"/>
                <w:color w:val="000000"/>
                <w:sz w:val="20"/>
                <w:szCs w:val="20"/>
                <w:vertAlign w:val="subscript"/>
              </w:rPr>
              <w:t>01</w:t>
            </w:r>
          </w:p>
        </w:tc>
        <w:tc>
          <w:tcPr>
            <w:tcW w:w="1092" w:type="dxa"/>
            <w:shd w:val="clear" w:color="auto" w:fill="FFFFFF"/>
            <w:tcMar>
              <w:top w:w="0" w:type="dxa"/>
              <w:left w:w="0" w:type="dxa"/>
              <w:bottom w:w="0" w:type="dxa"/>
              <w:right w:w="0" w:type="dxa"/>
            </w:tcMar>
            <w:vAlign w:val="center"/>
          </w:tcPr>
          <w:p w14:paraId="3992B1C0"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-0.660</w:t>
            </w:r>
          </w:p>
        </w:tc>
        <w:tc>
          <w:tcPr>
            <w:tcW w:w="727" w:type="dxa"/>
            <w:shd w:val="clear" w:color="auto" w:fill="FFFFFF"/>
            <w:tcMar>
              <w:top w:w="0" w:type="dxa"/>
              <w:left w:w="0" w:type="dxa"/>
              <w:bottom w:w="0" w:type="dxa"/>
              <w:right w:w="0" w:type="dxa"/>
            </w:tcMar>
            <w:vAlign w:val="center"/>
          </w:tcPr>
          <w:p w14:paraId="4BB9E0E6"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FFFFF"/>
            <w:tcMar>
              <w:top w:w="0" w:type="dxa"/>
              <w:left w:w="0" w:type="dxa"/>
              <w:bottom w:w="0" w:type="dxa"/>
              <w:right w:w="0" w:type="dxa"/>
            </w:tcMar>
            <w:vAlign w:val="center"/>
          </w:tcPr>
          <w:p w14:paraId="34F5C2B4"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533B437D" w14:textId="77777777" w:rsidR="00D52E9A" w:rsidRPr="00186B85" w:rsidRDefault="00D52E9A" w:rsidP="00350028">
            <w:pPr>
              <w:keepNext/>
              <w:spacing w:before="0" w:after="0" w:line="240" w:lineRule="auto"/>
              <w:ind w:left="100" w:right="100" w:firstLine="0"/>
              <w:rPr>
                <w:sz w:val="20"/>
                <w:szCs w:val="20"/>
              </w:rPr>
            </w:pPr>
          </w:p>
        </w:tc>
        <w:tc>
          <w:tcPr>
            <w:tcW w:w="1092" w:type="dxa"/>
            <w:shd w:val="clear" w:color="auto" w:fill="FFFFFF"/>
            <w:tcMar>
              <w:top w:w="0" w:type="dxa"/>
              <w:left w:w="0" w:type="dxa"/>
              <w:bottom w:w="0" w:type="dxa"/>
              <w:right w:w="0" w:type="dxa"/>
            </w:tcMar>
            <w:vAlign w:val="center"/>
          </w:tcPr>
          <w:p w14:paraId="2398F2EB"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-0.560</w:t>
            </w:r>
          </w:p>
        </w:tc>
        <w:tc>
          <w:tcPr>
            <w:tcW w:w="818" w:type="dxa"/>
            <w:shd w:val="clear" w:color="auto" w:fill="FFFFFF"/>
            <w:tcMar>
              <w:top w:w="0" w:type="dxa"/>
              <w:left w:w="0" w:type="dxa"/>
              <w:bottom w:w="0" w:type="dxa"/>
              <w:right w:w="0" w:type="dxa"/>
            </w:tcMar>
            <w:vAlign w:val="center"/>
          </w:tcPr>
          <w:p w14:paraId="3DABF96A"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FFFFF"/>
            <w:tcMar>
              <w:top w:w="0" w:type="dxa"/>
              <w:left w:w="0" w:type="dxa"/>
              <w:bottom w:w="0" w:type="dxa"/>
              <w:right w:w="0" w:type="dxa"/>
            </w:tcMar>
            <w:vAlign w:val="center"/>
          </w:tcPr>
          <w:p w14:paraId="098C1B66"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5F03BAE5" w14:textId="77777777" w:rsidR="00D52E9A" w:rsidRPr="00186B85" w:rsidRDefault="00D52E9A" w:rsidP="00350028">
            <w:pPr>
              <w:keepNext/>
              <w:spacing w:before="0" w:after="0" w:line="240" w:lineRule="auto"/>
              <w:ind w:left="100" w:right="100" w:firstLine="0"/>
              <w:rPr>
                <w:sz w:val="20"/>
                <w:szCs w:val="20"/>
              </w:rPr>
            </w:pPr>
          </w:p>
        </w:tc>
        <w:tc>
          <w:tcPr>
            <w:tcW w:w="1183" w:type="dxa"/>
            <w:shd w:val="clear" w:color="auto" w:fill="FFFFFF"/>
            <w:tcMar>
              <w:top w:w="0" w:type="dxa"/>
              <w:left w:w="0" w:type="dxa"/>
              <w:bottom w:w="0" w:type="dxa"/>
              <w:right w:w="0" w:type="dxa"/>
            </w:tcMar>
            <w:vAlign w:val="center"/>
          </w:tcPr>
          <w:p w14:paraId="2D25CECA"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-0.505</w:t>
            </w:r>
            <w:r w:rsidRPr="00186B85">
              <w:rPr>
                <w:rFonts w:eastAsia="Arial"/>
                <w:color w:val="000000"/>
                <w:sz w:val="20"/>
                <w:szCs w:val="20"/>
                <w:vertAlign w:val="superscript"/>
              </w:rPr>
              <w:t>a</w:t>
            </w:r>
          </w:p>
        </w:tc>
        <w:tc>
          <w:tcPr>
            <w:tcW w:w="909" w:type="dxa"/>
            <w:shd w:val="clear" w:color="auto" w:fill="FFFFFF"/>
            <w:tcMar>
              <w:top w:w="0" w:type="dxa"/>
              <w:left w:w="0" w:type="dxa"/>
              <w:bottom w:w="0" w:type="dxa"/>
              <w:right w:w="0" w:type="dxa"/>
            </w:tcMar>
            <w:vAlign w:val="center"/>
          </w:tcPr>
          <w:p w14:paraId="1E7AEEEE"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FFFFF"/>
            <w:tcMar>
              <w:top w:w="0" w:type="dxa"/>
              <w:left w:w="0" w:type="dxa"/>
              <w:bottom w:w="0" w:type="dxa"/>
              <w:right w:w="0" w:type="dxa"/>
            </w:tcMar>
            <w:vAlign w:val="center"/>
          </w:tcPr>
          <w:p w14:paraId="6D2CE83D" w14:textId="77777777" w:rsidR="00D52E9A" w:rsidRPr="00186B85" w:rsidRDefault="00D52E9A" w:rsidP="00350028">
            <w:pPr>
              <w:keepNext/>
              <w:spacing w:before="0" w:after="0" w:line="240" w:lineRule="auto"/>
              <w:ind w:left="100" w:right="100" w:firstLine="0"/>
              <w:jc w:val="right"/>
              <w:rPr>
                <w:sz w:val="20"/>
                <w:szCs w:val="20"/>
              </w:rPr>
            </w:pPr>
          </w:p>
        </w:tc>
        <w:tc>
          <w:tcPr>
            <w:tcW w:w="1095" w:type="dxa"/>
            <w:shd w:val="clear" w:color="auto" w:fill="FFFFFF"/>
            <w:tcMar>
              <w:top w:w="0" w:type="dxa"/>
              <w:left w:w="0" w:type="dxa"/>
              <w:bottom w:w="0" w:type="dxa"/>
              <w:right w:w="0" w:type="dxa"/>
            </w:tcMar>
            <w:vAlign w:val="center"/>
          </w:tcPr>
          <w:p w14:paraId="6ED66CCF" w14:textId="77777777" w:rsidR="00D52E9A" w:rsidRPr="00186B85" w:rsidRDefault="00D52E9A" w:rsidP="00350028">
            <w:pPr>
              <w:keepNext/>
              <w:spacing w:before="0" w:after="0" w:line="240" w:lineRule="auto"/>
              <w:ind w:left="100" w:right="100" w:firstLine="0"/>
              <w:rPr>
                <w:sz w:val="20"/>
                <w:szCs w:val="20"/>
              </w:rPr>
            </w:pPr>
          </w:p>
        </w:tc>
      </w:tr>
      <w:tr w:rsidR="001179F5" w:rsidRPr="00186B85" w14:paraId="266C1F00" w14:textId="77777777" w:rsidTr="001179F5">
        <w:trPr>
          <w:gridAfter w:val="1"/>
          <w:wAfter w:w="8" w:type="dxa"/>
          <w:cantSplit/>
          <w:trHeight w:val="179"/>
        </w:trPr>
        <w:tc>
          <w:tcPr>
            <w:tcW w:w="2458" w:type="dxa"/>
            <w:shd w:val="clear" w:color="auto" w:fill="F6F6F6"/>
            <w:tcMar>
              <w:top w:w="0" w:type="dxa"/>
              <w:left w:w="0" w:type="dxa"/>
              <w:bottom w:w="0" w:type="dxa"/>
              <w:right w:w="0" w:type="dxa"/>
            </w:tcMar>
            <w:vAlign w:val="center"/>
          </w:tcPr>
          <w:p w14:paraId="6A3CA62E"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ICC</w:t>
            </w:r>
          </w:p>
        </w:tc>
        <w:tc>
          <w:tcPr>
            <w:tcW w:w="1092" w:type="dxa"/>
            <w:shd w:val="clear" w:color="auto" w:fill="F6F6F6"/>
            <w:tcMar>
              <w:top w:w="0" w:type="dxa"/>
              <w:left w:w="0" w:type="dxa"/>
              <w:bottom w:w="0" w:type="dxa"/>
              <w:right w:w="0" w:type="dxa"/>
            </w:tcMar>
            <w:vAlign w:val="center"/>
          </w:tcPr>
          <w:p w14:paraId="33C02C65"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0.991</w:t>
            </w:r>
          </w:p>
        </w:tc>
        <w:tc>
          <w:tcPr>
            <w:tcW w:w="727" w:type="dxa"/>
            <w:shd w:val="clear" w:color="auto" w:fill="F6F6F6"/>
            <w:tcMar>
              <w:top w:w="0" w:type="dxa"/>
              <w:left w:w="0" w:type="dxa"/>
              <w:bottom w:w="0" w:type="dxa"/>
              <w:right w:w="0" w:type="dxa"/>
            </w:tcMar>
            <w:vAlign w:val="center"/>
          </w:tcPr>
          <w:p w14:paraId="6E73F7EE"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71FB4C1C"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50A3C8AE" w14:textId="77777777" w:rsidR="00D52E9A" w:rsidRPr="00186B85" w:rsidRDefault="00D52E9A" w:rsidP="00350028">
            <w:pPr>
              <w:keepNext/>
              <w:spacing w:before="0" w:after="0" w:line="240" w:lineRule="auto"/>
              <w:ind w:left="100" w:right="100" w:firstLine="0"/>
              <w:rPr>
                <w:sz w:val="20"/>
                <w:szCs w:val="20"/>
              </w:rPr>
            </w:pPr>
          </w:p>
        </w:tc>
        <w:tc>
          <w:tcPr>
            <w:tcW w:w="1092" w:type="dxa"/>
            <w:shd w:val="clear" w:color="auto" w:fill="F6F6F6"/>
            <w:tcMar>
              <w:top w:w="0" w:type="dxa"/>
              <w:left w:w="0" w:type="dxa"/>
              <w:bottom w:w="0" w:type="dxa"/>
              <w:right w:w="0" w:type="dxa"/>
            </w:tcMar>
            <w:vAlign w:val="center"/>
          </w:tcPr>
          <w:p w14:paraId="36569474"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0.988</w:t>
            </w:r>
          </w:p>
        </w:tc>
        <w:tc>
          <w:tcPr>
            <w:tcW w:w="818" w:type="dxa"/>
            <w:shd w:val="clear" w:color="auto" w:fill="F6F6F6"/>
            <w:tcMar>
              <w:top w:w="0" w:type="dxa"/>
              <w:left w:w="0" w:type="dxa"/>
              <w:bottom w:w="0" w:type="dxa"/>
              <w:right w:w="0" w:type="dxa"/>
            </w:tcMar>
            <w:vAlign w:val="center"/>
          </w:tcPr>
          <w:p w14:paraId="3289E66E"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6F6F6"/>
            <w:tcMar>
              <w:top w:w="0" w:type="dxa"/>
              <w:left w:w="0" w:type="dxa"/>
              <w:bottom w:w="0" w:type="dxa"/>
              <w:right w:w="0" w:type="dxa"/>
            </w:tcMar>
            <w:vAlign w:val="center"/>
          </w:tcPr>
          <w:p w14:paraId="6F59DDF4"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65A4CB3B" w14:textId="77777777" w:rsidR="00D52E9A" w:rsidRPr="00186B85" w:rsidRDefault="00D52E9A" w:rsidP="00350028">
            <w:pPr>
              <w:keepNext/>
              <w:spacing w:before="0" w:after="0" w:line="240" w:lineRule="auto"/>
              <w:ind w:left="100" w:right="100" w:firstLine="0"/>
              <w:rPr>
                <w:sz w:val="20"/>
                <w:szCs w:val="20"/>
              </w:rPr>
            </w:pPr>
          </w:p>
        </w:tc>
        <w:tc>
          <w:tcPr>
            <w:tcW w:w="1183" w:type="dxa"/>
            <w:shd w:val="clear" w:color="auto" w:fill="F6F6F6"/>
            <w:tcMar>
              <w:top w:w="0" w:type="dxa"/>
              <w:left w:w="0" w:type="dxa"/>
              <w:bottom w:w="0" w:type="dxa"/>
              <w:right w:w="0" w:type="dxa"/>
            </w:tcMar>
            <w:vAlign w:val="center"/>
          </w:tcPr>
          <w:p w14:paraId="7E157E5B"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0.995</w:t>
            </w:r>
          </w:p>
        </w:tc>
        <w:tc>
          <w:tcPr>
            <w:tcW w:w="909" w:type="dxa"/>
            <w:shd w:val="clear" w:color="auto" w:fill="F6F6F6"/>
            <w:tcMar>
              <w:top w:w="0" w:type="dxa"/>
              <w:left w:w="0" w:type="dxa"/>
              <w:bottom w:w="0" w:type="dxa"/>
              <w:right w:w="0" w:type="dxa"/>
            </w:tcMar>
            <w:vAlign w:val="center"/>
          </w:tcPr>
          <w:p w14:paraId="199D66CA"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6F6F6"/>
            <w:tcMar>
              <w:top w:w="0" w:type="dxa"/>
              <w:left w:w="0" w:type="dxa"/>
              <w:bottom w:w="0" w:type="dxa"/>
              <w:right w:w="0" w:type="dxa"/>
            </w:tcMar>
            <w:vAlign w:val="center"/>
          </w:tcPr>
          <w:p w14:paraId="467D256E" w14:textId="77777777" w:rsidR="00D52E9A" w:rsidRPr="00186B85" w:rsidRDefault="00D52E9A" w:rsidP="00350028">
            <w:pPr>
              <w:keepNext/>
              <w:spacing w:before="0" w:after="0" w:line="240" w:lineRule="auto"/>
              <w:ind w:left="100" w:right="100" w:firstLine="0"/>
              <w:jc w:val="right"/>
              <w:rPr>
                <w:sz w:val="20"/>
                <w:szCs w:val="20"/>
              </w:rPr>
            </w:pPr>
          </w:p>
        </w:tc>
        <w:tc>
          <w:tcPr>
            <w:tcW w:w="1095" w:type="dxa"/>
            <w:shd w:val="clear" w:color="auto" w:fill="F6F6F6"/>
            <w:tcMar>
              <w:top w:w="0" w:type="dxa"/>
              <w:left w:w="0" w:type="dxa"/>
              <w:bottom w:w="0" w:type="dxa"/>
              <w:right w:w="0" w:type="dxa"/>
            </w:tcMar>
            <w:vAlign w:val="center"/>
          </w:tcPr>
          <w:p w14:paraId="4A11C2D4" w14:textId="77777777" w:rsidR="00D52E9A" w:rsidRPr="00186B85" w:rsidRDefault="00D52E9A" w:rsidP="00350028">
            <w:pPr>
              <w:keepNext/>
              <w:spacing w:before="0" w:after="0" w:line="240" w:lineRule="auto"/>
              <w:ind w:left="100" w:right="100" w:firstLine="0"/>
              <w:rPr>
                <w:sz w:val="20"/>
                <w:szCs w:val="20"/>
              </w:rPr>
            </w:pPr>
          </w:p>
        </w:tc>
      </w:tr>
      <w:tr w:rsidR="001179F5" w:rsidRPr="00186B85" w14:paraId="2759B97D" w14:textId="77777777" w:rsidTr="001179F5">
        <w:trPr>
          <w:gridAfter w:val="1"/>
          <w:wAfter w:w="8" w:type="dxa"/>
          <w:cantSplit/>
          <w:trHeight w:val="376"/>
        </w:trPr>
        <w:tc>
          <w:tcPr>
            <w:tcW w:w="2458" w:type="dxa"/>
            <w:shd w:val="clear" w:color="auto" w:fill="FFFFFF"/>
            <w:tcMar>
              <w:top w:w="0" w:type="dxa"/>
              <w:left w:w="0" w:type="dxa"/>
              <w:bottom w:w="0" w:type="dxa"/>
              <w:right w:w="0" w:type="dxa"/>
            </w:tcMar>
            <w:vAlign w:val="center"/>
          </w:tcPr>
          <w:p w14:paraId="1CEE10A1" w14:textId="77777777" w:rsidR="00D52E9A" w:rsidRPr="00186B85" w:rsidRDefault="00D52E9A" w:rsidP="00350028">
            <w:pPr>
              <w:keepNext/>
              <w:spacing w:before="0" w:after="0" w:line="240" w:lineRule="auto"/>
              <w:ind w:left="100" w:right="100" w:firstLine="0"/>
              <w:rPr>
                <w:sz w:val="20"/>
                <w:szCs w:val="20"/>
              </w:rPr>
            </w:pPr>
            <w:r w:rsidRPr="00186B85">
              <w:rPr>
                <w:rFonts w:eastAsia="Arial"/>
                <w:i/>
                <w:color w:val="000000"/>
                <w:sz w:val="20"/>
                <w:szCs w:val="20"/>
              </w:rPr>
              <w:t>MarginalR</w:t>
            </w:r>
            <w:r w:rsidRPr="00186B85">
              <w:rPr>
                <w:rFonts w:eastAsia="Arial"/>
                <w:color w:val="000000"/>
                <w:sz w:val="20"/>
                <w:szCs w:val="20"/>
                <w:vertAlign w:val="superscript"/>
              </w:rPr>
              <w:t>2</w:t>
            </w:r>
          </w:p>
        </w:tc>
        <w:tc>
          <w:tcPr>
            <w:tcW w:w="1092" w:type="dxa"/>
            <w:shd w:val="clear" w:color="auto" w:fill="FFFFFF"/>
            <w:tcMar>
              <w:top w:w="0" w:type="dxa"/>
              <w:left w:w="0" w:type="dxa"/>
              <w:bottom w:w="0" w:type="dxa"/>
              <w:right w:w="0" w:type="dxa"/>
            </w:tcMar>
            <w:vAlign w:val="center"/>
          </w:tcPr>
          <w:p w14:paraId="7400AADB"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0.003</w:t>
            </w:r>
          </w:p>
        </w:tc>
        <w:tc>
          <w:tcPr>
            <w:tcW w:w="727" w:type="dxa"/>
            <w:shd w:val="clear" w:color="auto" w:fill="FFFFFF"/>
            <w:tcMar>
              <w:top w:w="0" w:type="dxa"/>
              <w:left w:w="0" w:type="dxa"/>
              <w:bottom w:w="0" w:type="dxa"/>
              <w:right w:w="0" w:type="dxa"/>
            </w:tcMar>
            <w:vAlign w:val="center"/>
          </w:tcPr>
          <w:p w14:paraId="58A78081"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FFFFF"/>
            <w:tcMar>
              <w:top w:w="0" w:type="dxa"/>
              <w:left w:w="0" w:type="dxa"/>
              <w:bottom w:w="0" w:type="dxa"/>
              <w:right w:w="0" w:type="dxa"/>
            </w:tcMar>
            <w:vAlign w:val="center"/>
          </w:tcPr>
          <w:p w14:paraId="2CF9B2E6"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0250F9D3" w14:textId="77777777" w:rsidR="00D52E9A" w:rsidRPr="00186B85" w:rsidRDefault="00D52E9A" w:rsidP="00350028">
            <w:pPr>
              <w:keepNext/>
              <w:spacing w:before="0" w:after="0" w:line="240" w:lineRule="auto"/>
              <w:ind w:left="100" w:right="100" w:firstLine="0"/>
              <w:rPr>
                <w:sz w:val="20"/>
                <w:szCs w:val="20"/>
              </w:rPr>
            </w:pPr>
          </w:p>
        </w:tc>
        <w:tc>
          <w:tcPr>
            <w:tcW w:w="1092" w:type="dxa"/>
            <w:shd w:val="clear" w:color="auto" w:fill="FFFFFF"/>
            <w:tcMar>
              <w:top w:w="0" w:type="dxa"/>
              <w:left w:w="0" w:type="dxa"/>
              <w:bottom w:w="0" w:type="dxa"/>
              <w:right w:w="0" w:type="dxa"/>
            </w:tcMar>
            <w:vAlign w:val="center"/>
          </w:tcPr>
          <w:p w14:paraId="778CC613"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0.152</w:t>
            </w:r>
          </w:p>
        </w:tc>
        <w:tc>
          <w:tcPr>
            <w:tcW w:w="818" w:type="dxa"/>
            <w:shd w:val="clear" w:color="auto" w:fill="FFFFFF"/>
            <w:tcMar>
              <w:top w:w="0" w:type="dxa"/>
              <w:left w:w="0" w:type="dxa"/>
              <w:bottom w:w="0" w:type="dxa"/>
              <w:right w:w="0" w:type="dxa"/>
            </w:tcMar>
            <w:vAlign w:val="center"/>
          </w:tcPr>
          <w:p w14:paraId="6E97D078"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FFFFF"/>
            <w:tcMar>
              <w:top w:w="0" w:type="dxa"/>
              <w:left w:w="0" w:type="dxa"/>
              <w:bottom w:w="0" w:type="dxa"/>
              <w:right w:w="0" w:type="dxa"/>
            </w:tcMar>
            <w:vAlign w:val="center"/>
          </w:tcPr>
          <w:p w14:paraId="51258F64"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28FADCA6" w14:textId="77777777" w:rsidR="00D52E9A" w:rsidRPr="00186B85" w:rsidRDefault="00D52E9A" w:rsidP="00350028">
            <w:pPr>
              <w:keepNext/>
              <w:spacing w:before="0" w:after="0" w:line="240" w:lineRule="auto"/>
              <w:ind w:left="100" w:right="100" w:firstLine="0"/>
              <w:rPr>
                <w:sz w:val="20"/>
                <w:szCs w:val="20"/>
              </w:rPr>
            </w:pPr>
          </w:p>
        </w:tc>
        <w:tc>
          <w:tcPr>
            <w:tcW w:w="1183" w:type="dxa"/>
            <w:shd w:val="clear" w:color="auto" w:fill="FFFFFF"/>
            <w:tcMar>
              <w:top w:w="0" w:type="dxa"/>
              <w:left w:w="0" w:type="dxa"/>
              <w:bottom w:w="0" w:type="dxa"/>
              <w:right w:w="0" w:type="dxa"/>
            </w:tcMar>
            <w:vAlign w:val="center"/>
          </w:tcPr>
          <w:p w14:paraId="3AEFA6AB"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0.165</w:t>
            </w:r>
          </w:p>
        </w:tc>
        <w:tc>
          <w:tcPr>
            <w:tcW w:w="909" w:type="dxa"/>
            <w:shd w:val="clear" w:color="auto" w:fill="FFFFFF"/>
            <w:tcMar>
              <w:top w:w="0" w:type="dxa"/>
              <w:left w:w="0" w:type="dxa"/>
              <w:bottom w:w="0" w:type="dxa"/>
              <w:right w:w="0" w:type="dxa"/>
            </w:tcMar>
            <w:vAlign w:val="center"/>
          </w:tcPr>
          <w:p w14:paraId="16D9CA36"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FFFFF"/>
            <w:tcMar>
              <w:top w:w="0" w:type="dxa"/>
              <w:left w:w="0" w:type="dxa"/>
              <w:bottom w:w="0" w:type="dxa"/>
              <w:right w:w="0" w:type="dxa"/>
            </w:tcMar>
            <w:vAlign w:val="center"/>
          </w:tcPr>
          <w:p w14:paraId="3C2F3629" w14:textId="77777777" w:rsidR="00D52E9A" w:rsidRPr="00186B85" w:rsidRDefault="00D52E9A" w:rsidP="00350028">
            <w:pPr>
              <w:keepNext/>
              <w:spacing w:before="0" w:after="0" w:line="240" w:lineRule="auto"/>
              <w:ind w:left="100" w:right="100" w:firstLine="0"/>
              <w:jc w:val="right"/>
              <w:rPr>
                <w:sz w:val="20"/>
                <w:szCs w:val="20"/>
              </w:rPr>
            </w:pPr>
          </w:p>
        </w:tc>
        <w:tc>
          <w:tcPr>
            <w:tcW w:w="1095" w:type="dxa"/>
            <w:shd w:val="clear" w:color="auto" w:fill="FFFFFF"/>
            <w:tcMar>
              <w:top w:w="0" w:type="dxa"/>
              <w:left w:w="0" w:type="dxa"/>
              <w:bottom w:w="0" w:type="dxa"/>
              <w:right w:w="0" w:type="dxa"/>
            </w:tcMar>
            <w:vAlign w:val="center"/>
          </w:tcPr>
          <w:p w14:paraId="7A3D93BD" w14:textId="77777777" w:rsidR="00D52E9A" w:rsidRPr="00186B85" w:rsidRDefault="00D52E9A" w:rsidP="00350028">
            <w:pPr>
              <w:keepNext/>
              <w:spacing w:before="0" w:after="0" w:line="240" w:lineRule="auto"/>
              <w:ind w:left="100" w:right="100" w:firstLine="0"/>
              <w:rPr>
                <w:sz w:val="20"/>
                <w:szCs w:val="20"/>
              </w:rPr>
            </w:pPr>
          </w:p>
        </w:tc>
      </w:tr>
      <w:tr w:rsidR="001179F5" w:rsidRPr="00186B85" w14:paraId="74A073A9" w14:textId="77777777" w:rsidTr="001179F5">
        <w:trPr>
          <w:gridAfter w:val="1"/>
          <w:wAfter w:w="8" w:type="dxa"/>
          <w:cantSplit/>
          <w:trHeight w:val="376"/>
        </w:trPr>
        <w:tc>
          <w:tcPr>
            <w:tcW w:w="2458" w:type="dxa"/>
            <w:shd w:val="clear" w:color="auto" w:fill="F6F6F6"/>
            <w:tcMar>
              <w:top w:w="0" w:type="dxa"/>
              <w:left w:w="0" w:type="dxa"/>
              <w:bottom w:w="0" w:type="dxa"/>
              <w:right w:w="0" w:type="dxa"/>
            </w:tcMar>
            <w:vAlign w:val="center"/>
          </w:tcPr>
          <w:p w14:paraId="382DC5C1"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Log Likelihood</w:t>
            </w:r>
          </w:p>
        </w:tc>
        <w:tc>
          <w:tcPr>
            <w:tcW w:w="1092" w:type="dxa"/>
            <w:shd w:val="clear" w:color="auto" w:fill="F6F6F6"/>
            <w:tcMar>
              <w:top w:w="0" w:type="dxa"/>
              <w:left w:w="0" w:type="dxa"/>
              <w:bottom w:w="0" w:type="dxa"/>
              <w:right w:w="0" w:type="dxa"/>
            </w:tcMar>
            <w:vAlign w:val="center"/>
          </w:tcPr>
          <w:p w14:paraId="4F0852AE"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105.159</w:t>
            </w:r>
          </w:p>
        </w:tc>
        <w:tc>
          <w:tcPr>
            <w:tcW w:w="727" w:type="dxa"/>
            <w:shd w:val="clear" w:color="auto" w:fill="F6F6F6"/>
            <w:tcMar>
              <w:top w:w="0" w:type="dxa"/>
              <w:left w:w="0" w:type="dxa"/>
              <w:bottom w:w="0" w:type="dxa"/>
              <w:right w:w="0" w:type="dxa"/>
            </w:tcMar>
            <w:vAlign w:val="center"/>
          </w:tcPr>
          <w:p w14:paraId="0D58C7B0"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21F162B0"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4463B2CF" w14:textId="77777777" w:rsidR="00D52E9A" w:rsidRPr="00186B85" w:rsidRDefault="00D52E9A" w:rsidP="00350028">
            <w:pPr>
              <w:keepNext/>
              <w:spacing w:before="0" w:after="0" w:line="240" w:lineRule="auto"/>
              <w:ind w:left="100" w:right="100" w:firstLine="0"/>
              <w:rPr>
                <w:sz w:val="20"/>
                <w:szCs w:val="20"/>
              </w:rPr>
            </w:pPr>
          </w:p>
        </w:tc>
        <w:tc>
          <w:tcPr>
            <w:tcW w:w="1092" w:type="dxa"/>
            <w:shd w:val="clear" w:color="auto" w:fill="F6F6F6"/>
            <w:tcMar>
              <w:top w:w="0" w:type="dxa"/>
              <w:left w:w="0" w:type="dxa"/>
              <w:bottom w:w="0" w:type="dxa"/>
              <w:right w:w="0" w:type="dxa"/>
            </w:tcMar>
            <w:vAlign w:val="center"/>
          </w:tcPr>
          <w:p w14:paraId="3FCF83DE"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112.661</w:t>
            </w:r>
          </w:p>
        </w:tc>
        <w:tc>
          <w:tcPr>
            <w:tcW w:w="818" w:type="dxa"/>
            <w:shd w:val="clear" w:color="auto" w:fill="F6F6F6"/>
            <w:tcMar>
              <w:top w:w="0" w:type="dxa"/>
              <w:left w:w="0" w:type="dxa"/>
              <w:bottom w:w="0" w:type="dxa"/>
              <w:right w:w="0" w:type="dxa"/>
            </w:tcMar>
            <w:vAlign w:val="center"/>
          </w:tcPr>
          <w:p w14:paraId="1702BF3B"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6F6F6"/>
            <w:tcMar>
              <w:top w:w="0" w:type="dxa"/>
              <w:left w:w="0" w:type="dxa"/>
              <w:bottom w:w="0" w:type="dxa"/>
              <w:right w:w="0" w:type="dxa"/>
            </w:tcMar>
            <w:vAlign w:val="center"/>
          </w:tcPr>
          <w:p w14:paraId="5F6EFD45"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3FF71ACE" w14:textId="77777777" w:rsidR="00D52E9A" w:rsidRPr="00186B85" w:rsidRDefault="00D52E9A" w:rsidP="00350028">
            <w:pPr>
              <w:keepNext/>
              <w:spacing w:before="0" w:after="0" w:line="240" w:lineRule="auto"/>
              <w:ind w:left="100" w:right="100" w:firstLine="0"/>
              <w:rPr>
                <w:sz w:val="20"/>
                <w:szCs w:val="20"/>
              </w:rPr>
            </w:pPr>
          </w:p>
        </w:tc>
        <w:tc>
          <w:tcPr>
            <w:tcW w:w="1183" w:type="dxa"/>
            <w:shd w:val="clear" w:color="auto" w:fill="F6F6F6"/>
            <w:tcMar>
              <w:top w:w="0" w:type="dxa"/>
              <w:left w:w="0" w:type="dxa"/>
              <w:bottom w:w="0" w:type="dxa"/>
              <w:right w:w="0" w:type="dxa"/>
            </w:tcMar>
            <w:vAlign w:val="center"/>
          </w:tcPr>
          <w:p w14:paraId="05CC2968"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119.114</w:t>
            </w:r>
            <w:r w:rsidRPr="00186B85">
              <w:rPr>
                <w:rFonts w:eastAsia="Arial"/>
                <w:color w:val="000000"/>
                <w:sz w:val="20"/>
                <w:szCs w:val="20"/>
                <w:vertAlign w:val="superscript"/>
              </w:rPr>
              <w:t>b</w:t>
            </w:r>
          </w:p>
        </w:tc>
        <w:tc>
          <w:tcPr>
            <w:tcW w:w="909" w:type="dxa"/>
            <w:shd w:val="clear" w:color="auto" w:fill="F6F6F6"/>
            <w:tcMar>
              <w:top w:w="0" w:type="dxa"/>
              <w:left w:w="0" w:type="dxa"/>
              <w:bottom w:w="0" w:type="dxa"/>
              <w:right w:w="0" w:type="dxa"/>
            </w:tcMar>
            <w:vAlign w:val="center"/>
          </w:tcPr>
          <w:p w14:paraId="045D22B9"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6F6F6"/>
            <w:tcMar>
              <w:top w:w="0" w:type="dxa"/>
              <w:left w:w="0" w:type="dxa"/>
              <w:bottom w:w="0" w:type="dxa"/>
              <w:right w:w="0" w:type="dxa"/>
            </w:tcMar>
            <w:vAlign w:val="center"/>
          </w:tcPr>
          <w:p w14:paraId="0409BF92" w14:textId="77777777" w:rsidR="00D52E9A" w:rsidRPr="00186B85" w:rsidRDefault="00D52E9A" w:rsidP="00350028">
            <w:pPr>
              <w:keepNext/>
              <w:spacing w:before="0" w:after="0" w:line="240" w:lineRule="auto"/>
              <w:ind w:left="100" w:right="100" w:firstLine="0"/>
              <w:jc w:val="right"/>
              <w:rPr>
                <w:sz w:val="20"/>
                <w:szCs w:val="20"/>
              </w:rPr>
            </w:pPr>
          </w:p>
        </w:tc>
        <w:tc>
          <w:tcPr>
            <w:tcW w:w="1095" w:type="dxa"/>
            <w:shd w:val="clear" w:color="auto" w:fill="F6F6F6"/>
            <w:tcMar>
              <w:top w:w="0" w:type="dxa"/>
              <w:left w:w="0" w:type="dxa"/>
              <w:bottom w:w="0" w:type="dxa"/>
              <w:right w:w="0" w:type="dxa"/>
            </w:tcMar>
            <w:vAlign w:val="center"/>
          </w:tcPr>
          <w:p w14:paraId="0506E589" w14:textId="77777777" w:rsidR="00D52E9A" w:rsidRPr="00186B85" w:rsidRDefault="00D52E9A" w:rsidP="00350028">
            <w:pPr>
              <w:keepNext/>
              <w:spacing w:before="0" w:after="0" w:line="240" w:lineRule="auto"/>
              <w:ind w:left="100" w:right="100" w:firstLine="0"/>
              <w:rPr>
                <w:sz w:val="20"/>
                <w:szCs w:val="20"/>
              </w:rPr>
            </w:pPr>
          </w:p>
        </w:tc>
      </w:tr>
      <w:tr w:rsidR="001179F5" w:rsidRPr="00186B85" w14:paraId="7188661E" w14:textId="77777777" w:rsidTr="001179F5">
        <w:trPr>
          <w:gridAfter w:val="1"/>
          <w:wAfter w:w="8" w:type="dxa"/>
          <w:cantSplit/>
          <w:trHeight w:val="179"/>
        </w:trPr>
        <w:tc>
          <w:tcPr>
            <w:tcW w:w="2458" w:type="dxa"/>
            <w:shd w:val="clear" w:color="auto" w:fill="FFFFFF"/>
            <w:tcMar>
              <w:top w:w="0" w:type="dxa"/>
              <w:left w:w="0" w:type="dxa"/>
              <w:bottom w:w="0" w:type="dxa"/>
              <w:right w:w="0" w:type="dxa"/>
            </w:tcMar>
            <w:vAlign w:val="center"/>
          </w:tcPr>
          <w:p w14:paraId="4A8211C1"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AIC</w:t>
            </w:r>
          </w:p>
        </w:tc>
        <w:tc>
          <w:tcPr>
            <w:tcW w:w="1092" w:type="dxa"/>
            <w:shd w:val="clear" w:color="auto" w:fill="FFFFFF"/>
            <w:tcMar>
              <w:top w:w="0" w:type="dxa"/>
              <w:left w:w="0" w:type="dxa"/>
              <w:bottom w:w="0" w:type="dxa"/>
              <w:right w:w="0" w:type="dxa"/>
            </w:tcMar>
            <w:vAlign w:val="center"/>
          </w:tcPr>
          <w:p w14:paraId="7AF00096"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-198.319</w:t>
            </w:r>
          </w:p>
        </w:tc>
        <w:tc>
          <w:tcPr>
            <w:tcW w:w="727" w:type="dxa"/>
            <w:shd w:val="clear" w:color="auto" w:fill="FFFFFF"/>
            <w:tcMar>
              <w:top w:w="0" w:type="dxa"/>
              <w:left w:w="0" w:type="dxa"/>
              <w:bottom w:w="0" w:type="dxa"/>
              <w:right w:w="0" w:type="dxa"/>
            </w:tcMar>
            <w:vAlign w:val="center"/>
          </w:tcPr>
          <w:p w14:paraId="645374C6"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FFFFF"/>
            <w:tcMar>
              <w:top w:w="0" w:type="dxa"/>
              <w:left w:w="0" w:type="dxa"/>
              <w:bottom w:w="0" w:type="dxa"/>
              <w:right w:w="0" w:type="dxa"/>
            </w:tcMar>
            <w:vAlign w:val="center"/>
          </w:tcPr>
          <w:p w14:paraId="70B3BA8D"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3A089F45" w14:textId="77777777" w:rsidR="00D52E9A" w:rsidRPr="00186B85" w:rsidRDefault="00D52E9A" w:rsidP="00350028">
            <w:pPr>
              <w:keepNext/>
              <w:spacing w:before="0" w:after="0" w:line="240" w:lineRule="auto"/>
              <w:ind w:left="100" w:right="100" w:firstLine="0"/>
              <w:rPr>
                <w:sz w:val="20"/>
                <w:szCs w:val="20"/>
              </w:rPr>
            </w:pPr>
          </w:p>
        </w:tc>
        <w:tc>
          <w:tcPr>
            <w:tcW w:w="1092" w:type="dxa"/>
            <w:shd w:val="clear" w:color="auto" w:fill="FFFFFF"/>
            <w:tcMar>
              <w:top w:w="0" w:type="dxa"/>
              <w:left w:w="0" w:type="dxa"/>
              <w:bottom w:w="0" w:type="dxa"/>
              <w:right w:w="0" w:type="dxa"/>
            </w:tcMar>
            <w:vAlign w:val="center"/>
          </w:tcPr>
          <w:p w14:paraId="77D2F134"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-209.322</w:t>
            </w:r>
          </w:p>
        </w:tc>
        <w:tc>
          <w:tcPr>
            <w:tcW w:w="818" w:type="dxa"/>
            <w:shd w:val="clear" w:color="auto" w:fill="FFFFFF"/>
            <w:tcMar>
              <w:top w:w="0" w:type="dxa"/>
              <w:left w:w="0" w:type="dxa"/>
              <w:bottom w:w="0" w:type="dxa"/>
              <w:right w:w="0" w:type="dxa"/>
            </w:tcMar>
            <w:vAlign w:val="center"/>
          </w:tcPr>
          <w:p w14:paraId="727C619B"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FFFFF"/>
            <w:tcMar>
              <w:top w:w="0" w:type="dxa"/>
              <w:left w:w="0" w:type="dxa"/>
              <w:bottom w:w="0" w:type="dxa"/>
              <w:right w:w="0" w:type="dxa"/>
            </w:tcMar>
            <w:vAlign w:val="center"/>
          </w:tcPr>
          <w:p w14:paraId="28B9721E"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FFFFF"/>
            <w:tcMar>
              <w:top w:w="0" w:type="dxa"/>
              <w:left w:w="0" w:type="dxa"/>
              <w:bottom w:w="0" w:type="dxa"/>
              <w:right w:w="0" w:type="dxa"/>
            </w:tcMar>
            <w:vAlign w:val="center"/>
          </w:tcPr>
          <w:p w14:paraId="6D5BB7A5" w14:textId="77777777" w:rsidR="00D52E9A" w:rsidRPr="00186B85" w:rsidRDefault="00D52E9A" w:rsidP="00350028">
            <w:pPr>
              <w:keepNext/>
              <w:spacing w:before="0" w:after="0" w:line="240" w:lineRule="auto"/>
              <w:ind w:left="100" w:right="100" w:firstLine="0"/>
              <w:rPr>
                <w:sz w:val="20"/>
                <w:szCs w:val="20"/>
              </w:rPr>
            </w:pPr>
          </w:p>
        </w:tc>
        <w:tc>
          <w:tcPr>
            <w:tcW w:w="1183" w:type="dxa"/>
            <w:shd w:val="clear" w:color="auto" w:fill="FFFFFF"/>
            <w:tcMar>
              <w:top w:w="0" w:type="dxa"/>
              <w:left w:w="0" w:type="dxa"/>
              <w:bottom w:w="0" w:type="dxa"/>
              <w:right w:w="0" w:type="dxa"/>
            </w:tcMar>
            <w:vAlign w:val="center"/>
          </w:tcPr>
          <w:p w14:paraId="72A13178"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-202.228</w:t>
            </w:r>
            <w:r w:rsidRPr="00186B85">
              <w:rPr>
                <w:rFonts w:eastAsia="Arial"/>
                <w:color w:val="000000"/>
                <w:sz w:val="20"/>
                <w:szCs w:val="20"/>
                <w:vertAlign w:val="superscript"/>
              </w:rPr>
              <w:t>b</w:t>
            </w:r>
          </w:p>
        </w:tc>
        <w:tc>
          <w:tcPr>
            <w:tcW w:w="909" w:type="dxa"/>
            <w:shd w:val="clear" w:color="auto" w:fill="FFFFFF"/>
            <w:tcMar>
              <w:top w:w="0" w:type="dxa"/>
              <w:left w:w="0" w:type="dxa"/>
              <w:bottom w:w="0" w:type="dxa"/>
              <w:right w:w="0" w:type="dxa"/>
            </w:tcMar>
            <w:vAlign w:val="center"/>
          </w:tcPr>
          <w:p w14:paraId="2CF3C49A"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FFFFF"/>
            <w:tcMar>
              <w:top w:w="0" w:type="dxa"/>
              <w:left w:w="0" w:type="dxa"/>
              <w:bottom w:w="0" w:type="dxa"/>
              <w:right w:w="0" w:type="dxa"/>
            </w:tcMar>
            <w:vAlign w:val="center"/>
          </w:tcPr>
          <w:p w14:paraId="1ECA131A" w14:textId="77777777" w:rsidR="00D52E9A" w:rsidRPr="00186B85" w:rsidRDefault="00D52E9A" w:rsidP="00350028">
            <w:pPr>
              <w:keepNext/>
              <w:spacing w:before="0" w:after="0" w:line="240" w:lineRule="auto"/>
              <w:ind w:left="100" w:right="100" w:firstLine="0"/>
              <w:jc w:val="right"/>
              <w:rPr>
                <w:sz w:val="20"/>
                <w:szCs w:val="20"/>
              </w:rPr>
            </w:pPr>
          </w:p>
        </w:tc>
        <w:tc>
          <w:tcPr>
            <w:tcW w:w="1095" w:type="dxa"/>
            <w:shd w:val="clear" w:color="auto" w:fill="FFFFFF"/>
            <w:tcMar>
              <w:top w:w="0" w:type="dxa"/>
              <w:left w:w="0" w:type="dxa"/>
              <w:bottom w:w="0" w:type="dxa"/>
              <w:right w:w="0" w:type="dxa"/>
            </w:tcMar>
            <w:vAlign w:val="center"/>
          </w:tcPr>
          <w:p w14:paraId="494B870A" w14:textId="77777777" w:rsidR="00D52E9A" w:rsidRPr="00186B85" w:rsidRDefault="00D52E9A" w:rsidP="00350028">
            <w:pPr>
              <w:keepNext/>
              <w:spacing w:before="0" w:after="0" w:line="240" w:lineRule="auto"/>
              <w:ind w:left="100" w:right="100" w:firstLine="0"/>
              <w:rPr>
                <w:sz w:val="20"/>
                <w:szCs w:val="20"/>
              </w:rPr>
            </w:pPr>
          </w:p>
        </w:tc>
      </w:tr>
      <w:tr w:rsidR="001179F5" w:rsidRPr="00186B85" w14:paraId="18BEC093" w14:textId="77777777" w:rsidTr="001179F5">
        <w:trPr>
          <w:gridAfter w:val="1"/>
          <w:wAfter w:w="8" w:type="dxa"/>
          <w:cantSplit/>
          <w:trHeight w:val="179"/>
        </w:trPr>
        <w:tc>
          <w:tcPr>
            <w:tcW w:w="2458" w:type="dxa"/>
            <w:tcBorders>
              <w:bottom w:val="single" w:sz="12" w:space="0" w:color="000000"/>
            </w:tcBorders>
            <w:shd w:val="clear" w:color="auto" w:fill="F6F6F6"/>
            <w:tcMar>
              <w:top w:w="0" w:type="dxa"/>
              <w:left w:w="0" w:type="dxa"/>
              <w:bottom w:w="0" w:type="dxa"/>
              <w:right w:w="0" w:type="dxa"/>
            </w:tcMar>
            <w:vAlign w:val="center"/>
          </w:tcPr>
          <w:p w14:paraId="18C284C9"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BIC</w:t>
            </w:r>
          </w:p>
        </w:tc>
        <w:tc>
          <w:tcPr>
            <w:tcW w:w="1092" w:type="dxa"/>
            <w:tcBorders>
              <w:bottom w:val="single" w:sz="12" w:space="0" w:color="000000"/>
            </w:tcBorders>
            <w:shd w:val="clear" w:color="auto" w:fill="F6F6F6"/>
            <w:tcMar>
              <w:top w:w="0" w:type="dxa"/>
              <w:left w:w="0" w:type="dxa"/>
              <w:bottom w:w="0" w:type="dxa"/>
              <w:right w:w="0" w:type="dxa"/>
            </w:tcMar>
            <w:vAlign w:val="center"/>
          </w:tcPr>
          <w:p w14:paraId="796CDE78"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-175.561</w:t>
            </w:r>
          </w:p>
        </w:tc>
        <w:tc>
          <w:tcPr>
            <w:tcW w:w="727" w:type="dxa"/>
            <w:tcBorders>
              <w:bottom w:val="single" w:sz="12" w:space="0" w:color="000000"/>
            </w:tcBorders>
            <w:shd w:val="clear" w:color="auto" w:fill="F6F6F6"/>
            <w:tcMar>
              <w:top w:w="0" w:type="dxa"/>
              <w:left w:w="0" w:type="dxa"/>
              <w:bottom w:w="0" w:type="dxa"/>
              <w:right w:w="0" w:type="dxa"/>
            </w:tcMar>
            <w:vAlign w:val="center"/>
          </w:tcPr>
          <w:p w14:paraId="609F9E6C" w14:textId="77777777" w:rsidR="00D52E9A" w:rsidRPr="00186B85" w:rsidRDefault="00D52E9A" w:rsidP="00350028">
            <w:pPr>
              <w:keepNext/>
              <w:spacing w:before="0" w:after="0" w:line="240" w:lineRule="auto"/>
              <w:ind w:left="100" w:right="100" w:firstLine="0"/>
              <w:jc w:val="right"/>
              <w:rPr>
                <w:sz w:val="20"/>
                <w:szCs w:val="20"/>
              </w:rPr>
            </w:pPr>
          </w:p>
        </w:tc>
        <w:tc>
          <w:tcPr>
            <w:tcW w:w="818" w:type="dxa"/>
            <w:tcBorders>
              <w:bottom w:val="single" w:sz="12" w:space="0" w:color="000000"/>
            </w:tcBorders>
            <w:shd w:val="clear" w:color="auto" w:fill="F6F6F6"/>
            <w:tcMar>
              <w:top w:w="0" w:type="dxa"/>
              <w:left w:w="0" w:type="dxa"/>
              <w:bottom w:w="0" w:type="dxa"/>
              <w:right w:w="0" w:type="dxa"/>
            </w:tcMar>
            <w:vAlign w:val="center"/>
          </w:tcPr>
          <w:p w14:paraId="668D86C0" w14:textId="77777777" w:rsidR="00D52E9A" w:rsidRPr="00186B85" w:rsidRDefault="00D52E9A" w:rsidP="00350028">
            <w:pPr>
              <w:keepNext/>
              <w:spacing w:before="0" w:after="0" w:line="240" w:lineRule="auto"/>
              <w:ind w:left="100" w:right="100" w:firstLine="0"/>
              <w:jc w:val="right"/>
              <w:rPr>
                <w:sz w:val="20"/>
                <w:szCs w:val="20"/>
              </w:rPr>
            </w:pPr>
          </w:p>
        </w:tc>
        <w:tc>
          <w:tcPr>
            <w:tcW w:w="911" w:type="dxa"/>
            <w:tcBorders>
              <w:bottom w:val="single" w:sz="12" w:space="0" w:color="000000"/>
            </w:tcBorders>
            <w:shd w:val="clear" w:color="auto" w:fill="F6F6F6"/>
            <w:tcMar>
              <w:top w:w="0" w:type="dxa"/>
              <w:left w:w="0" w:type="dxa"/>
              <w:bottom w:w="0" w:type="dxa"/>
              <w:right w:w="0" w:type="dxa"/>
            </w:tcMar>
            <w:vAlign w:val="center"/>
          </w:tcPr>
          <w:p w14:paraId="5E7754B5" w14:textId="77777777" w:rsidR="00D52E9A" w:rsidRPr="00186B85" w:rsidRDefault="00D52E9A" w:rsidP="00350028">
            <w:pPr>
              <w:keepNext/>
              <w:spacing w:before="0" w:after="0" w:line="240" w:lineRule="auto"/>
              <w:ind w:left="100" w:right="100" w:firstLine="0"/>
              <w:rPr>
                <w:sz w:val="20"/>
                <w:szCs w:val="20"/>
              </w:rPr>
            </w:pPr>
          </w:p>
        </w:tc>
        <w:tc>
          <w:tcPr>
            <w:tcW w:w="1092" w:type="dxa"/>
            <w:tcBorders>
              <w:bottom w:val="single" w:sz="12" w:space="0" w:color="000000"/>
            </w:tcBorders>
            <w:shd w:val="clear" w:color="auto" w:fill="F6F6F6"/>
            <w:tcMar>
              <w:top w:w="0" w:type="dxa"/>
              <w:left w:w="0" w:type="dxa"/>
              <w:bottom w:w="0" w:type="dxa"/>
              <w:right w:w="0" w:type="dxa"/>
            </w:tcMar>
            <w:vAlign w:val="center"/>
          </w:tcPr>
          <w:p w14:paraId="22F97F3E"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-178.977</w:t>
            </w:r>
          </w:p>
        </w:tc>
        <w:tc>
          <w:tcPr>
            <w:tcW w:w="818" w:type="dxa"/>
            <w:tcBorders>
              <w:bottom w:val="single" w:sz="12" w:space="0" w:color="000000"/>
            </w:tcBorders>
            <w:shd w:val="clear" w:color="auto" w:fill="F6F6F6"/>
            <w:tcMar>
              <w:top w:w="0" w:type="dxa"/>
              <w:left w:w="0" w:type="dxa"/>
              <w:bottom w:w="0" w:type="dxa"/>
              <w:right w:w="0" w:type="dxa"/>
            </w:tcMar>
            <w:vAlign w:val="center"/>
          </w:tcPr>
          <w:p w14:paraId="58933F0B" w14:textId="77777777" w:rsidR="00D52E9A" w:rsidRPr="00186B85" w:rsidRDefault="00D52E9A" w:rsidP="00350028">
            <w:pPr>
              <w:keepNext/>
              <w:spacing w:before="0" w:after="0" w:line="240" w:lineRule="auto"/>
              <w:ind w:left="100" w:right="100" w:firstLine="0"/>
              <w:jc w:val="right"/>
              <w:rPr>
                <w:sz w:val="20"/>
                <w:szCs w:val="20"/>
              </w:rPr>
            </w:pPr>
          </w:p>
        </w:tc>
        <w:tc>
          <w:tcPr>
            <w:tcW w:w="909" w:type="dxa"/>
            <w:tcBorders>
              <w:bottom w:val="single" w:sz="12" w:space="0" w:color="000000"/>
            </w:tcBorders>
            <w:shd w:val="clear" w:color="auto" w:fill="F6F6F6"/>
            <w:tcMar>
              <w:top w:w="0" w:type="dxa"/>
              <w:left w:w="0" w:type="dxa"/>
              <w:bottom w:w="0" w:type="dxa"/>
              <w:right w:w="0" w:type="dxa"/>
            </w:tcMar>
            <w:vAlign w:val="center"/>
          </w:tcPr>
          <w:p w14:paraId="23E67AD0" w14:textId="77777777" w:rsidR="00D52E9A" w:rsidRPr="00186B85" w:rsidRDefault="00D52E9A" w:rsidP="00350028">
            <w:pPr>
              <w:keepNext/>
              <w:spacing w:before="0" w:after="0" w:line="240" w:lineRule="auto"/>
              <w:ind w:left="100" w:right="100" w:firstLine="0"/>
              <w:jc w:val="right"/>
              <w:rPr>
                <w:sz w:val="20"/>
                <w:szCs w:val="20"/>
              </w:rPr>
            </w:pPr>
          </w:p>
        </w:tc>
        <w:tc>
          <w:tcPr>
            <w:tcW w:w="911" w:type="dxa"/>
            <w:tcBorders>
              <w:bottom w:val="single" w:sz="12" w:space="0" w:color="000000"/>
            </w:tcBorders>
            <w:shd w:val="clear" w:color="auto" w:fill="F6F6F6"/>
            <w:tcMar>
              <w:top w:w="0" w:type="dxa"/>
              <w:left w:w="0" w:type="dxa"/>
              <w:bottom w:w="0" w:type="dxa"/>
              <w:right w:w="0" w:type="dxa"/>
            </w:tcMar>
            <w:vAlign w:val="center"/>
          </w:tcPr>
          <w:p w14:paraId="5C025407" w14:textId="77777777" w:rsidR="00D52E9A" w:rsidRPr="00186B85" w:rsidRDefault="00D52E9A" w:rsidP="00350028">
            <w:pPr>
              <w:keepNext/>
              <w:spacing w:before="0" w:after="0" w:line="240" w:lineRule="auto"/>
              <w:ind w:left="100" w:right="100" w:firstLine="0"/>
              <w:rPr>
                <w:sz w:val="20"/>
                <w:szCs w:val="20"/>
              </w:rPr>
            </w:pPr>
          </w:p>
        </w:tc>
        <w:tc>
          <w:tcPr>
            <w:tcW w:w="1183" w:type="dxa"/>
            <w:tcBorders>
              <w:bottom w:val="single" w:sz="12" w:space="0" w:color="000000"/>
            </w:tcBorders>
            <w:shd w:val="clear" w:color="auto" w:fill="F6F6F6"/>
            <w:tcMar>
              <w:top w:w="0" w:type="dxa"/>
              <w:left w:w="0" w:type="dxa"/>
              <w:bottom w:w="0" w:type="dxa"/>
              <w:right w:w="0" w:type="dxa"/>
            </w:tcMar>
            <w:vAlign w:val="center"/>
          </w:tcPr>
          <w:p w14:paraId="605E81E8"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-133.954</w:t>
            </w:r>
            <w:r w:rsidRPr="00186B85">
              <w:rPr>
                <w:rFonts w:eastAsia="Arial"/>
                <w:color w:val="000000"/>
                <w:sz w:val="20"/>
                <w:szCs w:val="20"/>
                <w:vertAlign w:val="superscript"/>
              </w:rPr>
              <w:t>b</w:t>
            </w:r>
          </w:p>
        </w:tc>
        <w:tc>
          <w:tcPr>
            <w:tcW w:w="909" w:type="dxa"/>
            <w:tcBorders>
              <w:bottom w:val="single" w:sz="12" w:space="0" w:color="000000"/>
            </w:tcBorders>
            <w:shd w:val="clear" w:color="auto" w:fill="F6F6F6"/>
            <w:tcMar>
              <w:top w:w="0" w:type="dxa"/>
              <w:left w:w="0" w:type="dxa"/>
              <w:bottom w:w="0" w:type="dxa"/>
              <w:right w:w="0" w:type="dxa"/>
            </w:tcMar>
            <w:vAlign w:val="center"/>
          </w:tcPr>
          <w:p w14:paraId="24AA9AAB" w14:textId="77777777" w:rsidR="00D52E9A" w:rsidRPr="00186B85" w:rsidRDefault="00D52E9A" w:rsidP="00350028">
            <w:pPr>
              <w:keepNext/>
              <w:spacing w:before="0" w:after="0" w:line="240" w:lineRule="auto"/>
              <w:ind w:left="100" w:right="100" w:firstLine="0"/>
              <w:jc w:val="right"/>
              <w:rPr>
                <w:sz w:val="20"/>
                <w:szCs w:val="20"/>
              </w:rPr>
            </w:pPr>
          </w:p>
        </w:tc>
        <w:tc>
          <w:tcPr>
            <w:tcW w:w="909" w:type="dxa"/>
            <w:tcBorders>
              <w:bottom w:val="single" w:sz="12" w:space="0" w:color="000000"/>
            </w:tcBorders>
            <w:shd w:val="clear" w:color="auto" w:fill="F6F6F6"/>
            <w:tcMar>
              <w:top w:w="0" w:type="dxa"/>
              <w:left w:w="0" w:type="dxa"/>
              <w:bottom w:w="0" w:type="dxa"/>
              <w:right w:w="0" w:type="dxa"/>
            </w:tcMar>
            <w:vAlign w:val="center"/>
          </w:tcPr>
          <w:p w14:paraId="3FFC4F7D" w14:textId="77777777" w:rsidR="00D52E9A" w:rsidRPr="00186B85" w:rsidRDefault="00D52E9A" w:rsidP="00350028">
            <w:pPr>
              <w:keepNext/>
              <w:spacing w:before="0" w:after="0" w:line="240" w:lineRule="auto"/>
              <w:ind w:left="100" w:right="100" w:firstLine="0"/>
              <w:jc w:val="right"/>
              <w:rPr>
                <w:sz w:val="20"/>
                <w:szCs w:val="20"/>
              </w:rPr>
            </w:pPr>
          </w:p>
        </w:tc>
        <w:tc>
          <w:tcPr>
            <w:tcW w:w="1095" w:type="dxa"/>
            <w:tcBorders>
              <w:bottom w:val="single" w:sz="12" w:space="0" w:color="000000"/>
            </w:tcBorders>
            <w:shd w:val="clear" w:color="auto" w:fill="F6F6F6"/>
            <w:tcMar>
              <w:top w:w="0" w:type="dxa"/>
              <w:left w:w="0" w:type="dxa"/>
              <w:bottom w:w="0" w:type="dxa"/>
              <w:right w:w="0" w:type="dxa"/>
            </w:tcMar>
            <w:vAlign w:val="center"/>
          </w:tcPr>
          <w:p w14:paraId="4D823F2F" w14:textId="77777777" w:rsidR="00D52E9A" w:rsidRPr="00186B85" w:rsidRDefault="00D52E9A" w:rsidP="00350028">
            <w:pPr>
              <w:keepNext/>
              <w:spacing w:before="0" w:after="0" w:line="240" w:lineRule="auto"/>
              <w:ind w:left="100" w:right="100" w:firstLine="0"/>
              <w:rPr>
                <w:sz w:val="20"/>
                <w:szCs w:val="20"/>
              </w:rPr>
            </w:pPr>
          </w:p>
        </w:tc>
      </w:tr>
      <w:tr w:rsidR="001179F5" w:rsidRPr="00186B85" w14:paraId="375AC117" w14:textId="77777777" w:rsidTr="001179F5">
        <w:trPr>
          <w:gridAfter w:val="1"/>
          <w:wAfter w:w="8" w:type="dxa"/>
          <w:cantSplit/>
          <w:trHeight w:val="361"/>
        </w:trPr>
        <w:tc>
          <w:tcPr>
            <w:tcW w:w="2458" w:type="dxa"/>
            <w:tcBorders>
              <w:top w:val="single" w:sz="12" w:space="0" w:color="000000"/>
            </w:tcBorders>
            <w:shd w:val="clear" w:color="auto" w:fill="FFFFFF"/>
            <w:tcMar>
              <w:top w:w="0" w:type="dxa"/>
              <w:left w:w="0" w:type="dxa"/>
              <w:bottom w:w="0" w:type="dxa"/>
              <w:right w:w="0" w:type="dxa"/>
            </w:tcMar>
            <w:vAlign w:val="center"/>
          </w:tcPr>
          <w:p w14:paraId="68EE7A5A"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Observations</w:t>
            </w:r>
          </w:p>
        </w:tc>
        <w:tc>
          <w:tcPr>
            <w:tcW w:w="1092" w:type="dxa"/>
            <w:tcBorders>
              <w:top w:val="single" w:sz="12" w:space="0" w:color="000000"/>
            </w:tcBorders>
            <w:shd w:val="clear" w:color="auto" w:fill="FFFFFF"/>
            <w:tcMar>
              <w:top w:w="0" w:type="dxa"/>
              <w:left w:w="0" w:type="dxa"/>
              <w:bottom w:w="0" w:type="dxa"/>
              <w:right w:w="0" w:type="dxa"/>
            </w:tcMar>
            <w:vAlign w:val="center"/>
          </w:tcPr>
          <w:p w14:paraId="1FD8BC51"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328</w:t>
            </w:r>
          </w:p>
        </w:tc>
        <w:tc>
          <w:tcPr>
            <w:tcW w:w="727" w:type="dxa"/>
            <w:tcBorders>
              <w:top w:val="single" w:sz="12" w:space="0" w:color="000000"/>
            </w:tcBorders>
            <w:shd w:val="clear" w:color="auto" w:fill="FFFFFF"/>
            <w:tcMar>
              <w:top w:w="0" w:type="dxa"/>
              <w:left w:w="0" w:type="dxa"/>
              <w:bottom w:w="0" w:type="dxa"/>
              <w:right w:w="0" w:type="dxa"/>
            </w:tcMar>
            <w:vAlign w:val="center"/>
          </w:tcPr>
          <w:p w14:paraId="58BD3F4C" w14:textId="77777777" w:rsidR="00D52E9A" w:rsidRPr="00186B85" w:rsidRDefault="00D52E9A" w:rsidP="00350028">
            <w:pPr>
              <w:keepNext/>
              <w:spacing w:before="0" w:after="0" w:line="240" w:lineRule="auto"/>
              <w:ind w:left="100" w:right="100" w:firstLine="0"/>
              <w:jc w:val="right"/>
              <w:rPr>
                <w:sz w:val="20"/>
                <w:szCs w:val="20"/>
              </w:rPr>
            </w:pPr>
          </w:p>
        </w:tc>
        <w:tc>
          <w:tcPr>
            <w:tcW w:w="818" w:type="dxa"/>
            <w:tcBorders>
              <w:top w:val="single" w:sz="12" w:space="0" w:color="000000"/>
            </w:tcBorders>
            <w:shd w:val="clear" w:color="auto" w:fill="FFFFFF"/>
            <w:tcMar>
              <w:top w:w="0" w:type="dxa"/>
              <w:left w:w="0" w:type="dxa"/>
              <w:bottom w:w="0" w:type="dxa"/>
              <w:right w:w="0" w:type="dxa"/>
            </w:tcMar>
            <w:vAlign w:val="center"/>
          </w:tcPr>
          <w:p w14:paraId="6F323893" w14:textId="77777777" w:rsidR="00D52E9A" w:rsidRPr="00186B85" w:rsidRDefault="00D52E9A" w:rsidP="00350028">
            <w:pPr>
              <w:keepNext/>
              <w:spacing w:before="0" w:after="0" w:line="240" w:lineRule="auto"/>
              <w:ind w:left="100" w:right="100" w:firstLine="0"/>
              <w:jc w:val="right"/>
              <w:rPr>
                <w:sz w:val="20"/>
                <w:szCs w:val="20"/>
              </w:rPr>
            </w:pPr>
          </w:p>
        </w:tc>
        <w:tc>
          <w:tcPr>
            <w:tcW w:w="911" w:type="dxa"/>
            <w:tcBorders>
              <w:top w:val="single" w:sz="12" w:space="0" w:color="000000"/>
            </w:tcBorders>
            <w:shd w:val="clear" w:color="auto" w:fill="FFFFFF"/>
            <w:tcMar>
              <w:top w:w="0" w:type="dxa"/>
              <w:left w:w="0" w:type="dxa"/>
              <w:bottom w:w="0" w:type="dxa"/>
              <w:right w:w="0" w:type="dxa"/>
            </w:tcMar>
            <w:vAlign w:val="center"/>
          </w:tcPr>
          <w:p w14:paraId="74B143CE" w14:textId="77777777" w:rsidR="00D52E9A" w:rsidRPr="00186B85" w:rsidRDefault="00D52E9A" w:rsidP="00350028">
            <w:pPr>
              <w:keepNext/>
              <w:spacing w:before="0" w:after="0" w:line="240" w:lineRule="auto"/>
              <w:ind w:left="100" w:right="100" w:firstLine="0"/>
              <w:rPr>
                <w:sz w:val="20"/>
                <w:szCs w:val="20"/>
              </w:rPr>
            </w:pPr>
          </w:p>
        </w:tc>
        <w:tc>
          <w:tcPr>
            <w:tcW w:w="1092" w:type="dxa"/>
            <w:tcBorders>
              <w:top w:val="single" w:sz="12" w:space="0" w:color="000000"/>
            </w:tcBorders>
            <w:shd w:val="clear" w:color="auto" w:fill="FFFFFF"/>
            <w:tcMar>
              <w:top w:w="0" w:type="dxa"/>
              <w:left w:w="0" w:type="dxa"/>
              <w:bottom w:w="0" w:type="dxa"/>
              <w:right w:w="0" w:type="dxa"/>
            </w:tcMar>
            <w:vAlign w:val="center"/>
          </w:tcPr>
          <w:p w14:paraId="4F831EF6"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328</w:t>
            </w:r>
          </w:p>
        </w:tc>
        <w:tc>
          <w:tcPr>
            <w:tcW w:w="818" w:type="dxa"/>
            <w:tcBorders>
              <w:top w:val="single" w:sz="12" w:space="0" w:color="000000"/>
            </w:tcBorders>
            <w:shd w:val="clear" w:color="auto" w:fill="FFFFFF"/>
            <w:tcMar>
              <w:top w:w="0" w:type="dxa"/>
              <w:left w:w="0" w:type="dxa"/>
              <w:bottom w:w="0" w:type="dxa"/>
              <w:right w:w="0" w:type="dxa"/>
            </w:tcMar>
            <w:vAlign w:val="center"/>
          </w:tcPr>
          <w:p w14:paraId="74479736" w14:textId="77777777" w:rsidR="00D52E9A" w:rsidRPr="00186B85" w:rsidRDefault="00D52E9A" w:rsidP="00350028">
            <w:pPr>
              <w:keepNext/>
              <w:spacing w:before="0" w:after="0" w:line="240" w:lineRule="auto"/>
              <w:ind w:left="100" w:right="100" w:firstLine="0"/>
              <w:jc w:val="right"/>
              <w:rPr>
                <w:sz w:val="20"/>
                <w:szCs w:val="20"/>
              </w:rPr>
            </w:pPr>
          </w:p>
        </w:tc>
        <w:tc>
          <w:tcPr>
            <w:tcW w:w="909" w:type="dxa"/>
            <w:tcBorders>
              <w:top w:val="single" w:sz="12" w:space="0" w:color="000000"/>
            </w:tcBorders>
            <w:shd w:val="clear" w:color="auto" w:fill="FFFFFF"/>
            <w:tcMar>
              <w:top w:w="0" w:type="dxa"/>
              <w:left w:w="0" w:type="dxa"/>
              <w:bottom w:w="0" w:type="dxa"/>
              <w:right w:w="0" w:type="dxa"/>
            </w:tcMar>
            <w:vAlign w:val="center"/>
          </w:tcPr>
          <w:p w14:paraId="7980D645" w14:textId="77777777" w:rsidR="00D52E9A" w:rsidRPr="00186B85" w:rsidRDefault="00D52E9A" w:rsidP="00350028">
            <w:pPr>
              <w:keepNext/>
              <w:spacing w:before="0" w:after="0" w:line="240" w:lineRule="auto"/>
              <w:ind w:left="100" w:right="100" w:firstLine="0"/>
              <w:jc w:val="right"/>
              <w:rPr>
                <w:sz w:val="20"/>
                <w:szCs w:val="20"/>
              </w:rPr>
            </w:pPr>
          </w:p>
        </w:tc>
        <w:tc>
          <w:tcPr>
            <w:tcW w:w="911" w:type="dxa"/>
            <w:tcBorders>
              <w:top w:val="single" w:sz="12" w:space="0" w:color="000000"/>
            </w:tcBorders>
            <w:shd w:val="clear" w:color="auto" w:fill="FFFFFF"/>
            <w:tcMar>
              <w:top w:w="0" w:type="dxa"/>
              <w:left w:w="0" w:type="dxa"/>
              <w:bottom w:w="0" w:type="dxa"/>
              <w:right w:w="0" w:type="dxa"/>
            </w:tcMar>
            <w:vAlign w:val="center"/>
          </w:tcPr>
          <w:p w14:paraId="5EA90562" w14:textId="77777777" w:rsidR="00D52E9A" w:rsidRPr="00186B85" w:rsidRDefault="00D52E9A" w:rsidP="00350028">
            <w:pPr>
              <w:keepNext/>
              <w:spacing w:before="0" w:after="0" w:line="240" w:lineRule="auto"/>
              <w:ind w:left="100" w:right="100" w:firstLine="0"/>
              <w:rPr>
                <w:sz w:val="20"/>
                <w:szCs w:val="20"/>
              </w:rPr>
            </w:pPr>
          </w:p>
        </w:tc>
        <w:tc>
          <w:tcPr>
            <w:tcW w:w="1183" w:type="dxa"/>
            <w:tcBorders>
              <w:top w:val="single" w:sz="12" w:space="0" w:color="000000"/>
            </w:tcBorders>
            <w:shd w:val="clear" w:color="auto" w:fill="FFFFFF"/>
            <w:tcMar>
              <w:top w:w="0" w:type="dxa"/>
              <w:left w:w="0" w:type="dxa"/>
              <w:bottom w:w="0" w:type="dxa"/>
              <w:right w:w="0" w:type="dxa"/>
            </w:tcMar>
            <w:vAlign w:val="center"/>
          </w:tcPr>
          <w:p w14:paraId="1540653C"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328</w:t>
            </w:r>
          </w:p>
        </w:tc>
        <w:tc>
          <w:tcPr>
            <w:tcW w:w="909" w:type="dxa"/>
            <w:tcBorders>
              <w:top w:val="single" w:sz="12" w:space="0" w:color="000000"/>
            </w:tcBorders>
            <w:shd w:val="clear" w:color="auto" w:fill="FFFFFF"/>
            <w:tcMar>
              <w:top w:w="0" w:type="dxa"/>
              <w:left w:w="0" w:type="dxa"/>
              <w:bottom w:w="0" w:type="dxa"/>
              <w:right w:w="0" w:type="dxa"/>
            </w:tcMar>
            <w:vAlign w:val="center"/>
          </w:tcPr>
          <w:p w14:paraId="62786019" w14:textId="77777777" w:rsidR="00D52E9A" w:rsidRPr="00186B85" w:rsidRDefault="00D52E9A" w:rsidP="00350028">
            <w:pPr>
              <w:keepNext/>
              <w:spacing w:before="0" w:after="0" w:line="240" w:lineRule="auto"/>
              <w:ind w:left="100" w:right="100" w:firstLine="0"/>
              <w:jc w:val="right"/>
              <w:rPr>
                <w:sz w:val="20"/>
                <w:szCs w:val="20"/>
              </w:rPr>
            </w:pPr>
          </w:p>
        </w:tc>
        <w:tc>
          <w:tcPr>
            <w:tcW w:w="909" w:type="dxa"/>
            <w:tcBorders>
              <w:top w:val="single" w:sz="12" w:space="0" w:color="000000"/>
            </w:tcBorders>
            <w:shd w:val="clear" w:color="auto" w:fill="FFFFFF"/>
            <w:tcMar>
              <w:top w:w="0" w:type="dxa"/>
              <w:left w:w="0" w:type="dxa"/>
              <w:bottom w:w="0" w:type="dxa"/>
              <w:right w:w="0" w:type="dxa"/>
            </w:tcMar>
            <w:vAlign w:val="center"/>
          </w:tcPr>
          <w:p w14:paraId="3F0B8CDA" w14:textId="77777777" w:rsidR="00D52E9A" w:rsidRPr="00186B85" w:rsidRDefault="00D52E9A" w:rsidP="00350028">
            <w:pPr>
              <w:keepNext/>
              <w:spacing w:before="0" w:after="0" w:line="240" w:lineRule="auto"/>
              <w:ind w:left="100" w:right="100" w:firstLine="0"/>
              <w:jc w:val="right"/>
              <w:rPr>
                <w:sz w:val="20"/>
                <w:szCs w:val="20"/>
              </w:rPr>
            </w:pPr>
          </w:p>
        </w:tc>
        <w:tc>
          <w:tcPr>
            <w:tcW w:w="1095" w:type="dxa"/>
            <w:tcBorders>
              <w:top w:val="single" w:sz="12" w:space="0" w:color="000000"/>
            </w:tcBorders>
            <w:shd w:val="clear" w:color="auto" w:fill="FFFFFF"/>
            <w:tcMar>
              <w:top w:w="0" w:type="dxa"/>
              <w:left w:w="0" w:type="dxa"/>
              <w:bottom w:w="0" w:type="dxa"/>
              <w:right w:w="0" w:type="dxa"/>
            </w:tcMar>
            <w:vAlign w:val="center"/>
          </w:tcPr>
          <w:p w14:paraId="39276502" w14:textId="77777777" w:rsidR="00D52E9A" w:rsidRPr="00186B85" w:rsidRDefault="00D52E9A" w:rsidP="00350028">
            <w:pPr>
              <w:keepNext/>
              <w:spacing w:before="0" w:after="0" w:line="240" w:lineRule="auto"/>
              <w:ind w:left="100" w:right="100" w:firstLine="0"/>
              <w:rPr>
                <w:sz w:val="20"/>
                <w:szCs w:val="20"/>
              </w:rPr>
            </w:pPr>
          </w:p>
        </w:tc>
      </w:tr>
      <w:tr w:rsidR="001179F5" w:rsidRPr="00186B85" w14:paraId="00F11419" w14:textId="77777777" w:rsidTr="001179F5">
        <w:trPr>
          <w:gridAfter w:val="1"/>
          <w:wAfter w:w="8" w:type="dxa"/>
          <w:cantSplit/>
          <w:trHeight w:val="376"/>
        </w:trPr>
        <w:tc>
          <w:tcPr>
            <w:tcW w:w="2458" w:type="dxa"/>
            <w:shd w:val="clear" w:color="auto" w:fill="F6F6F6"/>
            <w:tcMar>
              <w:top w:w="0" w:type="dxa"/>
              <w:left w:w="0" w:type="dxa"/>
              <w:bottom w:w="0" w:type="dxa"/>
              <w:right w:w="0" w:type="dxa"/>
            </w:tcMar>
            <w:vAlign w:val="center"/>
          </w:tcPr>
          <w:p w14:paraId="2FAE4E26"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rPr>
              <w:t>Imputations</w:t>
            </w:r>
          </w:p>
        </w:tc>
        <w:tc>
          <w:tcPr>
            <w:tcW w:w="1092" w:type="dxa"/>
            <w:shd w:val="clear" w:color="auto" w:fill="F6F6F6"/>
            <w:tcMar>
              <w:top w:w="0" w:type="dxa"/>
              <w:left w:w="0" w:type="dxa"/>
              <w:bottom w:w="0" w:type="dxa"/>
              <w:right w:w="0" w:type="dxa"/>
            </w:tcMar>
            <w:vAlign w:val="center"/>
          </w:tcPr>
          <w:p w14:paraId="4CF8C386" w14:textId="77777777" w:rsidR="00D52E9A" w:rsidRPr="00186B85" w:rsidRDefault="00D52E9A" w:rsidP="00350028">
            <w:pPr>
              <w:keepNext/>
              <w:spacing w:before="0" w:after="0" w:line="240" w:lineRule="auto"/>
              <w:ind w:left="100" w:right="100" w:firstLine="0"/>
              <w:jc w:val="right"/>
              <w:rPr>
                <w:sz w:val="20"/>
                <w:szCs w:val="20"/>
              </w:rPr>
            </w:pPr>
          </w:p>
        </w:tc>
        <w:tc>
          <w:tcPr>
            <w:tcW w:w="727" w:type="dxa"/>
            <w:shd w:val="clear" w:color="auto" w:fill="F6F6F6"/>
            <w:tcMar>
              <w:top w:w="0" w:type="dxa"/>
              <w:left w:w="0" w:type="dxa"/>
              <w:bottom w:w="0" w:type="dxa"/>
              <w:right w:w="0" w:type="dxa"/>
            </w:tcMar>
            <w:vAlign w:val="center"/>
          </w:tcPr>
          <w:p w14:paraId="7E71BC99"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6C5D4060"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507B9A63" w14:textId="77777777" w:rsidR="00D52E9A" w:rsidRPr="00186B85" w:rsidRDefault="00D52E9A" w:rsidP="00350028">
            <w:pPr>
              <w:keepNext/>
              <w:spacing w:before="0" w:after="0" w:line="240" w:lineRule="auto"/>
              <w:ind w:left="100" w:right="100" w:firstLine="0"/>
              <w:rPr>
                <w:sz w:val="20"/>
                <w:szCs w:val="20"/>
              </w:rPr>
            </w:pPr>
          </w:p>
        </w:tc>
        <w:tc>
          <w:tcPr>
            <w:tcW w:w="1092" w:type="dxa"/>
            <w:shd w:val="clear" w:color="auto" w:fill="F6F6F6"/>
            <w:tcMar>
              <w:top w:w="0" w:type="dxa"/>
              <w:left w:w="0" w:type="dxa"/>
              <w:bottom w:w="0" w:type="dxa"/>
              <w:right w:w="0" w:type="dxa"/>
            </w:tcMar>
            <w:vAlign w:val="center"/>
          </w:tcPr>
          <w:p w14:paraId="30DE9704" w14:textId="77777777" w:rsidR="00D52E9A" w:rsidRPr="00186B85" w:rsidRDefault="00D52E9A" w:rsidP="00350028">
            <w:pPr>
              <w:keepNext/>
              <w:spacing w:before="0" w:after="0" w:line="240" w:lineRule="auto"/>
              <w:ind w:left="100" w:right="100" w:firstLine="0"/>
              <w:jc w:val="right"/>
              <w:rPr>
                <w:sz w:val="20"/>
                <w:szCs w:val="20"/>
              </w:rPr>
            </w:pPr>
          </w:p>
        </w:tc>
        <w:tc>
          <w:tcPr>
            <w:tcW w:w="818" w:type="dxa"/>
            <w:shd w:val="clear" w:color="auto" w:fill="F6F6F6"/>
            <w:tcMar>
              <w:top w:w="0" w:type="dxa"/>
              <w:left w:w="0" w:type="dxa"/>
              <w:bottom w:w="0" w:type="dxa"/>
              <w:right w:w="0" w:type="dxa"/>
            </w:tcMar>
            <w:vAlign w:val="center"/>
          </w:tcPr>
          <w:p w14:paraId="66544021"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6F6F6"/>
            <w:tcMar>
              <w:top w:w="0" w:type="dxa"/>
              <w:left w:w="0" w:type="dxa"/>
              <w:bottom w:w="0" w:type="dxa"/>
              <w:right w:w="0" w:type="dxa"/>
            </w:tcMar>
            <w:vAlign w:val="center"/>
          </w:tcPr>
          <w:p w14:paraId="492D1D5C" w14:textId="77777777" w:rsidR="00D52E9A" w:rsidRPr="00186B85" w:rsidRDefault="00D52E9A" w:rsidP="00350028">
            <w:pPr>
              <w:keepNext/>
              <w:spacing w:before="0" w:after="0" w:line="240" w:lineRule="auto"/>
              <w:ind w:left="100" w:right="100" w:firstLine="0"/>
              <w:jc w:val="right"/>
              <w:rPr>
                <w:sz w:val="20"/>
                <w:szCs w:val="20"/>
              </w:rPr>
            </w:pPr>
          </w:p>
        </w:tc>
        <w:tc>
          <w:tcPr>
            <w:tcW w:w="911" w:type="dxa"/>
            <w:shd w:val="clear" w:color="auto" w:fill="F6F6F6"/>
            <w:tcMar>
              <w:top w:w="0" w:type="dxa"/>
              <w:left w:w="0" w:type="dxa"/>
              <w:bottom w:w="0" w:type="dxa"/>
              <w:right w:w="0" w:type="dxa"/>
            </w:tcMar>
            <w:vAlign w:val="center"/>
          </w:tcPr>
          <w:p w14:paraId="62CC376C" w14:textId="77777777" w:rsidR="00D52E9A" w:rsidRPr="00186B85" w:rsidRDefault="00D52E9A" w:rsidP="00350028">
            <w:pPr>
              <w:keepNext/>
              <w:spacing w:before="0" w:after="0" w:line="240" w:lineRule="auto"/>
              <w:ind w:left="100" w:right="100" w:firstLine="0"/>
              <w:rPr>
                <w:sz w:val="20"/>
                <w:szCs w:val="20"/>
              </w:rPr>
            </w:pPr>
          </w:p>
        </w:tc>
        <w:tc>
          <w:tcPr>
            <w:tcW w:w="1183" w:type="dxa"/>
            <w:shd w:val="clear" w:color="auto" w:fill="F6F6F6"/>
            <w:tcMar>
              <w:top w:w="0" w:type="dxa"/>
              <w:left w:w="0" w:type="dxa"/>
              <w:bottom w:w="0" w:type="dxa"/>
              <w:right w:w="0" w:type="dxa"/>
            </w:tcMar>
            <w:vAlign w:val="center"/>
          </w:tcPr>
          <w:p w14:paraId="4F7724BE" w14:textId="77777777" w:rsidR="00D52E9A" w:rsidRPr="00186B85" w:rsidRDefault="00D52E9A" w:rsidP="00350028">
            <w:pPr>
              <w:keepNext/>
              <w:spacing w:before="0" w:after="0" w:line="240" w:lineRule="auto"/>
              <w:ind w:left="100" w:right="100" w:firstLine="0"/>
              <w:jc w:val="right"/>
              <w:rPr>
                <w:sz w:val="20"/>
                <w:szCs w:val="20"/>
              </w:rPr>
            </w:pPr>
            <w:r w:rsidRPr="00186B85">
              <w:rPr>
                <w:rFonts w:eastAsia="Arial"/>
                <w:color w:val="000000"/>
                <w:sz w:val="20"/>
                <w:szCs w:val="20"/>
              </w:rPr>
              <w:t>20</w:t>
            </w:r>
          </w:p>
        </w:tc>
        <w:tc>
          <w:tcPr>
            <w:tcW w:w="909" w:type="dxa"/>
            <w:shd w:val="clear" w:color="auto" w:fill="F6F6F6"/>
            <w:tcMar>
              <w:top w:w="0" w:type="dxa"/>
              <w:left w:w="0" w:type="dxa"/>
              <w:bottom w:w="0" w:type="dxa"/>
              <w:right w:w="0" w:type="dxa"/>
            </w:tcMar>
            <w:vAlign w:val="center"/>
          </w:tcPr>
          <w:p w14:paraId="28C96631" w14:textId="77777777" w:rsidR="00D52E9A" w:rsidRPr="00186B85" w:rsidRDefault="00D52E9A" w:rsidP="00350028">
            <w:pPr>
              <w:keepNext/>
              <w:spacing w:before="0" w:after="0" w:line="240" w:lineRule="auto"/>
              <w:ind w:left="100" w:right="100" w:firstLine="0"/>
              <w:jc w:val="right"/>
              <w:rPr>
                <w:sz w:val="20"/>
                <w:szCs w:val="20"/>
              </w:rPr>
            </w:pPr>
          </w:p>
        </w:tc>
        <w:tc>
          <w:tcPr>
            <w:tcW w:w="909" w:type="dxa"/>
            <w:shd w:val="clear" w:color="auto" w:fill="F6F6F6"/>
            <w:tcMar>
              <w:top w:w="0" w:type="dxa"/>
              <w:left w:w="0" w:type="dxa"/>
              <w:bottom w:w="0" w:type="dxa"/>
              <w:right w:w="0" w:type="dxa"/>
            </w:tcMar>
            <w:vAlign w:val="center"/>
          </w:tcPr>
          <w:p w14:paraId="51621F1F" w14:textId="77777777" w:rsidR="00D52E9A" w:rsidRPr="00186B85" w:rsidRDefault="00D52E9A" w:rsidP="00350028">
            <w:pPr>
              <w:keepNext/>
              <w:spacing w:before="0" w:after="0" w:line="240" w:lineRule="auto"/>
              <w:ind w:left="100" w:right="100" w:firstLine="0"/>
              <w:jc w:val="right"/>
              <w:rPr>
                <w:sz w:val="20"/>
                <w:szCs w:val="20"/>
              </w:rPr>
            </w:pPr>
          </w:p>
        </w:tc>
        <w:tc>
          <w:tcPr>
            <w:tcW w:w="1095" w:type="dxa"/>
            <w:shd w:val="clear" w:color="auto" w:fill="F6F6F6"/>
            <w:tcMar>
              <w:top w:w="0" w:type="dxa"/>
              <w:left w:w="0" w:type="dxa"/>
              <w:bottom w:w="0" w:type="dxa"/>
              <w:right w:w="0" w:type="dxa"/>
            </w:tcMar>
            <w:vAlign w:val="center"/>
          </w:tcPr>
          <w:p w14:paraId="3C50C061" w14:textId="77777777" w:rsidR="00D52E9A" w:rsidRPr="00186B85" w:rsidRDefault="00D52E9A" w:rsidP="00350028">
            <w:pPr>
              <w:keepNext/>
              <w:spacing w:before="0" w:after="0" w:line="240" w:lineRule="auto"/>
              <w:ind w:left="100" w:right="100" w:firstLine="0"/>
              <w:rPr>
                <w:sz w:val="20"/>
                <w:szCs w:val="20"/>
              </w:rPr>
            </w:pPr>
          </w:p>
        </w:tc>
      </w:tr>
      <w:tr w:rsidR="00D52E9A" w:rsidRPr="00186B85" w14:paraId="02F82173" w14:textId="77777777" w:rsidTr="001179F5">
        <w:trPr>
          <w:cantSplit/>
          <w:trHeight w:val="179"/>
        </w:trPr>
        <w:tc>
          <w:tcPr>
            <w:tcW w:w="13840" w:type="dxa"/>
            <w:gridSpan w:val="14"/>
            <w:shd w:val="clear" w:color="auto" w:fill="FFFFFF"/>
            <w:tcMar>
              <w:top w:w="0" w:type="dxa"/>
              <w:left w:w="0" w:type="dxa"/>
              <w:bottom w:w="0" w:type="dxa"/>
              <w:right w:w="0" w:type="dxa"/>
            </w:tcMar>
            <w:vAlign w:val="center"/>
          </w:tcPr>
          <w:p w14:paraId="3B9CA1CE"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vertAlign w:val="superscript"/>
              </w:rPr>
              <w:t>a</w:t>
            </w:r>
            <w:r w:rsidRPr="00186B85">
              <w:rPr>
                <w:rFonts w:eastAsia="Arial"/>
                <w:color w:val="000000"/>
                <w:sz w:val="20"/>
                <w:szCs w:val="20"/>
              </w:rPr>
              <w:t>The correlation coefficient is based on mean across imputed models</w:t>
            </w:r>
          </w:p>
        </w:tc>
      </w:tr>
      <w:tr w:rsidR="00D52E9A" w:rsidRPr="00186B85" w14:paraId="0ADE8872" w14:textId="77777777" w:rsidTr="001179F5">
        <w:trPr>
          <w:cantSplit/>
          <w:trHeight w:val="195"/>
        </w:trPr>
        <w:tc>
          <w:tcPr>
            <w:tcW w:w="13840" w:type="dxa"/>
            <w:gridSpan w:val="14"/>
            <w:shd w:val="clear" w:color="auto" w:fill="FFFFFF"/>
            <w:tcMar>
              <w:top w:w="0" w:type="dxa"/>
              <w:left w:w="0" w:type="dxa"/>
              <w:bottom w:w="0" w:type="dxa"/>
              <w:right w:w="0" w:type="dxa"/>
            </w:tcMar>
            <w:vAlign w:val="center"/>
          </w:tcPr>
          <w:p w14:paraId="0427EDE8" w14:textId="77777777" w:rsidR="00D52E9A" w:rsidRPr="00186B85" w:rsidRDefault="00D52E9A" w:rsidP="00350028">
            <w:pPr>
              <w:keepNext/>
              <w:spacing w:before="0" w:after="0" w:line="240" w:lineRule="auto"/>
              <w:ind w:left="100" w:right="100" w:firstLine="0"/>
              <w:rPr>
                <w:sz w:val="20"/>
                <w:szCs w:val="20"/>
              </w:rPr>
            </w:pPr>
            <w:r w:rsidRPr="00186B85">
              <w:rPr>
                <w:rFonts w:eastAsia="Arial"/>
                <w:color w:val="000000"/>
                <w:sz w:val="20"/>
                <w:szCs w:val="20"/>
                <w:vertAlign w:val="superscript"/>
              </w:rPr>
              <w:t>b</w:t>
            </w:r>
            <w:r w:rsidRPr="00186B85">
              <w:rPr>
                <w:rFonts w:eastAsia="Arial"/>
                <w:color w:val="000000"/>
                <w:sz w:val="20"/>
                <w:szCs w:val="20"/>
              </w:rPr>
              <w:t>Fit statistics based on mean across imputed models</w:t>
            </w:r>
          </w:p>
        </w:tc>
      </w:tr>
    </w:tbl>
    <w:p w14:paraId="72FE1AD3" w14:textId="77777777" w:rsidR="001179F5" w:rsidRDefault="00D52E9A">
      <w:pPr>
        <w:spacing w:before="0" w:after="200" w:line="240" w:lineRule="auto"/>
        <w:ind w:firstLine="0"/>
        <w:sectPr w:rsidR="001179F5" w:rsidSect="00D01347">
          <w:headerReference w:type="even" r:id="rId78"/>
          <w:headerReference w:type="default" r:id="rId79"/>
          <w:footerReference w:type="even" r:id="rId80"/>
          <w:footerReference w:type="default" r:id="rId81"/>
          <w:headerReference w:type="first" r:id="rId82"/>
          <w:footerReference w:type="first" r:id="rId83"/>
          <w:pgSz w:w="16838" w:h="11906" w:orient="landscape"/>
          <w:pgMar w:top="1440" w:right="1440" w:bottom="1440" w:left="1440" w:header="720" w:footer="720" w:gutter="0"/>
          <w:cols w:space="720"/>
          <w:docGrid w:linePitch="326"/>
        </w:sectPr>
      </w:pPr>
      <w:r>
        <w:br w:type="page"/>
      </w:r>
    </w:p>
    <w:p w14:paraId="4CB09F70" w14:textId="195817AD" w:rsidR="00186B85" w:rsidRDefault="00C601B2" w:rsidP="001179F5">
      <w:pPr>
        <w:ind w:firstLine="0"/>
      </w:pPr>
      <w:r>
        <w:lastRenderedPageBreak/>
        <w:t xml:space="preserve">predictor, with a one-unit increase in scientific literacy above average scientific literacy across </w:t>
      </w:r>
      <w:r w:rsidR="00652338">
        <w:t>countries associated with a .45% increase in CO</w:t>
      </w:r>
      <w:r w:rsidR="00652338">
        <w:rPr>
          <w:vertAlign w:val="subscript"/>
        </w:rPr>
        <w:t>2</w:t>
      </w:r>
      <w:r w:rsidR="00652338">
        <w:t xml:space="preserve"> emissions, holding all other variables constant. </w:t>
      </w:r>
      <w:r w:rsidR="00186B85">
        <w:t>With the interaction between scientific literacy within and OECD country status included in the model, the effect of scientific literacy within countries over time is now a conditional effect that represents scientific literacy for only non-OECD countries. This effect remains non-significant, though its effect rises above zero (</w:t>
      </w:r>
      <m:oMath>
        <m:r>
          <w:rPr>
            <w:rFonts w:ascii="Cambria Math" w:hAnsi="Cambria Math"/>
          </w:rPr>
          <m:t>γ</m:t>
        </m:r>
        <m:r>
          <m:rPr>
            <m:sty m:val="p"/>
          </m:rPr>
          <w:rPr>
            <w:rFonts w:ascii="Cambria Math" w:hAnsi="Cambria Math"/>
          </w:rPr>
          <m:t>=</m:t>
        </m:r>
        <m:r>
          <w:rPr>
            <w:rFonts w:ascii="Cambria Math" w:hAnsi="Cambria Math"/>
          </w:rPr>
          <m:t>.001</m:t>
        </m:r>
      </m:oMath>
      <w:r w:rsidR="00186B85">
        <w:t>).</w:t>
      </w:r>
    </w:p>
    <w:p w14:paraId="5239F983" w14:textId="43A12182" w:rsidR="0033629A" w:rsidRDefault="004409CB">
      <w:pPr>
        <w:pStyle w:val="BodyText"/>
      </w:pPr>
      <w:r>
        <w:t xml:space="preserve">Nearly all additional covariates in the model are non-significant. Nevertheless, the effects will be interpreted </w:t>
      </w:r>
      <w:proofErr w:type="gramStart"/>
      <w:r>
        <w:t>so as to</w:t>
      </w:r>
      <w:proofErr w:type="gramEnd"/>
      <w:r>
        <w:t xml:space="preserve"> understand what they represent in terms of their potential associations with the CO</w:t>
      </w:r>
      <w:r>
        <w:rPr>
          <w:vertAlign w:val="subscript"/>
        </w:rPr>
        <w:t>2</w:t>
      </w:r>
      <w:r>
        <w:t xml:space="preserve"> per capita. Increases in population, GDP, and manufacturing, are associated with increases in CO</w:t>
      </w:r>
      <w:r>
        <w:rPr>
          <w:vertAlign w:val="subscript"/>
        </w:rPr>
        <w:t>2</w:t>
      </w:r>
      <w:r>
        <w:t>, as reflected in previous literature. The model estimates that an increase in population of 10,000,000 is associated with a .19% increase in CO</w:t>
      </w:r>
      <w:r>
        <w:rPr>
          <w:vertAlign w:val="subscript"/>
        </w:rPr>
        <w:t>2</w:t>
      </w:r>
      <w:r>
        <w:t xml:space="preserve"> per capita. For every $10,000 increase in </w:t>
      </w:r>
      <w:r w:rsidR="000F0643">
        <w:t>G</w:t>
      </w:r>
      <w:r>
        <w:t>DP, CO</w:t>
      </w:r>
      <w:r>
        <w:rPr>
          <w:vertAlign w:val="subscript"/>
        </w:rPr>
        <w:t>2</w:t>
      </w:r>
      <w:r>
        <w:t xml:space="preserve"> is associated with an increase of .18%. There is a .35% increase associated with a 1% increase in manufacturing as a percentage of GDP.</w:t>
      </w:r>
    </w:p>
    <w:p w14:paraId="1526070F" w14:textId="77777777" w:rsidR="0033629A" w:rsidRDefault="004409CB">
      <w:pPr>
        <w:pStyle w:val="BodyText"/>
      </w:pPr>
      <w:r>
        <w:t>Exports see a non-significant .05% decrease in CO</w:t>
      </w:r>
      <w:r>
        <w:rPr>
          <w:vertAlign w:val="subscript"/>
        </w:rPr>
        <w:t>2</w:t>
      </w:r>
      <w:r>
        <w:t xml:space="preserve"> emissions per capita. In contrast to most other variables in the model, the Gini coefficient, representing income inequality, has a significant effect associated with it. The fixed effect indicates that for every one percent </w:t>
      </w:r>
      <w:r>
        <w:rPr>
          <w:i/>
          <w:iCs/>
        </w:rPr>
        <w:t>increase</w:t>
      </w:r>
      <w:r>
        <w:t xml:space="preserve"> in the Gini coefficient toward greater income inequality, there is a significant 1.7% </w:t>
      </w:r>
      <w:r>
        <w:rPr>
          <w:i/>
          <w:iCs/>
        </w:rPr>
        <w:t>decrease</w:t>
      </w:r>
      <w:r>
        <w:t xml:space="preserve"> in CO</w:t>
      </w:r>
      <w:r>
        <w:rPr>
          <w:vertAlign w:val="subscript"/>
        </w:rPr>
        <w:t>2</w:t>
      </w:r>
      <w:r>
        <w:t xml:space="preserve"> emissions. These findings are in line with previous literature [e.g., mcgee2018; </w:t>
      </w:r>
      <w:hyperlink w:anchor="ref-hailemariam2020">
        <w:r>
          <w:rPr>
            <w:rStyle w:val="Hyperlink"/>
          </w:rPr>
          <w:t>Hailemariam et al.</w:t>
        </w:r>
      </w:hyperlink>
      <w:r>
        <w:t xml:space="preserve"> (</w:t>
      </w:r>
      <w:hyperlink w:anchor="ref-hailemariam2020">
        <w:r>
          <w:rPr>
            <w:rStyle w:val="Hyperlink"/>
          </w:rPr>
          <w:t>2020</w:t>
        </w:r>
      </w:hyperlink>
      <w:r>
        <w:t>)].</w:t>
      </w:r>
    </w:p>
    <w:p w14:paraId="6EE99693" w14:textId="77777777" w:rsidR="0033629A" w:rsidRDefault="004409CB">
      <w:pPr>
        <w:pStyle w:val="BodyText"/>
      </w:pPr>
      <w:r>
        <w:t>A one-unit increase toward right-wing conservative political ideology among a country’s population is associated with a non-significant .09 decrease in emissions. Given the role of political ideology has in affecting beliefs and behavior (</w:t>
      </w:r>
      <w:hyperlink w:anchor="ref-hornsey2018">
        <w:r>
          <w:rPr>
            <w:rStyle w:val="Hyperlink"/>
          </w:rPr>
          <w:t>Hornsey et al., 2018</w:t>
        </w:r>
      </w:hyperlink>
      <w:r>
        <w:t>), this finding would be surprising if it were larger and statistically significant. An increase toward a more democratic government, associated with a decrease of .16% in CO</w:t>
      </w:r>
      <w:r>
        <w:rPr>
          <w:vertAlign w:val="subscript"/>
        </w:rPr>
        <w:t>2</w:t>
      </w:r>
      <w:r>
        <w:t xml:space="preserve"> for a 1% change in </w:t>
      </w:r>
      <w:r>
        <w:lastRenderedPageBreak/>
        <w:t>the index, does line up with previous literature (</w:t>
      </w:r>
      <w:hyperlink w:anchor="ref-czarnekRightwingIdeologyReduces2021">
        <w:r>
          <w:rPr>
            <w:rStyle w:val="Hyperlink"/>
          </w:rPr>
          <w:t>Czarnek et al., 2021</w:t>
        </w:r>
      </w:hyperlink>
      <w:r>
        <w:t>), though the effect is not significant. Being an OECD country with average scientific literacy within scores is related to increased emissions at least 4% higher than non-OECD countries, but this is not significant. Similarly, the interaction between scientific literacy and OECD category is not significant.</w:t>
      </w:r>
    </w:p>
    <w:p w14:paraId="12427439" w14:textId="659FB05C" w:rsidR="0033629A" w:rsidRDefault="004409CB">
      <w:pPr>
        <w:pStyle w:val="BodyText"/>
      </w:pPr>
      <w:r>
        <w:t>Random effects show no substantial changes from Model 3 to Model 4. Between-country variance of CO</w:t>
      </w:r>
      <w:r>
        <w:rPr>
          <w:vertAlign w:val="subscript"/>
        </w:rPr>
        <w:t>2</w:t>
      </w:r>
      <w:r>
        <w:t xml:space="preserve"> emissions over time remains quite high (</w:t>
      </w:r>
      <m:oMath>
        <m:sSub>
          <m:sSubPr>
            <m:ctrlPr>
              <w:rPr>
                <w:rFonts w:ascii="Cambria Math" w:hAnsi="Cambria Math"/>
              </w:rPr>
            </m:ctrlPr>
          </m:sSubPr>
          <m:e>
            <m:r>
              <w:rPr>
                <w:rFonts w:ascii="Cambria Math" w:hAnsi="Cambria Math"/>
              </w:rPr>
              <m:t>τ</m:t>
            </m:r>
          </m:e>
          <m:sub>
            <m:r>
              <w:rPr>
                <w:rFonts w:ascii="Cambria Math" w:hAnsi="Cambria Math"/>
              </w:rPr>
              <m:t>00</m:t>
            </m:r>
          </m:sub>
        </m:sSub>
        <m:r>
          <m:rPr>
            <m:sty m:val="p"/>
          </m:rPr>
          <w:rPr>
            <w:rFonts w:ascii="Cambria Math" w:hAnsi="Cambria Math"/>
          </w:rPr>
          <m:t>=</m:t>
        </m:r>
        <m:r>
          <w:rPr>
            <w:rFonts w:ascii="Cambria Math" w:hAnsi="Cambria Math"/>
          </w:rPr>
          <m:t>.71</m:t>
        </m:r>
      </m:oMath>
      <w:r>
        <w:t>) while within-country variance remains low (</w:t>
      </w:r>
      <m:oMath>
        <m:r>
          <w:rPr>
            <w:rFonts w:ascii="Cambria Math" w:hAnsi="Cambria Math"/>
          </w:rPr>
          <m:t>σ</m:t>
        </m:r>
        <m:r>
          <m:rPr>
            <m:sty m:val="p"/>
          </m:rPr>
          <w:rPr>
            <w:rFonts w:ascii="Cambria Math" w:hAnsi="Cambria Math"/>
          </w:rPr>
          <m:t>=</m:t>
        </m:r>
        <m:r>
          <w:rPr>
            <w:rFonts w:ascii="Cambria Math" w:hAnsi="Cambria Math"/>
          </w:rPr>
          <m:t>.069</m:t>
        </m:r>
      </m:oMath>
      <w:r>
        <w:t>), consistent with the high ICC indicated in the initial models (Models 0 and 1). The correlation between the random slope and the intercept is lower and more reasonable (</w:t>
      </w:r>
      <m:oMath>
        <m:r>
          <w:rPr>
            <w:rFonts w:ascii="Cambria Math" w:hAnsi="Cambria Math"/>
          </w:rPr>
          <m:t>ρ</m:t>
        </m:r>
        <m:r>
          <m:rPr>
            <m:sty m:val="p"/>
          </m:rPr>
          <w:rPr>
            <w:rFonts w:ascii="Cambria Math" w:hAnsi="Cambria Math"/>
          </w:rPr>
          <m:t>=-</m:t>
        </m:r>
        <m:r>
          <w:rPr>
            <w:rFonts w:ascii="Cambria Math" w:hAnsi="Cambria Math"/>
          </w:rPr>
          <m:t>.505</m:t>
        </m:r>
      </m:oMath>
      <w:r>
        <w:t>) than the non-transformed Model 3 (</w:t>
      </w:r>
      <m:oMath>
        <m:r>
          <w:rPr>
            <w:rFonts w:ascii="Cambria Math" w:hAnsi="Cambria Math"/>
          </w:rPr>
          <m:t>ρ</m:t>
        </m:r>
        <m:r>
          <m:rPr>
            <m:sty m:val="p"/>
          </m:rPr>
          <w:rPr>
            <w:rFonts w:ascii="Cambria Math" w:hAnsi="Cambria Math"/>
          </w:rPr>
          <m:t>=-</m:t>
        </m:r>
        <m:r>
          <w:rPr>
            <w:rFonts w:ascii="Cambria Math" w:hAnsi="Cambria Math"/>
          </w:rPr>
          <m:t>.95</m:t>
        </m:r>
      </m:oMath>
      <w:r>
        <w:t xml:space="preserve">; see Table </w:t>
      </w:r>
      <w:hyperlink w:anchor="modeltableone">
        <w:r>
          <w:fldChar w:fldCharType="begin"/>
        </w:r>
        <w:r>
          <w:instrText xml:space="preserve"> REF modeltableone \h</w:instrText>
        </w:r>
        <w:r>
          <w:fldChar w:fldCharType="separate"/>
        </w:r>
        <w:r w:rsidR="00766923">
          <w:rPr>
            <w:b/>
            <w:noProof/>
          </w:rPr>
          <w:t>5</w:t>
        </w:r>
        <w:r>
          <w:fldChar w:fldCharType="end"/>
        </w:r>
      </w:hyperlink>
      <w:r>
        <w:t>). However, the interpretation remains the same: for countries with higher CO</w:t>
      </w:r>
      <w:r>
        <w:rPr>
          <w:vertAlign w:val="subscript"/>
        </w:rPr>
        <w:t>2</w:t>
      </w:r>
      <w:r>
        <w:t xml:space="preserve"> per capita, emissions levels decline more slowly compared to countries with lower levels.</w:t>
      </w:r>
    </w:p>
    <w:p w14:paraId="0C6A2326" w14:textId="08A8123C" w:rsidR="00C601B2" w:rsidRDefault="004409CB" w:rsidP="00C601B2">
      <w:pPr>
        <w:pStyle w:val="BodyText"/>
        <w:sectPr w:rsidR="00C601B2" w:rsidSect="001179F5">
          <w:pgSz w:w="11906" w:h="16838"/>
          <w:pgMar w:top="1440" w:right="1440" w:bottom="1440" w:left="1440" w:header="720" w:footer="720" w:gutter="0"/>
          <w:cols w:space="720"/>
          <w:docGrid w:linePitch="326"/>
        </w:sectPr>
      </w:pPr>
      <w:r>
        <w:t xml:space="preserve">A likelihood ratio test was conducted using the D3 method, which pools results of separate likelihood ratio tests and is necessary for working with </w:t>
      </w:r>
      <w:proofErr w:type="gramStart"/>
      <w:r>
        <w:t>multiply-imputed</w:t>
      </w:r>
      <w:proofErr w:type="gramEnd"/>
      <w:r>
        <w:t xml:space="preserve"> data (</w:t>
      </w:r>
      <w:hyperlink w:anchor="ref-meng1992">
        <w:r>
          <w:rPr>
            <w:rStyle w:val="Hyperlink"/>
          </w:rPr>
          <w:t>Meng &amp; Rubin, 1992</w:t>
        </w:r>
      </w:hyperlink>
      <w:r>
        <w:t xml:space="preserve">). The results indicated the fit of Model 4 was not significantly different than Model 3. Fit statistics in Table </w:t>
      </w:r>
      <w:hyperlink w:anchor="modeltabletwo">
        <w:r>
          <w:fldChar w:fldCharType="begin"/>
        </w:r>
        <w:r>
          <w:instrText xml:space="preserve"> REF modeltabletwo \h</w:instrText>
        </w:r>
        <w:r>
          <w:fldChar w:fldCharType="separate"/>
        </w:r>
        <w:r w:rsidR="00766923">
          <w:rPr>
            <w:b/>
            <w:noProof/>
          </w:rPr>
          <w:t>6</w:t>
        </w:r>
        <w:r>
          <w:fldChar w:fldCharType="end"/>
        </w:r>
      </w:hyperlink>
      <w:r>
        <w:t xml:space="preserve"> slightly favor Model 3. Although this is the more parsimonious model, it is also the model without covariates. These covariates are needed to control for additional forces outside time and education that may affect CO</w:t>
      </w:r>
      <w:r>
        <w:rPr>
          <w:vertAlign w:val="subscript"/>
        </w:rPr>
        <w:t>2</w:t>
      </w:r>
      <w:r>
        <w:t xml:space="preserve">. For this reason, Model 4 is the best model of the two. Model 4 also explains more variance than Model 3, though marginally so. About 17% of the variance is explained by the fixed effects, meaning 83% of the variance remains unexplained by fixed effects. This is still the highest of all six models fit. Model diagnostics indicate a well-fitting model with normally distributed residuals and no strong evidence of heteroskedasticity. Diagnostics were checked for individual imputations. Figure </w:t>
      </w:r>
      <w:hyperlink w:anchor="diagmod4">
        <w:r>
          <w:fldChar w:fldCharType="begin"/>
        </w:r>
        <w:r>
          <w:instrText xml:space="preserve"> REF diagmod4 \h</w:instrText>
        </w:r>
        <w:r>
          <w:fldChar w:fldCharType="separate"/>
        </w:r>
        <w:r w:rsidR="00766923">
          <w:rPr>
            <w:b/>
            <w:noProof/>
          </w:rPr>
          <w:t>21</w:t>
        </w:r>
        <w:r>
          <w:fldChar w:fldCharType="end"/>
        </w:r>
      </w:hyperlink>
      <w:r>
        <w:t xml:space="preserve"> shows example model diagnostics for the first imputation.</w:t>
      </w:r>
    </w:p>
    <w:p w14:paraId="7DB9AA79" w14:textId="56F81339" w:rsidR="0033629A" w:rsidRDefault="004409CB" w:rsidP="00C601B2">
      <w:pPr>
        <w:pStyle w:val="BodyText"/>
      </w:pPr>
      <w:r>
        <w:rPr>
          <w:noProof/>
        </w:rPr>
        <w:lastRenderedPageBreak/>
        <w:drawing>
          <wp:inline distT="0" distB="0" distL="0" distR="0" wp14:anchorId="2EF3850F" wp14:editId="22465E98">
            <wp:extent cx="6702552" cy="521208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
                    <pic:cNvPicPr>
                      <a:picLocks noChangeAspect="1" noChangeArrowheads="1"/>
                    </pic:cNvPicPr>
                  </pic:nvPicPr>
                  <pic:blipFill>
                    <a:blip r:embed="rId84"/>
                    <a:srcRect/>
                    <a:stretch>
                      <a:fillRect/>
                    </a:stretch>
                  </pic:blipFill>
                  <pic:spPr bwMode="auto">
                    <a:xfrm>
                      <a:off x="0" y="0"/>
                      <a:ext cx="6702552" cy="5212080"/>
                    </a:xfrm>
                    <a:prstGeom prst="rect">
                      <a:avLst/>
                    </a:prstGeom>
                    <a:noFill/>
                  </pic:spPr>
                </pic:pic>
              </a:graphicData>
            </a:graphic>
          </wp:inline>
        </w:drawing>
      </w:r>
    </w:p>
    <w:p w14:paraId="56CDE1D6" w14:textId="0D9ADA50" w:rsidR="0033629A" w:rsidRDefault="004409CB">
      <w:pPr>
        <w:pStyle w:val="ImageCaption"/>
      </w:pPr>
      <w:bookmarkStart w:id="118" w:name="_Toc105675536"/>
      <w:r>
        <w:rPr>
          <w:b/>
        </w:rPr>
        <w:t xml:space="preserve">Figure </w:t>
      </w:r>
      <w:bookmarkStart w:id="119" w:name="diagmod4"/>
      <w:r>
        <w:rPr>
          <w:b/>
        </w:rPr>
        <w:fldChar w:fldCharType="begin"/>
      </w:r>
      <w:r>
        <w:rPr>
          <w:b/>
        </w:rPr>
        <w:instrText>SEQ Figure \* Arabic</w:instrText>
      </w:r>
      <w:r>
        <w:rPr>
          <w:b/>
        </w:rPr>
        <w:fldChar w:fldCharType="separate"/>
      </w:r>
      <w:r w:rsidR="00766923">
        <w:rPr>
          <w:b/>
          <w:noProof/>
        </w:rPr>
        <w:t>21</w:t>
      </w:r>
      <w:r>
        <w:rPr>
          <w:b/>
        </w:rPr>
        <w:fldChar w:fldCharType="end"/>
      </w:r>
      <w:bookmarkEnd w:id="119"/>
      <w:r>
        <w:t xml:space="preserve">: Multilevel regression diagnostics for Model 4. Figure made using the </w:t>
      </w:r>
      <w:r>
        <w:rPr>
          <w:rStyle w:val="VerbatimChar"/>
        </w:rPr>
        <w:t>performance</w:t>
      </w:r>
      <w:r>
        <w:t xml:space="preserve"> R package (</w:t>
      </w:r>
      <w:hyperlink w:anchor="ref-ludecke2021">
        <w:r>
          <w:rPr>
            <w:rStyle w:val="Hyperlink"/>
          </w:rPr>
          <w:t>Lüdecke et al., 2021</w:t>
        </w:r>
      </w:hyperlink>
      <w:r>
        <w:t>).</w:t>
      </w:r>
      <w:bookmarkEnd w:id="118"/>
    </w:p>
    <w:p w14:paraId="335DAE94" w14:textId="77777777" w:rsidR="0033629A" w:rsidRDefault="0033629A">
      <w:pPr>
        <w:sectPr w:rsidR="0033629A" w:rsidSect="00C601B2">
          <w:pgSz w:w="16838" w:h="11906" w:orient="landscape"/>
          <w:pgMar w:top="1440" w:right="1440" w:bottom="1440" w:left="1440" w:header="720" w:footer="720" w:gutter="0"/>
          <w:cols w:space="720"/>
        </w:sectPr>
      </w:pPr>
    </w:p>
    <w:p w14:paraId="2BFF2375" w14:textId="77777777" w:rsidR="0033629A" w:rsidRDefault="004409CB">
      <w:pPr>
        <w:pStyle w:val="Heading3"/>
      </w:pPr>
      <w:bookmarkStart w:id="120" w:name="_Toc107939125"/>
      <w:bookmarkStart w:id="121" w:name="male-and-female-model-comparisons"/>
      <w:bookmarkEnd w:id="105"/>
      <w:r>
        <w:lastRenderedPageBreak/>
        <w:t>Male and Female Model Comparisons</w:t>
      </w:r>
      <w:bookmarkEnd w:id="120"/>
    </w:p>
    <w:p w14:paraId="7600021D" w14:textId="7DD18726" w:rsidR="0033629A" w:rsidRDefault="004409CB">
      <w:pPr>
        <w:pStyle w:val="FirstParagraph"/>
      </w:pPr>
      <w:r>
        <w:t>Model 4 tested the effect of scientific literacy for all students on CO</w:t>
      </w:r>
      <w:r>
        <w:rPr>
          <w:vertAlign w:val="subscript"/>
        </w:rPr>
        <w:t>2</w:t>
      </w:r>
      <w:r>
        <w:t xml:space="preserve"> emissions per capita, controlling for other variables. Given prior research that showed differential effects of economic, social, and educational factors for males and females, research question three asked if scientific literacy for boys and girls differed in terms of its impact on CO</w:t>
      </w:r>
      <w:r>
        <w:rPr>
          <w:vertAlign w:val="subscript"/>
        </w:rPr>
        <w:t>2</w:t>
      </w:r>
      <w:r>
        <w:t xml:space="preserve">. The models represented in Table </w:t>
      </w:r>
      <w:hyperlink w:anchor="gendermodels">
        <w:r>
          <w:fldChar w:fldCharType="begin"/>
        </w:r>
        <w:r>
          <w:instrText xml:space="preserve"> REF gendermodels \h</w:instrText>
        </w:r>
        <w:r>
          <w:fldChar w:fldCharType="separate"/>
        </w:r>
        <w:r w:rsidR="00766923">
          <w:rPr>
            <w:b/>
            <w:noProof/>
          </w:rPr>
          <w:t>7</w:t>
        </w:r>
        <w:r>
          <w:fldChar w:fldCharType="end"/>
        </w:r>
      </w:hyperlink>
      <w:r>
        <w:t xml:space="preserve"> replace scientific literacy for all students with female and male students, respectively.</w:t>
      </w:r>
    </w:p>
    <w:p w14:paraId="795DFEBA" w14:textId="7AF784B2" w:rsidR="0033629A" w:rsidRDefault="004409CB">
      <w:pPr>
        <w:pStyle w:val="BodyText"/>
      </w:pPr>
      <w:r>
        <w:t>Overall, the statistical conclusions that can be drawn from the models are similar, though individual coefficient estimates vary. These models also reflect the same conclusions as Model 4, with the same significant predictors. A coefficient test of equality, which tests whether each variable’s effects significantly differ between the models, indicated no significant differences. Thus, Model 4 with all students’ scientific literacy scores combined is preferred over separate male and female models.</w:t>
      </w:r>
    </w:p>
    <w:p w14:paraId="2020FF73" w14:textId="77777777" w:rsidR="000C6D0E" w:rsidRDefault="000C6D0E" w:rsidP="000C6D0E">
      <w:pPr>
        <w:pStyle w:val="Heading2"/>
      </w:pPr>
      <w:bookmarkStart w:id="122" w:name="_Toc107939126"/>
      <w:r>
        <w:t>Limitations</w:t>
      </w:r>
      <w:bookmarkEnd w:id="122"/>
    </w:p>
    <w:p w14:paraId="260230DD" w14:textId="4567E907" w:rsidR="0033629A" w:rsidRDefault="000C6D0E" w:rsidP="000C6D0E">
      <w:pPr>
        <w:pStyle w:val="FirstParagraph"/>
      </w:pPr>
      <w:r>
        <w:t>As with any research, the present dissertation is not without its limitations. First, the scope of the research, while international, is not comprehensively global. That is, it does not consider every country - only those that have participated in the PISA, and even then, it only includes those participating countries for which CO</w:t>
      </w:r>
      <w:r>
        <w:rPr>
          <w:vertAlign w:val="subscript"/>
        </w:rPr>
        <w:t>2</w:t>
      </w:r>
      <w:r>
        <w:t xml:space="preserve"> data was available. As indicated in Figure </w:t>
      </w:r>
      <w:hyperlink w:anchor="includedmap">
        <w:r>
          <w:fldChar w:fldCharType="begin"/>
        </w:r>
        <w:r>
          <w:instrText xml:space="preserve"> REF includedmap \h</w:instrText>
        </w:r>
        <w:r>
          <w:fldChar w:fldCharType="separate"/>
        </w:r>
        <w:r w:rsidR="00766923">
          <w:rPr>
            <w:b/>
            <w:noProof/>
          </w:rPr>
          <w:t>22</w:t>
        </w:r>
        <w:r>
          <w:fldChar w:fldCharType="end"/>
        </w:r>
      </w:hyperlink>
      <w:r>
        <w:t xml:space="preserve">, there is still a large swath of the world that is not represented. </w:t>
      </w:r>
      <w:proofErr w:type="gramStart"/>
      <w:r>
        <w:t>In particular, major</w:t>
      </w:r>
      <w:proofErr w:type="gramEnd"/>
      <w:r>
        <w:t xml:space="preserve"> economies such as India and Pakistan are not included nor is almost the entire continent of Africa. These missing areas include rapidly developing economies, shifting carbon footprints, and changing education systems. Not having scientific literacy data for these countries leaves out important information about hundreds of millions of students. Additionally, any inferences that can be made from the statistical analyses of this research pertain to only those countries included. This limits the generalizability of the conclusions.</w:t>
      </w:r>
      <w:r w:rsidR="004409CB">
        <w:br w:type="page"/>
      </w:r>
    </w:p>
    <w:p w14:paraId="3D195B89" w14:textId="77777777" w:rsidR="0033629A" w:rsidRDefault="0033629A">
      <w:pPr>
        <w:sectPr w:rsidR="0033629A">
          <w:headerReference w:type="even" r:id="rId85"/>
          <w:headerReference w:type="default" r:id="rId86"/>
          <w:footerReference w:type="even" r:id="rId87"/>
          <w:footerReference w:type="default" r:id="rId88"/>
          <w:headerReference w:type="first" r:id="rId89"/>
          <w:footerReference w:type="first" r:id="rId90"/>
          <w:type w:val="continuous"/>
          <w:pgSz w:w="11952" w:h="16848"/>
          <w:pgMar w:top="1440" w:right="1440" w:bottom="1440" w:left="1440" w:header="720" w:footer="720" w:gutter="0"/>
          <w:cols w:space="720"/>
        </w:sectPr>
      </w:pPr>
    </w:p>
    <w:p w14:paraId="10D97B07" w14:textId="347C352B" w:rsidR="0033629A" w:rsidRDefault="004409CB">
      <w:pPr>
        <w:pStyle w:val="TableCaption"/>
      </w:pPr>
      <w:bookmarkStart w:id="123" w:name="_Toc105675511"/>
      <w:r>
        <w:rPr>
          <w:b/>
        </w:rPr>
        <w:lastRenderedPageBreak/>
        <w:t xml:space="preserve">Table </w:t>
      </w:r>
      <w:bookmarkStart w:id="124" w:name="gendermodels"/>
      <w:r>
        <w:rPr>
          <w:b/>
        </w:rPr>
        <w:fldChar w:fldCharType="begin"/>
      </w:r>
      <w:r>
        <w:rPr>
          <w:b/>
        </w:rPr>
        <w:instrText>SEQ tab \* Arabic</w:instrText>
      </w:r>
      <w:r>
        <w:rPr>
          <w:b/>
        </w:rPr>
        <w:fldChar w:fldCharType="separate"/>
      </w:r>
      <w:r w:rsidR="00766923">
        <w:rPr>
          <w:b/>
          <w:noProof/>
        </w:rPr>
        <w:t>7</w:t>
      </w:r>
      <w:r>
        <w:rPr>
          <w:b/>
        </w:rPr>
        <w:fldChar w:fldCharType="end"/>
      </w:r>
      <w:bookmarkEnd w:id="124"/>
      <w:r>
        <w:t>: Models for female and male scientific literacy scores.</w:t>
      </w:r>
      <w:bookmarkEnd w:id="123"/>
    </w:p>
    <w:tbl>
      <w:tblPr>
        <w:tblW w:w="0" w:type="auto"/>
        <w:tblLayout w:type="fixed"/>
        <w:tblLook w:val="0420" w:firstRow="1" w:lastRow="0" w:firstColumn="0" w:lastColumn="0" w:noHBand="0" w:noVBand="1"/>
      </w:tblPr>
      <w:tblGrid>
        <w:gridCol w:w="2575"/>
        <w:gridCol w:w="1067"/>
        <w:gridCol w:w="1067"/>
        <w:gridCol w:w="1067"/>
        <w:gridCol w:w="1068"/>
        <w:gridCol w:w="1067"/>
        <w:gridCol w:w="1067"/>
        <w:gridCol w:w="1067"/>
        <w:gridCol w:w="1068"/>
        <w:gridCol w:w="1067"/>
        <w:gridCol w:w="1069"/>
      </w:tblGrid>
      <w:tr w:rsidR="00A10028" w14:paraId="47A20B3E" w14:textId="77777777" w:rsidTr="00FB72D7">
        <w:trPr>
          <w:cantSplit/>
          <w:trHeight w:val="508"/>
          <w:tblHeader/>
        </w:trPr>
        <w:tc>
          <w:tcPr>
            <w:tcW w:w="2575" w:type="dxa"/>
            <w:tcBorders>
              <w:bottom w:val="single" w:sz="8" w:space="0" w:color="666666"/>
            </w:tcBorders>
            <w:shd w:val="clear" w:color="auto" w:fill="FFFFFF"/>
            <w:tcMar>
              <w:top w:w="0" w:type="dxa"/>
              <w:left w:w="0" w:type="dxa"/>
              <w:bottom w:w="0" w:type="dxa"/>
              <w:right w:w="0" w:type="dxa"/>
            </w:tcMar>
          </w:tcPr>
          <w:p w14:paraId="4DCE32AE" w14:textId="77777777" w:rsidR="00A10028" w:rsidRPr="0001719F" w:rsidRDefault="00A10028" w:rsidP="00EE536E">
            <w:pPr>
              <w:keepNext/>
              <w:spacing w:before="0" w:after="0" w:line="240" w:lineRule="auto"/>
              <w:ind w:left="100" w:right="100" w:firstLine="0"/>
              <w:jc w:val="center"/>
              <w:rPr>
                <w:sz w:val="20"/>
                <w:szCs w:val="20"/>
              </w:rPr>
            </w:pPr>
          </w:p>
        </w:tc>
        <w:tc>
          <w:tcPr>
            <w:tcW w:w="4269" w:type="dxa"/>
            <w:gridSpan w:val="4"/>
            <w:tcBorders>
              <w:bottom w:val="single" w:sz="8" w:space="0" w:color="666666"/>
            </w:tcBorders>
            <w:shd w:val="clear" w:color="auto" w:fill="FFFFFF"/>
            <w:tcMar>
              <w:top w:w="0" w:type="dxa"/>
              <w:left w:w="0" w:type="dxa"/>
              <w:bottom w:w="0" w:type="dxa"/>
              <w:right w:w="0" w:type="dxa"/>
            </w:tcMar>
          </w:tcPr>
          <w:p w14:paraId="7A7B12DA" w14:textId="77777777" w:rsidR="00A10028" w:rsidRPr="0001719F" w:rsidRDefault="00A10028" w:rsidP="00EE536E">
            <w:pPr>
              <w:keepNext/>
              <w:spacing w:before="0" w:after="0" w:line="240" w:lineRule="auto"/>
              <w:ind w:left="100" w:right="100" w:firstLine="0"/>
              <w:jc w:val="center"/>
              <w:rPr>
                <w:sz w:val="20"/>
                <w:szCs w:val="20"/>
              </w:rPr>
            </w:pPr>
            <w:r w:rsidRPr="0001719F">
              <w:rPr>
                <w:rFonts w:eastAsia="Arial"/>
                <w:b/>
                <w:color w:val="000000"/>
                <w:sz w:val="20"/>
                <w:szCs w:val="20"/>
              </w:rPr>
              <w:t>Model for Female Students</w:t>
            </w:r>
          </w:p>
        </w:tc>
        <w:tc>
          <w:tcPr>
            <w:tcW w:w="4269" w:type="dxa"/>
            <w:gridSpan w:val="4"/>
            <w:tcBorders>
              <w:bottom w:val="single" w:sz="8" w:space="0" w:color="666666"/>
            </w:tcBorders>
            <w:shd w:val="clear" w:color="auto" w:fill="FFFFFF"/>
            <w:tcMar>
              <w:top w:w="0" w:type="dxa"/>
              <w:left w:w="0" w:type="dxa"/>
              <w:bottom w:w="0" w:type="dxa"/>
              <w:right w:w="0" w:type="dxa"/>
            </w:tcMar>
          </w:tcPr>
          <w:p w14:paraId="5E8F26A3" w14:textId="77777777" w:rsidR="00A10028" w:rsidRPr="0001719F" w:rsidRDefault="00A10028" w:rsidP="00EE536E">
            <w:pPr>
              <w:keepNext/>
              <w:spacing w:before="0" w:after="0" w:line="240" w:lineRule="auto"/>
              <w:ind w:left="100" w:right="100" w:firstLine="0"/>
              <w:jc w:val="center"/>
              <w:rPr>
                <w:sz w:val="20"/>
                <w:szCs w:val="20"/>
              </w:rPr>
            </w:pPr>
            <w:r w:rsidRPr="0001719F">
              <w:rPr>
                <w:rFonts w:eastAsia="Arial"/>
                <w:b/>
                <w:color w:val="000000"/>
                <w:sz w:val="20"/>
                <w:szCs w:val="20"/>
              </w:rPr>
              <w:t>Model for Male Students</w:t>
            </w:r>
          </w:p>
        </w:tc>
        <w:tc>
          <w:tcPr>
            <w:tcW w:w="2136" w:type="dxa"/>
            <w:gridSpan w:val="2"/>
            <w:tcBorders>
              <w:bottom w:val="single" w:sz="8" w:space="0" w:color="666666"/>
            </w:tcBorders>
            <w:shd w:val="clear" w:color="auto" w:fill="FFFFFF"/>
            <w:tcMar>
              <w:top w:w="0" w:type="dxa"/>
              <w:left w:w="0" w:type="dxa"/>
              <w:bottom w:w="0" w:type="dxa"/>
              <w:right w:w="0" w:type="dxa"/>
            </w:tcMar>
          </w:tcPr>
          <w:p w14:paraId="34CA155B" w14:textId="77777777" w:rsidR="00A10028" w:rsidRPr="0001719F" w:rsidRDefault="00A10028" w:rsidP="00EE536E">
            <w:pPr>
              <w:keepNext/>
              <w:spacing w:before="0" w:after="0" w:line="240" w:lineRule="auto"/>
              <w:ind w:left="100" w:right="100" w:firstLine="0"/>
              <w:jc w:val="center"/>
              <w:rPr>
                <w:sz w:val="20"/>
                <w:szCs w:val="20"/>
              </w:rPr>
            </w:pPr>
            <w:r w:rsidRPr="0001719F">
              <w:rPr>
                <w:rFonts w:eastAsia="Arial"/>
                <w:b/>
                <w:color w:val="000000"/>
                <w:sz w:val="20"/>
                <w:szCs w:val="20"/>
              </w:rPr>
              <w:t>Coefficient Tests of Equality</w:t>
            </w:r>
          </w:p>
        </w:tc>
      </w:tr>
      <w:tr w:rsidR="00A10028" w14:paraId="2D4B7455" w14:textId="77777777" w:rsidTr="00FB72D7">
        <w:trPr>
          <w:cantSplit/>
          <w:trHeight w:val="254"/>
          <w:tblHeader/>
        </w:trPr>
        <w:tc>
          <w:tcPr>
            <w:tcW w:w="2575" w:type="dxa"/>
            <w:tcBorders>
              <w:bottom w:val="single" w:sz="8" w:space="0" w:color="666666"/>
            </w:tcBorders>
            <w:shd w:val="clear" w:color="auto" w:fill="FFFFFF"/>
            <w:tcMar>
              <w:top w:w="0" w:type="dxa"/>
              <w:left w:w="0" w:type="dxa"/>
              <w:bottom w:w="0" w:type="dxa"/>
              <w:right w:w="0" w:type="dxa"/>
            </w:tcMar>
          </w:tcPr>
          <w:p w14:paraId="2E96126E" w14:textId="77777777" w:rsidR="00A10028" w:rsidRPr="0001719F" w:rsidRDefault="00A10028" w:rsidP="00EE536E">
            <w:pPr>
              <w:keepNext/>
              <w:spacing w:before="0" w:after="0" w:line="240" w:lineRule="auto"/>
              <w:ind w:left="100" w:right="100" w:firstLine="0"/>
              <w:jc w:val="center"/>
              <w:rPr>
                <w:sz w:val="20"/>
                <w:szCs w:val="20"/>
              </w:rPr>
            </w:pPr>
            <w:r w:rsidRPr="0001719F">
              <w:rPr>
                <w:rFonts w:eastAsia="Arial"/>
                <w:b/>
                <w:color w:val="000000"/>
                <w:sz w:val="20"/>
                <w:szCs w:val="20"/>
              </w:rPr>
              <w:t>Variable</w:t>
            </w:r>
          </w:p>
        </w:tc>
        <w:tc>
          <w:tcPr>
            <w:tcW w:w="1067" w:type="dxa"/>
            <w:tcBorders>
              <w:bottom w:val="single" w:sz="8" w:space="0" w:color="666666"/>
            </w:tcBorders>
            <w:shd w:val="clear" w:color="auto" w:fill="FFFFFF"/>
            <w:tcMar>
              <w:top w:w="0" w:type="dxa"/>
              <w:left w:w="0" w:type="dxa"/>
              <w:bottom w:w="0" w:type="dxa"/>
              <w:right w:w="0" w:type="dxa"/>
            </w:tcMar>
          </w:tcPr>
          <w:p w14:paraId="4E4DD5AF" w14:textId="77777777" w:rsidR="00A10028" w:rsidRPr="0001719F" w:rsidRDefault="00A10028" w:rsidP="00EE536E">
            <w:pPr>
              <w:keepNext/>
              <w:spacing w:before="0" w:after="0" w:line="240" w:lineRule="auto"/>
              <w:ind w:left="100" w:right="100" w:firstLine="0"/>
              <w:jc w:val="center"/>
              <w:rPr>
                <w:sz w:val="20"/>
                <w:szCs w:val="20"/>
              </w:rPr>
            </w:pPr>
            <w:r w:rsidRPr="0001719F">
              <w:rPr>
                <w:rFonts w:eastAsia="Arial"/>
                <w:b/>
                <w:i/>
                <w:color w:val="000000"/>
                <w:sz w:val="20"/>
                <w:szCs w:val="20"/>
              </w:rPr>
              <w:t>Estimate</w:t>
            </w:r>
          </w:p>
        </w:tc>
        <w:tc>
          <w:tcPr>
            <w:tcW w:w="1067" w:type="dxa"/>
            <w:tcBorders>
              <w:bottom w:val="single" w:sz="8" w:space="0" w:color="666666"/>
            </w:tcBorders>
            <w:shd w:val="clear" w:color="auto" w:fill="FFFFFF"/>
            <w:tcMar>
              <w:top w:w="0" w:type="dxa"/>
              <w:left w:w="0" w:type="dxa"/>
              <w:bottom w:w="0" w:type="dxa"/>
              <w:right w:w="0" w:type="dxa"/>
            </w:tcMar>
          </w:tcPr>
          <w:p w14:paraId="1B0B7E9B" w14:textId="77777777" w:rsidR="00A10028" w:rsidRPr="0001719F" w:rsidRDefault="00A10028" w:rsidP="00EE536E">
            <w:pPr>
              <w:keepNext/>
              <w:spacing w:before="0" w:after="0" w:line="240" w:lineRule="auto"/>
              <w:ind w:left="100" w:right="100" w:firstLine="0"/>
              <w:jc w:val="center"/>
              <w:rPr>
                <w:sz w:val="20"/>
                <w:szCs w:val="20"/>
              </w:rPr>
            </w:pPr>
            <w:r w:rsidRPr="0001719F">
              <w:rPr>
                <w:rFonts w:eastAsia="Arial"/>
                <w:b/>
                <w:i/>
                <w:color w:val="000000"/>
                <w:sz w:val="20"/>
                <w:szCs w:val="20"/>
              </w:rPr>
              <w:t>%Δ</w:t>
            </w:r>
          </w:p>
        </w:tc>
        <w:tc>
          <w:tcPr>
            <w:tcW w:w="1067" w:type="dxa"/>
            <w:tcBorders>
              <w:bottom w:val="single" w:sz="8" w:space="0" w:color="666666"/>
            </w:tcBorders>
            <w:shd w:val="clear" w:color="auto" w:fill="FFFFFF"/>
            <w:tcMar>
              <w:top w:w="0" w:type="dxa"/>
              <w:left w:w="0" w:type="dxa"/>
              <w:bottom w:w="0" w:type="dxa"/>
              <w:right w:w="0" w:type="dxa"/>
            </w:tcMar>
          </w:tcPr>
          <w:p w14:paraId="2304C698" w14:textId="77777777" w:rsidR="00A10028" w:rsidRPr="0001719F" w:rsidRDefault="00A10028" w:rsidP="00EE536E">
            <w:pPr>
              <w:keepNext/>
              <w:spacing w:before="0" w:after="0" w:line="240" w:lineRule="auto"/>
              <w:ind w:left="100" w:right="100" w:firstLine="0"/>
              <w:jc w:val="center"/>
              <w:rPr>
                <w:sz w:val="20"/>
                <w:szCs w:val="20"/>
              </w:rPr>
            </w:pPr>
            <w:r w:rsidRPr="0001719F">
              <w:rPr>
                <w:rFonts w:eastAsia="Arial"/>
                <w:b/>
                <w:i/>
                <w:color w:val="000000"/>
                <w:sz w:val="20"/>
                <w:szCs w:val="20"/>
              </w:rPr>
              <w:t>SE</w:t>
            </w:r>
          </w:p>
        </w:tc>
        <w:tc>
          <w:tcPr>
            <w:tcW w:w="1068" w:type="dxa"/>
            <w:tcBorders>
              <w:bottom w:val="single" w:sz="8" w:space="0" w:color="666666"/>
            </w:tcBorders>
            <w:shd w:val="clear" w:color="auto" w:fill="FFFFFF"/>
            <w:tcMar>
              <w:top w:w="0" w:type="dxa"/>
              <w:left w:w="0" w:type="dxa"/>
              <w:bottom w:w="0" w:type="dxa"/>
              <w:right w:w="0" w:type="dxa"/>
            </w:tcMar>
          </w:tcPr>
          <w:p w14:paraId="0943773C" w14:textId="77777777" w:rsidR="00A10028" w:rsidRPr="0001719F" w:rsidRDefault="00A10028" w:rsidP="00EE536E">
            <w:pPr>
              <w:keepNext/>
              <w:spacing w:before="0" w:after="0" w:line="240" w:lineRule="auto"/>
              <w:ind w:left="100" w:right="100" w:firstLine="0"/>
              <w:jc w:val="center"/>
              <w:rPr>
                <w:sz w:val="20"/>
                <w:szCs w:val="20"/>
              </w:rPr>
            </w:pPr>
            <w:r w:rsidRPr="0001719F">
              <w:rPr>
                <w:rFonts w:eastAsia="Arial"/>
                <w:b/>
                <w:i/>
                <w:color w:val="000000"/>
                <w:sz w:val="20"/>
                <w:szCs w:val="20"/>
              </w:rPr>
              <w:t>p</w:t>
            </w:r>
          </w:p>
        </w:tc>
        <w:tc>
          <w:tcPr>
            <w:tcW w:w="1067" w:type="dxa"/>
            <w:tcBorders>
              <w:bottom w:val="single" w:sz="8" w:space="0" w:color="666666"/>
            </w:tcBorders>
            <w:shd w:val="clear" w:color="auto" w:fill="FFFFFF"/>
            <w:tcMar>
              <w:top w:w="0" w:type="dxa"/>
              <w:left w:w="0" w:type="dxa"/>
              <w:bottom w:w="0" w:type="dxa"/>
              <w:right w:w="0" w:type="dxa"/>
            </w:tcMar>
          </w:tcPr>
          <w:p w14:paraId="7C41ED3E" w14:textId="77777777" w:rsidR="00A10028" w:rsidRPr="0001719F" w:rsidRDefault="00A10028" w:rsidP="00EE536E">
            <w:pPr>
              <w:keepNext/>
              <w:spacing w:before="0" w:after="0" w:line="240" w:lineRule="auto"/>
              <w:ind w:left="100" w:right="100" w:firstLine="0"/>
              <w:jc w:val="center"/>
              <w:rPr>
                <w:sz w:val="20"/>
                <w:szCs w:val="20"/>
              </w:rPr>
            </w:pPr>
            <w:r w:rsidRPr="0001719F">
              <w:rPr>
                <w:rFonts w:eastAsia="Arial"/>
                <w:b/>
                <w:i/>
                <w:color w:val="000000"/>
                <w:sz w:val="20"/>
                <w:szCs w:val="20"/>
              </w:rPr>
              <w:t>Estimate</w:t>
            </w:r>
          </w:p>
        </w:tc>
        <w:tc>
          <w:tcPr>
            <w:tcW w:w="1067" w:type="dxa"/>
            <w:tcBorders>
              <w:bottom w:val="single" w:sz="8" w:space="0" w:color="666666"/>
            </w:tcBorders>
            <w:shd w:val="clear" w:color="auto" w:fill="FFFFFF"/>
            <w:tcMar>
              <w:top w:w="0" w:type="dxa"/>
              <w:left w:w="0" w:type="dxa"/>
              <w:bottom w:w="0" w:type="dxa"/>
              <w:right w:w="0" w:type="dxa"/>
            </w:tcMar>
          </w:tcPr>
          <w:p w14:paraId="0837696D" w14:textId="77777777" w:rsidR="00A10028" w:rsidRPr="0001719F" w:rsidRDefault="00A10028" w:rsidP="00EE536E">
            <w:pPr>
              <w:keepNext/>
              <w:spacing w:before="0" w:after="0" w:line="240" w:lineRule="auto"/>
              <w:ind w:left="100" w:right="100" w:firstLine="0"/>
              <w:jc w:val="center"/>
              <w:rPr>
                <w:sz w:val="20"/>
                <w:szCs w:val="20"/>
              </w:rPr>
            </w:pPr>
            <w:r w:rsidRPr="0001719F">
              <w:rPr>
                <w:rFonts w:eastAsia="Arial"/>
                <w:b/>
                <w:i/>
                <w:color w:val="000000"/>
                <w:sz w:val="20"/>
                <w:szCs w:val="20"/>
              </w:rPr>
              <w:t>%Δ</w:t>
            </w:r>
          </w:p>
        </w:tc>
        <w:tc>
          <w:tcPr>
            <w:tcW w:w="1067" w:type="dxa"/>
            <w:tcBorders>
              <w:bottom w:val="single" w:sz="8" w:space="0" w:color="666666"/>
            </w:tcBorders>
            <w:shd w:val="clear" w:color="auto" w:fill="FFFFFF"/>
            <w:tcMar>
              <w:top w:w="0" w:type="dxa"/>
              <w:left w:w="0" w:type="dxa"/>
              <w:bottom w:w="0" w:type="dxa"/>
              <w:right w:w="0" w:type="dxa"/>
            </w:tcMar>
          </w:tcPr>
          <w:p w14:paraId="50D41E7D" w14:textId="77777777" w:rsidR="00A10028" w:rsidRPr="0001719F" w:rsidRDefault="00A10028" w:rsidP="00EE536E">
            <w:pPr>
              <w:keepNext/>
              <w:spacing w:before="0" w:after="0" w:line="240" w:lineRule="auto"/>
              <w:ind w:left="100" w:right="100" w:firstLine="0"/>
              <w:jc w:val="center"/>
              <w:rPr>
                <w:sz w:val="20"/>
                <w:szCs w:val="20"/>
              </w:rPr>
            </w:pPr>
            <w:r w:rsidRPr="0001719F">
              <w:rPr>
                <w:rFonts w:eastAsia="Arial"/>
                <w:b/>
                <w:i/>
                <w:color w:val="000000"/>
                <w:sz w:val="20"/>
                <w:szCs w:val="20"/>
              </w:rPr>
              <w:t>SE</w:t>
            </w:r>
          </w:p>
        </w:tc>
        <w:tc>
          <w:tcPr>
            <w:tcW w:w="1068" w:type="dxa"/>
            <w:tcBorders>
              <w:bottom w:val="single" w:sz="8" w:space="0" w:color="666666"/>
            </w:tcBorders>
            <w:shd w:val="clear" w:color="auto" w:fill="FFFFFF"/>
            <w:tcMar>
              <w:top w:w="0" w:type="dxa"/>
              <w:left w:w="0" w:type="dxa"/>
              <w:bottom w:w="0" w:type="dxa"/>
              <w:right w:w="0" w:type="dxa"/>
            </w:tcMar>
          </w:tcPr>
          <w:p w14:paraId="74A27B79" w14:textId="77777777" w:rsidR="00A10028" w:rsidRPr="0001719F" w:rsidRDefault="00A10028" w:rsidP="00EE536E">
            <w:pPr>
              <w:keepNext/>
              <w:spacing w:before="0" w:after="0" w:line="240" w:lineRule="auto"/>
              <w:ind w:left="100" w:right="100" w:firstLine="0"/>
              <w:jc w:val="center"/>
              <w:rPr>
                <w:sz w:val="20"/>
                <w:szCs w:val="20"/>
              </w:rPr>
            </w:pPr>
            <w:r w:rsidRPr="0001719F">
              <w:rPr>
                <w:rFonts w:eastAsia="Arial"/>
                <w:b/>
                <w:i/>
                <w:color w:val="000000"/>
                <w:sz w:val="20"/>
                <w:szCs w:val="20"/>
              </w:rPr>
              <w:t>p</w:t>
            </w:r>
          </w:p>
        </w:tc>
        <w:tc>
          <w:tcPr>
            <w:tcW w:w="1067" w:type="dxa"/>
            <w:tcBorders>
              <w:bottom w:val="single" w:sz="8" w:space="0" w:color="666666"/>
            </w:tcBorders>
            <w:shd w:val="clear" w:color="auto" w:fill="FFFFFF"/>
            <w:tcMar>
              <w:top w:w="0" w:type="dxa"/>
              <w:left w:w="0" w:type="dxa"/>
              <w:bottom w:w="0" w:type="dxa"/>
              <w:right w:w="0" w:type="dxa"/>
            </w:tcMar>
          </w:tcPr>
          <w:p w14:paraId="1867B789" w14:textId="77777777" w:rsidR="00A10028" w:rsidRPr="0001719F" w:rsidRDefault="00A10028" w:rsidP="00EE536E">
            <w:pPr>
              <w:keepNext/>
              <w:spacing w:before="0" w:after="0" w:line="240" w:lineRule="auto"/>
              <w:ind w:left="100" w:right="100" w:firstLine="0"/>
              <w:jc w:val="center"/>
              <w:rPr>
                <w:sz w:val="20"/>
                <w:szCs w:val="20"/>
              </w:rPr>
            </w:pPr>
            <w:r w:rsidRPr="0001719F">
              <w:rPr>
                <w:rFonts w:eastAsia="Arial"/>
                <w:b/>
                <w:i/>
                <w:color w:val="000000"/>
                <w:sz w:val="20"/>
                <w:szCs w:val="20"/>
              </w:rPr>
              <w:t>z</w:t>
            </w:r>
          </w:p>
        </w:tc>
        <w:tc>
          <w:tcPr>
            <w:tcW w:w="1069" w:type="dxa"/>
            <w:tcBorders>
              <w:bottom w:val="single" w:sz="8" w:space="0" w:color="666666"/>
            </w:tcBorders>
            <w:shd w:val="clear" w:color="auto" w:fill="FFFFFF"/>
            <w:tcMar>
              <w:top w:w="0" w:type="dxa"/>
              <w:left w:w="0" w:type="dxa"/>
              <w:bottom w:w="0" w:type="dxa"/>
              <w:right w:w="0" w:type="dxa"/>
            </w:tcMar>
          </w:tcPr>
          <w:p w14:paraId="5DF8CFDF" w14:textId="77777777" w:rsidR="00A10028" w:rsidRPr="0001719F" w:rsidRDefault="00A10028" w:rsidP="00EE536E">
            <w:pPr>
              <w:keepNext/>
              <w:spacing w:before="0" w:after="0" w:line="240" w:lineRule="auto"/>
              <w:ind w:left="100" w:right="100" w:firstLine="0"/>
              <w:jc w:val="center"/>
              <w:rPr>
                <w:sz w:val="20"/>
                <w:szCs w:val="20"/>
              </w:rPr>
            </w:pPr>
            <w:r w:rsidRPr="0001719F">
              <w:rPr>
                <w:rFonts w:eastAsia="Arial"/>
                <w:b/>
                <w:i/>
                <w:color w:val="000000"/>
                <w:sz w:val="20"/>
                <w:szCs w:val="20"/>
              </w:rPr>
              <w:t>p</w:t>
            </w:r>
          </w:p>
        </w:tc>
      </w:tr>
      <w:tr w:rsidR="00A10028" w14:paraId="2C3DFE1D" w14:textId="77777777" w:rsidTr="00FB72D7">
        <w:trPr>
          <w:cantSplit/>
          <w:trHeight w:val="254"/>
        </w:trPr>
        <w:tc>
          <w:tcPr>
            <w:tcW w:w="2575" w:type="dxa"/>
            <w:shd w:val="clear" w:color="auto" w:fill="F6F6F6"/>
            <w:tcMar>
              <w:top w:w="0" w:type="dxa"/>
              <w:left w:w="0" w:type="dxa"/>
              <w:bottom w:w="0" w:type="dxa"/>
              <w:right w:w="0" w:type="dxa"/>
            </w:tcMar>
            <w:vAlign w:val="center"/>
          </w:tcPr>
          <w:p w14:paraId="42BA9DF2"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(Intercept)</w:t>
            </w:r>
          </w:p>
        </w:tc>
        <w:tc>
          <w:tcPr>
            <w:tcW w:w="1067" w:type="dxa"/>
            <w:shd w:val="clear" w:color="auto" w:fill="F6F6F6"/>
            <w:tcMar>
              <w:top w:w="0" w:type="dxa"/>
              <w:left w:w="0" w:type="dxa"/>
              <w:bottom w:w="0" w:type="dxa"/>
              <w:right w:w="0" w:type="dxa"/>
            </w:tcMar>
            <w:vAlign w:val="center"/>
          </w:tcPr>
          <w:p w14:paraId="0C4A282E"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-0.408</w:t>
            </w:r>
          </w:p>
        </w:tc>
        <w:tc>
          <w:tcPr>
            <w:tcW w:w="1067" w:type="dxa"/>
            <w:shd w:val="clear" w:color="auto" w:fill="F6F6F6"/>
            <w:tcMar>
              <w:top w:w="0" w:type="dxa"/>
              <w:left w:w="0" w:type="dxa"/>
              <w:bottom w:w="0" w:type="dxa"/>
              <w:right w:w="0" w:type="dxa"/>
            </w:tcMar>
            <w:vAlign w:val="center"/>
          </w:tcPr>
          <w:p w14:paraId="13F42955"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6F6F6"/>
            <w:tcMar>
              <w:top w:w="0" w:type="dxa"/>
              <w:left w:w="0" w:type="dxa"/>
              <w:bottom w:w="0" w:type="dxa"/>
              <w:right w:w="0" w:type="dxa"/>
            </w:tcMar>
            <w:vAlign w:val="center"/>
          </w:tcPr>
          <w:p w14:paraId="18E25356"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0.683</w:t>
            </w:r>
          </w:p>
        </w:tc>
        <w:tc>
          <w:tcPr>
            <w:tcW w:w="1068" w:type="dxa"/>
            <w:shd w:val="clear" w:color="auto" w:fill="F6F6F6"/>
            <w:tcMar>
              <w:top w:w="0" w:type="dxa"/>
              <w:left w:w="0" w:type="dxa"/>
              <w:bottom w:w="0" w:type="dxa"/>
              <w:right w:w="0" w:type="dxa"/>
            </w:tcMar>
            <w:vAlign w:val="center"/>
          </w:tcPr>
          <w:p w14:paraId="3DA3B939"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0.55</w:t>
            </w:r>
          </w:p>
        </w:tc>
        <w:tc>
          <w:tcPr>
            <w:tcW w:w="1067" w:type="dxa"/>
            <w:shd w:val="clear" w:color="auto" w:fill="F6F6F6"/>
            <w:tcMar>
              <w:top w:w="0" w:type="dxa"/>
              <w:left w:w="0" w:type="dxa"/>
              <w:bottom w:w="0" w:type="dxa"/>
              <w:right w:w="0" w:type="dxa"/>
            </w:tcMar>
            <w:vAlign w:val="center"/>
          </w:tcPr>
          <w:p w14:paraId="4D059546"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-0.079</w:t>
            </w:r>
          </w:p>
        </w:tc>
        <w:tc>
          <w:tcPr>
            <w:tcW w:w="1067" w:type="dxa"/>
            <w:shd w:val="clear" w:color="auto" w:fill="F6F6F6"/>
            <w:tcMar>
              <w:top w:w="0" w:type="dxa"/>
              <w:left w:w="0" w:type="dxa"/>
              <w:bottom w:w="0" w:type="dxa"/>
              <w:right w:w="0" w:type="dxa"/>
            </w:tcMar>
            <w:vAlign w:val="center"/>
          </w:tcPr>
          <w:p w14:paraId="6A3C88E7" w14:textId="77777777" w:rsidR="00A10028" w:rsidRPr="0001719F" w:rsidRDefault="00A10028" w:rsidP="00FB72D7">
            <w:pPr>
              <w:keepNext/>
              <w:spacing w:before="0" w:after="0" w:line="240" w:lineRule="auto"/>
              <w:ind w:left="100" w:right="100" w:firstLine="0"/>
              <w:jc w:val="right"/>
              <w:rPr>
                <w:sz w:val="20"/>
                <w:szCs w:val="20"/>
              </w:rPr>
            </w:pPr>
          </w:p>
        </w:tc>
        <w:tc>
          <w:tcPr>
            <w:tcW w:w="1067" w:type="dxa"/>
            <w:shd w:val="clear" w:color="auto" w:fill="F6F6F6"/>
            <w:tcMar>
              <w:top w:w="0" w:type="dxa"/>
              <w:left w:w="0" w:type="dxa"/>
              <w:bottom w:w="0" w:type="dxa"/>
              <w:right w:w="0" w:type="dxa"/>
            </w:tcMar>
            <w:vAlign w:val="center"/>
          </w:tcPr>
          <w:p w14:paraId="2F5CE407"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0.656</w:t>
            </w:r>
          </w:p>
        </w:tc>
        <w:tc>
          <w:tcPr>
            <w:tcW w:w="1068" w:type="dxa"/>
            <w:shd w:val="clear" w:color="auto" w:fill="F6F6F6"/>
            <w:tcMar>
              <w:top w:w="0" w:type="dxa"/>
              <w:left w:w="0" w:type="dxa"/>
              <w:bottom w:w="0" w:type="dxa"/>
              <w:right w:w="0" w:type="dxa"/>
            </w:tcMar>
            <w:vAlign w:val="center"/>
          </w:tcPr>
          <w:p w14:paraId="19A4BFC8"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0.904</w:t>
            </w:r>
          </w:p>
        </w:tc>
        <w:tc>
          <w:tcPr>
            <w:tcW w:w="1067" w:type="dxa"/>
            <w:shd w:val="clear" w:color="auto" w:fill="F6F6F6"/>
            <w:tcMar>
              <w:top w:w="0" w:type="dxa"/>
              <w:left w:w="0" w:type="dxa"/>
              <w:bottom w:w="0" w:type="dxa"/>
              <w:right w:w="0" w:type="dxa"/>
            </w:tcMar>
            <w:vAlign w:val="center"/>
          </w:tcPr>
          <w:p w14:paraId="605E09F6"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-0.347</w:t>
            </w:r>
          </w:p>
        </w:tc>
        <w:tc>
          <w:tcPr>
            <w:tcW w:w="1069" w:type="dxa"/>
            <w:shd w:val="clear" w:color="auto" w:fill="F6F6F6"/>
            <w:tcMar>
              <w:top w:w="0" w:type="dxa"/>
              <w:left w:w="0" w:type="dxa"/>
              <w:bottom w:w="0" w:type="dxa"/>
              <w:right w:w="0" w:type="dxa"/>
            </w:tcMar>
            <w:vAlign w:val="center"/>
          </w:tcPr>
          <w:p w14:paraId="12B105F3"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0.364</w:t>
            </w:r>
          </w:p>
        </w:tc>
      </w:tr>
      <w:tr w:rsidR="00A10028" w14:paraId="3B3AB8CF" w14:textId="77777777" w:rsidTr="00FB72D7">
        <w:trPr>
          <w:cantSplit/>
          <w:trHeight w:val="254"/>
        </w:trPr>
        <w:tc>
          <w:tcPr>
            <w:tcW w:w="2575" w:type="dxa"/>
            <w:shd w:val="clear" w:color="auto" w:fill="FFFFFF"/>
            <w:tcMar>
              <w:top w:w="0" w:type="dxa"/>
              <w:left w:w="0" w:type="dxa"/>
              <w:bottom w:w="0" w:type="dxa"/>
              <w:right w:w="0" w:type="dxa"/>
            </w:tcMar>
            <w:vAlign w:val="center"/>
          </w:tcPr>
          <w:p w14:paraId="614A7946"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Time</w:t>
            </w:r>
          </w:p>
        </w:tc>
        <w:tc>
          <w:tcPr>
            <w:tcW w:w="1067" w:type="dxa"/>
            <w:shd w:val="clear" w:color="auto" w:fill="FFFFFF"/>
            <w:tcMar>
              <w:top w:w="0" w:type="dxa"/>
              <w:left w:w="0" w:type="dxa"/>
              <w:bottom w:w="0" w:type="dxa"/>
              <w:right w:w="0" w:type="dxa"/>
            </w:tcMar>
            <w:vAlign w:val="center"/>
          </w:tcPr>
          <w:p w14:paraId="011B4B00"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-0.037</w:t>
            </w:r>
          </w:p>
        </w:tc>
        <w:tc>
          <w:tcPr>
            <w:tcW w:w="1067" w:type="dxa"/>
            <w:shd w:val="clear" w:color="auto" w:fill="FFFFFF"/>
            <w:tcMar>
              <w:top w:w="0" w:type="dxa"/>
              <w:left w:w="0" w:type="dxa"/>
              <w:bottom w:w="0" w:type="dxa"/>
              <w:right w:w="0" w:type="dxa"/>
            </w:tcMar>
            <w:vAlign w:val="center"/>
          </w:tcPr>
          <w:p w14:paraId="0F18E6F1"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-3.589</w:t>
            </w:r>
          </w:p>
        </w:tc>
        <w:tc>
          <w:tcPr>
            <w:tcW w:w="1067" w:type="dxa"/>
            <w:shd w:val="clear" w:color="auto" w:fill="FFFFFF"/>
            <w:tcMar>
              <w:top w:w="0" w:type="dxa"/>
              <w:left w:w="0" w:type="dxa"/>
              <w:bottom w:w="0" w:type="dxa"/>
              <w:right w:w="0" w:type="dxa"/>
            </w:tcMar>
            <w:vAlign w:val="center"/>
          </w:tcPr>
          <w:p w14:paraId="496057E9"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0.008</w:t>
            </w:r>
          </w:p>
        </w:tc>
        <w:tc>
          <w:tcPr>
            <w:tcW w:w="1068" w:type="dxa"/>
            <w:shd w:val="clear" w:color="auto" w:fill="FFFFFF"/>
            <w:tcMar>
              <w:top w:w="0" w:type="dxa"/>
              <w:left w:w="0" w:type="dxa"/>
              <w:bottom w:w="0" w:type="dxa"/>
              <w:right w:w="0" w:type="dxa"/>
            </w:tcMar>
            <w:vAlign w:val="center"/>
          </w:tcPr>
          <w:p w14:paraId="10195901"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b/>
                <w:color w:val="000000"/>
                <w:sz w:val="20"/>
                <w:szCs w:val="20"/>
              </w:rPr>
              <w:t>&lt; 0.001</w:t>
            </w:r>
          </w:p>
        </w:tc>
        <w:tc>
          <w:tcPr>
            <w:tcW w:w="1067" w:type="dxa"/>
            <w:shd w:val="clear" w:color="auto" w:fill="FFFFFF"/>
            <w:tcMar>
              <w:top w:w="0" w:type="dxa"/>
              <w:left w:w="0" w:type="dxa"/>
              <w:bottom w:w="0" w:type="dxa"/>
              <w:right w:w="0" w:type="dxa"/>
            </w:tcMar>
            <w:vAlign w:val="center"/>
          </w:tcPr>
          <w:p w14:paraId="377844F2"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-0.036</w:t>
            </w:r>
          </w:p>
        </w:tc>
        <w:tc>
          <w:tcPr>
            <w:tcW w:w="1067" w:type="dxa"/>
            <w:shd w:val="clear" w:color="auto" w:fill="FFFFFF"/>
            <w:tcMar>
              <w:top w:w="0" w:type="dxa"/>
              <w:left w:w="0" w:type="dxa"/>
              <w:bottom w:w="0" w:type="dxa"/>
              <w:right w:w="0" w:type="dxa"/>
            </w:tcMar>
            <w:vAlign w:val="center"/>
          </w:tcPr>
          <w:p w14:paraId="1BF9B9A1"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-3.533</w:t>
            </w:r>
          </w:p>
        </w:tc>
        <w:tc>
          <w:tcPr>
            <w:tcW w:w="1067" w:type="dxa"/>
            <w:shd w:val="clear" w:color="auto" w:fill="FFFFFF"/>
            <w:tcMar>
              <w:top w:w="0" w:type="dxa"/>
              <w:left w:w="0" w:type="dxa"/>
              <w:bottom w:w="0" w:type="dxa"/>
              <w:right w:w="0" w:type="dxa"/>
            </w:tcMar>
            <w:vAlign w:val="center"/>
          </w:tcPr>
          <w:p w14:paraId="5653146D"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0.008</w:t>
            </w:r>
          </w:p>
        </w:tc>
        <w:tc>
          <w:tcPr>
            <w:tcW w:w="1068" w:type="dxa"/>
            <w:shd w:val="clear" w:color="auto" w:fill="FFFFFF"/>
            <w:tcMar>
              <w:top w:w="0" w:type="dxa"/>
              <w:left w:w="0" w:type="dxa"/>
              <w:bottom w:w="0" w:type="dxa"/>
              <w:right w:w="0" w:type="dxa"/>
            </w:tcMar>
            <w:vAlign w:val="center"/>
          </w:tcPr>
          <w:p w14:paraId="4C43899D"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b/>
                <w:color w:val="000000"/>
                <w:sz w:val="20"/>
                <w:szCs w:val="20"/>
              </w:rPr>
              <w:t>&lt; 0.001</w:t>
            </w:r>
          </w:p>
        </w:tc>
        <w:tc>
          <w:tcPr>
            <w:tcW w:w="1067" w:type="dxa"/>
            <w:shd w:val="clear" w:color="auto" w:fill="FFFFFF"/>
            <w:tcMar>
              <w:top w:w="0" w:type="dxa"/>
              <w:left w:w="0" w:type="dxa"/>
              <w:bottom w:w="0" w:type="dxa"/>
              <w:right w:w="0" w:type="dxa"/>
            </w:tcMar>
            <w:vAlign w:val="center"/>
          </w:tcPr>
          <w:p w14:paraId="56033B14"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-0.049</w:t>
            </w:r>
          </w:p>
        </w:tc>
        <w:tc>
          <w:tcPr>
            <w:tcW w:w="1069" w:type="dxa"/>
            <w:shd w:val="clear" w:color="auto" w:fill="FFFFFF"/>
            <w:tcMar>
              <w:top w:w="0" w:type="dxa"/>
              <w:left w:w="0" w:type="dxa"/>
              <w:bottom w:w="0" w:type="dxa"/>
              <w:right w:w="0" w:type="dxa"/>
            </w:tcMar>
            <w:vAlign w:val="center"/>
          </w:tcPr>
          <w:p w14:paraId="54FE4F72"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0.480</w:t>
            </w:r>
          </w:p>
        </w:tc>
      </w:tr>
      <w:tr w:rsidR="00A10028" w14:paraId="1FDDBA3B" w14:textId="77777777" w:rsidTr="00FB72D7">
        <w:trPr>
          <w:cantSplit/>
          <w:trHeight w:val="254"/>
        </w:trPr>
        <w:tc>
          <w:tcPr>
            <w:tcW w:w="2575" w:type="dxa"/>
            <w:shd w:val="clear" w:color="auto" w:fill="F6F6F6"/>
            <w:tcMar>
              <w:top w:w="0" w:type="dxa"/>
              <w:left w:w="0" w:type="dxa"/>
              <w:bottom w:w="0" w:type="dxa"/>
              <w:right w:w="0" w:type="dxa"/>
            </w:tcMar>
            <w:vAlign w:val="center"/>
          </w:tcPr>
          <w:p w14:paraId="56D0A25B"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Scientific Literacy (within)</w:t>
            </w:r>
          </w:p>
        </w:tc>
        <w:tc>
          <w:tcPr>
            <w:tcW w:w="1067" w:type="dxa"/>
            <w:shd w:val="clear" w:color="auto" w:fill="F6F6F6"/>
            <w:tcMar>
              <w:top w:w="0" w:type="dxa"/>
              <w:left w:w="0" w:type="dxa"/>
              <w:bottom w:w="0" w:type="dxa"/>
              <w:right w:w="0" w:type="dxa"/>
            </w:tcMar>
            <w:vAlign w:val="center"/>
          </w:tcPr>
          <w:p w14:paraId="1CF17000"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7" w:type="dxa"/>
            <w:shd w:val="clear" w:color="auto" w:fill="F6F6F6"/>
            <w:tcMar>
              <w:top w:w="0" w:type="dxa"/>
              <w:left w:w="0" w:type="dxa"/>
              <w:bottom w:w="0" w:type="dxa"/>
              <w:right w:w="0" w:type="dxa"/>
            </w:tcMar>
            <w:vAlign w:val="center"/>
          </w:tcPr>
          <w:p w14:paraId="75627BE6"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0.058</w:t>
            </w:r>
          </w:p>
        </w:tc>
        <w:tc>
          <w:tcPr>
            <w:tcW w:w="1067" w:type="dxa"/>
            <w:shd w:val="clear" w:color="auto" w:fill="F6F6F6"/>
            <w:tcMar>
              <w:top w:w="0" w:type="dxa"/>
              <w:left w:w="0" w:type="dxa"/>
              <w:bottom w:w="0" w:type="dxa"/>
              <w:right w:w="0" w:type="dxa"/>
            </w:tcMar>
            <w:vAlign w:val="center"/>
          </w:tcPr>
          <w:p w14:paraId="5E3826D5"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8" w:type="dxa"/>
            <w:shd w:val="clear" w:color="auto" w:fill="F6F6F6"/>
            <w:tcMar>
              <w:top w:w="0" w:type="dxa"/>
              <w:left w:w="0" w:type="dxa"/>
              <w:bottom w:w="0" w:type="dxa"/>
              <w:right w:w="0" w:type="dxa"/>
            </w:tcMar>
            <w:vAlign w:val="center"/>
          </w:tcPr>
          <w:p w14:paraId="2B369205"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0.353</w:t>
            </w:r>
          </w:p>
        </w:tc>
        <w:tc>
          <w:tcPr>
            <w:tcW w:w="1067" w:type="dxa"/>
            <w:shd w:val="clear" w:color="auto" w:fill="F6F6F6"/>
            <w:tcMar>
              <w:top w:w="0" w:type="dxa"/>
              <w:left w:w="0" w:type="dxa"/>
              <w:bottom w:w="0" w:type="dxa"/>
              <w:right w:w="0" w:type="dxa"/>
            </w:tcMar>
            <w:vAlign w:val="center"/>
          </w:tcPr>
          <w:p w14:paraId="678C9F15"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0.000</w:t>
            </w:r>
          </w:p>
        </w:tc>
        <w:tc>
          <w:tcPr>
            <w:tcW w:w="1067" w:type="dxa"/>
            <w:shd w:val="clear" w:color="auto" w:fill="F6F6F6"/>
            <w:tcMar>
              <w:top w:w="0" w:type="dxa"/>
              <w:left w:w="0" w:type="dxa"/>
              <w:bottom w:w="0" w:type="dxa"/>
              <w:right w:w="0" w:type="dxa"/>
            </w:tcMar>
            <w:vAlign w:val="center"/>
          </w:tcPr>
          <w:p w14:paraId="18BFDD98"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0.046</w:t>
            </w:r>
          </w:p>
        </w:tc>
        <w:tc>
          <w:tcPr>
            <w:tcW w:w="1067" w:type="dxa"/>
            <w:shd w:val="clear" w:color="auto" w:fill="F6F6F6"/>
            <w:tcMar>
              <w:top w:w="0" w:type="dxa"/>
              <w:left w:w="0" w:type="dxa"/>
              <w:bottom w:w="0" w:type="dxa"/>
              <w:right w:w="0" w:type="dxa"/>
            </w:tcMar>
            <w:vAlign w:val="center"/>
          </w:tcPr>
          <w:p w14:paraId="13A4D874"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8" w:type="dxa"/>
            <w:shd w:val="clear" w:color="auto" w:fill="F6F6F6"/>
            <w:tcMar>
              <w:top w:w="0" w:type="dxa"/>
              <w:left w:w="0" w:type="dxa"/>
              <w:bottom w:w="0" w:type="dxa"/>
              <w:right w:w="0" w:type="dxa"/>
            </w:tcMar>
            <w:vAlign w:val="center"/>
          </w:tcPr>
          <w:p w14:paraId="36109183"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0.437</w:t>
            </w:r>
          </w:p>
        </w:tc>
        <w:tc>
          <w:tcPr>
            <w:tcW w:w="1067" w:type="dxa"/>
            <w:shd w:val="clear" w:color="auto" w:fill="F6F6F6"/>
            <w:tcMar>
              <w:top w:w="0" w:type="dxa"/>
              <w:left w:w="0" w:type="dxa"/>
              <w:bottom w:w="0" w:type="dxa"/>
              <w:right w:w="0" w:type="dxa"/>
            </w:tcMar>
            <w:vAlign w:val="center"/>
          </w:tcPr>
          <w:p w14:paraId="34AB3159"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0.141</w:t>
            </w:r>
          </w:p>
        </w:tc>
        <w:tc>
          <w:tcPr>
            <w:tcW w:w="1069" w:type="dxa"/>
            <w:shd w:val="clear" w:color="auto" w:fill="F6F6F6"/>
            <w:tcMar>
              <w:top w:w="0" w:type="dxa"/>
              <w:left w:w="0" w:type="dxa"/>
              <w:bottom w:w="0" w:type="dxa"/>
              <w:right w:w="0" w:type="dxa"/>
            </w:tcMar>
            <w:vAlign w:val="center"/>
          </w:tcPr>
          <w:p w14:paraId="2690E63F"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0.556</w:t>
            </w:r>
          </w:p>
        </w:tc>
      </w:tr>
      <w:tr w:rsidR="00A10028" w14:paraId="479F7FA0" w14:textId="77777777" w:rsidTr="00FB72D7">
        <w:trPr>
          <w:cantSplit/>
          <w:trHeight w:val="238"/>
        </w:trPr>
        <w:tc>
          <w:tcPr>
            <w:tcW w:w="2575" w:type="dxa"/>
            <w:shd w:val="clear" w:color="auto" w:fill="FFFFFF"/>
            <w:tcMar>
              <w:top w:w="0" w:type="dxa"/>
              <w:left w:w="0" w:type="dxa"/>
              <w:bottom w:w="0" w:type="dxa"/>
              <w:right w:w="0" w:type="dxa"/>
            </w:tcMar>
            <w:vAlign w:val="center"/>
          </w:tcPr>
          <w:p w14:paraId="183E3DE1"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Scientific Literacy (between)</w:t>
            </w:r>
          </w:p>
        </w:tc>
        <w:tc>
          <w:tcPr>
            <w:tcW w:w="1067" w:type="dxa"/>
            <w:shd w:val="clear" w:color="auto" w:fill="FFFFFF"/>
            <w:tcMar>
              <w:top w:w="0" w:type="dxa"/>
              <w:left w:w="0" w:type="dxa"/>
              <w:bottom w:w="0" w:type="dxa"/>
              <w:right w:w="0" w:type="dxa"/>
            </w:tcMar>
            <w:vAlign w:val="center"/>
          </w:tcPr>
          <w:p w14:paraId="26D8AF6A"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0.005</w:t>
            </w:r>
          </w:p>
        </w:tc>
        <w:tc>
          <w:tcPr>
            <w:tcW w:w="1067" w:type="dxa"/>
            <w:shd w:val="clear" w:color="auto" w:fill="FFFFFF"/>
            <w:tcMar>
              <w:top w:w="0" w:type="dxa"/>
              <w:left w:w="0" w:type="dxa"/>
              <w:bottom w:w="0" w:type="dxa"/>
              <w:right w:w="0" w:type="dxa"/>
            </w:tcMar>
            <w:vAlign w:val="center"/>
          </w:tcPr>
          <w:p w14:paraId="61CE44B5"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0.478</w:t>
            </w:r>
          </w:p>
        </w:tc>
        <w:tc>
          <w:tcPr>
            <w:tcW w:w="1067" w:type="dxa"/>
            <w:shd w:val="clear" w:color="auto" w:fill="FFFFFF"/>
            <w:tcMar>
              <w:top w:w="0" w:type="dxa"/>
              <w:left w:w="0" w:type="dxa"/>
              <w:bottom w:w="0" w:type="dxa"/>
              <w:right w:w="0" w:type="dxa"/>
            </w:tcMar>
            <w:vAlign w:val="center"/>
          </w:tcPr>
          <w:p w14:paraId="412EAD5E"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8" w:type="dxa"/>
            <w:shd w:val="clear" w:color="auto" w:fill="FFFFFF"/>
            <w:tcMar>
              <w:top w:w="0" w:type="dxa"/>
              <w:left w:w="0" w:type="dxa"/>
              <w:bottom w:w="0" w:type="dxa"/>
              <w:right w:w="0" w:type="dxa"/>
            </w:tcMar>
            <w:vAlign w:val="center"/>
          </w:tcPr>
          <w:p w14:paraId="36BDD248"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b/>
                <w:color w:val="000000"/>
                <w:sz w:val="20"/>
                <w:szCs w:val="20"/>
              </w:rPr>
              <w:t>0.001</w:t>
            </w:r>
          </w:p>
        </w:tc>
        <w:tc>
          <w:tcPr>
            <w:tcW w:w="1067" w:type="dxa"/>
            <w:shd w:val="clear" w:color="auto" w:fill="FFFFFF"/>
            <w:tcMar>
              <w:top w:w="0" w:type="dxa"/>
              <w:left w:w="0" w:type="dxa"/>
              <w:bottom w:w="0" w:type="dxa"/>
              <w:right w:w="0" w:type="dxa"/>
            </w:tcMar>
            <w:vAlign w:val="center"/>
          </w:tcPr>
          <w:p w14:paraId="2B38D38C"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0.004</w:t>
            </w:r>
          </w:p>
        </w:tc>
        <w:tc>
          <w:tcPr>
            <w:tcW w:w="1067" w:type="dxa"/>
            <w:shd w:val="clear" w:color="auto" w:fill="FFFFFF"/>
            <w:tcMar>
              <w:top w:w="0" w:type="dxa"/>
              <w:left w:w="0" w:type="dxa"/>
              <w:bottom w:w="0" w:type="dxa"/>
              <w:right w:w="0" w:type="dxa"/>
            </w:tcMar>
            <w:vAlign w:val="center"/>
          </w:tcPr>
          <w:p w14:paraId="3E186EF6"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0.409</w:t>
            </w:r>
          </w:p>
        </w:tc>
        <w:tc>
          <w:tcPr>
            <w:tcW w:w="1067" w:type="dxa"/>
            <w:shd w:val="clear" w:color="auto" w:fill="FFFFFF"/>
            <w:tcMar>
              <w:top w:w="0" w:type="dxa"/>
              <w:left w:w="0" w:type="dxa"/>
              <w:bottom w:w="0" w:type="dxa"/>
              <w:right w:w="0" w:type="dxa"/>
            </w:tcMar>
            <w:vAlign w:val="center"/>
          </w:tcPr>
          <w:p w14:paraId="4A65A9AF"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8" w:type="dxa"/>
            <w:shd w:val="clear" w:color="auto" w:fill="FFFFFF"/>
            <w:tcMar>
              <w:top w:w="0" w:type="dxa"/>
              <w:left w:w="0" w:type="dxa"/>
              <w:bottom w:w="0" w:type="dxa"/>
              <w:right w:w="0" w:type="dxa"/>
            </w:tcMar>
            <w:vAlign w:val="center"/>
          </w:tcPr>
          <w:p w14:paraId="392B8201"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b/>
                <w:color w:val="000000"/>
                <w:sz w:val="20"/>
                <w:szCs w:val="20"/>
              </w:rPr>
              <w:t>0.004</w:t>
            </w:r>
          </w:p>
        </w:tc>
        <w:tc>
          <w:tcPr>
            <w:tcW w:w="1067" w:type="dxa"/>
            <w:shd w:val="clear" w:color="auto" w:fill="FFFFFF"/>
            <w:tcMar>
              <w:top w:w="0" w:type="dxa"/>
              <w:left w:w="0" w:type="dxa"/>
              <w:bottom w:w="0" w:type="dxa"/>
              <w:right w:w="0" w:type="dxa"/>
            </w:tcMar>
            <w:vAlign w:val="center"/>
          </w:tcPr>
          <w:p w14:paraId="55273BA0"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0.338</w:t>
            </w:r>
          </w:p>
        </w:tc>
        <w:tc>
          <w:tcPr>
            <w:tcW w:w="1069" w:type="dxa"/>
            <w:shd w:val="clear" w:color="auto" w:fill="FFFFFF"/>
            <w:tcMar>
              <w:top w:w="0" w:type="dxa"/>
              <w:left w:w="0" w:type="dxa"/>
              <w:bottom w:w="0" w:type="dxa"/>
              <w:right w:w="0" w:type="dxa"/>
            </w:tcMar>
            <w:vAlign w:val="center"/>
          </w:tcPr>
          <w:p w14:paraId="5D274C1B"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0.632</w:t>
            </w:r>
          </w:p>
        </w:tc>
      </w:tr>
      <w:tr w:rsidR="00A10028" w14:paraId="66980865" w14:textId="77777777" w:rsidTr="00FB72D7">
        <w:trPr>
          <w:cantSplit/>
          <w:trHeight w:val="254"/>
        </w:trPr>
        <w:tc>
          <w:tcPr>
            <w:tcW w:w="2575" w:type="dxa"/>
            <w:shd w:val="clear" w:color="auto" w:fill="F6F6F6"/>
            <w:tcMar>
              <w:top w:w="0" w:type="dxa"/>
              <w:left w:w="0" w:type="dxa"/>
              <w:bottom w:w="0" w:type="dxa"/>
              <w:right w:w="0" w:type="dxa"/>
            </w:tcMar>
            <w:vAlign w:val="center"/>
          </w:tcPr>
          <w:p w14:paraId="4CEFF278"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Population</w:t>
            </w:r>
          </w:p>
        </w:tc>
        <w:tc>
          <w:tcPr>
            <w:tcW w:w="1067" w:type="dxa"/>
            <w:shd w:val="clear" w:color="auto" w:fill="F6F6F6"/>
            <w:tcMar>
              <w:top w:w="0" w:type="dxa"/>
              <w:left w:w="0" w:type="dxa"/>
              <w:bottom w:w="0" w:type="dxa"/>
              <w:right w:w="0" w:type="dxa"/>
            </w:tcMar>
            <w:vAlign w:val="center"/>
          </w:tcPr>
          <w:p w14:paraId="2C35BB2A"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0.002</w:t>
            </w:r>
          </w:p>
        </w:tc>
        <w:tc>
          <w:tcPr>
            <w:tcW w:w="1067" w:type="dxa"/>
            <w:shd w:val="clear" w:color="auto" w:fill="F6F6F6"/>
            <w:tcMar>
              <w:top w:w="0" w:type="dxa"/>
              <w:left w:w="0" w:type="dxa"/>
              <w:bottom w:w="0" w:type="dxa"/>
              <w:right w:w="0" w:type="dxa"/>
            </w:tcMar>
            <w:vAlign w:val="center"/>
          </w:tcPr>
          <w:p w14:paraId="2459FE5F"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0.196</w:t>
            </w:r>
          </w:p>
        </w:tc>
        <w:tc>
          <w:tcPr>
            <w:tcW w:w="1067" w:type="dxa"/>
            <w:shd w:val="clear" w:color="auto" w:fill="F6F6F6"/>
            <w:tcMar>
              <w:top w:w="0" w:type="dxa"/>
              <w:left w:w="0" w:type="dxa"/>
              <w:bottom w:w="0" w:type="dxa"/>
              <w:right w:w="0" w:type="dxa"/>
            </w:tcMar>
            <w:vAlign w:val="center"/>
          </w:tcPr>
          <w:p w14:paraId="2B803A43"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0.004</w:t>
            </w:r>
          </w:p>
        </w:tc>
        <w:tc>
          <w:tcPr>
            <w:tcW w:w="1068" w:type="dxa"/>
            <w:shd w:val="clear" w:color="auto" w:fill="F6F6F6"/>
            <w:tcMar>
              <w:top w:w="0" w:type="dxa"/>
              <w:left w:w="0" w:type="dxa"/>
              <w:bottom w:w="0" w:type="dxa"/>
              <w:right w:w="0" w:type="dxa"/>
            </w:tcMar>
            <w:vAlign w:val="center"/>
          </w:tcPr>
          <w:p w14:paraId="7147D535"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0.647</w:t>
            </w:r>
          </w:p>
        </w:tc>
        <w:tc>
          <w:tcPr>
            <w:tcW w:w="1067" w:type="dxa"/>
            <w:shd w:val="clear" w:color="auto" w:fill="F6F6F6"/>
            <w:tcMar>
              <w:top w:w="0" w:type="dxa"/>
              <w:left w:w="0" w:type="dxa"/>
              <w:bottom w:w="0" w:type="dxa"/>
              <w:right w:w="0" w:type="dxa"/>
            </w:tcMar>
            <w:vAlign w:val="center"/>
          </w:tcPr>
          <w:p w14:paraId="6BCB4D49"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0.002</w:t>
            </w:r>
          </w:p>
        </w:tc>
        <w:tc>
          <w:tcPr>
            <w:tcW w:w="1067" w:type="dxa"/>
            <w:shd w:val="clear" w:color="auto" w:fill="F6F6F6"/>
            <w:tcMar>
              <w:top w:w="0" w:type="dxa"/>
              <w:left w:w="0" w:type="dxa"/>
              <w:bottom w:w="0" w:type="dxa"/>
              <w:right w:w="0" w:type="dxa"/>
            </w:tcMar>
            <w:vAlign w:val="center"/>
          </w:tcPr>
          <w:p w14:paraId="7160CD3F"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0.202</w:t>
            </w:r>
          </w:p>
        </w:tc>
        <w:tc>
          <w:tcPr>
            <w:tcW w:w="1067" w:type="dxa"/>
            <w:shd w:val="clear" w:color="auto" w:fill="F6F6F6"/>
            <w:tcMar>
              <w:top w:w="0" w:type="dxa"/>
              <w:left w:w="0" w:type="dxa"/>
              <w:bottom w:w="0" w:type="dxa"/>
              <w:right w:w="0" w:type="dxa"/>
            </w:tcMar>
            <w:vAlign w:val="center"/>
          </w:tcPr>
          <w:p w14:paraId="29AEE119"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0.004</w:t>
            </w:r>
          </w:p>
        </w:tc>
        <w:tc>
          <w:tcPr>
            <w:tcW w:w="1068" w:type="dxa"/>
            <w:shd w:val="clear" w:color="auto" w:fill="F6F6F6"/>
            <w:tcMar>
              <w:top w:w="0" w:type="dxa"/>
              <w:left w:w="0" w:type="dxa"/>
              <w:bottom w:w="0" w:type="dxa"/>
              <w:right w:w="0" w:type="dxa"/>
            </w:tcMar>
            <w:vAlign w:val="center"/>
          </w:tcPr>
          <w:p w14:paraId="34FE559F"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0.641</w:t>
            </w:r>
          </w:p>
        </w:tc>
        <w:tc>
          <w:tcPr>
            <w:tcW w:w="1067" w:type="dxa"/>
            <w:shd w:val="clear" w:color="auto" w:fill="F6F6F6"/>
            <w:tcMar>
              <w:top w:w="0" w:type="dxa"/>
              <w:left w:w="0" w:type="dxa"/>
              <w:bottom w:w="0" w:type="dxa"/>
              <w:right w:w="0" w:type="dxa"/>
            </w:tcMar>
            <w:vAlign w:val="center"/>
          </w:tcPr>
          <w:p w14:paraId="1C2790ED"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-0.010</w:t>
            </w:r>
          </w:p>
        </w:tc>
        <w:tc>
          <w:tcPr>
            <w:tcW w:w="1069" w:type="dxa"/>
            <w:shd w:val="clear" w:color="auto" w:fill="F6F6F6"/>
            <w:tcMar>
              <w:top w:w="0" w:type="dxa"/>
              <w:left w:w="0" w:type="dxa"/>
              <w:bottom w:w="0" w:type="dxa"/>
              <w:right w:w="0" w:type="dxa"/>
            </w:tcMar>
            <w:vAlign w:val="center"/>
          </w:tcPr>
          <w:p w14:paraId="34EF979C"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0.496</w:t>
            </w:r>
          </w:p>
        </w:tc>
      </w:tr>
      <w:tr w:rsidR="00A10028" w14:paraId="1611AE68" w14:textId="77777777" w:rsidTr="00FB72D7">
        <w:trPr>
          <w:cantSplit/>
          <w:trHeight w:val="254"/>
        </w:trPr>
        <w:tc>
          <w:tcPr>
            <w:tcW w:w="2575" w:type="dxa"/>
            <w:shd w:val="clear" w:color="auto" w:fill="FFFFFF"/>
            <w:tcMar>
              <w:top w:w="0" w:type="dxa"/>
              <w:left w:w="0" w:type="dxa"/>
              <w:bottom w:w="0" w:type="dxa"/>
              <w:right w:w="0" w:type="dxa"/>
            </w:tcMar>
            <w:vAlign w:val="center"/>
          </w:tcPr>
          <w:p w14:paraId="71870AE4"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GDP</w:t>
            </w:r>
          </w:p>
        </w:tc>
        <w:tc>
          <w:tcPr>
            <w:tcW w:w="1067" w:type="dxa"/>
            <w:shd w:val="clear" w:color="auto" w:fill="FFFFFF"/>
            <w:tcMar>
              <w:top w:w="0" w:type="dxa"/>
              <w:left w:w="0" w:type="dxa"/>
              <w:bottom w:w="0" w:type="dxa"/>
              <w:right w:w="0" w:type="dxa"/>
            </w:tcMar>
            <w:vAlign w:val="center"/>
          </w:tcPr>
          <w:p w14:paraId="64B9C4DD"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7" w:type="dxa"/>
            <w:shd w:val="clear" w:color="auto" w:fill="FFFFFF"/>
            <w:tcMar>
              <w:top w:w="0" w:type="dxa"/>
              <w:left w:w="0" w:type="dxa"/>
              <w:bottom w:w="0" w:type="dxa"/>
              <w:right w:w="0" w:type="dxa"/>
            </w:tcMar>
            <w:vAlign w:val="center"/>
          </w:tcPr>
          <w:p w14:paraId="45C22BD3"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0.081</w:t>
            </w:r>
          </w:p>
        </w:tc>
        <w:tc>
          <w:tcPr>
            <w:tcW w:w="1067" w:type="dxa"/>
            <w:shd w:val="clear" w:color="auto" w:fill="FFFFFF"/>
            <w:tcMar>
              <w:top w:w="0" w:type="dxa"/>
              <w:left w:w="0" w:type="dxa"/>
              <w:bottom w:w="0" w:type="dxa"/>
              <w:right w:w="0" w:type="dxa"/>
            </w:tcMar>
            <w:vAlign w:val="center"/>
          </w:tcPr>
          <w:p w14:paraId="451819D0"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0.020</w:t>
            </w:r>
          </w:p>
        </w:tc>
        <w:tc>
          <w:tcPr>
            <w:tcW w:w="1068" w:type="dxa"/>
            <w:shd w:val="clear" w:color="auto" w:fill="FFFFFF"/>
            <w:tcMar>
              <w:top w:w="0" w:type="dxa"/>
              <w:left w:w="0" w:type="dxa"/>
              <w:bottom w:w="0" w:type="dxa"/>
              <w:right w:w="0" w:type="dxa"/>
            </w:tcMar>
            <w:vAlign w:val="center"/>
          </w:tcPr>
          <w:p w14:paraId="48A32A70"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0.967</w:t>
            </w:r>
          </w:p>
        </w:tc>
        <w:tc>
          <w:tcPr>
            <w:tcW w:w="1067" w:type="dxa"/>
            <w:shd w:val="clear" w:color="auto" w:fill="FFFFFF"/>
            <w:tcMar>
              <w:top w:w="0" w:type="dxa"/>
              <w:left w:w="0" w:type="dxa"/>
              <w:bottom w:w="0" w:type="dxa"/>
              <w:right w:w="0" w:type="dxa"/>
            </w:tcMar>
            <w:vAlign w:val="center"/>
          </w:tcPr>
          <w:p w14:paraId="369FD76A"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0.003</w:t>
            </w:r>
          </w:p>
        </w:tc>
        <w:tc>
          <w:tcPr>
            <w:tcW w:w="1067" w:type="dxa"/>
            <w:shd w:val="clear" w:color="auto" w:fill="FFFFFF"/>
            <w:tcMar>
              <w:top w:w="0" w:type="dxa"/>
              <w:left w:w="0" w:type="dxa"/>
              <w:bottom w:w="0" w:type="dxa"/>
              <w:right w:w="0" w:type="dxa"/>
            </w:tcMar>
            <w:vAlign w:val="center"/>
          </w:tcPr>
          <w:p w14:paraId="2D17D759"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0.319</w:t>
            </w:r>
          </w:p>
        </w:tc>
        <w:tc>
          <w:tcPr>
            <w:tcW w:w="1067" w:type="dxa"/>
            <w:shd w:val="clear" w:color="auto" w:fill="FFFFFF"/>
            <w:tcMar>
              <w:top w:w="0" w:type="dxa"/>
              <w:left w:w="0" w:type="dxa"/>
              <w:bottom w:w="0" w:type="dxa"/>
              <w:right w:w="0" w:type="dxa"/>
            </w:tcMar>
            <w:vAlign w:val="center"/>
          </w:tcPr>
          <w:p w14:paraId="06AD4302"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0.020</w:t>
            </w:r>
          </w:p>
        </w:tc>
        <w:tc>
          <w:tcPr>
            <w:tcW w:w="1068" w:type="dxa"/>
            <w:shd w:val="clear" w:color="auto" w:fill="FFFFFF"/>
            <w:tcMar>
              <w:top w:w="0" w:type="dxa"/>
              <w:left w:w="0" w:type="dxa"/>
              <w:bottom w:w="0" w:type="dxa"/>
              <w:right w:w="0" w:type="dxa"/>
            </w:tcMar>
            <w:vAlign w:val="center"/>
          </w:tcPr>
          <w:p w14:paraId="3FF056C1"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0.872</w:t>
            </w:r>
          </w:p>
        </w:tc>
        <w:tc>
          <w:tcPr>
            <w:tcW w:w="1067" w:type="dxa"/>
            <w:shd w:val="clear" w:color="auto" w:fill="FFFFFF"/>
            <w:tcMar>
              <w:top w:w="0" w:type="dxa"/>
              <w:left w:w="0" w:type="dxa"/>
              <w:bottom w:w="0" w:type="dxa"/>
              <w:right w:w="0" w:type="dxa"/>
            </w:tcMar>
            <w:vAlign w:val="center"/>
          </w:tcPr>
          <w:p w14:paraId="023CF858"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-0.085</w:t>
            </w:r>
          </w:p>
        </w:tc>
        <w:tc>
          <w:tcPr>
            <w:tcW w:w="1069" w:type="dxa"/>
            <w:shd w:val="clear" w:color="auto" w:fill="FFFFFF"/>
            <w:tcMar>
              <w:top w:w="0" w:type="dxa"/>
              <w:left w:w="0" w:type="dxa"/>
              <w:bottom w:w="0" w:type="dxa"/>
              <w:right w:w="0" w:type="dxa"/>
            </w:tcMar>
            <w:vAlign w:val="center"/>
          </w:tcPr>
          <w:p w14:paraId="780FED5B"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0.466</w:t>
            </w:r>
          </w:p>
        </w:tc>
      </w:tr>
      <w:tr w:rsidR="00A10028" w14:paraId="1E068CFE" w14:textId="77777777" w:rsidTr="00FB72D7">
        <w:trPr>
          <w:cantSplit/>
          <w:trHeight w:val="254"/>
        </w:trPr>
        <w:tc>
          <w:tcPr>
            <w:tcW w:w="2575" w:type="dxa"/>
            <w:shd w:val="clear" w:color="auto" w:fill="F6F6F6"/>
            <w:tcMar>
              <w:top w:w="0" w:type="dxa"/>
              <w:left w:w="0" w:type="dxa"/>
              <w:bottom w:w="0" w:type="dxa"/>
              <w:right w:w="0" w:type="dxa"/>
            </w:tcMar>
            <w:vAlign w:val="center"/>
          </w:tcPr>
          <w:p w14:paraId="3F5C7704"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Manufacturing</w:t>
            </w:r>
          </w:p>
        </w:tc>
        <w:tc>
          <w:tcPr>
            <w:tcW w:w="1067" w:type="dxa"/>
            <w:shd w:val="clear" w:color="auto" w:fill="F6F6F6"/>
            <w:tcMar>
              <w:top w:w="0" w:type="dxa"/>
              <w:left w:w="0" w:type="dxa"/>
              <w:bottom w:w="0" w:type="dxa"/>
              <w:right w:w="0" w:type="dxa"/>
            </w:tcMar>
            <w:vAlign w:val="center"/>
          </w:tcPr>
          <w:p w14:paraId="594EA6DF"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0.003</w:t>
            </w:r>
          </w:p>
        </w:tc>
        <w:tc>
          <w:tcPr>
            <w:tcW w:w="1067" w:type="dxa"/>
            <w:shd w:val="clear" w:color="auto" w:fill="F6F6F6"/>
            <w:tcMar>
              <w:top w:w="0" w:type="dxa"/>
              <w:left w:w="0" w:type="dxa"/>
              <w:bottom w:w="0" w:type="dxa"/>
              <w:right w:w="0" w:type="dxa"/>
            </w:tcMar>
            <w:vAlign w:val="center"/>
          </w:tcPr>
          <w:p w14:paraId="3964B1B9"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0.312</w:t>
            </w:r>
          </w:p>
        </w:tc>
        <w:tc>
          <w:tcPr>
            <w:tcW w:w="1067" w:type="dxa"/>
            <w:shd w:val="clear" w:color="auto" w:fill="F6F6F6"/>
            <w:tcMar>
              <w:top w:w="0" w:type="dxa"/>
              <w:left w:w="0" w:type="dxa"/>
              <w:bottom w:w="0" w:type="dxa"/>
              <w:right w:w="0" w:type="dxa"/>
            </w:tcMar>
            <w:vAlign w:val="center"/>
          </w:tcPr>
          <w:p w14:paraId="6702D195"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0.004</w:t>
            </w:r>
          </w:p>
        </w:tc>
        <w:tc>
          <w:tcPr>
            <w:tcW w:w="1068" w:type="dxa"/>
            <w:shd w:val="clear" w:color="auto" w:fill="F6F6F6"/>
            <w:tcMar>
              <w:top w:w="0" w:type="dxa"/>
              <w:left w:w="0" w:type="dxa"/>
              <w:bottom w:w="0" w:type="dxa"/>
              <w:right w:w="0" w:type="dxa"/>
            </w:tcMar>
            <w:vAlign w:val="center"/>
          </w:tcPr>
          <w:p w14:paraId="722F36FD"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0.472</w:t>
            </w:r>
          </w:p>
        </w:tc>
        <w:tc>
          <w:tcPr>
            <w:tcW w:w="1067" w:type="dxa"/>
            <w:shd w:val="clear" w:color="auto" w:fill="F6F6F6"/>
            <w:tcMar>
              <w:top w:w="0" w:type="dxa"/>
              <w:left w:w="0" w:type="dxa"/>
              <w:bottom w:w="0" w:type="dxa"/>
              <w:right w:w="0" w:type="dxa"/>
            </w:tcMar>
            <w:vAlign w:val="center"/>
          </w:tcPr>
          <w:p w14:paraId="185D7D67"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0.004</w:t>
            </w:r>
          </w:p>
        </w:tc>
        <w:tc>
          <w:tcPr>
            <w:tcW w:w="1067" w:type="dxa"/>
            <w:shd w:val="clear" w:color="auto" w:fill="F6F6F6"/>
            <w:tcMar>
              <w:top w:w="0" w:type="dxa"/>
              <w:left w:w="0" w:type="dxa"/>
              <w:bottom w:w="0" w:type="dxa"/>
              <w:right w:w="0" w:type="dxa"/>
            </w:tcMar>
            <w:vAlign w:val="center"/>
          </w:tcPr>
          <w:p w14:paraId="55A084B3"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0.364</w:t>
            </w:r>
          </w:p>
        </w:tc>
        <w:tc>
          <w:tcPr>
            <w:tcW w:w="1067" w:type="dxa"/>
            <w:shd w:val="clear" w:color="auto" w:fill="F6F6F6"/>
            <w:tcMar>
              <w:top w:w="0" w:type="dxa"/>
              <w:left w:w="0" w:type="dxa"/>
              <w:bottom w:w="0" w:type="dxa"/>
              <w:right w:w="0" w:type="dxa"/>
            </w:tcMar>
            <w:vAlign w:val="center"/>
          </w:tcPr>
          <w:p w14:paraId="0A0FAE48"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0.004</w:t>
            </w:r>
          </w:p>
        </w:tc>
        <w:tc>
          <w:tcPr>
            <w:tcW w:w="1068" w:type="dxa"/>
            <w:shd w:val="clear" w:color="auto" w:fill="F6F6F6"/>
            <w:tcMar>
              <w:top w:w="0" w:type="dxa"/>
              <w:left w:w="0" w:type="dxa"/>
              <w:bottom w:w="0" w:type="dxa"/>
              <w:right w:w="0" w:type="dxa"/>
            </w:tcMar>
            <w:vAlign w:val="center"/>
          </w:tcPr>
          <w:p w14:paraId="169DBF2C"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0.391</w:t>
            </w:r>
          </w:p>
        </w:tc>
        <w:tc>
          <w:tcPr>
            <w:tcW w:w="1067" w:type="dxa"/>
            <w:shd w:val="clear" w:color="auto" w:fill="F6F6F6"/>
            <w:tcMar>
              <w:top w:w="0" w:type="dxa"/>
              <w:left w:w="0" w:type="dxa"/>
              <w:bottom w:w="0" w:type="dxa"/>
              <w:right w:w="0" w:type="dxa"/>
            </w:tcMar>
            <w:vAlign w:val="center"/>
          </w:tcPr>
          <w:p w14:paraId="3CBBCB9C"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-0.086</w:t>
            </w:r>
          </w:p>
        </w:tc>
        <w:tc>
          <w:tcPr>
            <w:tcW w:w="1069" w:type="dxa"/>
            <w:shd w:val="clear" w:color="auto" w:fill="F6F6F6"/>
            <w:tcMar>
              <w:top w:w="0" w:type="dxa"/>
              <w:left w:w="0" w:type="dxa"/>
              <w:bottom w:w="0" w:type="dxa"/>
              <w:right w:w="0" w:type="dxa"/>
            </w:tcMar>
            <w:vAlign w:val="center"/>
          </w:tcPr>
          <w:p w14:paraId="0B7EE43C"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0.466</w:t>
            </w:r>
          </w:p>
        </w:tc>
      </w:tr>
      <w:tr w:rsidR="00A10028" w14:paraId="4D07E37F" w14:textId="77777777" w:rsidTr="00FB72D7">
        <w:trPr>
          <w:cantSplit/>
          <w:trHeight w:val="254"/>
        </w:trPr>
        <w:tc>
          <w:tcPr>
            <w:tcW w:w="2575" w:type="dxa"/>
            <w:shd w:val="clear" w:color="auto" w:fill="FFFFFF"/>
            <w:tcMar>
              <w:top w:w="0" w:type="dxa"/>
              <w:left w:w="0" w:type="dxa"/>
              <w:bottom w:w="0" w:type="dxa"/>
              <w:right w:w="0" w:type="dxa"/>
            </w:tcMar>
            <w:vAlign w:val="center"/>
          </w:tcPr>
          <w:p w14:paraId="7C5BB2C7"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Exports</w:t>
            </w:r>
          </w:p>
        </w:tc>
        <w:tc>
          <w:tcPr>
            <w:tcW w:w="1067" w:type="dxa"/>
            <w:shd w:val="clear" w:color="auto" w:fill="FFFFFF"/>
            <w:tcMar>
              <w:top w:w="0" w:type="dxa"/>
              <w:left w:w="0" w:type="dxa"/>
              <w:bottom w:w="0" w:type="dxa"/>
              <w:right w:w="0" w:type="dxa"/>
            </w:tcMar>
            <w:vAlign w:val="center"/>
          </w:tcPr>
          <w:p w14:paraId="64E67992"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0.000</w:t>
            </w:r>
          </w:p>
        </w:tc>
        <w:tc>
          <w:tcPr>
            <w:tcW w:w="1067" w:type="dxa"/>
            <w:shd w:val="clear" w:color="auto" w:fill="FFFFFF"/>
            <w:tcMar>
              <w:top w:w="0" w:type="dxa"/>
              <w:left w:w="0" w:type="dxa"/>
              <w:bottom w:w="0" w:type="dxa"/>
              <w:right w:w="0" w:type="dxa"/>
            </w:tcMar>
            <w:vAlign w:val="center"/>
          </w:tcPr>
          <w:p w14:paraId="78D2CAD9"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-0.048</w:t>
            </w:r>
          </w:p>
        </w:tc>
        <w:tc>
          <w:tcPr>
            <w:tcW w:w="1067" w:type="dxa"/>
            <w:shd w:val="clear" w:color="auto" w:fill="FFFFFF"/>
            <w:tcMar>
              <w:top w:w="0" w:type="dxa"/>
              <w:left w:w="0" w:type="dxa"/>
              <w:bottom w:w="0" w:type="dxa"/>
              <w:right w:w="0" w:type="dxa"/>
            </w:tcMar>
            <w:vAlign w:val="center"/>
          </w:tcPr>
          <w:p w14:paraId="49BCEDDA"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8" w:type="dxa"/>
            <w:shd w:val="clear" w:color="auto" w:fill="FFFFFF"/>
            <w:tcMar>
              <w:top w:w="0" w:type="dxa"/>
              <w:left w:w="0" w:type="dxa"/>
              <w:bottom w:w="0" w:type="dxa"/>
              <w:right w:w="0" w:type="dxa"/>
            </w:tcMar>
            <w:vAlign w:val="center"/>
          </w:tcPr>
          <w:p w14:paraId="6FFDAA52"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0.589</w:t>
            </w:r>
          </w:p>
        </w:tc>
        <w:tc>
          <w:tcPr>
            <w:tcW w:w="1067" w:type="dxa"/>
            <w:shd w:val="clear" w:color="auto" w:fill="FFFFFF"/>
            <w:tcMar>
              <w:top w:w="0" w:type="dxa"/>
              <w:left w:w="0" w:type="dxa"/>
              <w:bottom w:w="0" w:type="dxa"/>
              <w:right w:w="0" w:type="dxa"/>
            </w:tcMar>
            <w:vAlign w:val="center"/>
          </w:tcPr>
          <w:p w14:paraId="717BFBBB"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7" w:type="dxa"/>
            <w:shd w:val="clear" w:color="auto" w:fill="FFFFFF"/>
            <w:tcMar>
              <w:top w:w="0" w:type="dxa"/>
              <w:left w:w="0" w:type="dxa"/>
              <w:bottom w:w="0" w:type="dxa"/>
              <w:right w:w="0" w:type="dxa"/>
            </w:tcMar>
            <w:vAlign w:val="center"/>
          </w:tcPr>
          <w:p w14:paraId="3C751D29"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-0.052</w:t>
            </w:r>
          </w:p>
        </w:tc>
        <w:tc>
          <w:tcPr>
            <w:tcW w:w="1067" w:type="dxa"/>
            <w:shd w:val="clear" w:color="auto" w:fill="FFFFFF"/>
            <w:tcMar>
              <w:top w:w="0" w:type="dxa"/>
              <w:left w:w="0" w:type="dxa"/>
              <w:bottom w:w="0" w:type="dxa"/>
              <w:right w:w="0" w:type="dxa"/>
            </w:tcMar>
            <w:vAlign w:val="center"/>
          </w:tcPr>
          <w:p w14:paraId="73EC7AD8"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8" w:type="dxa"/>
            <w:shd w:val="clear" w:color="auto" w:fill="FFFFFF"/>
            <w:tcMar>
              <w:top w:w="0" w:type="dxa"/>
              <w:left w:w="0" w:type="dxa"/>
              <w:bottom w:w="0" w:type="dxa"/>
              <w:right w:w="0" w:type="dxa"/>
            </w:tcMar>
            <w:vAlign w:val="center"/>
          </w:tcPr>
          <w:p w14:paraId="52319F36"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0.561</w:t>
            </w:r>
          </w:p>
        </w:tc>
        <w:tc>
          <w:tcPr>
            <w:tcW w:w="1067" w:type="dxa"/>
            <w:shd w:val="clear" w:color="auto" w:fill="FFFFFF"/>
            <w:tcMar>
              <w:top w:w="0" w:type="dxa"/>
              <w:left w:w="0" w:type="dxa"/>
              <w:bottom w:w="0" w:type="dxa"/>
              <w:right w:w="0" w:type="dxa"/>
            </w:tcMar>
            <w:vAlign w:val="center"/>
          </w:tcPr>
          <w:p w14:paraId="54B5C670"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0.031</w:t>
            </w:r>
          </w:p>
        </w:tc>
        <w:tc>
          <w:tcPr>
            <w:tcW w:w="1069" w:type="dxa"/>
            <w:shd w:val="clear" w:color="auto" w:fill="FFFFFF"/>
            <w:tcMar>
              <w:top w:w="0" w:type="dxa"/>
              <w:left w:w="0" w:type="dxa"/>
              <w:bottom w:w="0" w:type="dxa"/>
              <w:right w:w="0" w:type="dxa"/>
            </w:tcMar>
            <w:vAlign w:val="center"/>
          </w:tcPr>
          <w:p w14:paraId="5C8A9F23"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0.513</w:t>
            </w:r>
          </w:p>
        </w:tc>
      </w:tr>
      <w:tr w:rsidR="00A10028" w14:paraId="0F02F63A" w14:textId="77777777" w:rsidTr="00FB72D7">
        <w:trPr>
          <w:cantSplit/>
          <w:trHeight w:val="238"/>
        </w:trPr>
        <w:tc>
          <w:tcPr>
            <w:tcW w:w="2575" w:type="dxa"/>
            <w:shd w:val="clear" w:color="auto" w:fill="F6F6F6"/>
            <w:tcMar>
              <w:top w:w="0" w:type="dxa"/>
              <w:left w:w="0" w:type="dxa"/>
              <w:bottom w:w="0" w:type="dxa"/>
              <w:right w:w="0" w:type="dxa"/>
            </w:tcMar>
            <w:vAlign w:val="center"/>
          </w:tcPr>
          <w:p w14:paraId="42AF5A8D"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Gini</w:t>
            </w:r>
          </w:p>
        </w:tc>
        <w:tc>
          <w:tcPr>
            <w:tcW w:w="1067" w:type="dxa"/>
            <w:shd w:val="clear" w:color="auto" w:fill="F6F6F6"/>
            <w:tcMar>
              <w:top w:w="0" w:type="dxa"/>
              <w:left w:w="0" w:type="dxa"/>
              <w:bottom w:w="0" w:type="dxa"/>
              <w:right w:w="0" w:type="dxa"/>
            </w:tcMar>
            <w:vAlign w:val="center"/>
          </w:tcPr>
          <w:p w14:paraId="5C319DC6"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-0.016</w:t>
            </w:r>
          </w:p>
        </w:tc>
        <w:tc>
          <w:tcPr>
            <w:tcW w:w="1067" w:type="dxa"/>
            <w:shd w:val="clear" w:color="auto" w:fill="F6F6F6"/>
            <w:tcMar>
              <w:top w:w="0" w:type="dxa"/>
              <w:left w:w="0" w:type="dxa"/>
              <w:bottom w:w="0" w:type="dxa"/>
              <w:right w:w="0" w:type="dxa"/>
            </w:tcMar>
            <w:vAlign w:val="center"/>
          </w:tcPr>
          <w:p w14:paraId="767EAADD"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-1.630</w:t>
            </w:r>
          </w:p>
        </w:tc>
        <w:tc>
          <w:tcPr>
            <w:tcW w:w="1067" w:type="dxa"/>
            <w:shd w:val="clear" w:color="auto" w:fill="F6F6F6"/>
            <w:tcMar>
              <w:top w:w="0" w:type="dxa"/>
              <w:left w:w="0" w:type="dxa"/>
              <w:bottom w:w="0" w:type="dxa"/>
              <w:right w:w="0" w:type="dxa"/>
            </w:tcMar>
            <w:vAlign w:val="center"/>
          </w:tcPr>
          <w:p w14:paraId="746DDCBD"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0.007</w:t>
            </w:r>
          </w:p>
        </w:tc>
        <w:tc>
          <w:tcPr>
            <w:tcW w:w="1068" w:type="dxa"/>
            <w:shd w:val="clear" w:color="auto" w:fill="F6F6F6"/>
            <w:tcMar>
              <w:top w:w="0" w:type="dxa"/>
              <w:left w:w="0" w:type="dxa"/>
              <w:bottom w:w="0" w:type="dxa"/>
              <w:right w:w="0" w:type="dxa"/>
            </w:tcMar>
            <w:vAlign w:val="center"/>
          </w:tcPr>
          <w:p w14:paraId="35BA33A0"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b/>
                <w:color w:val="000000"/>
                <w:sz w:val="20"/>
                <w:szCs w:val="20"/>
              </w:rPr>
              <w:t>0.014</w:t>
            </w:r>
          </w:p>
        </w:tc>
        <w:tc>
          <w:tcPr>
            <w:tcW w:w="1067" w:type="dxa"/>
            <w:shd w:val="clear" w:color="auto" w:fill="F6F6F6"/>
            <w:tcMar>
              <w:top w:w="0" w:type="dxa"/>
              <w:left w:w="0" w:type="dxa"/>
              <w:bottom w:w="0" w:type="dxa"/>
              <w:right w:w="0" w:type="dxa"/>
            </w:tcMar>
            <w:vAlign w:val="center"/>
          </w:tcPr>
          <w:p w14:paraId="435B496E"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-0.017</w:t>
            </w:r>
          </w:p>
        </w:tc>
        <w:tc>
          <w:tcPr>
            <w:tcW w:w="1067" w:type="dxa"/>
            <w:shd w:val="clear" w:color="auto" w:fill="F6F6F6"/>
            <w:tcMar>
              <w:top w:w="0" w:type="dxa"/>
              <w:left w:w="0" w:type="dxa"/>
              <w:bottom w:w="0" w:type="dxa"/>
              <w:right w:w="0" w:type="dxa"/>
            </w:tcMar>
            <w:vAlign w:val="center"/>
          </w:tcPr>
          <w:p w14:paraId="201CE5AB"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-1.683</w:t>
            </w:r>
          </w:p>
        </w:tc>
        <w:tc>
          <w:tcPr>
            <w:tcW w:w="1067" w:type="dxa"/>
            <w:shd w:val="clear" w:color="auto" w:fill="F6F6F6"/>
            <w:tcMar>
              <w:top w:w="0" w:type="dxa"/>
              <w:left w:w="0" w:type="dxa"/>
              <w:bottom w:w="0" w:type="dxa"/>
              <w:right w:w="0" w:type="dxa"/>
            </w:tcMar>
            <w:vAlign w:val="center"/>
          </w:tcPr>
          <w:p w14:paraId="0FA38965"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0.007</w:t>
            </w:r>
          </w:p>
        </w:tc>
        <w:tc>
          <w:tcPr>
            <w:tcW w:w="1068" w:type="dxa"/>
            <w:shd w:val="clear" w:color="auto" w:fill="F6F6F6"/>
            <w:tcMar>
              <w:top w:w="0" w:type="dxa"/>
              <w:left w:w="0" w:type="dxa"/>
              <w:bottom w:w="0" w:type="dxa"/>
              <w:right w:w="0" w:type="dxa"/>
            </w:tcMar>
            <w:vAlign w:val="center"/>
          </w:tcPr>
          <w:p w14:paraId="0FDAAAFB"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b/>
                <w:color w:val="000000"/>
                <w:sz w:val="20"/>
                <w:szCs w:val="20"/>
              </w:rPr>
              <w:t>0.011</w:t>
            </w:r>
          </w:p>
        </w:tc>
        <w:tc>
          <w:tcPr>
            <w:tcW w:w="1067" w:type="dxa"/>
            <w:shd w:val="clear" w:color="auto" w:fill="F6F6F6"/>
            <w:tcMar>
              <w:top w:w="0" w:type="dxa"/>
              <w:left w:w="0" w:type="dxa"/>
              <w:bottom w:w="0" w:type="dxa"/>
              <w:right w:w="0" w:type="dxa"/>
            </w:tcMar>
            <w:vAlign w:val="center"/>
          </w:tcPr>
          <w:p w14:paraId="52DE1701"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0.057</w:t>
            </w:r>
          </w:p>
        </w:tc>
        <w:tc>
          <w:tcPr>
            <w:tcW w:w="1069" w:type="dxa"/>
            <w:shd w:val="clear" w:color="auto" w:fill="F6F6F6"/>
            <w:tcMar>
              <w:top w:w="0" w:type="dxa"/>
              <w:left w:w="0" w:type="dxa"/>
              <w:bottom w:w="0" w:type="dxa"/>
              <w:right w:w="0" w:type="dxa"/>
            </w:tcMar>
            <w:vAlign w:val="center"/>
          </w:tcPr>
          <w:p w14:paraId="2D256791"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0.523</w:t>
            </w:r>
          </w:p>
        </w:tc>
      </w:tr>
      <w:tr w:rsidR="00A10028" w14:paraId="11C2CA13" w14:textId="77777777" w:rsidTr="00FB72D7">
        <w:trPr>
          <w:cantSplit/>
          <w:trHeight w:val="254"/>
        </w:trPr>
        <w:tc>
          <w:tcPr>
            <w:tcW w:w="2575" w:type="dxa"/>
            <w:shd w:val="clear" w:color="auto" w:fill="FFFFFF"/>
            <w:tcMar>
              <w:top w:w="0" w:type="dxa"/>
              <w:left w:w="0" w:type="dxa"/>
              <w:bottom w:w="0" w:type="dxa"/>
              <w:right w:w="0" w:type="dxa"/>
            </w:tcMar>
            <w:vAlign w:val="center"/>
          </w:tcPr>
          <w:p w14:paraId="7FACCCA8"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Left-Right Orientation</w:t>
            </w:r>
          </w:p>
        </w:tc>
        <w:tc>
          <w:tcPr>
            <w:tcW w:w="1067" w:type="dxa"/>
            <w:shd w:val="clear" w:color="auto" w:fill="FFFFFF"/>
            <w:tcMar>
              <w:top w:w="0" w:type="dxa"/>
              <w:left w:w="0" w:type="dxa"/>
              <w:bottom w:w="0" w:type="dxa"/>
              <w:right w:w="0" w:type="dxa"/>
            </w:tcMar>
            <w:vAlign w:val="center"/>
          </w:tcPr>
          <w:p w14:paraId="23345513"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7" w:type="dxa"/>
            <w:shd w:val="clear" w:color="auto" w:fill="FFFFFF"/>
            <w:tcMar>
              <w:top w:w="0" w:type="dxa"/>
              <w:left w:w="0" w:type="dxa"/>
              <w:bottom w:w="0" w:type="dxa"/>
              <w:right w:w="0" w:type="dxa"/>
            </w:tcMar>
            <w:vAlign w:val="center"/>
          </w:tcPr>
          <w:p w14:paraId="29B0801D"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-0.089</w:t>
            </w:r>
          </w:p>
        </w:tc>
        <w:tc>
          <w:tcPr>
            <w:tcW w:w="1067" w:type="dxa"/>
            <w:shd w:val="clear" w:color="auto" w:fill="FFFFFF"/>
            <w:tcMar>
              <w:top w:w="0" w:type="dxa"/>
              <w:left w:w="0" w:type="dxa"/>
              <w:bottom w:w="0" w:type="dxa"/>
              <w:right w:w="0" w:type="dxa"/>
            </w:tcMar>
            <w:vAlign w:val="center"/>
          </w:tcPr>
          <w:p w14:paraId="732F9393"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0.002</w:t>
            </w:r>
          </w:p>
        </w:tc>
        <w:tc>
          <w:tcPr>
            <w:tcW w:w="1068" w:type="dxa"/>
            <w:shd w:val="clear" w:color="auto" w:fill="FFFFFF"/>
            <w:tcMar>
              <w:top w:w="0" w:type="dxa"/>
              <w:left w:w="0" w:type="dxa"/>
              <w:bottom w:w="0" w:type="dxa"/>
              <w:right w:w="0" w:type="dxa"/>
            </w:tcMar>
            <w:vAlign w:val="center"/>
          </w:tcPr>
          <w:p w14:paraId="033D73B4"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0.592</w:t>
            </w:r>
          </w:p>
        </w:tc>
        <w:tc>
          <w:tcPr>
            <w:tcW w:w="1067" w:type="dxa"/>
            <w:shd w:val="clear" w:color="auto" w:fill="FFFFFF"/>
            <w:tcMar>
              <w:top w:w="0" w:type="dxa"/>
              <w:left w:w="0" w:type="dxa"/>
              <w:bottom w:w="0" w:type="dxa"/>
              <w:right w:w="0" w:type="dxa"/>
            </w:tcMar>
            <w:vAlign w:val="center"/>
          </w:tcPr>
          <w:p w14:paraId="678C7942"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7" w:type="dxa"/>
            <w:shd w:val="clear" w:color="auto" w:fill="FFFFFF"/>
            <w:tcMar>
              <w:top w:w="0" w:type="dxa"/>
              <w:left w:w="0" w:type="dxa"/>
              <w:bottom w:w="0" w:type="dxa"/>
              <w:right w:w="0" w:type="dxa"/>
            </w:tcMar>
            <w:vAlign w:val="center"/>
          </w:tcPr>
          <w:p w14:paraId="1314D404"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-0.096</w:t>
            </w:r>
          </w:p>
        </w:tc>
        <w:tc>
          <w:tcPr>
            <w:tcW w:w="1067" w:type="dxa"/>
            <w:shd w:val="clear" w:color="auto" w:fill="FFFFFF"/>
            <w:tcMar>
              <w:top w:w="0" w:type="dxa"/>
              <w:left w:w="0" w:type="dxa"/>
              <w:bottom w:w="0" w:type="dxa"/>
              <w:right w:w="0" w:type="dxa"/>
            </w:tcMar>
            <w:vAlign w:val="center"/>
          </w:tcPr>
          <w:p w14:paraId="21164B50"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0.002</w:t>
            </w:r>
          </w:p>
        </w:tc>
        <w:tc>
          <w:tcPr>
            <w:tcW w:w="1068" w:type="dxa"/>
            <w:shd w:val="clear" w:color="auto" w:fill="FFFFFF"/>
            <w:tcMar>
              <w:top w:w="0" w:type="dxa"/>
              <w:left w:w="0" w:type="dxa"/>
              <w:bottom w:w="0" w:type="dxa"/>
              <w:right w:w="0" w:type="dxa"/>
            </w:tcMar>
            <w:vAlign w:val="center"/>
          </w:tcPr>
          <w:p w14:paraId="6F53F5D4"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0.569</w:t>
            </w:r>
          </w:p>
        </w:tc>
        <w:tc>
          <w:tcPr>
            <w:tcW w:w="1067" w:type="dxa"/>
            <w:shd w:val="clear" w:color="auto" w:fill="FFFFFF"/>
            <w:tcMar>
              <w:top w:w="0" w:type="dxa"/>
              <w:left w:w="0" w:type="dxa"/>
              <w:bottom w:w="0" w:type="dxa"/>
              <w:right w:w="0" w:type="dxa"/>
            </w:tcMar>
            <w:vAlign w:val="center"/>
          </w:tcPr>
          <w:p w14:paraId="030AC7F2"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0.027</w:t>
            </w:r>
          </w:p>
        </w:tc>
        <w:tc>
          <w:tcPr>
            <w:tcW w:w="1069" w:type="dxa"/>
            <w:shd w:val="clear" w:color="auto" w:fill="FFFFFF"/>
            <w:tcMar>
              <w:top w:w="0" w:type="dxa"/>
              <w:left w:w="0" w:type="dxa"/>
              <w:bottom w:w="0" w:type="dxa"/>
              <w:right w:w="0" w:type="dxa"/>
            </w:tcMar>
            <w:vAlign w:val="center"/>
          </w:tcPr>
          <w:p w14:paraId="4FA54131"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0.511</w:t>
            </w:r>
          </w:p>
        </w:tc>
      </w:tr>
      <w:tr w:rsidR="00A10028" w14:paraId="5F5E55BB" w14:textId="77777777" w:rsidTr="00FB72D7">
        <w:trPr>
          <w:cantSplit/>
          <w:trHeight w:val="254"/>
        </w:trPr>
        <w:tc>
          <w:tcPr>
            <w:tcW w:w="2575" w:type="dxa"/>
            <w:shd w:val="clear" w:color="auto" w:fill="F6F6F6"/>
            <w:tcMar>
              <w:top w:w="0" w:type="dxa"/>
              <w:left w:w="0" w:type="dxa"/>
              <w:bottom w:w="0" w:type="dxa"/>
              <w:right w:w="0" w:type="dxa"/>
            </w:tcMar>
            <w:vAlign w:val="center"/>
          </w:tcPr>
          <w:p w14:paraId="78CEFA24"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Democracy Index</w:t>
            </w:r>
          </w:p>
        </w:tc>
        <w:tc>
          <w:tcPr>
            <w:tcW w:w="1067" w:type="dxa"/>
            <w:shd w:val="clear" w:color="auto" w:fill="F6F6F6"/>
            <w:tcMar>
              <w:top w:w="0" w:type="dxa"/>
              <w:left w:w="0" w:type="dxa"/>
              <w:bottom w:w="0" w:type="dxa"/>
              <w:right w:w="0" w:type="dxa"/>
            </w:tcMar>
            <w:vAlign w:val="center"/>
          </w:tcPr>
          <w:p w14:paraId="375F1C9B"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-0.002</w:t>
            </w:r>
          </w:p>
        </w:tc>
        <w:tc>
          <w:tcPr>
            <w:tcW w:w="1067" w:type="dxa"/>
            <w:shd w:val="clear" w:color="auto" w:fill="F6F6F6"/>
            <w:tcMar>
              <w:top w:w="0" w:type="dxa"/>
              <w:left w:w="0" w:type="dxa"/>
              <w:bottom w:w="0" w:type="dxa"/>
              <w:right w:w="0" w:type="dxa"/>
            </w:tcMar>
            <w:vAlign w:val="center"/>
          </w:tcPr>
          <w:p w14:paraId="56D944F1"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-0.153</w:t>
            </w:r>
          </w:p>
        </w:tc>
        <w:tc>
          <w:tcPr>
            <w:tcW w:w="1067" w:type="dxa"/>
            <w:shd w:val="clear" w:color="auto" w:fill="F6F6F6"/>
            <w:tcMar>
              <w:top w:w="0" w:type="dxa"/>
              <w:left w:w="0" w:type="dxa"/>
              <w:bottom w:w="0" w:type="dxa"/>
              <w:right w:w="0" w:type="dxa"/>
            </w:tcMar>
            <w:vAlign w:val="center"/>
          </w:tcPr>
          <w:p w14:paraId="6836BB33"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8" w:type="dxa"/>
            <w:shd w:val="clear" w:color="auto" w:fill="F6F6F6"/>
            <w:tcMar>
              <w:top w:w="0" w:type="dxa"/>
              <w:left w:w="0" w:type="dxa"/>
              <w:bottom w:w="0" w:type="dxa"/>
              <w:right w:w="0" w:type="dxa"/>
            </w:tcMar>
            <w:vAlign w:val="center"/>
          </w:tcPr>
          <w:p w14:paraId="16B871B7"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0.186</w:t>
            </w:r>
          </w:p>
        </w:tc>
        <w:tc>
          <w:tcPr>
            <w:tcW w:w="1067" w:type="dxa"/>
            <w:shd w:val="clear" w:color="auto" w:fill="F6F6F6"/>
            <w:tcMar>
              <w:top w:w="0" w:type="dxa"/>
              <w:left w:w="0" w:type="dxa"/>
              <w:bottom w:w="0" w:type="dxa"/>
              <w:right w:w="0" w:type="dxa"/>
            </w:tcMar>
            <w:vAlign w:val="center"/>
          </w:tcPr>
          <w:p w14:paraId="3CEF3952"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-0.002</w:t>
            </w:r>
          </w:p>
        </w:tc>
        <w:tc>
          <w:tcPr>
            <w:tcW w:w="1067" w:type="dxa"/>
            <w:shd w:val="clear" w:color="auto" w:fill="F6F6F6"/>
            <w:tcMar>
              <w:top w:w="0" w:type="dxa"/>
              <w:left w:w="0" w:type="dxa"/>
              <w:bottom w:w="0" w:type="dxa"/>
              <w:right w:w="0" w:type="dxa"/>
            </w:tcMar>
            <w:vAlign w:val="center"/>
          </w:tcPr>
          <w:p w14:paraId="4076CF56"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-0.159</w:t>
            </w:r>
          </w:p>
        </w:tc>
        <w:tc>
          <w:tcPr>
            <w:tcW w:w="1067" w:type="dxa"/>
            <w:shd w:val="clear" w:color="auto" w:fill="F6F6F6"/>
            <w:tcMar>
              <w:top w:w="0" w:type="dxa"/>
              <w:left w:w="0" w:type="dxa"/>
              <w:bottom w:w="0" w:type="dxa"/>
              <w:right w:w="0" w:type="dxa"/>
            </w:tcMar>
            <w:vAlign w:val="center"/>
          </w:tcPr>
          <w:p w14:paraId="28FCFA33"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8" w:type="dxa"/>
            <w:shd w:val="clear" w:color="auto" w:fill="F6F6F6"/>
            <w:tcMar>
              <w:top w:w="0" w:type="dxa"/>
              <w:left w:w="0" w:type="dxa"/>
              <w:bottom w:w="0" w:type="dxa"/>
              <w:right w:w="0" w:type="dxa"/>
            </w:tcMar>
            <w:vAlign w:val="center"/>
          </w:tcPr>
          <w:p w14:paraId="0C1735D8"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0.173</w:t>
            </w:r>
          </w:p>
        </w:tc>
        <w:tc>
          <w:tcPr>
            <w:tcW w:w="1067" w:type="dxa"/>
            <w:shd w:val="clear" w:color="auto" w:fill="F6F6F6"/>
            <w:tcMar>
              <w:top w:w="0" w:type="dxa"/>
              <w:left w:w="0" w:type="dxa"/>
              <w:bottom w:w="0" w:type="dxa"/>
              <w:right w:w="0" w:type="dxa"/>
            </w:tcMar>
            <w:vAlign w:val="center"/>
          </w:tcPr>
          <w:p w14:paraId="71796599"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0.034</w:t>
            </w:r>
          </w:p>
        </w:tc>
        <w:tc>
          <w:tcPr>
            <w:tcW w:w="1069" w:type="dxa"/>
            <w:shd w:val="clear" w:color="auto" w:fill="F6F6F6"/>
            <w:tcMar>
              <w:top w:w="0" w:type="dxa"/>
              <w:left w:w="0" w:type="dxa"/>
              <w:bottom w:w="0" w:type="dxa"/>
              <w:right w:w="0" w:type="dxa"/>
            </w:tcMar>
            <w:vAlign w:val="center"/>
          </w:tcPr>
          <w:p w14:paraId="593B9F62"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0.514</w:t>
            </w:r>
          </w:p>
        </w:tc>
      </w:tr>
      <w:tr w:rsidR="00A10028" w14:paraId="14A728F2" w14:textId="77777777" w:rsidTr="00FB72D7">
        <w:trPr>
          <w:cantSplit/>
          <w:trHeight w:val="254"/>
        </w:trPr>
        <w:tc>
          <w:tcPr>
            <w:tcW w:w="2575" w:type="dxa"/>
            <w:shd w:val="clear" w:color="auto" w:fill="FFFFFF"/>
            <w:tcMar>
              <w:top w:w="0" w:type="dxa"/>
              <w:left w:w="0" w:type="dxa"/>
              <w:bottom w:w="0" w:type="dxa"/>
              <w:right w:w="0" w:type="dxa"/>
            </w:tcMar>
            <w:vAlign w:val="center"/>
          </w:tcPr>
          <w:p w14:paraId="410BCCB0"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Net Enrollment</w:t>
            </w:r>
          </w:p>
        </w:tc>
        <w:tc>
          <w:tcPr>
            <w:tcW w:w="1067" w:type="dxa"/>
            <w:shd w:val="clear" w:color="auto" w:fill="FFFFFF"/>
            <w:tcMar>
              <w:top w:w="0" w:type="dxa"/>
              <w:left w:w="0" w:type="dxa"/>
              <w:bottom w:w="0" w:type="dxa"/>
              <w:right w:w="0" w:type="dxa"/>
            </w:tcMar>
            <w:vAlign w:val="center"/>
          </w:tcPr>
          <w:p w14:paraId="7CB84909"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0.000</w:t>
            </w:r>
          </w:p>
        </w:tc>
        <w:tc>
          <w:tcPr>
            <w:tcW w:w="1067" w:type="dxa"/>
            <w:shd w:val="clear" w:color="auto" w:fill="FFFFFF"/>
            <w:tcMar>
              <w:top w:w="0" w:type="dxa"/>
              <w:left w:w="0" w:type="dxa"/>
              <w:bottom w:w="0" w:type="dxa"/>
              <w:right w:w="0" w:type="dxa"/>
            </w:tcMar>
            <w:vAlign w:val="center"/>
          </w:tcPr>
          <w:p w14:paraId="44D6DAF3"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7" w:type="dxa"/>
            <w:shd w:val="clear" w:color="auto" w:fill="FFFFFF"/>
            <w:tcMar>
              <w:top w:w="0" w:type="dxa"/>
              <w:left w:w="0" w:type="dxa"/>
              <w:bottom w:w="0" w:type="dxa"/>
              <w:right w:w="0" w:type="dxa"/>
            </w:tcMar>
            <w:vAlign w:val="center"/>
          </w:tcPr>
          <w:p w14:paraId="019A7FB6"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8" w:type="dxa"/>
            <w:shd w:val="clear" w:color="auto" w:fill="FFFFFF"/>
            <w:tcMar>
              <w:top w:w="0" w:type="dxa"/>
              <w:left w:w="0" w:type="dxa"/>
              <w:bottom w:w="0" w:type="dxa"/>
              <w:right w:w="0" w:type="dxa"/>
            </w:tcMar>
            <w:vAlign w:val="center"/>
          </w:tcPr>
          <w:p w14:paraId="1F221E05"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0.99</w:t>
            </w:r>
          </w:p>
        </w:tc>
        <w:tc>
          <w:tcPr>
            <w:tcW w:w="1067" w:type="dxa"/>
            <w:shd w:val="clear" w:color="auto" w:fill="FFFFFF"/>
            <w:tcMar>
              <w:top w:w="0" w:type="dxa"/>
              <w:left w:w="0" w:type="dxa"/>
              <w:bottom w:w="0" w:type="dxa"/>
              <w:right w:w="0" w:type="dxa"/>
            </w:tcMar>
            <w:vAlign w:val="center"/>
          </w:tcPr>
          <w:p w14:paraId="7AE6626E"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0.000</w:t>
            </w:r>
          </w:p>
        </w:tc>
        <w:tc>
          <w:tcPr>
            <w:tcW w:w="1067" w:type="dxa"/>
            <w:shd w:val="clear" w:color="auto" w:fill="FFFFFF"/>
            <w:tcMar>
              <w:top w:w="0" w:type="dxa"/>
              <w:left w:w="0" w:type="dxa"/>
              <w:bottom w:w="0" w:type="dxa"/>
              <w:right w:w="0" w:type="dxa"/>
            </w:tcMar>
            <w:vAlign w:val="center"/>
          </w:tcPr>
          <w:p w14:paraId="735B1FA4"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0.006</w:t>
            </w:r>
          </w:p>
        </w:tc>
        <w:tc>
          <w:tcPr>
            <w:tcW w:w="1067" w:type="dxa"/>
            <w:shd w:val="clear" w:color="auto" w:fill="FFFFFF"/>
            <w:tcMar>
              <w:top w:w="0" w:type="dxa"/>
              <w:left w:w="0" w:type="dxa"/>
              <w:bottom w:w="0" w:type="dxa"/>
              <w:right w:w="0" w:type="dxa"/>
            </w:tcMar>
            <w:vAlign w:val="center"/>
          </w:tcPr>
          <w:p w14:paraId="09D9BA9C"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8" w:type="dxa"/>
            <w:shd w:val="clear" w:color="auto" w:fill="FFFFFF"/>
            <w:tcMar>
              <w:top w:w="0" w:type="dxa"/>
              <w:left w:w="0" w:type="dxa"/>
              <w:bottom w:w="0" w:type="dxa"/>
              <w:right w:w="0" w:type="dxa"/>
            </w:tcMar>
            <w:vAlign w:val="center"/>
          </w:tcPr>
          <w:p w14:paraId="00D8B909"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0.944</w:t>
            </w:r>
          </w:p>
        </w:tc>
        <w:tc>
          <w:tcPr>
            <w:tcW w:w="1067" w:type="dxa"/>
            <w:shd w:val="clear" w:color="auto" w:fill="FFFFFF"/>
            <w:tcMar>
              <w:top w:w="0" w:type="dxa"/>
              <w:left w:w="0" w:type="dxa"/>
              <w:bottom w:w="0" w:type="dxa"/>
              <w:right w:w="0" w:type="dxa"/>
            </w:tcMar>
            <w:vAlign w:val="center"/>
          </w:tcPr>
          <w:p w14:paraId="153F30E4"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-0.058</w:t>
            </w:r>
          </w:p>
        </w:tc>
        <w:tc>
          <w:tcPr>
            <w:tcW w:w="1069" w:type="dxa"/>
            <w:shd w:val="clear" w:color="auto" w:fill="FFFFFF"/>
            <w:tcMar>
              <w:top w:w="0" w:type="dxa"/>
              <w:left w:w="0" w:type="dxa"/>
              <w:bottom w:w="0" w:type="dxa"/>
              <w:right w:w="0" w:type="dxa"/>
            </w:tcMar>
            <w:vAlign w:val="center"/>
          </w:tcPr>
          <w:p w14:paraId="34434B29"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0.477</w:t>
            </w:r>
          </w:p>
        </w:tc>
      </w:tr>
      <w:tr w:rsidR="00A10028" w14:paraId="1EEFC11C" w14:textId="77777777" w:rsidTr="00FB72D7">
        <w:trPr>
          <w:cantSplit/>
          <w:trHeight w:val="254"/>
        </w:trPr>
        <w:tc>
          <w:tcPr>
            <w:tcW w:w="2575" w:type="dxa"/>
            <w:shd w:val="clear" w:color="auto" w:fill="F6F6F6"/>
            <w:tcMar>
              <w:top w:w="0" w:type="dxa"/>
              <w:left w:w="0" w:type="dxa"/>
              <w:bottom w:w="0" w:type="dxa"/>
              <w:right w:w="0" w:type="dxa"/>
            </w:tcMar>
            <w:vAlign w:val="center"/>
          </w:tcPr>
          <w:p w14:paraId="6BDA7ADB"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OECD</w:t>
            </w:r>
          </w:p>
        </w:tc>
        <w:tc>
          <w:tcPr>
            <w:tcW w:w="1067" w:type="dxa"/>
            <w:shd w:val="clear" w:color="auto" w:fill="F6F6F6"/>
            <w:tcMar>
              <w:top w:w="0" w:type="dxa"/>
              <w:left w:w="0" w:type="dxa"/>
              <w:bottom w:w="0" w:type="dxa"/>
              <w:right w:w="0" w:type="dxa"/>
            </w:tcMar>
            <w:vAlign w:val="center"/>
          </w:tcPr>
          <w:p w14:paraId="37A808D3"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0.036</w:t>
            </w:r>
          </w:p>
        </w:tc>
        <w:tc>
          <w:tcPr>
            <w:tcW w:w="1067" w:type="dxa"/>
            <w:shd w:val="clear" w:color="auto" w:fill="F6F6F6"/>
            <w:tcMar>
              <w:top w:w="0" w:type="dxa"/>
              <w:left w:w="0" w:type="dxa"/>
              <w:bottom w:w="0" w:type="dxa"/>
              <w:right w:w="0" w:type="dxa"/>
            </w:tcMar>
            <w:vAlign w:val="center"/>
          </w:tcPr>
          <w:p w14:paraId="4467600B"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3.713</w:t>
            </w:r>
          </w:p>
        </w:tc>
        <w:tc>
          <w:tcPr>
            <w:tcW w:w="1067" w:type="dxa"/>
            <w:shd w:val="clear" w:color="auto" w:fill="F6F6F6"/>
            <w:tcMar>
              <w:top w:w="0" w:type="dxa"/>
              <w:left w:w="0" w:type="dxa"/>
              <w:bottom w:w="0" w:type="dxa"/>
              <w:right w:w="0" w:type="dxa"/>
            </w:tcMar>
            <w:vAlign w:val="center"/>
          </w:tcPr>
          <w:p w14:paraId="4CDC5439"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0.039</w:t>
            </w:r>
          </w:p>
        </w:tc>
        <w:tc>
          <w:tcPr>
            <w:tcW w:w="1068" w:type="dxa"/>
            <w:shd w:val="clear" w:color="auto" w:fill="F6F6F6"/>
            <w:tcMar>
              <w:top w:w="0" w:type="dxa"/>
              <w:left w:w="0" w:type="dxa"/>
              <w:bottom w:w="0" w:type="dxa"/>
              <w:right w:w="0" w:type="dxa"/>
            </w:tcMar>
            <w:vAlign w:val="center"/>
          </w:tcPr>
          <w:p w14:paraId="3B97DA76"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0.348</w:t>
            </w:r>
          </w:p>
        </w:tc>
        <w:tc>
          <w:tcPr>
            <w:tcW w:w="1067" w:type="dxa"/>
            <w:shd w:val="clear" w:color="auto" w:fill="F6F6F6"/>
            <w:tcMar>
              <w:top w:w="0" w:type="dxa"/>
              <w:left w:w="0" w:type="dxa"/>
              <w:bottom w:w="0" w:type="dxa"/>
              <w:right w:w="0" w:type="dxa"/>
            </w:tcMar>
            <w:vAlign w:val="center"/>
          </w:tcPr>
          <w:p w14:paraId="4BA4ACD8"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0.036</w:t>
            </w:r>
          </w:p>
        </w:tc>
        <w:tc>
          <w:tcPr>
            <w:tcW w:w="1067" w:type="dxa"/>
            <w:shd w:val="clear" w:color="auto" w:fill="F6F6F6"/>
            <w:tcMar>
              <w:top w:w="0" w:type="dxa"/>
              <w:left w:w="0" w:type="dxa"/>
              <w:bottom w:w="0" w:type="dxa"/>
              <w:right w:w="0" w:type="dxa"/>
            </w:tcMar>
            <w:vAlign w:val="center"/>
          </w:tcPr>
          <w:p w14:paraId="0787BB5B"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3.713</w:t>
            </w:r>
          </w:p>
        </w:tc>
        <w:tc>
          <w:tcPr>
            <w:tcW w:w="1067" w:type="dxa"/>
            <w:shd w:val="clear" w:color="auto" w:fill="F6F6F6"/>
            <w:tcMar>
              <w:top w:w="0" w:type="dxa"/>
              <w:left w:w="0" w:type="dxa"/>
              <w:bottom w:w="0" w:type="dxa"/>
              <w:right w:w="0" w:type="dxa"/>
            </w:tcMar>
            <w:vAlign w:val="center"/>
          </w:tcPr>
          <w:p w14:paraId="7D2B4036"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0.039</w:t>
            </w:r>
          </w:p>
        </w:tc>
        <w:tc>
          <w:tcPr>
            <w:tcW w:w="1068" w:type="dxa"/>
            <w:shd w:val="clear" w:color="auto" w:fill="F6F6F6"/>
            <w:tcMar>
              <w:top w:w="0" w:type="dxa"/>
              <w:left w:w="0" w:type="dxa"/>
              <w:bottom w:w="0" w:type="dxa"/>
              <w:right w:w="0" w:type="dxa"/>
            </w:tcMar>
            <w:vAlign w:val="center"/>
          </w:tcPr>
          <w:p w14:paraId="7F4B539F"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0.35</w:t>
            </w:r>
          </w:p>
        </w:tc>
        <w:tc>
          <w:tcPr>
            <w:tcW w:w="1067" w:type="dxa"/>
            <w:shd w:val="clear" w:color="auto" w:fill="F6F6F6"/>
            <w:tcMar>
              <w:top w:w="0" w:type="dxa"/>
              <w:left w:w="0" w:type="dxa"/>
              <w:bottom w:w="0" w:type="dxa"/>
              <w:right w:w="0" w:type="dxa"/>
            </w:tcMar>
            <w:vAlign w:val="center"/>
          </w:tcPr>
          <w:p w14:paraId="07D3EC48"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0.000</w:t>
            </w:r>
          </w:p>
        </w:tc>
        <w:tc>
          <w:tcPr>
            <w:tcW w:w="1069" w:type="dxa"/>
            <w:shd w:val="clear" w:color="auto" w:fill="F6F6F6"/>
            <w:tcMar>
              <w:top w:w="0" w:type="dxa"/>
              <w:left w:w="0" w:type="dxa"/>
              <w:bottom w:w="0" w:type="dxa"/>
              <w:right w:w="0" w:type="dxa"/>
            </w:tcMar>
            <w:vAlign w:val="center"/>
          </w:tcPr>
          <w:p w14:paraId="681C40D3"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0.500</w:t>
            </w:r>
          </w:p>
        </w:tc>
      </w:tr>
      <w:tr w:rsidR="00A10028" w14:paraId="0A1F9B58" w14:textId="77777777" w:rsidTr="00FB72D7">
        <w:trPr>
          <w:cantSplit/>
          <w:trHeight w:val="492"/>
        </w:trPr>
        <w:tc>
          <w:tcPr>
            <w:tcW w:w="2575" w:type="dxa"/>
            <w:tcBorders>
              <w:bottom w:val="single" w:sz="12" w:space="0" w:color="000000"/>
            </w:tcBorders>
            <w:shd w:val="clear" w:color="auto" w:fill="FFFFFF"/>
            <w:tcMar>
              <w:top w:w="0" w:type="dxa"/>
              <w:left w:w="0" w:type="dxa"/>
              <w:bottom w:w="0" w:type="dxa"/>
              <w:right w:w="0" w:type="dxa"/>
            </w:tcMar>
            <w:vAlign w:val="center"/>
          </w:tcPr>
          <w:p w14:paraId="6ED01C92"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Scientific Literacy (within) x OECD</w:t>
            </w:r>
          </w:p>
        </w:tc>
        <w:tc>
          <w:tcPr>
            <w:tcW w:w="1067" w:type="dxa"/>
            <w:tcBorders>
              <w:bottom w:val="single" w:sz="12" w:space="0" w:color="000000"/>
            </w:tcBorders>
            <w:shd w:val="clear" w:color="auto" w:fill="FFFFFF"/>
            <w:tcMar>
              <w:top w:w="0" w:type="dxa"/>
              <w:left w:w="0" w:type="dxa"/>
              <w:bottom w:w="0" w:type="dxa"/>
              <w:right w:w="0" w:type="dxa"/>
            </w:tcMar>
            <w:vAlign w:val="center"/>
          </w:tcPr>
          <w:p w14:paraId="40E4FF3B"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7" w:type="dxa"/>
            <w:tcBorders>
              <w:bottom w:val="single" w:sz="12" w:space="0" w:color="000000"/>
            </w:tcBorders>
            <w:shd w:val="clear" w:color="auto" w:fill="FFFFFF"/>
            <w:tcMar>
              <w:top w:w="0" w:type="dxa"/>
              <w:left w:w="0" w:type="dxa"/>
              <w:bottom w:w="0" w:type="dxa"/>
              <w:right w:w="0" w:type="dxa"/>
            </w:tcMar>
            <w:vAlign w:val="center"/>
          </w:tcPr>
          <w:p w14:paraId="2C204D61"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-0.091</w:t>
            </w:r>
          </w:p>
        </w:tc>
        <w:tc>
          <w:tcPr>
            <w:tcW w:w="1067" w:type="dxa"/>
            <w:tcBorders>
              <w:bottom w:val="single" w:sz="12" w:space="0" w:color="000000"/>
            </w:tcBorders>
            <w:shd w:val="clear" w:color="auto" w:fill="FFFFFF"/>
            <w:tcMar>
              <w:top w:w="0" w:type="dxa"/>
              <w:left w:w="0" w:type="dxa"/>
              <w:bottom w:w="0" w:type="dxa"/>
              <w:right w:w="0" w:type="dxa"/>
            </w:tcMar>
            <w:vAlign w:val="center"/>
          </w:tcPr>
          <w:p w14:paraId="6E455EFF"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8" w:type="dxa"/>
            <w:tcBorders>
              <w:bottom w:val="single" w:sz="12" w:space="0" w:color="000000"/>
            </w:tcBorders>
            <w:shd w:val="clear" w:color="auto" w:fill="FFFFFF"/>
            <w:tcMar>
              <w:top w:w="0" w:type="dxa"/>
              <w:left w:w="0" w:type="dxa"/>
              <w:bottom w:w="0" w:type="dxa"/>
              <w:right w:w="0" w:type="dxa"/>
            </w:tcMar>
            <w:vAlign w:val="center"/>
          </w:tcPr>
          <w:p w14:paraId="765A57E4"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0.41</w:t>
            </w:r>
          </w:p>
        </w:tc>
        <w:tc>
          <w:tcPr>
            <w:tcW w:w="1067" w:type="dxa"/>
            <w:tcBorders>
              <w:bottom w:val="single" w:sz="12" w:space="0" w:color="000000"/>
            </w:tcBorders>
            <w:shd w:val="clear" w:color="auto" w:fill="FFFFFF"/>
            <w:tcMar>
              <w:top w:w="0" w:type="dxa"/>
              <w:left w:w="0" w:type="dxa"/>
              <w:bottom w:w="0" w:type="dxa"/>
              <w:right w:w="0" w:type="dxa"/>
            </w:tcMar>
            <w:vAlign w:val="center"/>
          </w:tcPr>
          <w:p w14:paraId="02EABE64"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0.000</w:t>
            </w:r>
          </w:p>
        </w:tc>
        <w:tc>
          <w:tcPr>
            <w:tcW w:w="1067" w:type="dxa"/>
            <w:tcBorders>
              <w:bottom w:val="single" w:sz="12" w:space="0" w:color="000000"/>
            </w:tcBorders>
            <w:shd w:val="clear" w:color="auto" w:fill="FFFFFF"/>
            <w:tcMar>
              <w:top w:w="0" w:type="dxa"/>
              <w:left w:w="0" w:type="dxa"/>
              <w:bottom w:w="0" w:type="dxa"/>
              <w:right w:w="0" w:type="dxa"/>
            </w:tcMar>
            <w:vAlign w:val="center"/>
          </w:tcPr>
          <w:p w14:paraId="0296BFD9"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7" w:type="dxa"/>
            <w:tcBorders>
              <w:bottom w:val="single" w:sz="12" w:space="0" w:color="000000"/>
            </w:tcBorders>
            <w:shd w:val="clear" w:color="auto" w:fill="FFFFFF"/>
            <w:tcMar>
              <w:top w:w="0" w:type="dxa"/>
              <w:left w:w="0" w:type="dxa"/>
              <w:bottom w:w="0" w:type="dxa"/>
              <w:right w:w="0" w:type="dxa"/>
            </w:tcMar>
            <w:vAlign w:val="center"/>
          </w:tcPr>
          <w:p w14:paraId="6C4AA02E"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0.001</w:t>
            </w:r>
          </w:p>
        </w:tc>
        <w:tc>
          <w:tcPr>
            <w:tcW w:w="1068" w:type="dxa"/>
            <w:tcBorders>
              <w:bottom w:val="single" w:sz="12" w:space="0" w:color="000000"/>
            </w:tcBorders>
            <w:shd w:val="clear" w:color="auto" w:fill="FFFFFF"/>
            <w:tcMar>
              <w:top w:w="0" w:type="dxa"/>
              <w:left w:w="0" w:type="dxa"/>
              <w:bottom w:w="0" w:type="dxa"/>
              <w:right w:w="0" w:type="dxa"/>
            </w:tcMar>
            <w:vAlign w:val="center"/>
          </w:tcPr>
          <w:p w14:paraId="05EFE5F8"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0.992</w:t>
            </w:r>
          </w:p>
        </w:tc>
        <w:tc>
          <w:tcPr>
            <w:tcW w:w="1067" w:type="dxa"/>
            <w:tcBorders>
              <w:bottom w:val="single" w:sz="12" w:space="0" w:color="000000"/>
            </w:tcBorders>
            <w:shd w:val="clear" w:color="auto" w:fill="FFFFFF"/>
            <w:tcMar>
              <w:top w:w="0" w:type="dxa"/>
              <w:left w:w="0" w:type="dxa"/>
              <w:bottom w:w="0" w:type="dxa"/>
              <w:right w:w="0" w:type="dxa"/>
            </w:tcMar>
            <w:vAlign w:val="center"/>
          </w:tcPr>
          <w:p w14:paraId="5F55FE3C"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-0.593</w:t>
            </w:r>
          </w:p>
        </w:tc>
        <w:tc>
          <w:tcPr>
            <w:tcW w:w="1069" w:type="dxa"/>
            <w:tcBorders>
              <w:bottom w:val="single" w:sz="12" w:space="0" w:color="000000"/>
            </w:tcBorders>
            <w:shd w:val="clear" w:color="auto" w:fill="FFFFFF"/>
            <w:tcMar>
              <w:top w:w="0" w:type="dxa"/>
              <w:left w:w="0" w:type="dxa"/>
              <w:bottom w:w="0" w:type="dxa"/>
              <w:right w:w="0" w:type="dxa"/>
            </w:tcMar>
            <w:vAlign w:val="center"/>
          </w:tcPr>
          <w:p w14:paraId="010724E8" w14:textId="77777777" w:rsidR="00A10028" w:rsidRPr="0001719F" w:rsidRDefault="00A10028" w:rsidP="00FB72D7">
            <w:pPr>
              <w:keepNext/>
              <w:spacing w:before="0" w:after="0" w:line="240" w:lineRule="auto"/>
              <w:ind w:left="100" w:right="100" w:firstLine="0"/>
              <w:jc w:val="right"/>
              <w:rPr>
                <w:sz w:val="20"/>
                <w:szCs w:val="20"/>
              </w:rPr>
            </w:pPr>
            <w:r w:rsidRPr="0001719F">
              <w:rPr>
                <w:rFonts w:eastAsia="Arial"/>
                <w:color w:val="000000"/>
                <w:sz w:val="20"/>
                <w:szCs w:val="20"/>
              </w:rPr>
              <w:t>0.276</w:t>
            </w:r>
          </w:p>
        </w:tc>
      </w:tr>
      <w:tr w:rsidR="00A10028" w14:paraId="61958C79" w14:textId="77777777" w:rsidTr="00FB72D7">
        <w:trPr>
          <w:cantSplit/>
          <w:trHeight w:val="254"/>
        </w:trPr>
        <w:tc>
          <w:tcPr>
            <w:tcW w:w="2575" w:type="dxa"/>
            <w:tcBorders>
              <w:top w:val="single" w:sz="12" w:space="0" w:color="000000"/>
            </w:tcBorders>
            <w:shd w:val="clear" w:color="auto" w:fill="F6F6F6"/>
            <w:tcMar>
              <w:top w:w="0" w:type="dxa"/>
              <w:left w:w="0" w:type="dxa"/>
              <w:bottom w:w="0" w:type="dxa"/>
              <w:right w:w="0" w:type="dxa"/>
            </w:tcMar>
            <w:vAlign w:val="center"/>
          </w:tcPr>
          <w:p w14:paraId="7997483F" w14:textId="77777777" w:rsidR="00A10028" w:rsidRPr="0001719F" w:rsidRDefault="00A10028" w:rsidP="00EE536E">
            <w:pPr>
              <w:keepNext/>
              <w:spacing w:before="0" w:after="0" w:line="240" w:lineRule="auto"/>
              <w:ind w:left="100" w:right="100" w:firstLine="0"/>
              <w:rPr>
                <w:sz w:val="20"/>
                <w:szCs w:val="20"/>
              </w:rPr>
            </w:pPr>
            <w:r w:rsidRPr="0001719F">
              <w:rPr>
                <w:rFonts w:eastAsia="Arial"/>
                <w:i/>
                <w:color w:val="000000"/>
                <w:sz w:val="20"/>
                <w:szCs w:val="20"/>
              </w:rPr>
              <w:t>τ</w:t>
            </w:r>
            <w:r w:rsidRPr="0001719F">
              <w:rPr>
                <w:rFonts w:eastAsia="Arial"/>
                <w:color w:val="000000"/>
                <w:sz w:val="20"/>
                <w:szCs w:val="20"/>
                <w:vertAlign w:val="subscript"/>
              </w:rPr>
              <w:t>00</w:t>
            </w:r>
          </w:p>
        </w:tc>
        <w:tc>
          <w:tcPr>
            <w:tcW w:w="1067" w:type="dxa"/>
            <w:tcBorders>
              <w:top w:val="single" w:sz="12" w:space="0" w:color="000000"/>
            </w:tcBorders>
            <w:shd w:val="clear" w:color="auto" w:fill="F6F6F6"/>
            <w:tcMar>
              <w:top w:w="0" w:type="dxa"/>
              <w:left w:w="0" w:type="dxa"/>
              <w:bottom w:w="0" w:type="dxa"/>
              <w:right w:w="0" w:type="dxa"/>
            </w:tcMar>
            <w:vAlign w:val="center"/>
          </w:tcPr>
          <w:p w14:paraId="3BBB96F4"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0.677</w:t>
            </w:r>
          </w:p>
        </w:tc>
        <w:tc>
          <w:tcPr>
            <w:tcW w:w="1067" w:type="dxa"/>
            <w:tcBorders>
              <w:top w:val="single" w:sz="12" w:space="0" w:color="000000"/>
            </w:tcBorders>
            <w:shd w:val="clear" w:color="auto" w:fill="F6F6F6"/>
            <w:tcMar>
              <w:top w:w="0" w:type="dxa"/>
              <w:left w:w="0" w:type="dxa"/>
              <w:bottom w:w="0" w:type="dxa"/>
              <w:right w:w="0" w:type="dxa"/>
            </w:tcMar>
            <w:vAlign w:val="center"/>
          </w:tcPr>
          <w:p w14:paraId="269AECD4"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tcBorders>
              <w:top w:val="single" w:sz="12" w:space="0" w:color="000000"/>
            </w:tcBorders>
            <w:shd w:val="clear" w:color="auto" w:fill="F6F6F6"/>
            <w:tcMar>
              <w:top w:w="0" w:type="dxa"/>
              <w:left w:w="0" w:type="dxa"/>
              <w:bottom w:w="0" w:type="dxa"/>
              <w:right w:w="0" w:type="dxa"/>
            </w:tcMar>
            <w:vAlign w:val="center"/>
          </w:tcPr>
          <w:p w14:paraId="207C40DB"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tcBorders>
              <w:top w:val="single" w:sz="12" w:space="0" w:color="000000"/>
            </w:tcBorders>
            <w:shd w:val="clear" w:color="auto" w:fill="F6F6F6"/>
            <w:tcMar>
              <w:top w:w="0" w:type="dxa"/>
              <w:left w:w="0" w:type="dxa"/>
              <w:bottom w:w="0" w:type="dxa"/>
              <w:right w:w="0" w:type="dxa"/>
            </w:tcMar>
            <w:vAlign w:val="center"/>
          </w:tcPr>
          <w:p w14:paraId="59D0E21B" w14:textId="77777777" w:rsidR="00A10028" w:rsidRPr="0001719F" w:rsidRDefault="00A10028" w:rsidP="00EE536E">
            <w:pPr>
              <w:keepNext/>
              <w:spacing w:before="0" w:after="0" w:line="240" w:lineRule="auto"/>
              <w:ind w:left="100" w:right="100" w:firstLine="0"/>
              <w:rPr>
                <w:sz w:val="20"/>
                <w:szCs w:val="20"/>
              </w:rPr>
            </w:pPr>
          </w:p>
        </w:tc>
        <w:tc>
          <w:tcPr>
            <w:tcW w:w="1067" w:type="dxa"/>
            <w:tcBorders>
              <w:top w:val="single" w:sz="12" w:space="0" w:color="000000"/>
            </w:tcBorders>
            <w:shd w:val="clear" w:color="auto" w:fill="F6F6F6"/>
            <w:tcMar>
              <w:top w:w="0" w:type="dxa"/>
              <w:left w:w="0" w:type="dxa"/>
              <w:bottom w:w="0" w:type="dxa"/>
              <w:right w:w="0" w:type="dxa"/>
            </w:tcMar>
            <w:vAlign w:val="center"/>
          </w:tcPr>
          <w:p w14:paraId="3D7F09C3"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0.687</w:t>
            </w:r>
          </w:p>
        </w:tc>
        <w:tc>
          <w:tcPr>
            <w:tcW w:w="1067" w:type="dxa"/>
            <w:tcBorders>
              <w:top w:val="single" w:sz="12" w:space="0" w:color="000000"/>
            </w:tcBorders>
            <w:shd w:val="clear" w:color="auto" w:fill="F6F6F6"/>
            <w:tcMar>
              <w:top w:w="0" w:type="dxa"/>
              <w:left w:w="0" w:type="dxa"/>
              <w:bottom w:w="0" w:type="dxa"/>
              <w:right w:w="0" w:type="dxa"/>
            </w:tcMar>
            <w:vAlign w:val="center"/>
          </w:tcPr>
          <w:p w14:paraId="4DA66384"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tcBorders>
              <w:top w:val="single" w:sz="12" w:space="0" w:color="000000"/>
            </w:tcBorders>
            <w:shd w:val="clear" w:color="auto" w:fill="F6F6F6"/>
            <w:tcMar>
              <w:top w:w="0" w:type="dxa"/>
              <w:left w:w="0" w:type="dxa"/>
              <w:bottom w:w="0" w:type="dxa"/>
              <w:right w:w="0" w:type="dxa"/>
            </w:tcMar>
            <w:vAlign w:val="center"/>
          </w:tcPr>
          <w:p w14:paraId="0344AB74"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tcBorders>
              <w:top w:val="single" w:sz="12" w:space="0" w:color="000000"/>
            </w:tcBorders>
            <w:shd w:val="clear" w:color="auto" w:fill="F6F6F6"/>
            <w:tcMar>
              <w:top w:w="0" w:type="dxa"/>
              <w:left w:w="0" w:type="dxa"/>
              <w:bottom w:w="0" w:type="dxa"/>
              <w:right w:w="0" w:type="dxa"/>
            </w:tcMar>
            <w:vAlign w:val="center"/>
          </w:tcPr>
          <w:p w14:paraId="7C723536" w14:textId="77777777" w:rsidR="00A10028" w:rsidRPr="0001719F" w:rsidRDefault="00A10028" w:rsidP="00EE536E">
            <w:pPr>
              <w:keepNext/>
              <w:spacing w:before="0" w:after="0" w:line="240" w:lineRule="auto"/>
              <w:ind w:left="100" w:right="100" w:firstLine="0"/>
              <w:rPr>
                <w:sz w:val="20"/>
                <w:szCs w:val="20"/>
              </w:rPr>
            </w:pPr>
          </w:p>
        </w:tc>
        <w:tc>
          <w:tcPr>
            <w:tcW w:w="1067" w:type="dxa"/>
            <w:tcBorders>
              <w:top w:val="single" w:sz="12" w:space="0" w:color="000000"/>
            </w:tcBorders>
            <w:shd w:val="clear" w:color="auto" w:fill="F6F6F6"/>
            <w:tcMar>
              <w:top w:w="0" w:type="dxa"/>
              <w:left w:w="0" w:type="dxa"/>
              <w:bottom w:w="0" w:type="dxa"/>
              <w:right w:w="0" w:type="dxa"/>
            </w:tcMar>
            <w:vAlign w:val="center"/>
          </w:tcPr>
          <w:p w14:paraId="4470620A" w14:textId="77777777" w:rsidR="00A10028" w:rsidRPr="0001719F" w:rsidRDefault="00A10028" w:rsidP="00EE536E">
            <w:pPr>
              <w:keepNext/>
              <w:spacing w:before="0" w:after="0" w:line="240" w:lineRule="auto"/>
              <w:ind w:left="100" w:right="100" w:firstLine="0"/>
              <w:jc w:val="right"/>
              <w:rPr>
                <w:sz w:val="20"/>
                <w:szCs w:val="20"/>
              </w:rPr>
            </w:pPr>
          </w:p>
        </w:tc>
        <w:tc>
          <w:tcPr>
            <w:tcW w:w="1069" w:type="dxa"/>
            <w:tcBorders>
              <w:top w:val="single" w:sz="12" w:space="0" w:color="000000"/>
            </w:tcBorders>
            <w:shd w:val="clear" w:color="auto" w:fill="F6F6F6"/>
            <w:tcMar>
              <w:top w:w="0" w:type="dxa"/>
              <w:left w:w="0" w:type="dxa"/>
              <w:bottom w:w="0" w:type="dxa"/>
              <w:right w:w="0" w:type="dxa"/>
            </w:tcMar>
            <w:vAlign w:val="center"/>
          </w:tcPr>
          <w:p w14:paraId="266DE922" w14:textId="77777777" w:rsidR="00A10028" w:rsidRPr="0001719F" w:rsidRDefault="00A10028" w:rsidP="00EE536E">
            <w:pPr>
              <w:keepNext/>
              <w:spacing w:before="0" w:after="0" w:line="240" w:lineRule="auto"/>
              <w:ind w:left="100" w:right="100" w:firstLine="0"/>
              <w:jc w:val="right"/>
              <w:rPr>
                <w:sz w:val="20"/>
                <w:szCs w:val="20"/>
              </w:rPr>
            </w:pPr>
          </w:p>
        </w:tc>
      </w:tr>
      <w:tr w:rsidR="00A10028" w14:paraId="596D4B8F" w14:textId="77777777" w:rsidTr="00FB72D7">
        <w:trPr>
          <w:cantSplit/>
          <w:trHeight w:val="254"/>
        </w:trPr>
        <w:tc>
          <w:tcPr>
            <w:tcW w:w="2575" w:type="dxa"/>
            <w:shd w:val="clear" w:color="auto" w:fill="FFFFFF"/>
            <w:tcMar>
              <w:top w:w="0" w:type="dxa"/>
              <w:left w:w="0" w:type="dxa"/>
              <w:bottom w:w="0" w:type="dxa"/>
              <w:right w:w="0" w:type="dxa"/>
            </w:tcMar>
            <w:vAlign w:val="center"/>
          </w:tcPr>
          <w:p w14:paraId="413AF6F7" w14:textId="77777777" w:rsidR="00A10028" w:rsidRPr="0001719F" w:rsidRDefault="00A10028" w:rsidP="00EE536E">
            <w:pPr>
              <w:keepNext/>
              <w:spacing w:before="0" w:after="0" w:line="240" w:lineRule="auto"/>
              <w:ind w:left="100" w:right="100" w:firstLine="0"/>
              <w:rPr>
                <w:sz w:val="20"/>
                <w:szCs w:val="20"/>
              </w:rPr>
            </w:pPr>
            <w:r w:rsidRPr="0001719F">
              <w:rPr>
                <w:rFonts w:eastAsia="Arial"/>
                <w:i/>
                <w:color w:val="000000"/>
                <w:sz w:val="20"/>
                <w:szCs w:val="20"/>
              </w:rPr>
              <w:t>τ</w:t>
            </w:r>
            <w:r w:rsidRPr="0001719F">
              <w:rPr>
                <w:rFonts w:eastAsia="Arial"/>
                <w:color w:val="000000"/>
                <w:sz w:val="20"/>
                <w:szCs w:val="20"/>
                <w:vertAlign w:val="subscript"/>
              </w:rPr>
              <w:t>11</w:t>
            </w:r>
          </w:p>
        </w:tc>
        <w:tc>
          <w:tcPr>
            <w:tcW w:w="1067" w:type="dxa"/>
            <w:shd w:val="clear" w:color="auto" w:fill="FFFFFF"/>
            <w:tcMar>
              <w:top w:w="0" w:type="dxa"/>
              <w:left w:w="0" w:type="dxa"/>
              <w:bottom w:w="0" w:type="dxa"/>
              <w:right w:w="0" w:type="dxa"/>
            </w:tcMar>
            <w:vAlign w:val="center"/>
          </w:tcPr>
          <w:p w14:paraId="0E2148FC"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0.056</w:t>
            </w:r>
          </w:p>
        </w:tc>
        <w:tc>
          <w:tcPr>
            <w:tcW w:w="1067" w:type="dxa"/>
            <w:shd w:val="clear" w:color="auto" w:fill="FFFFFF"/>
            <w:tcMar>
              <w:top w:w="0" w:type="dxa"/>
              <w:left w:w="0" w:type="dxa"/>
              <w:bottom w:w="0" w:type="dxa"/>
              <w:right w:w="0" w:type="dxa"/>
            </w:tcMar>
            <w:vAlign w:val="center"/>
          </w:tcPr>
          <w:p w14:paraId="2DF9AA90"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FFFFF"/>
            <w:tcMar>
              <w:top w:w="0" w:type="dxa"/>
              <w:left w:w="0" w:type="dxa"/>
              <w:bottom w:w="0" w:type="dxa"/>
              <w:right w:w="0" w:type="dxa"/>
            </w:tcMar>
            <w:vAlign w:val="center"/>
          </w:tcPr>
          <w:p w14:paraId="5E1126EF"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shd w:val="clear" w:color="auto" w:fill="FFFFFF"/>
            <w:tcMar>
              <w:top w:w="0" w:type="dxa"/>
              <w:left w:w="0" w:type="dxa"/>
              <w:bottom w:w="0" w:type="dxa"/>
              <w:right w:w="0" w:type="dxa"/>
            </w:tcMar>
            <w:vAlign w:val="center"/>
          </w:tcPr>
          <w:p w14:paraId="530F89BF" w14:textId="77777777" w:rsidR="00A10028" w:rsidRPr="0001719F" w:rsidRDefault="00A10028" w:rsidP="00EE536E">
            <w:pPr>
              <w:keepNext/>
              <w:spacing w:before="0" w:after="0" w:line="240" w:lineRule="auto"/>
              <w:ind w:left="100" w:right="100" w:firstLine="0"/>
              <w:rPr>
                <w:sz w:val="20"/>
                <w:szCs w:val="20"/>
              </w:rPr>
            </w:pPr>
          </w:p>
        </w:tc>
        <w:tc>
          <w:tcPr>
            <w:tcW w:w="1067" w:type="dxa"/>
            <w:shd w:val="clear" w:color="auto" w:fill="FFFFFF"/>
            <w:tcMar>
              <w:top w:w="0" w:type="dxa"/>
              <w:left w:w="0" w:type="dxa"/>
              <w:bottom w:w="0" w:type="dxa"/>
              <w:right w:w="0" w:type="dxa"/>
            </w:tcMar>
            <w:vAlign w:val="center"/>
          </w:tcPr>
          <w:p w14:paraId="162445F2"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0.055</w:t>
            </w:r>
          </w:p>
        </w:tc>
        <w:tc>
          <w:tcPr>
            <w:tcW w:w="1067" w:type="dxa"/>
            <w:shd w:val="clear" w:color="auto" w:fill="FFFFFF"/>
            <w:tcMar>
              <w:top w:w="0" w:type="dxa"/>
              <w:left w:w="0" w:type="dxa"/>
              <w:bottom w:w="0" w:type="dxa"/>
              <w:right w:w="0" w:type="dxa"/>
            </w:tcMar>
            <w:vAlign w:val="center"/>
          </w:tcPr>
          <w:p w14:paraId="089C1B6D"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FFFFF"/>
            <w:tcMar>
              <w:top w:w="0" w:type="dxa"/>
              <w:left w:w="0" w:type="dxa"/>
              <w:bottom w:w="0" w:type="dxa"/>
              <w:right w:w="0" w:type="dxa"/>
            </w:tcMar>
            <w:vAlign w:val="center"/>
          </w:tcPr>
          <w:p w14:paraId="67D4D526"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shd w:val="clear" w:color="auto" w:fill="FFFFFF"/>
            <w:tcMar>
              <w:top w:w="0" w:type="dxa"/>
              <w:left w:w="0" w:type="dxa"/>
              <w:bottom w:w="0" w:type="dxa"/>
              <w:right w:w="0" w:type="dxa"/>
            </w:tcMar>
            <w:vAlign w:val="center"/>
          </w:tcPr>
          <w:p w14:paraId="6B02079E" w14:textId="77777777" w:rsidR="00A10028" w:rsidRPr="0001719F" w:rsidRDefault="00A10028" w:rsidP="00EE536E">
            <w:pPr>
              <w:keepNext/>
              <w:spacing w:before="0" w:after="0" w:line="240" w:lineRule="auto"/>
              <w:ind w:left="100" w:right="100" w:firstLine="0"/>
              <w:rPr>
                <w:sz w:val="20"/>
                <w:szCs w:val="20"/>
              </w:rPr>
            </w:pPr>
          </w:p>
        </w:tc>
        <w:tc>
          <w:tcPr>
            <w:tcW w:w="1067" w:type="dxa"/>
            <w:shd w:val="clear" w:color="auto" w:fill="FFFFFF"/>
            <w:tcMar>
              <w:top w:w="0" w:type="dxa"/>
              <w:left w:w="0" w:type="dxa"/>
              <w:bottom w:w="0" w:type="dxa"/>
              <w:right w:w="0" w:type="dxa"/>
            </w:tcMar>
            <w:vAlign w:val="center"/>
          </w:tcPr>
          <w:p w14:paraId="47EB190E" w14:textId="77777777" w:rsidR="00A10028" w:rsidRPr="0001719F" w:rsidRDefault="00A10028" w:rsidP="00EE536E">
            <w:pPr>
              <w:keepNext/>
              <w:spacing w:before="0" w:after="0" w:line="240" w:lineRule="auto"/>
              <w:ind w:left="100" w:right="100" w:firstLine="0"/>
              <w:jc w:val="right"/>
              <w:rPr>
                <w:sz w:val="20"/>
                <w:szCs w:val="20"/>
              </w:rPr>
            </w:pPr>
          </w:p>
        </w:tc>
        <w:tc>
          <w:tcPr>
            <w:tcW w:w="1069" w:type="dxa"/>
            <w:shd w:val="clear" w:color="auto" w:fill="FFFFFF"/>
            <w:tcMar>
              <w:top w:w="0" w:type="dxa"/>
              <w:left w:w="0" w:type="dxa"/>
              <w:bottom w:w="0" w:type="dxa"/>
              <w:right w:w="0" w:type="dxa"/>
            </w:tcMar>
            <w:vAlign w:val="center"/>
          </w:tcPr>
          <w:p w14:paraId="212D1437" w14:textId="77777777" w:rsidR="00A10028" w:rsidRPr="0001719F" w:rsidRDefault="00A10028" w:rsidP="00EE536E">
            <w:pPr>
              <w:keepNext/>
              <w:spacing w:before="0" w:after="0" w:line="240" w:lineRule="auto"/>
              <w:ind w:left="100" w:right="100" w:firstLine="0"/>
              <w:jc w:val="right"/>
              <w:rPr>
                <w:sz w:val="20"/>
                <w:szCs w:val="20"/>
              </w:rPr>
            </w:pPr>
          </w:p>
        </w:tc>
      </w:tr>
      <w:tr w:rsidR="00A10028" w14:paraId="563D6CA0" w14:textId="77777777" w:rsidTr="00FB72D7">
        <w:trPr>
          <w:cantSplit/>
          <w:trHeight w:val="254"/>
        </w:trPr>
        <w:tc>
          <w:tcPr>
            <w:tcW w:w="2575" w:type="dxa"/>
            <w:shd w:val="clear" w:color="auto" w:fill="F6F6F6"/>
            <w:tcMar>
              <w:top w:w="0" w:type="dxa"/>
              <w:left w:w="0" w:type="dxa"/>
              <w:bottom w:w="0" w:type="dxa"/>
              <w:right w:w="0" w:type="dxa"/>
            </w:tcMar>
            <w:vAlign w:val="center"/>
          </w:tcPr>
          <w:p w14:paraId="50F89506" w14:textId="77777777" w:rsidR="00A10028" w:rsidRPr="0001719F" w:rsidRDefault="00A10028" w:rsidP="00EE536E">
            <w:pPr>
              <w:keepNext/>
              <w:spacing w:before="0" w:after="0" w:line="240" w:lineRule="auto"/>
              <w:ind w:left="100" w:right="100" w:firstLine="0"/>
              <w:rPr>
                <w:sz w:val="20"/>
                <w:szCs w:val="20"/>
              </w:rPr>
            </w:pPr>
            <w:r w:rsidRPr="0001719F">
              <w:rPr>
                <w:rFonts w:eastAsia="Arial"/>
                <w:i/>
                <w:color w:val="000000"/>
                <w:sz w:val="20"/>
                <w:szCs w:val="20"/>
              </w:rPr>
              <w:t>σ</w:t>
            </w:r>
          </w:p>
        </w:tc>
        <w:tc>
          <w:tcPr>
            <w:tcW w:w="1067" w:type="dxa"/>
            <w:shd w:val="clear" w:color="auto" w:fill="F6F6F6"/>
            <w:tcMar>
              <w:top w:w="0" w:type="dxa"/>
              <w:left w:w="0" w:type="dxa"/>
              <w:bottom w:w="0" w:type="dxa"/>
              <w:right w:w="0" w:type="dxa"/>
            </w:tcMar>
            <w:vAlign w:val="center"/>
          </w:tcPr>
          <w:p w14:paraId="6B79EC7B"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0.069</w:t>
            </w:r>
          </w:p>
        </w:tc>
        <w:tc>
          <w:tcPr>
            <w:tcW w:w="1067" w:type="dxa"/>
            <w:shd w:val="clear" w:color="auto" w:fill="F6F6F6"/>
            <w:tcMar>
              <w:top w:w="0" w:type="dxa"/>
              <w:left w:w="0" w:type="dxa"/>
              <w:bottom w:w="0" w:type="dxa"/>
              <w:right w:w="0" w:type="dxa"/>
            </w:tcMar>
            <w:vAlign w:val="center"/>
          </w:tcPr>
          <w:p w14:paraId="3F721AB4"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6F6F6"/>
            <w:tcMar>
              <w:top w:w="0" w:type="dxa"/>
              <w:left w:w="0" w:type="dxa"/>
              <w:bottom w:w="0" w:type="dxa"/>
              <w:right w:w="0" w:type="dxa"/>
            </w:tcMar>
            <w:vAlign w:val="center"/>
          </w:tcPr>
          <w:p w14:paraId="17773426"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shd w:val="clear" w:color="auto" w:fill="F6F6F6"/>
            <w:tcMar>
              <w:top w:w="0" w:type="dxa"/>
              <w:left w:w="0" w:type="dxa"/>
              <w:bottom w:w="0" w:type="dxa"/>
              <w:right w:w="0" w:type="dxa"/>
            </w:tcMar>
            <w:vAlign w:val="center"/>
          </w:tcPr>
          <w:p w14:paraId="53185797" w14:textId="77777777" w:rsidR="00A10028" w:rsidRPr="0001719F" w:rsidRDefault="00A10028" w:rsidP="00EE536E">
            <w:pPr>
              <w:keepNext/>
              <w:spacing w:before="0" w:after="0" w:line="240" w:lineRule="auto"/>
              <w:ind w:left="100" w:right="100" w:firstLine="0"/>
              <w:rPr>
                <w:sz w:val="20"/>
                <w:szCs w:val="20"/>
              </w:rPr>
            </w:pPr>
          </w:p>
        </w:tc>
        <w:tc>
          <w:tcPr>
            <w:tcW w:w="1067" w:type="dxa"/>
            <w:shd w:val="clear" w:color="auto" w:fill="F6F6F6"/>
            <w:tcMar>
              <w:top w:w="0" w:type="dxa"/>
              <w:left w:w="0" w:type="dxa"/>
              <w:bottom w:w="0" w:type="dxa"/>
              <w:right w:w="0" w:type="dxa"/>
            </w:tcMar>
            <w:vAlign w:val="center"/>
          </w:tcPr>
          <w:p w14:paraId="67E52820"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0.070</w:t>
            </w:r>
          </w:p>
        </w:tc>
        <w:tc>
          <w:tcPr>
            <w:tcW w:w="1067" w:type="dxa"/>
            <w:shd w:val="clear" w:color="auto" w:fill="F6F6F6"/>
            <w:tcMar>
              <w:top w:w="0" w:type="dxa"/>
              <w:left w:w="0" w:type="dxa"/>
              <w:bottom w:w="0" w:type="dxa"/>
              <w:right w:w="0" w:type="dxa"/>
            </w:tcMar>
            <w:vAlign w:val="center"/>
          </w:tcPr>
          <w:p w14:paraId="5D413F85"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6F6F6"/>
            <w:tcMar>
              <w:top w:w="0" w:type="dxa"/>
              <w:left w:w="0" w:type="dxa"/>
              <w:bottom w:w="0" w:type="dxa"/>
              <w:right w:w="0" w:type="dxa"/>
            </w:tcMar>
            <w:vAlign w:val="center"/>
          </w:tcPr>
          <w:p w14:paraId="2B2EC0BD"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shd w:val="clear" w:color="auto" w:fill="F6F6F6"/>
            <w:tcMar>
              <w:top w:w="0" w:type="dxa"/>
              <w:left w:w="0" w:type="dxa"/>
              <w:bottom w:w="0" w:type="dxa"/>
              <w:right w:w="0" w:type="dxa"/>
            </w:tcMar>
            <w:vAlign w:val="center"/>
          </w:tcPr>
          <w:p w14:paraId="3BA4C9F5" w14:textId="77777777" w:rsidR="00A10028" w:rsidRPr="0001719F" w:rsidRDefault="00A10028" w:rsidP="00EE536E">
            <w:pPr>
              <w:keepNext/>
              <w:spacing w:before="0" w:after="0" w:line="240" w:lineRule="auto"/>
              <w:ind w:left="100" w:right="100" w:firstLine="0"/>
              <w:rPr>
                <w:sz w:val="20"/>
                <w:szCs w:val="20"/>
              </w:rPr>
            </w:pPr>
          </w:p>
        </w:tc>
        <w:tc>
          <w:tcPr>
            <w:tcW w:w="1067" w:type="dxa"/>
            <w:shd w:val="clear" w:color="auto" w:fill="F6F6F6"/>
            <w:tcMar>
              <w:top w:w="0" w:type="dxa"/>
              <w:left w:w="0" w:type="dxa"/>
              <w:bottom w:w="0" w:type="dxa"/>
              <w:right w:w="0" w:type="dxa"/>
            </w:tcMar>
            <w:vAlign w:val="center"/>
          </w:tcPr>
          <w:p w14:paraId="3BE497CB" w14:textId="77777777" w:rsidR="00A10028" w:rsidRPr="0001719F" w:rsidRDefault="00A10028" w:rsidP="00EE536E">
            <w:pPr>
              <w:keepNext/>
              <w:spacing w:before="0" w:after="0" w:line="240" w:lineRule="auto"/>
              <w:ind w:left="100" w:right="100" w:firstLine="0"/>
              <w:jc w:val="right"/>
              <w:rPr>
                <w:sz w:val="20"/>
                <w:szCs w:val="20"/>
              </w:rPr>
            </w:pPr>
          </w:p>
        </w:tc>
        <w:tc>
          <w:tcPr>
            <w:tcW w:w="1069" w:type="dxa"/>
            <w:shd w:val="clear" w:color="auto" w:fill="F6F6F6"/>
            <w:tcMar>
              <w:top w:w="0" w:type="dxa"/>
              <w:left w:w="0" w:type="dxa"/>
              <w:bottom w:w="0" w:type="dxa"/>
              <w:right w:w="0" w:type="dxa"/>
            </w:tcMar>
            <w:vAlign w:val="center"/>
          </w:tcPr>
          <w:p w14:paraId="4BA00DC7" w14:textId="77777777" w:rsidR="00A10028" w:rsidRPr="0001719F" w:rsidRDefault="00A10028" w:rsidP="00EE536E">
            <w:pPr>
              <w:keepNext/>
              <w:spacing w:before="0" w:after="0" w:line="240" w:lineRule="auto"/>
              <w:ind w:left="100" w:right="100" w:firstLine="0"/>
              <w:jc w:val="right"/>
              <w:rPr>
                <w:sz w:val="20"/>
                <w:szCs w:val="20"/>
              </w:rPr>
            </w:pPr>
          </w:p>
        </w:tc>
      </w:tr>
      <w:tr w:rsidR="00A10028" w14:paraId="2444D8C5" w14:textId="77777777" w:rsidTr="00FB72D7">
        <w:trPr>
          <w:cantSplit/>
          <w:trHeight w:val="254"/>
        </w:trPr>
        <w:tc>
          <w:tcPr>
            <w:tcW w:w="2575" w:type="dxa"/>
            <w:shd w:val="clear" w:color="auto" w:fill="FFFFFF"/>
            <w:tcMar>
              <w:top w:w="0" w:type="dxa"/>
              <w:left w:w="0" w:type="dxa"/>
              <w:bottom w:w="0" w:type="dxa"/>
              <w:right w:w="0" w:type="dxa"/>
            </w:tcMar>
            <w:vAlign w:val="center"/>
          </w:tcPr>
          <w:p w14:paraId="0D7D0E18" w14:textId="77777777" w:rsidR="00A10028" w:rsidRPr="0001719F" w:rsidRDefault="00A10028" w:rsidP="00EE536E">
            <w:pPr>
              <w:keepNext/>
              <w:spacing w:before="0" w:after="0" w:line="240" w:lineRule="auto"/>
              <w:ind w:left="100" w:right="100" w:firstLine="0"/>
              <w:rPr>
                <w:sz w:val="20"/>
                <w:szCs w:val="20"/>
              </w:rPr>
            </w:pPr>
            <w:r w:rsidRPr="0001719F">
              <w:rPr>
                <w:rFonts w:eastAsia="Arial"/>
                <w:i/>
                <w:color w:val="000000"/>
                <w:sz w:val="20"/>
                <w:szCs w:val="20"/>
              </w:rPr>
              <w:t>ρ</w:t>
            </w:r>
            <w:r w:rsidRPr="0001719F">
              <w:rPr>
                <w:rFonts w:eastAsia="Arial"/>
                <w:color w:val="000000"/>
                <w:sz w:val="20"/>
                <w:szCs w:val="20"/>
                <w:vertAlign w:val="subscript"/>
              </w:rPr>
              <w:t>01</w:t>
            </w:r>
            <w:r w:rsidRPr="0001719F">
              <w:rPr>
                <w:rFonts w:eastAsia="Arial"/>
                <w:color w:val="000000"/>
                <w:sz w:val="20"/>
                <w:szCs w:val="20"/>
                <w:vertAlign w:val="superscript"/>
              </w:rPr>
              <w:t>a</w:t>
            </w:r>
          </w:p>
        </w:tc>
        <w:tc>
          <w:tcPr>
            <w:tcW w:w="1067" w:type="dxa"/>
            <w:shd w:val="clear" w:color="auto" w:fill="FFFFFF"/>
            <w:tcMar>
              <w:top w:w="0" w:type="dxa"/>
              <w:left w:w="0" w:type="dxa"/>
              <w:bottom w:w="0" w:type="dxa"/>
              <w:right w:w="0" w:type="dxa"/>
            </w:tcMar>
            <w:vAlign w:val="center"/>
          </w:tcPr>
          <w:p w14:paraId="11926BA3"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-0.499</w:t>
            </w:r>
          </w:p>
        </w:tc>
        <w:tc>
          <w:tcPr>
            <w:tcW w:w="1067" w:type="dxa"/>
            <w:shd w:val="clear" w:color="auto" w:fill="FFFFFF"/>
            <w:tcMar>
              <w:top w:w="0" w:type="dxa"/>
              <w:left w:w="0" w:type="dxa"/>
              <w:bottom w:w="0" w:type="dxa"/>
              <w:right w:w="0" w:type="dxa"/>
            </w:tcMar>
            <w:vAlign w:val="center"/>
          </w:tcPr>
          <w:p w14:paraId="3938198B"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FFFFF"/>
            <w:tcMar>
              <w:top w:w="0" w:type="dxa"/>
              <w:left w:w="0" w:type="dxa"/>
              <w:bottom w:w="0" w:type="dxa"/>
              <w:right w:w="0" w:type="dxa"/>
            </w:tcMar>
            <w:vAlign w:val="center"/>
          </w:tcPr>
          <w:p w14:paraId="3838AE5B"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shd w:val="clear" w:color="auto" w:fill="FFFFFF"/>
            <w:tcMar>
              <w:top w:w="0" w:type="dxa"/>
              <w:left w:w="0" w:type="dxa"/>
              <w:bottom w:w="0" w:type="dxa"/>
              <w:right w:w="0" w:type="dxa"/>
            </w:tcMar>
            <w:vAlign w:val="center"/>
          </w:tcPr>
          <w:p w14:paraId="7185B01F" w14:textId="77777777" w:rsidR="00A10028" w:rsidRPr="0001719F" w:rsidRDefault="00A10028" w:rsidP="00EE536E">
            <w:pPr>
              <w:keepNext/>
              <w:spacing w:before="0" w:after="0" w:line="240" w:lineRule="auto"/>
              <w:ind w:left="100" w:right="100" w:firstLine="0"/>
              <w:rPr>
                <w:sz w:val="20"/>
                <w:szCs w:val="20"/>
              </w:rPr>
            </w:pPr>
          </w:p>
        </w:tc>
        <w:tc>
          <w:tcPr>
            <w:tcW w:w="1067" w:type="dxa"/>
            <w:shd w:val="clear" w:color="auto" w:fill="FFFFFF"/>
            <w:tcMar>
              <w:top w:w="0" w:type="dxa"/>
              <w:left w:w="0" w:type="dxa"/>
              <w:bottom w:w="0" w:type="dxa"/>
              <w:right w:w="0" w:type="dxa"/>
            </w:tcMar>
            <w:vAlign w:val="center"/>
          </w:tcPr>
          <w:p w14:paraId="30C29803"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-0.512</w:t>
            </w:r>
          </w:p>
        </w:tc>
        <w:tc>
          <w:tcPr>
            <w:tcW w:w="1067" w:type="dxa"/>
            <w:shd w:val="clear" w:color="auto" w:fill="FFFFFF"/>
            <w:tcMar>
              <w:top w:w="0" w:type="dxa"/>
              <w:left w:w="0" w:type="dxa"/>
              <w:bottom w:w="0" w:type="dxa"/>
              <w:right w:w="0" w:type="dxa"/>
            </w:tcMar>
            <w:vAlign w:val="center"/>
          </w:tcPr>
          <w:p w14:paraId="344E8395"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FFFFF"/>
            <w:tcMar>
              <w:top w:w="0" w:type="dxa"/>
              <w:left w:w="0" w:type="dxa"/>
              <w:bottom w:w="0" w:type="dxa"/>
              <w:right w:w="0" w:type="dxa"/>
            </w:tcMar>
            <w:vAlign w:val="center"/>
          </w:tcPr>
          <w:p w14:paraId="431AB276"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shd w:val="clear" w:color="auto" w:fill="FFFFFF"/>
            <w:tcMar>
              <w:top w:w="0" w:type="dxa"/>
              <w:left w:w="0" w:type="dxa"/>
              <w:bottom w:w="0" w:type="dxa"/>
              <w:right w:w="0" w:type="dxa"/>
            </w:tcMar>
            <w:vAlign w:val="center"/>
          </w:tcPr>
          <w:p w14:paraId="723D2FB5" w14:textId="77777777" w:rsidR="00A10028" w:rsidRPr="0001719F" w:rsidRDefault="00A10028" w:rsidP="00EE536E">
            <w:pPr>
              <w:keepNext/>
              <w:spacing w:before="0" w:after="0" w:line="240" w:lineRule="auto"/>
              <w:ind w:left="100" w:right="100" w:firstLine="0"/>
              <w:rPr>
                <w:sz w:val="20"/>
                <w:szCs w:val="20"/>
              </w:rPr>
            </w:pPr>
          </w:p>
        </w:tc>
        <w:tc>
          <w:tcPr>
            <w:tcW w:w="1067" w:type="dxa"/>
            <w:shd w:val="clear" w:color="auto" w:fill="FFFFFF"/>
            <w:tcMar>
              <w:top w:w="0" w:type="dxa"/>
              <w:left w:w="0" w:type="dxa"/>
              <w:bottom w:w="0" w:type="dxa"/>
              <w:right w:w="0" w:type="dxa"/>
            </w:tcMar>
            <w:vAlign w:val="center"/>
          </w:tcPr>
          <w:p w14:paraId="305C209A" w14:textId="77777777" w:rsidR="00A10028" w:rsidRPr="0001719F" w:rsidRDefault="00A10028" w:rsidP="00EE536E">
            <w:pPr>
              <w:keepNext/>
              <w:spacing w:before="0" w:after="0" w:line="240" w:lineRule="auto"/>
              <w:ind w:left="100" w:right="100" w:firstLine="0"/>
              <w:jc w:val="right"/>
              <w:rPr>
                <w:sz w:val="20"/>
                <w:szCs w:val="20"/>
              </w:rPr>
            </w:pPr>
          </w:p>
        </w:tc>
        <w:tc>
          <w:tcPr>
            <w:tcW w:w="1069" w:type="dxa"/>
            <w:shd w:val="clear" w:color="auto" w:fill="FFFFFF"/>
            <w:tcMar>
              <w:top w:w="0" w:type="dxa"/>
              <w:left w:w="0" w:type="dxa"/>
              <w:bottom w:w="0" w:type="dxa"/>
              <w:right w:w="0" w:type="dxa"/>
            </w:tcMar>
            <w:vAlign w:val="center"/>
          </w:tcPr>
          <w:p w14:paraId="595B7282" w14:textId="77777777" w:rsidR="00A10028" w:rsidRPr="0001719F" w:rsidRDefault="00A10028" w:rsidP="00EE536E">
            <w:pPr>
              <w:keepNext/>
              <w:spacing w:before="0" w:after="0" w:line="240" w:lineRule="auto"/>
              <w:ind w:left="100" w:right="100" w:firstLine="0"/>
              <w:jc w:val="right"/>
              <w:rPr>
                <w:sz w:val="20"/>
                <w:szCs w:val="20"/>
              </w:rPr>
            </w:pPr>
          </w:p>
        </w:tc>
      </w:tr>
      <w:tr w:rsidR="00A10028" w14:paraId="4C363215" w14:textId="77777777" w:rsidTr="00FB72D7">
        <w:trPr>
          <w:cantSplit/>
          <w:trHeight w:val="238"/>
        </w:trPr>
        <w:tc>
          <w:tcPr>
            <w:tcW w:w="2575" w:type="dxa"/>
            <w:shd w:val="clear" w:color="auto" w:fill="F6F6F6"/>
            <w:tcMar>
              <w:top w:w="0" w:type="dxa"/>
              <w:left w:w="0" w:type="dxa"/>
              <w:bottom w:w="0" w:type="dxa"/>
              <w:right w:w="0" w:type="dxa"/>
            </w:tcMar>
            <w:vAlign w:val="center"/>
          </w:tcPr>
          <w:p w14:paraId="003CB47E"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ICC</w:t>
            </w:r>
          </w:p>
        </w:tc>
        <w:tc>
          <w:tcPr>
            <w:tcW w:w="1067" w:type="dxa"/>
            <w:shd w:val="clear" w:color="auto" w:fill="F6F6F6"/>
            <w:tcMar>
              <w:top w:w="0" w:type="dxa"/>
              <w:left w:w="0" w:type="dxa"/>
              <w:bottom w:w="0" w:type="dxa"/>
              <w:right w:w="0" w:type="dxa"/>
            </w:tcMar>
            <w:vAlign w:val="center"/>
          </w:tcPr>
          <w:p w14:paraId="33E4FEB8"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0.995</w:t>
            </w:r>
          </w:p>
        </w:tc>
        <w:tc>
          <w:tcPr>
            <w:tcW w:w="1067" w:type="dxa"/>
            <w:shd w:val="clear" w:color="auto" w:fill="F6F6F6"/>
            <w:tcMar>
              <w:top w:w="0" w:type="dxa"/>
              <w:left w:w="0" w:type="dxa"/>
              <w:bottom w:w="0" w:type="dxa"/>
              <w:right w:w="0" w:type="dxa"/>
            </w:tcMar>
            <w:vAlign w:val="center"/>
          </w:tcPr>
          <w:p w14:paraId="730CB47B"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6F6F6"/>
            <w:tcMar>
              <w:top w:w="0" w:type="dxa"/>
              <w:left w:w="0" w:type="dxa"/>
              <w:bottom w:w="0" w:type="dxa"/>
              <w:right w:w="0" w:type="dxa"/>
            </w:tcMar>
            <w:vAlign w:val="center"/>
          </w:tcPr>
          <w:p w14:paraId="4974C087"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shd w:val="clear" w:color="auto" w:fill="F6F6F6"/>
            <w:tcMar>
              <w:top w:w="0" w:type="dxa"/>
              <w:left w:w="0" w:type="dxa"/>
              <w:bottom w:w="0" w:type="dxa"/>
              <w:right w:w="0" w:type="dxa"/>
            </w:tcMar>
            <w:vAlign w:val="center"/>
          </w:tcPr>
          <w:p w14:paraId="1F0ADFF9" w14:textId="77777777" w:rsidR="00A10028" w:rsidRPr="0001719F" w:rsidRDefault="00A10028" w:rsidP="00EE536E">
            <w:pPr>
              <w:keepNext/>
              <w:spacing w:before="0" w:after="0" w:line="240" w:lineRule="auto"/>
              <w:ind w:left="100" w:right="100" w:firstLine="0"/>
              <w:rPr>
                <w:sz w:val="20"/>
                <w:szCs w:val="20"/>
              </w:rPr>
            </w:pPr>
          </w:p>
        </w:tc>
        <w:tc>
          <w:tcPr>
            <w:tcW w:w="1067" w:type="dxa"/>
            <w:shd w:val="clear" w:color="auto" w:fill="F6F6F6"/>
            <w:tcMar>
              <w:top w:w="0" w:type="dxa"/>
              <w:left w:w="0" w:type="dxa"/>
              <w:bottom w:w="0" w:type="dxa"/>
              <w:right w:w="0" w:type="dxa"/>
            </w:tcMar>
            <w:vAlign w:val="center"/>
          </w:tcPr>
          <w:p w14:paraId="7F3F20A1"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0.995</w:t>
            </w:r>
          </w:p>
        </w:tc>
        <w:tc>
          <w:tcPr>
            <w:tcW w:w="1067" w:type="dxa"/>
            <w:shd w:val="clear" w:color="auto" w:fill="F6F6F6"/>
            <w:tcMar>
              <w:top w:w="0" w:type="dxa"/>
              <w:left w:w="0" w:type="dxa"/>
              <w:bottom w:w="0" w:type="dxa"/>
              <w:right w:w="0" w:type="dxa"/>
            </w:tcMar>
            <w:vAlign w:val="center"/>
          </w:tcPr>
          <w:p w14:paraId="33D3C423"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6F6F6"/>
            <w:tcMar>
              <w:top w:w="0" w:type="dxa"/>
              <w:left w:w="0" w:type="dxa"/>
              <w:bottom w:w="0" w:type="dxa"/>
              <w:right w:w="0" w:type="dxa"/>
            </w:tcMar>
            <w:vAlign w:val="center"/>
          </w:tcPr>
          <w:p w14:paraId="5E185219"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shd w:val="clear" w:color="auto" w:fill="F6F6F6"/>
            <w:tcMar>
              <w:top w:w="0" w:type="dxa"/>
              <w:left w:w="0" w:type="dxa"/>
              <w:bottom w:w="0" w:type="dxa"/>
              <w:right w:w="0" w:type="dxa"/>
            </w:tcMar>
            <w:vAlign w:val="center"/>
          </w:tcPr>
          <w:p w14:paraId="66126BB0" w14:textId="77777777" w:rsidR="00A10028" w:rsidRPr="0001719F" w:rsidRDefault="00A10028" w:rsidP="00EE536E">
            <w:pPr>
              <w:keepNext/>
              <w:spacing w:before="0" w:after="0" w:line="240" w:lineRule="auto"/>
              <w:ind w:left="100" w:right="100" w:firstLine="0"/>
              <w:rPr>
                <w:sz w:val="20"/>
                <w:szCs w:val="20"/>
              </w:rPr>
            </w:pPr>
          </w:p>
        </w:tc>
        <w:tc>
          <w:tcPr>
            <w:tcW w:w="1067" w:type="dxa"/>
            <w:shd w:val="clear" w:color="auto" w:fill="F6F6F6"/>
            <w:tcMar>
              <w:top w:w="0" w:type="dxa"/>
              <w:left w:w="0" w:type="dxa"/>
              <w:bottom w:w="0" w:type="dxa"/>
              <w:right w:w="0" w:type="dxa"/>
            </w:tcMar>
            <w:vAlign w:val="center"/>
          </w:tcPr>
          <w:p w14:paraId="6BBA1A46" w14:textId="77777777" w:rsidR="00A10028" w:rsidRPr="0001719F" w:rsidRDefault="00A10028" w:rsidP="00EE536E">
            <w:pPr>
              <w:keepNext/>
              <w:spacing w:before="0" w:after="0" w:line="240" w:lineRule="auto"/>
              <w:ind w:left="100" w:right="100" w:firstLine="0"/>
              <w:jc w:val="right"/>
              <w:rPr>
                <w:sz w:val="20"/>
                <w:szCs w:val="20"/>
              </w:rPr>
            </w:pPr>
          </w:p>
        </w:tc>
        <w:tc>
          <w:tcPr>
            <w:tcW w:w="1069" w:type="dxa"/>
            <w:shd w:val="clear" w:color="auto" w:fill="F6F6F6"/>
            <w:tcMar>
              <w:top w:w="0" w:type="dxa"/>
              <w:left w:w="0" w:type="dxa"/>
              <w:bottom w:w="0" w:type="dxa"/>
              <w:right w:w="0" w:type="dxa"/>
            </w:tcMar>
            <w:vAlign w:val="center"/>
          </w:tcPr>
          <w:p w14:paraId="5D8ED960" w14:textId="77777777" w:rsidR="00A10028" w:rsidRPr="0001719F" w:rsidRDefault="00A10028" w:rsidP="00EE536E">
            <w:pPr>
              <w:keepNext/>
              <w:spacing w:before="0" w:after="0" w:line="240" w:lineRule="auto"/>
              <w:ind w:left="100" w:right="100" w:firstLine="0"/>
              <w:jc w:val="right"/>
              <w:rPr>
                <w:sz w:val="20"/>
                <w:szCs w:val="20"/>
              </w:rPr>
            </w:pPr>
          </w:p>
        </w:tc>
      </w:tr>
      <w:tr w:rsidR="00A10028" w14:paraId="232A9642" w14:textId="77777777" w:rsidTr="00FB72D7">
        <w:trPr>
          <w:cantSplit/>
          <w:trHeight w:val="254"/>
        </w:trPr>
        <w:tc>
          <w:tcPr>
            <w:tcW w:w="2575" w:type="dxa"/>
            <w:shd w:val="clear" w:color="auto" w:fill="FFFFFF"/>
            <w:tcMar>
              <w:top w:w="0" w:type="dxa"/>
              <w:left w:w="0" w:type="dxa"/>
              <w:bottom w:w="0" w:type="dxa"/>
              <w:right w:w="0" w:type="dxa"/>
            </w:tcMar>
            <w:vAlign w:val="center"/>
          </w:tcPr>
          <w:p w14:paraId="562C3348" w14:textId="77777777" w:rsidR="00A10028" w:rsidRPr="0001719F" w:rsidRDefault="00A10028" w:rsidP="00EE536E">
            <w:pPr>
              <w:keepNext/>
              <w:spacing w:before="0" w:after="0" w:line="240" w:lineRule="auto"/>
              <w:ind w:left="100" w:right="100" w:firstLine="0"/>
              <w:rPr>
                <w:sz w:val="20"/>
                <w:szCs w:val="20"/>
              </w:rPr>
            </w:pPr>
            <w:r w:rsidRPr="0001719F">
              <w:rPr>
                <w:rFonts w:eastAsia="Arial"/>
                <w:i/>
                <w:color w:val="000000"/>
                <w:sz w:val="20"/>
                <w:szCs w:val="20"/>
              </w:rPr>
              <w:t>MarginalR</w:t>
            </w:r>
            <w:r w:rsidRPr="0001719F">
              <w:rPr>
                <w:rFonts w:eastAsia="Arial"/>
                <w:color w:val="000000"/>
                <w:sz w:val="20"/>
                <w:szCs w:val="20"/>
                <w:vertAlign w:val="superscript"/>
              </w:rPr>
              <w:t>2</w:t>
            </w:r>
          </w:p>
        </w:tc>
        <w:tc>
          <w:tcPr>
            <w:tcW w:w="1067" w:type="dxa"/>
            <w:shd w:val="clear" w:color="auto" w:fill="FFFFFF"/>
            <w:tcMar>
              <w:top w:w="0" w:type="dxa"/>
              <w:left w:w="0" w:type="dxa"/>
              <w:bottom w:w="0" w:type="dxa"/>
              <w:right w:w="0" w:type="dxa"/>
            </w:tcMar>
            <w:vAlign w:val="center"/>
          </w:tcPr>
          <w:p w14:paraId="78B84152"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0.178</w:t>
            </w:r>
          </w:p>
        </w:tc>
        <w:tc>
          <w:tcPr>
            <w:tcW w:w="1067" w:type="dxa"/>
            <w:shd w:val="clear" w:color="auto" w:fill="FFFFFF"/>
            <w:tcMar>
              <w:top w:w="0" w:type="dxa"/>
              <w:left w:w="0" w:type="dxa"/>
              <w:bottom w:w="0" w:type="dxa"/>
              <w:right w:w="0" w:type="dxa"/>
            </w:tcMar>
            <w:vAlign w:val="center"/>
          </w:tcPr>
          <w:p w14:paraId="4FAEE3C5"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FFFFF"/>
            <w:tcMar>
              <w:top w:w="0" w:type="dxa"/>
              <w:left w:w="0" w:type="dxa"/>
              <w:bottom w:w="0" w:type="dxa"/>
              <w:right w:w="0" w:type="dxa"/>
            </w:tcMar>
            <w:vAlign w:val="center"/>
          </w:tcPr>
          <w:p w14:paraId="0364D583"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shd w:val="clear" w:color="auto" w:fill="FFFFFF"/>
            <w:tcMar>
              <w:top w:w="0" w:type="dxa"/>
              <w:left w:w="0" w:type="dxa"/>
              <w:bottom w:w="0" w:type="dxa"/>
              <w:right w:w="0" w:type="dxa"/>
            </w:tcMar>
            <w:vAlign w:val="center"/>
          </w:tcPr>
          <w:p w14:paraId="4E5FA701" w14:textId="77777777" w:rsidR="00A10028" w:rsidRPr="0001719F" w:rsidRDefault="00A10028" w:rsidP="00EE536E">
            <w:pPr>
              <w:keepNext/>
              <w:spacing w:before="0" w:after="0" w:line="240" w:lineRule="auto"/>
              <w:ind w:left="100" w:right="100" w:firstLine="0"/>
              <w:rPr>
                <w:sz w:val="20"/>
                <w:szCs w:val="20"/>
              </w:rPr>
            </w:pPr>
          </w:p>
        </w:tc>
        <w:tc>
          <w:tcPr>
            <w:tcW w:w="1067" w:type="dxa"/>
            <w:shd w:val="clear" w:color="auto" w:fill="FFFFFF"/>
            <w:tcMar>
              <w:top w:w="0" w:type="dxa"/>
              <w:left w:w="0" w:type="dxa"/>
              <w:bottom w:w="0" w:type="dxa"/>
              <w:right w:w="0" w:type="dxa"/>
            </w:tcMar>
            <w:vAlign w:val="center"/>
          </w:tcPr>
          <w:p w14:paraId="4696B5D8"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0.152</w:t>
            </w:r>
          </w:p>
        </w:tc>
        <w:tc>
          <w:tcPr>
            <w:tcW w:w="1067" w:type="dxa"/>
            <w:shd w:val="clear" w:color="auto" w:fill="FFFFFF"/>
            <w:tcMar>
              <w:top w:w="0" w:type="dxa"/>
              <w:left w:w="0" w:type="dxa"/>
              <w:bottom w:w="0" w:type="dxa"/>
              <w:right w:w="0" w:type="dxa"/>
            </w:tcMar>
            <w:vAlign w:val="center"/>
          </w:tcPr>
          <w:p w14:paraId="1ECAE933"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FFFFF"/>
            <w:tcMar>
              <w:top w:w="0" w:type="dxa"/>
              <w:left w:w="0" w:type="dxa"/>
              <w:bottom w:w="0" w:type="dxa"/>
              <w:right w:w="0" w:type="dxa"/>
            </w:tcMar>
            <w:vAlign w:val="center"/>
          </w:tcPr>
          <w:p w14:paraId="6961192D"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shd w:val="clear" w:color="auto" w:fill="FFFFFF"/>
            <w:tcMar>
              <w:top w:w="0" w:type="dxa"/>
              <w:left w:w="0" w:type="dxa"/>
              <w:bottom w:w="0" w:type="dxa"/>
              <w:right w:w="0" w:type="dxa"/>
            </w:tcMar>
            <w:vAlign w:val="center"/>
          </w:tcPr>
          <w:p w14:paraId="4D0FB068" w14:textId="77777777" w:rsidR="00A10028" w:rsidRPr="0001719F" w:rsidRDefault="00A10028" w:rsidP="00EE536E">
            <w:pPr>
              <w:keepNext/>
              <w:spacing w:before="0" w:after="0" w:line="240" w:lineRule="auto"/>
              <w:ind w:left="100" w:right="100" w:firstLine="0"/>
              <w:rPr>
                <w:sz w:val="20"/>
                <w:szCs w:val="20"/>
              </w:rPr>
            </w:pPr>
          </w:p>
        </w:tc>
        <w:tc>
          <w:tcPr>
            <w:tcW w:w="1067" w:type="dxa"/>
            <w:shd w:val="clear" w:color="auto" w:fill="FFFFFF"/>
            <w:tcMar>
              <w:top w:w="0" w:type="dxa"/>
              <w:left w:w="0" w:type="dxa"/>
              <w:bottom w:w="0" w:type="dxa"/>
              <w:right w:w="0" w:type="dxa"/>
            </w:tcMar>
            <w:vAlign w:val="center"/>
          </w:tcPr>
          <w:p w14:paraId="6DEF768C" w14:textId="77777777" w:rsidR="00A10028" w:rsidRPr="0001719F" w:rsidRDefault="00A10028" w:rsidP="00EE536E">
            <w:pPr>
              <w:keepNext/>
              <w:spacing w:before="0" w:after="0" w:line="240" w:lineRule="auto"/>
              <w:ind w:left="100" w:right="100" w:firstLine="0"/>
              <w:jc w:val="right"/>
              <w:rPr>
                <w:sz w:val="20"/>
                <w:szCs w:val="20"/>
              </w:rPr>
            </w:pPr>
          </w:p>
        </w:tc>
        <w:tc>
          <w:tcPr>
            <w:tcW w:w="1069" w:type="dxa"/>
            <w:shd w:val="clear" w:color="auto" w:fill="FFFFFF"/>
            <w:tcMar>
              <w:top w:w="0" w:type="dxa"/>
              <w:left w:w="0" w:type="dxa"/>
              <w:bottom w:w="0" w:type="dxa"/>
              <w:right w:w="0" w:type="dxa"/>
            </w:tcMar>
            <w:vAlign w:val="center"/>
          </w:tcPr>
          <w:p w14:paraId="16A3C0DD" w14:textId="77777777" w:rsidR="00A10028" w:rsidRPr="0001719F" w:rsidRDefault="00A10028" w:rsidP="00EE536E">
            <w:pPr>
              <w:keepNext/>
              <w:spacing w:before="0" w:after="0" w:line="240" w:lineRule="auto"/>
              <w:ind w:left="100" w:right="100" w:firstLine="0"/>
              <w:jc w:val="right"/>
              <w:rPr>
                <w:sz w:val="20"/>
                <w:szCs w:val="20"/>
              </w:rPr>
            </w:pPr>
          </w:p>
        </w:tc>
      </w:tr>
      <w:tr w:rsidR="00A10028" w14:paraId="493C5B42" w14:textId="77777777" w:rsidTr="00FB72D7">
        <w:trPr>
          <w:cantSplit/>
          <w:trHeight w:val="254"/>
        </w:trPr>
        <w:tc>
          <w:tcPr>
            <w:tcW w:w="2575" w:type="dxa"/>
            <w:shd w:val="clear" w:color="auto" w:fill="F6F6F6"/>
            <w:tcMar>
              <w:top w:w="0" w:type="dxa"/>
              <w:left w:w="0" w:type="dxa"/>
              <w:bottom w:w="0" w:type="dxa"/>
              <w:right w:w="0" w:type="dxa"/>
            </w:tcMar>
            <w:vAlign w:val="center"/>
          </w:tcPr>
          <w:p w14:paraId="33D32FC1"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Log Likelihood</w:t>
            </w:r>
            <w:r w:rsidRPr="0001719F">
              <w:rPr>
                <w:rFonts w:eastAsia="Arial"/>
                <w:color w:val="000000"/>
                <w:sz w:val="20"/>
                <w:szCs w:val="20"/>
                <w:vertAlign w:val="superscript"/>
              </w:rPr>
              <w:t>b</w:t>
            </w:r>
          </w:p>
        </w:tc>
        <w:tc>
          <w:tcPr>
            <w:tcW w:w="1067" w:type="dxa"/>
            <w:shd w:val="clear" w:color="auto" w:fill="F6F6F6"/>
            <w:tcMar>
              <w:top w:w="0" w:type="dxa"/>
              <w:left w:w="0" w:type="dxa"/>
              <w:bottom w:w="0" w:type="dxa"/>
              <w:right w:w="0" w:type="dxa"/>
            </w:tcMar>
            <w:vAlign w:val="center"/>
          </w:tcPr>
          <w:p w14:paraId="47DBC76B"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119.669</w:t>
            </w:r>
          </w:p>
        </w:tc>
        <w:tc>
          <w:tcPr>
            <w:tcW w:w="1067" w:type="dxa"/>
            <w:shd w:val="clear" w:color="auto" w:fill="F6F6F6"/>
            <w:tcMar>
              <w:top w:w="0" w:type="dxa"/>
              <w:left w:w="0" w:type="dxa"/>
              <w:bottom w:w="0" w:type="dxa"/>
              <w:right w:w="0" w:type="dxa"/>
            </w:tcMar>
            <w:vAlign w:val="center"/>
          </w:tcPr>
          <w:p w14:paraId="557E3893"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6F6F6"/>
            <w:tcMar>
              <w:top w:w="0" w:type="dxa"/>
              <w:left w:w="0" w:type="dxa"/>
              <w:bottom w:w="0" w:type="dxa"/>
              <w:right w:w="0" w:type="dxa"/>
            </w:tcMar>
            <w:vAlign w:val="center"/>
          </w:tcPr>
          <w:p w14:paraId="664D3E09"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shd w:val="clear" w:color="auto" w:fill="F6F6F6"/>
            <w:tcMar>
              <w:top w:w="0" w:type="dxa"/>
              <w:left w:w="0" w:type="dxa"/>
              <w:bottom w:w="0" w:type="dxa"/>
              <w:right w:w="0" w:type="dxa"/>
            </w:tcMar>
            <w:vAlign w:val="center"/>
          </w:tcPr>
          <w:p w14:paraId="3C51C8EB" w14:textId="77777777" w:rsidR="00A10028" w:rsidRPr="0001719F" w:rsidRDefault="00A10028" w:rsidP="00EE536E">
            <w:pPr>
              <w:keepNext/>
              <w:spacing w:before="0" w:after="0" w:line="240" w:lineRule="auto"/>
              <w:ind w:left="100" w:right="100" w:firstLine="0"/>
              <w:rPr>
                <w:sz w:val="20"/>
                <w:szCs w:val="20"/>
              </w:rPr>
            </w:pPr>
          </w:p>
        </w:tc>
        <w:tc>
          <w:tcPr>
            <w:tcW w:w="1067" w:type="dxa"/>
            <w:shd w:val="clear" w:color="auto" w:fill="F6F6F6"/>
            <w:tcMar>
              <w:top w:w="0" w:type="dxa"/>
              <w:left w:w="0" w:type="dxa"/>
              <w:bottom w:w="0" w:type="dxa"/>
              <w:right w:w="0" w:type="dxa"/>
            </w:tcMar>
            <w:vAlign w:val="center"/>
          </w:tcPr>
          <w:p w14:paraId="2895BD8F"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118.699</w:t>
            </w:r>
          </w:p>
        </w:tc>
        <w:tc>
          <w:tcPr>
            <w:tcW w:w="1067" w:type="dxa"/>
            <w:shd w:val="clear" w:color="auto" w:fill="F6F6F6"/>
            <w:tcMar>
              <w:top w:w="0" w:type="dxa"/>
              <w:left w:w="0" w:type="dxa"/>
              <w:bottom w:w="0" w:type="dxa"/>
              <w:right w:w="0" w:type="dxa"/>
            </w:tcMar>
            <w:vAlign w:val="center"/>
          </w:tcPr>
          <w:p w14:paraId="1395D6CB"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6F6F6"/>
            <w:tcMar>
              <w:top w:w="0" w:type="dxa"/>
              <w:left w:w="0" w:type="dxa"/>
              <w:bottom w:w="0" w:type="dxa"/>
              <w:right w:w="0" w:type="dxa"/>
            </w:tcMar>
            <w:vAlign w:val="center"/>
          </w:tcPr>
          <w:p w14:paraId="765DD3EE"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shd w:val="clear" w:color="auto" w:fill="F6F6F6"/>
            <w:tcMar>
              <w:top w:w="0" w:type="dxa"/>
              <w:left w:w="0" w:type="dxa"/>
              <w:bottom w:w="0" w:type="dxa"/>
              <w:right w:w="0" w:type="dxa"/>
            </w:tcMar>
            <w:vAlign w:val="center"/>
          </w:tcPr>
          <w:p w14:paraId="0898356B" w14:textId="77777777" w:rsidR="00A10028" w:rsidRPr="0001719F" w:rsidRDefault="00A10028" w:rsidP="00EE536E">
            <w:pPr>
              <w:keepNext/>
              <w:spacing w:before="0" w:after="0" w:line="240" w:lineRule="auto"/>
              <w:ind w:left="100" w:right="100" w:firstLine="0"/>
              <w:rPr>
                <w:sz w:val="20"/>
                <w:szCs w:val="20"/>
              </w:rPr>
            </w:pPr>
          </w:p>
        </w:tc>
        <w:tc>
          <w:tcPr>
            <w:tcW w:w="1067" w:type="dxa"/>
            <w:shd w:val="clear" w:color="auto" w:fill="F6F6F6"/>
            <w:tcMar>
              <w:top w:w="0" w:type="dxa"/>
              <w:left w:w="0" w:type="dxa"/>
              <w:bottom w:w="0" w:type="dxa"/>
              <w:right w:w="0" w:type="dxa"/>
            </w:tcMar>
            <w:vAlign w:val="center"/>
          </w:tcPr>
          <w:p w14:paraId="52460956" w14:textId="77777777" w:rsidR="00A10028" w:rsidRPr="0001719F" w:rsidRDefault="00A10028" w:rsidP="00EE536E">
            <w:pPr>
              <w:keepNext/>
              <w:spacing w:before="0" w:after="0" w:line="240" w:lineRule="auto"/>
              <w:ind w:left="100" w:right="100" w:firstLine="0"/>
              <w:jc w:val="right"/>
              <w:rPr>
                <w:sz w:val="20"/>
                <w:szCs w:val="20"/>
              </w:rPr>
            </w:pPr>
          </w:p>
        </w:tc>
        <w:tc>
          <w:tcPr>
            <w:tcW w:w="1069" w:type="dxa"/>
            <w:shd w:val="clear" w:color="auto" w:fill="F6F6F6"/>
            <w:tcMar>
              <w:top w:w="0" w:type="dxa"/>
              <w:left w:w="0" w:type="dxa"/>
              <w:bottom w:w="0" w:type="dxa"/>
              <w:right w:w="0" w:type="dxa"/>
            </w:tcMar>
            <w:vAlign w:val="center"/>
          </w:tcPr>
          <w:p w14:paraId="63E0FC4F" w14:textId="77777777" w:rsidR="00A10028" w:rsidRPr="0001719F" w:rsidRDefault="00A10028" w:rsidP="00EE536E">
            <w:pPr>
              <w:keepNext/>
              <w:spacing w:before="0" w:after="0" w:line="240" w:lineRule="auto"/>
              <w:ind w:left="100" w:right="100" w:firstLine="0"/>
              <w:jc w:val="right"/>
              <w:rPr>
                <w:sz w:val="20"/>
                <w:szCs w:val="20"/>
              </w:rPr>
            </w:pPr>
          </w:p>
        </w:tc>
      </w:tr>
      <w:tr w:rsidR="00A10028" w14:paraId="1B4EAD16" w14:textId="77777777" w:rsidTr="00FB72D7">
        <w:trPr>
          <w:cantSplit/>
          <w:trHeight w:val="254"/>
        </w:trPr>
        <w:tc>
          <w:tcPr>
            <w:tcW w:w="2575" w:type="dxa"/>
            <w:shd w:val="clear" w:color="auto" w:fill="FFFFFF"/>
            <w:tcMar>
              <w:top w:w="0" w:type="dxa"/>
              <w:left w:w="0" w:type="dxa"/>
              <w:bottom w:w="0" w:type="dxa"/>
              <w:right w:w="0" w:type="dxa"/>
            </w:tcMar>
            <w:vAlign w:val="center"/>
          </w:tcPr>
          <w:p w14:paraId="2B85D6C8"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AIC</w:t>
            </w:r>
            <w:r w:rsidRPr="0001719F">
              <w:rPr>
                <w:rFonts w:eastAsia="Arial"/>
                <w:color w:val="000000"/>
                <w:sz w:val="20"/>
                <w:szCs w:val="20"/>
                <w:vertAlign w:val="superscript"/>
              </w:rPr>
              <w:t>b</w:t>
            </w:r>
          </w:p>
        </w:tc>
        <w:tc>
          <w:tcPr>
            <w:tcW w:w="1067" w:type="dxa"/>
            <w:shd w:val="clear" w:color="auto" w:fill="FFFFFF"/>
            <w:tcMar>
              <w:top w:w="0" w:type="dxa"/>
              <w:left w:w="0" w:type="dxa"/>
              <w:bottom w:w="0" w:type="dxa"/>
              <w:right w:w="0" w:type="dxa"/>
            </w:tcMar>
            <w:vAlign w:val="center"/>
          </w:tcPr>
          <w:p w14:paraId="488D8E66"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-203.337</w:t>
            </w:r>
          </w:p>
        </w:tc>
        <w:tc>
          <w:tcPr>
            <w:tcW w:w="1067" w:type="dxa"/>
            <w:shd w:val="clear" w:color="auto" w:fill="FFFFFF"/>
            <w:tcMar>
              <w:top w:w="0" w:type="dxa"/>
              <w:left w:w="0" w:type="dxa"/>
              <w:bottom w:w="0" w:type="dxa"/>
              <w:right w:w="0" w:type="dxa"/>
            </w:tcMar>
            <w:vAlign w:val="center"/>
          </w:tcPr>
          <w:p w14:paraId="799CAD6D"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FFFFF"/>
            <w:tcMar>
              <w:top w:w="0" w:type="dxa"/>
              <w:left w:w="0" w:type="dxa"/>
              <w:bottom w:w="0" w:type="dxa"/>
              <w:right w:w="0" w:type="dxa"/>
            </w:tcMar>
            <w:vAlign w:val="center"/>
          </w:tcPr>
          <w:p w14:paraId="0AB62EA7"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shd w:val="clear" w:color="auto" w:fill="FFFFFF"/>
            <w:tcMar>
              <w:top w:w="0" w:type="dxa"/>
              <w:left w:w="0" w:type="dxa"/>
              <w:bottom w:w="0" w:type="dxa"/>
              <w:right w:w="0" w:type="dxa"/>
            </w:tcMar>
            <w:vAlign w:val="center"/>
          </w:tcPr>
          <w:p w14:paraId="0A28807B" w14:textId="77777777" w:rsidR="00A10028" w:rsidRPr="0001719F" w:rsidRDefault="00A10028" w:rsidP="00EE536E">
            <w:pPr>
              <w:keepNext/>
              <w:spacing w:before="0" w:after="0" w:line="240" w:lineRule="auto"/>
              <w:ind w:left="100" w:right="100" w:firstLine="0"/>
              <w:rPr>
                <w:sz w:val="20"/>
                <w:szCs w:val="20"/>
              </w:rPr>
            </w:pPr>
          </w:p>
        </w:tc>
        <w:tc>
          <w:tcPr>
            <w:tcW w:w="1067" w:type="dxa"/>
            <w:shd w:val="clear" w:color="auto" w:fill="FFFFFF"/>
            <w:tcMar>
              <w:top w:w="0" w:type="dxa"/>
              <w:left w:w="0" w:type="dxa"/>
              <w:bottom w:w="0" w:type="dxa"/>
              <w:right w:w="0" w:type="dxa"/>
            </w:tcMar>
            <w:vAlign w:val="center"/>
          </w:tcPr>
          <w:p w14:paraId="4ED5B0EB"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-201.398</w:t>
            </w:r>
          </w:p>
        </w:tc>
        <w:tc>
          <w:tcPr>
            <w:tcW w:w="1067" w:type="dxa"/>
            <w:shd w:val="clear" w:color="auto" w:fill="FFFFFF"/>
            <w:tcMar>
              <w:top w:w="0" w:type="dxa"/>
              <w:left w:w="0" w:type="dxa"/>
              <w:bottom w:w="0" w:type="dxa"/>
              <w:right w:w="0" w:type="dxa"/>
            </w:tcMar>
            <w:vAlign w:val="center"/>
          </w:tcPr>
          <w:p w14:paraId="76F11716"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FFFFF"/>
            <w:tcMar>
              <w:top w:w="0" w:type="dxa"/>
              <w:left w:w="0" w:type="dxa"/>
              <w:bottom w:w="0" w:type="dxa"/>
              <w:right w:w="0" w:type="dxa"/>
            </w:tcMar>
            <w:vAlign w:val="center"/>
          </w:tcPr>
          <w:p w14:paraId="1A0FA087"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shd w:val="clear" w:color="auto" w:fill="FFFFFF"/>
            <w:tcMar>
              <w:top w:w="0" w:type="dxa"/>
              <w:left w:w="0" w:type="dxa"/>
              <w:bottom w:w="0" w:type="dxa"/>
              <w:right w:w="0" w:type="dxa"/>
            </w:tcMar>
            <w:vAlign w:val="center"/>
          </w:tcPr>
          <w:p w14:paraId="648E267E" w14:textId="77777777" w:rsidR="00A10028" w:rsidRPr="0001719F" w:rsidRDefault="00A10028" w:rsidP="00EE536E">
            <w:pPr>
              <w:keepNext/>
              <w:spacing w:before="0" w:after="0" w:line="240" w:lineRule="auto"/>
              <w:ind w:left="100" w:right="100" w:firstLine="0"/>
              <w:rPr>
                <w:sz w:val="20"/>
                <w:szCs w:val="20"/>
              </w:rPr>
            </w:pPr>
          </w:p>
        </w:tc>
        <w:tc>
          <w:tcPr>
            <w:tcW w:w="1067" w:type="dxa"/>
            <w:shd w:val="clear" w:color="auto" w:fill="FFFFFF"/>
            <w:tcMar>
              <w:top w:w="0" w:type="dxa"/>
              <w:left w:w="0" w:type="dxa"/>
              <w:bottom w:w="0" w:type="dxa"/>
              <w:right w:w="0" w:type="dxa"/>
            </w:tcMar>
            <w:vAlign w:val="center"/>
          </w:tcPr>
          <w:p w14:paraId="3C67AC9B" w14:textId="77777777" w:rsidR="00A10028" w:rsidRPr="0001719F" w:rsidRDefault="00A10028" w:rsidP="00EE536E">
            <w:pPr>
              <w:keepNext/>
              <w:spacing w:before="0" w:after="0" w:line="240" w:lineRule="auto"/>
              <w:ind w:left="100" w:right="100" w:firstLine="0"/>
              <w:jc w:val="right"/>
              <w:rPr>
                <w:sz w:val="20"/>
                <w:szCs w:val="20"/>
              </w:rPr>
            </w:pPr>
          </w:p>
        </w:tc>
        <w:tc>
          <w:tcPr>
            <w:tcW w:w="1069" w:type="dxa"/>
            <w:shd w:val="clear" w:color="auto" w:fill="FFFFFF"/>
            <w:tcMar>
              <w:top w:w="0" w:type="dxa"/>
              <w:left w:w="0" w:type="dxa"/>
              <w:bottom w:w="0" w:type="dxa"/>
              <w:right w:w="0" w:type="dxa"/>
            </w:tcMar>
            <w:vAlign w:val="center"/>
          </w:tcPr>
          <w:p w14:paraId="7055814F" w14:textId="77777777" w:rsidR="00A10028" w:rsidRPr="0001719F" w:rsidRDefault="00A10028" w:rsidP="00EE536E">
            <w:pPr>
              <w:keepNext/>
              <w:spacing w:before="0" w:after="0" w:line="240" w:lineRule="auto"/>
              <w:ind w:left="100" w:right="100" w:firstLine="0"/>
              <w:jc w:val="right"/>
              <w:rPr>
                <w:sz w:val="20"/>
                <w:szCs w:val="20"/>
              </w:rPr>
            </w:pPr>
          </w:p>
        </w:tc>
      </w:tr>
      <w:tr w:rsidR="00A10028" w14:paraId="3DAC7293" w14:textId="77777777" w:rsidTr="00FB72D7">
        <w:trPr>
          <w:cantSplit/>
          <w:trHeight w:val="254"/>
        </w:trPr>
        <w:tc>
          <w:tcPr>
            <w:tcW w:w="2575" w:type="dxa"/>
            <w:tcBorders>
              <w:bottom w:val="single" w:sz="12" w:space="0" w:color="000000"/>
            </w:tcBorders>
            <w:shd w:val="clear" w:color="auto" w:fill="F6F6F6"/>
            <w:tcMar>
              <w:top w:w="0" w:type="dxa"/>
              <w:left w:w="0" w:type="dxa"/>
              <w:bottom w:w="0" w:type="dxa"/>
              <w:right w:w="0" w:type="dxa"/>
            </w:tcMar>
            <w:vAlign w:val="center"/>
          </w:tcPr>
          <w:p w14:paraId="3452E25C"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BIC</w:t>
            </w:r>
            <w:r w:rsidRPr="0001719F">
              <w:rPr>
                <w:rFonts w:eastAsia="Arial"/>
                <w:color w:val="000000"/>
                <w:sz w:val="20"/>
                <w:szCs w:val="20"/>
                <w:vertAlign w:val="superscript"/>
              </w:rPr>
              <w:t>b</w:t>
            </w:r>
          </w:p>
        </w:tc>
        <w:tc>
          <w:tcPr>
            <w:tcW w:w="1067" w:type="dxa"/>
            <w:tcBorders>
              <w:bottom w:val="single" w:sz="12" w:space="0" w:color="000000"/>
            </w:tcBorders>
            <w:shd w:val="clear" w:color="auto" w:fill="F6F6F6"/>
            <w:tcMar>
              <w:top w:w="0" w:type="dxa"/>
              <w:left w:w="0" w:type="dxa"/>
              <w:bottom w:w="0" w:type="dxa"/>
              <w:right w:w="0" w:type="dxa"/>
            </w:tcMar>
            <w:vAlign w:val="center"/>
          </w:tcPr>
          <w:p w14:paraId="6AC2B431"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-135.063</w:t>
            </w:r>
          </w:p>
        </w:tc>
        <w:tc>
          <w:tcPr>
            <w:tcW w:w="1067" w:type="dxa"/>
            <w:tcBorders>
              <w:bottom w:val="single" w:sz="12" w:space="0" w:color="000000"/>
            </w:tcBorders>
            <w:shd w:val="clear" w:color="auto" w:fill="F6F6F6"/>
            <w:tcMar>
              <w:top w:w="0" w:type="dxa"/>
              <w:left w:w="0" w:type="dxa"/>
              <w:bottom w:w="0" w:type="dxa"/>
              <w:right w:w="0" w:type="dxa"/>
            </w:tcMar>
            <w:vAlign w:val="center"/>
          </w:tcPr>
          <w:p w14:paraId="4A87B4A9"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tcBorders>
              <w:bottom w:val="single" w:sz="12" w:space="0" w:color="000000"/>
            </w:tcBorders>
            <w:shd w:val="clear" w:color="auto" w:fill="F6F6F6"/>
            <w:tcMar>
              <w:top w:w="0" w:type="dxa"/>
              <w:left w:w="0" w:type="dxa"/>
              <w:bottom w:w="0" w:type="dxa"/>
              <w:right w:w="0" w:type="dxa"/>
            </w:tcMar>
            <w:vAlign w:val="center"/>
          </w:tcPr>
          <w:p w14:paraId="532A90B5"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tcBorders>
              <w:bottom w:val="single" w:sz="12" w:space="0" w:color="000000"/>
            </w:tcBorders>
            <w:shd w:val="clear" w:color="auto" w:fill="F6F6F6"/>
            <w:tcMar>
              <w:top w:w="0" w:type="dxa"/>
              <w:left w:w="0" w:type="dxa"/>
              <w:bottom w:w="0" w:type="dxa"/>
              <w:right w:w="0" w:type="dxa"/>
            </w:tcMar>
            <w:vAlign w:val="center"/>
          </w:tcPr>
          <w:p w14:paraId="22FE5D60" w14:textId="77777777" w:rsidR="00A10028" w:rsidRPr="0001719F" w:rsidRDefault="00A10028" w:rsidP="00EE536E">
            <w:pPr>
              <w:keepNext/>
              <w:spacing w:before="0" w:after="0" w:line="240" w:lineRule="auto"/>
              <w:ind w:left="100" w:right="100" w:firstLine="0"/>
              <w:rPr>
                <w:sz w:val="20"/>
                <w:szCs w:val="20"/>
              </w:rPr>
            </w:pPr>
          </w:p>
        </w:tc>
        <w:tc>
          <w:tcPr>
            <w:tcW w:w="1067" w:type="dxa"/>
            <w:tcBorders>
              <w:bottom w:val="single" w:sz="12" w:space="0" w:color="000000"/>
            </w:tcBorders>
            <w:shd w:val="clear" w:color="auto" w:fill="F6F6F6"/>
            <w:tcMar>
              <w:top w:w="0" w:type="dxa"/>
              <w:left w:w="0" w:type="dxa"/>
              <w:bottom w:w="0" w:type="dxa"/>
              <w:right w:w="0" w:type="dxa"/>
            </w:tcMar>
            <w:vAlign w:val="center"/>
          </w:tcPr>
          <w:p w14:paraId="1350FBC0"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-133.124</w:t>
            </w:r>
          </w:p>
        </w:tc>
        <w:tc>
          <w:tcPr>
            <w:tcW w:w="1067" w:type="dxa"/>
            <w:tcBorders>
              <w:bottom w:val="single" w:sz="12" w:space="0" w:color="000000"/>
            </w:tcBorders>
            <w:shd w:val="clear" w:color="auto" w:fill="F6F6F6"/>
            <w:tcMar>
              <w:top w:w="0" w:type="dxa"/>
              <w:left w:w="0" w:type="dxa"/>
              <w:bottom w:w="0" w:type="dxa"/>
              <w:right w:w="0" w:type="dxa"/>
            </w:tcMar>
            <w:vAlign w:val="center"/>
          </w:tcPr>
          <w:p w14:paraId="24D6C05B"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tcBorders>
              <w:bottom w:val="single" w:sz="12" w:space="0" w:color="000000"/>
            </w:tcBorders>
            <w:shd w:val="clear" w:color="auto" w:fill="F6F6F6"/>
            <w:tcMar>
              <w:top w:w="0" w:type="dxa"/>
              <w:left w:w="0" w:type="dxa"/>
              <w:bottom w:w="0" w:type="dxa"/>
              <w:right w:w="0" w:type="dxa"/>
            </w:tcMar>
            <w:vAlign w:val="center"/>
          </w:tcPr>
          <w:p w14:paraId="5D9E2119"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tcBorders>
              <w:bottom w:val="single" w:sz="12" w:space="0" w:color="000000"/>
            </w:tcBorders>
            <w:shd w:val="clear" w:color="auto" w:fill="F6F6F6"/>
            <w:tcMar>
              <w:top w:w="0" w:type="dxa"/>
              <w:left w:w="0" w:type="dxa"/>
              <w:bottom w:w="0" w:type="dxa"/>
              <w:right w:w="0" w:type="dxa"/>
            </w:tcMar>
            <w:vAlign w:val="center"/>
          </w:tcPr>
          <w:p w14:paraId="1668A536" w14:textId="77777777" w:rsidR="00A10028" w:rsidRPr="0001719F" w:rsidRDefault="00A10028" w:rsidP="00EE536E">
            <w:pPr>
              <w:keepNext/>
              <w:spacing w:before="0" w:after="0" w:line="240" w:lineRule="auto"/>
              <w:ind w:left="100" w:right="100" w:firstLine="0"/>
              <w:rPr>
                <w:sz w:val="20"/>
                <w:szCs w:val="20"/>
              </w:rPr>
            </w:pPr>
          </w:p>
        </w:tc>
        <w:tc>
          <w:tcPr>
            <w:tcW w:w="1067" w:type="dxa"/>
            <w:tcBorders>
              <w:bottom w:val="single" w:sz="12" w:space="0" w:color="000000"/>
            </w:tcBorders>
            <w:shd w:val="clear" w:color="auto" w:fill="F6F6F6"/>
            <w:tcMar>
              <w:top w:w="0" w:type="dxa"/>
              <w:left w:w="0" w:type="dxa"/>
              <w:bottom w:w="0" w:type="dxa"/>
              <w:right w:w="0" w:type="dxa"/>
            </w:tcMar>
            <w:vAlign w:val="center"/>
          </w:tcPr>
          <w:p w14:paraId="4796B606" w14:textId="77777777" w:rsidR="00A10028" w:rsidRPr="0001719F" w:rsidRDefault="00A10028" w:rsidP="00EE536E">
            <w:pPr>
              <w:keepNext/>
              <w:spacing w:before="0" w:after="0" w:line="240" w:lineRule="auto"/>
              <w:ind w:left="100" w:right="100" w:firstLine="0"/>
              <w:jc w:val="right"/>
              <w:rPr>
                <w:sz w:val="20"/>
                <w:szCs w:val="20"/>
              </w:rPr>
            </w:pPr>
          </w:p>
        </w:tc>
        <w:tc>
          <w:tcPr>
            <w:tcW w:w="1069" w:type="dxa"/>
            <w:tcBorders>
              <w:bottom w:val="single" w:sz="12" w:space="0" w:color="000000"/>
            </w:tcBorders>
            <w:shd w:val="clear" w:color="auto" w:fill="F6F6F6"/>
            <w:tcMar>
              <w:top w:w="0" w:type="dxa"/>
              <w:left w:w="0" w:type="dxa"/>
              <w:bottom w:w="0" w:type="dxa"/>
              <w:right w:w="0" w:type="dxa"/>
            </w:tcMar>
            <w:vAlign w:val="center"/>
          </w:tcPr>
          <w:p w14:paraId="7BD1E0DD" w14:textId="77777777" w:rsidR="00A10028" w:rsidRPr="0001719F" w:rsidRDefault="00A10028" w:rsidP="00EE536E">
            <w:pPr>
              <w:keepNext/>
              <w:spacing w:before="0" w:after="0" w:line="240" w:lineRule="auto"/>
              <w:ind w:left="100" w:right="100" w:firstLine="0"/>
              <w:jc w:val="right"/>
              <w:rPr>
                <w:sz w:val="20"/>
                <w:szCs w:val="20"/>
              </w:rPr>
            </w:pPr>
          </w:p>
        </w:tc>
      </w:tr>
      <w:tr w:rsidR="00A10028" w14:paraId="51591408" w14:textId="77777777" w:rsidTr="00FB72D7">
        <w:trPr>
          <w:cantSplit/>
          <w:trHeight w:val="254"/>
        </w:trPr>
        <w:tc>
          <w:tcPr>
            <w:tcW w:w="2575" w:type="dxa"/>
            <w:tcBorders>
              <w:top w:val="single" w:sz="12" w:space="0" w:color="000000"/>
            </w:tcBorders>
            <w:shd w:val="clear" w:color="auto" w:fill="FFFFFF"/>
            <w:tcMar>
              <w:top w:w="0" w:type="dxa"/>
              <w:left w:w="0" w:type="dxa"/>
              <w:bottom w:w="0" w:type="dxa"/>
              <w:right w:w="0" w:type="dxa"/>
            </w:tcMar>
            <w:vAlign w:val="center"/>
          </w:tcPr>
          <w:p w14:paraId="1BB447A6"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Observations</w:t>
            </w:r>
          </w:p>
        </w:tc>
        <w:tc>
          <w:tcPr>
            <w:tcW w:w="1067" w:type="dxa"/>
            <w:tcBorders>
              <w:top w:val="single" w:sz="12" w:space="0" w:color="000000"/>
            </w:tcBorders>
            <w:shd w:val="clear" w:color="auto" w:fill="FFFFFF"/>
            <w:tcMar>
              <w:top w:w="0" w:type="dxa"/>
              <w:left w:w="0" w:type="dxa"/>
              <w:bottom w:w="0" w:type="dxa"/>
              <w:right w:w="0" w:type="dxa"/>
            </w:tcMar>
            <w:vAlign w:val="center"/>
          </w:tcPr>
          <w:p w14:paraId="6E2D6167"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328</w:t>
            </w:r>
          </w:p>
        </w:tc>
        <w:tc>
          <w:tcPr>
            <w:tcW w:w="1067" w:type="dxa"/>
            <w:tcBorders>
              <w:top w:val="single" w:sz="12" w:space="0" w:color="000000"/>
            </w:tcBorders>
            <w:shd w:val="clear" w:color="auto" w:fill="FFFFFF"/>
            <w:tcMar>
              <w:top w:w="0" w:type="dxa"/>
              <w:left w:w="0" w:type="dxa"/>
              <w:bottom w:w="0" w:type="dxa"/>
              <w:right w:w="0" w:type="dxa"/>
            </w:tcMar>
            <w:vAlign w:val="center"/>
          </w:tcPr>
          <w:p w14:paraId="5DFE8BCD"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tcBorders>
              <w:top w:val="single" w:sz="12" w:space="0" w:color="000000"/>
            </w:tcBorders>
            <w:shd w:val="clear" w:color="auto" w:fill="FFFFFF"/>
            <w:tcMar>
              <w:top w:w="0" w:type="dxa"/>
              <w:left w:w="0" w:type="dxa"/>
              <w:bottom w:w="0" w:type="dxa"/>
              <w:right w:w="0" w:type="dxa"/>
            </w:tcMar>
            <w:vAlign w:val="center"/>
          </w:tcPr>
          <w:p w14:paraId="09461A28"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tcBorders>
              <w:top w:val="single" w:sz="12" w:space="0" w:color="000000"/>
            </w:tcBorders>
            <w:shd w:val="clear" w:color="auto" w:fill="FFFFFF"/>
            <w:tcMar>
              <w:top w:w="0" w:type="dxa"/>
              <w:left w:w="0" w:type="dxa"/>
              <w:bottom w:w="0" w:type="dxa"/>
              <w:right w:w="0" w:type="dxa"/>
            </w:tcMar>
            <w:vAlign w:val="center"/>
          </w:tcPr>
          <w:p w14:paraId="61662C79" w14:textId="77777777" w:rsidR="00A10028" w:rsidRPr="0001719F" w:rsidRDefault="00A10028" w:rsidP="00EE536E">
            <w:pPr>
              <w:keepNext/>
              <w:spacing w:before="0" w:after="0" w:line="240" w:lineRule="auto"/>
              <w:ind w:left="100" w:right="100" w:firstLine="0"/>
              <w:rPr>
                <w:sz w:val="20"/>
                <w:szCs w:val="20"/>
              </w:rPr>
            </w:pPr>
          </w:p>
        </w:tc>
        <w:tc>
          <w:tcPr>
            <w:tcW w:w="1067" w:type="dxa"/>
            <w:tcBorders>
              <w:top w:val="single" w:sz="12" w:space="0" w:color="000000"/>
            </w:tcBorders>
            <w:shd w:val="clear" w:color="auto" w:fill="FFFFFF"/>
            <w:tcMar>
              <w:top w:w="0" w:type="dxa"/>
              <w:left w:w="0" w:type="dxa"/>
              <w:bottom w:w="0" w:type="dxa"/>
              <w:right w:w="0" w:type="dxa"/>
            </w:tcMar>
            <w:vAlign w:val="center"/>
          </w:tcPr>
          <w:p w14:paraId="27C503C9"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328</w:t>
            </w:r>
          </w:p>
        </w:tc>
        <w:tc>
          <w:tcPr>
            <w:tcW w:w="1067" w:type="dxa"/>
            <w:tcBorders>
              <w:top w:val="single" w:sz="12" w:space="0" w:color="000000"/>
            </w:tcBorders>
            <w:shd w:val="clear" w:color="auto" w:fill="FFFFFF"/>
            <w:tcMar>
              <w:top w:w="0" w:type="dxa"/>
              <w:left w:w="0" w:type="dxa"/>
              <w:bottom w:w="0" w:type="dxa"/>
              <w:right w:w="0" w:type="dxa"/>
            </w:tcMar>
            <w:vAlign w:val="center"/>
          </w:tcPr>
          <w:p w14:paraId="4C2F0A17"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tcBorders>
              <w:top w:val="single" w:sz="12" w:space="0" w:color="000000"/>
            </w:tcBorders>
            <w:shd w:val="clear" w:color="auto" w:fill="FFFFFF"/>
            <w:tcMar>
              <w:top w:w="0" w:type="dxa"/>
              <w:left w:w="0" w:type="dxa"/>
              <w:bottom w:w="0" w:type="dxa"/>
              <w:right w:w="0" w:type="dxa"/>
            </w:tcMar>
            <w:vAlign w:val="center"/>
          </w:tcPr>
          <w:p w14:paraId="43A2E68D"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tcBorders>
              <w:top w:val="single" w:sz="12" w:space="0" w:color="000000"/>
            </w:tcBorders>
            <w:shd w:val="clear" w:color="auto" w:fill="FFFFFF"/>
            <w:tcMar>
              <w:top w:w="0" w:type="dxa"/>
              <w:left w:w="0" w:type="dxa"/>
              <w:bottom w:w="0" w:type="dxa"/>
              <w:right w:w="0" w:type="dxa"/>
            </w:tcMar>
            <w:vAlign w:val="center"/>
          </w:tcPr>
          <w:p w14:paraId="5B739307" w14:textId="77777777" w:rsidR="00A10028" w:rsidRPr="0001719F" w:rsidRDefault="00A10028" w:rsidP="00EE536E">
            <w:pPr>
              <w:keepNext/>
              <w:spacing w:before="0" w:after="0" w:line="240" w:lineRule="auto"/>
              <w:ind w:left="100" w:right="100" w:firstLine="0"/>
              <w:rPr>
                <w:sz w:val="20"/>
                <w:szCs w:val="20"/>
              </w:rPr>
            </w:pPr>
          </w:p>
        </w:tc>
        <w:tc>
          <w:tcPr>
            <w:tcW w:w="1067" w:type="dxa"/>
            <w:tcBorders>
              <w:top w:val="single" w:sz="12" w:space="0" w:color="000000"/>
            </w:tcBorders>
            <w:shd w:val="clear" w:color="auto" w:fill="FFFFFF"/>
            <w:tcMar>
              <w:top w:w="0" w:type="dxa"/>
              <w:left w:w="0" w:type="dxa"/>
              <w:bottom w:w="0" w:type="dxa"/>
              <w:right w:w="0" w:type="dxa"/>
            </w:tcMar>
            <w:vAlign w:val="center"/>
          </w:tcPr>
          <w:p w14:paraId="7BDC4B48" w14:textId="77777777" w:rsidR="00A10028" w:rsidRPr="0001719F" w:rsidRDefault="00A10028" w:rsidP="00EE536E">
            <w:pPr>
              <w:keepNext/>
              <w:spacing w:before="0" w:after="0" w:line="240" w:lineRule="auto"/>
              <w:ind w:left="100" w:right="100" w:firstLine="0"/>
              <w:jc w:val="right"/>
              <w:rPr>
                <w:sz w:val="20"/>
                <w:szCs w:val="20"/>
              </w:rPr>
            </w:pPr>
          </w:p>
        </w:tc>
        <w:tc>
          <w:tcPr>
            <w:tcW w:w="1069" w:type="dxa"/>
            <w:tcBorders>
              <w:top w:val="single" w:sz="12" w:space="0" w:color="000000"/>
            </w:tcBorders>
            <w:shd w:val="clear" w:color="auto" w:fill="FFFFFF"/>
            <w:tcMar>
              <w:top w:w="0" w:type="dxa"/>
              <w:left w:w="0" w:type="dxa"/>
              <w:bottom w:w="0" w:type="dxa"/>
              <w:right w:w="0" w:type="dxa"/>
            </w:tcMar>
            <w:vAlign w:val="center"/>
          </w:tcPr>
          <w:p w14:paraId="4D40FDE5" w14:textId="77777777" w:rsidR="00A10028" w:rsidRPr="0001719F" w:rsidRDefault="00A10028" w:rsidP="00EE536E">
            <w:pPr>
              <w:keepNext/>
              <w:spacing w:before="0" w:after="0" w:line="240" w:lineRule="auto"/>
              <w:ind w:left="100" w:right="100" w:firstLine="0"/>
              <w:jc w:val="right"/>
              <w:rPr>
                <w:sz w:val="20"/>
                <w:szCs w:val="20"/>
              </w:rPr>
            </w:pPr>
          </w:p>
        </w:tc>
      </w:tr>
      <w:tr w:rsidR="00A10028" w14:paraId="6E1CBC3E" w14:textId="77777777" w:rsidTr="00FB72D7">
        <w:trPr>
          <w:cantSplit/>
          <w:trHeight w:val="238"/>
        </w:trPr>
        <w:tc>
          <w:tcPr>
            <w:tcW w:w="2575" w:type="dxa"/>
            <w:shd w:val="clear" w:color="auto" w:fill="F6F6F6"/>
            <w:tcMar>
              <w:top w:w="0" w:type="dxa"/>
              <w:left w:w="0" w:type="dxa"/>
              <w:bottom w:w="0" w:type="dxa"/>
              <w:right w:w="0" w:type="dxa"/>
            </w:tcMar>
            <w:vAlign w:val="center"/>
          </w:tcPr>
          <w:p w14:paraId="61624894"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rPr>
              <w:t>Imputations</w:t>
            </w:r>
          </w:p>
        </w:tc>
        <w:tc>
          <w:tcPr>
            <w:tcW w:w="1067" w:type="dxa"/>
            <w:shd w:val="clear" w:color="auto" w:fill="F6F6F6"/>
            <w:tcMar>
              <w:top w:w="0" w:type="dxa"/>
              <w:left w:w="0" w:type="dxa"/>
              <w:bottom w:w="0" w:type="dxa"/>
              <w:right w:w="0" w:type="dxa"/>
            </w:tcMar>
            <w:vAlign w:val="center"/>
          </w:tcPr>
          <w:p w14:paraId="12872F28"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20</w:t>
            </w:r>
          </w:p>
        </w:tc>
        <w:tc>
          <w:tcPr>
            <w:tcW w:w="1067" w:type="dxa"/>
            <w:shd w:val="clear" w:color="auto" w:fill="F6F6F6"/>
            <w:tcMar>
              <w:top w:w="0" w:type="dxa"/>
              <w:left w:w="0" w:type="dxa"/>
              <w:bottom w:w="0" w:type="dxa"/>
              <w:right w:w="0" w:type="dxa"/>
            </w:tcMar>
            <w:vAlign w:val="center"/>
          </w:tcPr>
          <w:p w14:paraId="6728DFC1"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6F6F6"/>
            <w:tcMar>
              <w:top w:w="0" w:type="dxa"/>
              <w:left w:w="0" w:type="dxa"/>
              <w:bottom w:w="0" w:type="dxa"/>
              <w:right w:w="0" w:type="dxa"/>
            </w:tcMar>
            <w:vAlign w:val="center"/>
          </w:tcPr>
          <w:p w14:paraId="261CE13B"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shd w:val="clear" w:color="auto" w:fill="F6F6F6"/>
            <w:tcMar>
              <w:top w:w="0" w:type="dxa"/>
              <w:left w:w="0" w:type="dxa"/>
              <w:bottom w:w="0" w:type="dxa"/>
              <w:right w:w="0" w:type="dxa"/>
            </w:tcMar>
            <w:vAlign w:val="center"/>
          </w:tcPr>
          <w:p w14:paraId="3CF96069" w14:textId="77777777" w:rsidR="00A10028" w:rsidRPr="0001719F" w:rsidRDefault="00A10028" w:rsidP="00EE536E">
            <w:pPr>
              <w:keepNext/>
              <w:spacing w:before="0" w:after="0" w:line="240" w:lineRule="auto"/>
              <w:ind w:left="100" w:right="100" w:firstLine="0"/>
              <w:rPr>
                <w:sz w:val="20"/>
                <w:szCs w:val="20"/>
              </w:rPr>
            </w:pPr>
          </w:p>
        </w:tc>
        <w:tc>
          <w:tcPr>
            <w:tcW w:w="1067" w:type="dxa"/>
            <w:shd w:val="clear" w:color="auto" w:fill="F6F6F6"/>
            <w:tcMar>
              <w:top w:w="0" w:type="dxa"/>
              <w:left w:w="0" w:type="dxa"/>
              <w:bottom w:w="0" w:type="dxa"/>
              <w:right w:w="0" w:type="dxa"/>
            </w:tcMar>
            <w:vAlign w:val="center"/>
          </w:tcPr>
          <w:p w14:paraId="45F47D07" w14:textId="77777777" w:rsidR="00A10028" w:rsidRPr="0001719F" w:rsidRDefault="00A10028" w:rsidP="00EE536E">
            <w:pPr>
              <w:keepNext/>
              <w:spacing w:before="0" w:after="0" w:line="240" w:lineRule="auto"/>
              <w:ind w:left="100" w:right="100" w:firstLine="0"/>
              <w:jc w:val="right"/>
              <w:rPr>
                <w:sz w:val="20"/>
                <w:szCs w:val="20"/>
              </w:rPr>
            </w:pPr>
            <w:r w:rsidRPr="0001719F">
              <w:rPr>
                <w:rFonts w:eastAsia="Arial"/>
                <w:color w:val="000000"/>
                <w:sz w:val="20"/>
                <w:szCs w:val="20"/>
              </w:rPr>
              <w:t>20</w:t>
            </w:r>
          </w:p>
        </w:tc>
        <w:tc>
          <w:tcPr>
            <w:tcW w:w="1067" w:type="dxa"/>
            <w:shd w:val="clear" w:color="auto" w:fill="F6F6F6"/>
            <w:tcMar>
              <w:top w:w="0" w:type="dxa"/>
              <w:left w:w="0" w:type="dxa"/>
              <w:bottom w:w="0" w:type="dxa"/>
              <w:right w:w="0" w:type="dxa"/>
            </w:tcMar>
            <w:vAlign w:val="center"/>
          </w:tcPr>
          <w:p w14:paraId="4F6D4A10" w14:textId="77777777" w:rsidR="00A10028" w:rsidRPr="0001719F" w:rsidRDefault="00A10028" w:rsidP="00EE536E">
            <w:pPr>
              <w:keepNext/>
              <w:spacing w:before="0" w:after="0" w:line="240" w:lineRule="auto"/>
              <w:ind w:left="100" w:right="100" w:firstLine="0"/>
              <w:jc w:val="right"/>
              <w:rPr>
                <w:sz w:val="20"/>
                <w:szCs w:val="20"/>
              </w:rPr>
            </w:pPr>
          </w:p>
        </w:tc>
        <w:tc>
          <w:tcPr>
            <w:tcW w:w="1067" w:type="dxa"/>
            <w:shd w:val="clear" w:color="auto" w:fill="F6F6F6"/>
            <w:tcMar>
              <w:top w:w="0" w:type="dxa"/>
              <w:left w:w="0" w:type="dxa"/>
              <w:bottom w:w="0" w:type="dxa"/>
              <w:right w:w="0" w:type="dxa"/>
            </w:tcMar>
            <w:vAlign w:val="center"/>
          </w:tcPr>
          <w:p w14:paraId="2EBF1D75" w14:textId="77777777" w:rsidR="00A10028" w:rsidRPr="0001719F" w:rsidRDefault="00A10028" w:rsidP="00EE536E">
            <w:pPr>
              <w:keepNext/>
              <w:spacing w:before="0" w:after="0" w:line="240" w:lineRule="auto"/>
              <w:ind w:left="100" w:right="100" w:firstLine="0"/>
              <w:jc w:val="right"/>
              <w:rPr>
                <w:sz w:val="20"/>
                <w:szCs w:val="20"/>
              </w:rPr>
            </w:pPr>
          </w:p>
        </w:tc>
        <w:tc>
          <w:tcPr>
            <w:tcW w:w="1068" w:type="dxa"/>
            <w:shd w:val="clear" w:color="auto" w:fill="F6F6F6"/>
            <w:tcMar>
              <w:top w:w="0" w:type="dxa"/>
              <w:left w:w="0" w:type="dxa"/>
              <w:bottom w:w="0" w:type="dxa"/>
              <w:right w:w="0" w:type="dxa"/>
            </w:tcMar>
            <w:vAlign w:val="center"/>
          </w:tcPr>
          <w:p w14:paraId="74D9DC94" w14:textId="77777777" w:rsidR="00A10028" w:rsidRPr="0001719F" w:rsidRDefault="00A10028" w:rsidP="00EE536E">
            <w:pPr>
              <w:keepNext/>
              <w:spacing w:before="0" w:after="0" w:line="240" w:lineRule="auto"/>
              <w:ind w:left="100" w:right="100" w:firstLine="0"/>
              <w:rPr>
                <w:sz w:val="20"/>
                <w:szCs w:val="20"/>
              </w:rPr>
            </w:pPr>
          </w:p>
        </w:tc>
        <w:tc>
          <w:tcPr>
            <w:tcW w:w="1067" w:type="dxa"/>
            <w:shd w:val="clear" w:color="auto" w:fill="F6F6F6"/>
            <w:tcMar>
              <w:top w:w="0" w:type="dxa"/>
              <w:left w:w="0" w:type="dxa"/>
              <w:bottom w:w="0" w:type="dxa"/>
              <w:right w:w="0" w:type="dxa"/>
            </w:tcMar>
            <w:vAlign w:val="center"/>
          </w:tcPr>
          <w:p w14:paraId="64F01A1E" w14:textId="77777777" w:rsidR="00A10028" w:rsidRPr="0001719F" w:rsidRDefault="00A10028" w:rsidP="00EE536E">
            <w:pPr>
              <w:keepNext/>
              <w:spacing w:before="0" w:after="0" w:line="240" w:lineRule="auto"/>
              <w:ind w:left="100" w:right="100" w:firstLine="0"/>
              <w:jc w:val="right"/>
              <w:rPr>
                <w:sz w:val="20"/>
                <w:szCs w:val="20"/>
              </w:rPr>
            </w:pPr>
          </w:p>
        </w:tc>
        <w:tc>
          <w:tcPr>
            <w:tcW w:w="1069" w:type="dxa"/>
            <w:shd w:val="clear" w:color="auto" w:fill="F6F6F6"/>
            <w:tcMar>
              <w:top w:w="0" w:type="dxa"/>
              <w:left w:w="0" w:type="dxa"/>
              <w:bottom w:w="0" w:type="dxa"/>
              <w:right w:w="0" w:type="dxa"/>
            </w:tcMar>
            <w:vAlign w:val="center"/>
          </w:tcPr>
          <w:p w14:paraId="6A26D094" w14:textId="77777777" w:rsidR="00A10028" w:rsidRPr="0001719F" w:rsidRDefault="00A10028" w:rsidP="00EE536E">
            <w:pPr>
              <w:keepNext/>
              <w:spacing w:before="0" w:after="0" w:line="240" w:lineRule="auto"/>
              <w:ind w:left="100" w:right="100" w:firstLine="0"/>
              <w:jc w:val="right"/>
              <w:rPr>
                <w:sz w:val="20"/>
                <w:szCs w:val="20"/>
              </w:rPr>
            </w:pPr>
          </w:p>
        </w:tc>
      </w:tr>
      <w:tr w:rsidR="00A10028" w14:paraId="2E5A492F" w14:textId="77777777" w:rsidTr="00FB72D7">
        <w:trPr>
          <w:cantSplit/>
          <w:trHeight w:val="254"/>
        </w:trPr>
        <w:tc>
          <w:tcPr>
            <w:tcW w:w="13249" w:type="dxa"/>
            <w:gridSpan w:val="11"/>
            <w:shd w:val="clear" w:color="auto" w:fill="FFFFFF"/>
            <w:tcMar>
              <w:top w:w="0" w:type="dxa"/>
              <w:left w:w="0" w:type="dxa"/>
              <w:bottom w:w="0" w:type="dxa"/>
              <w:right w:w="0" w:type="dxa"/>
            </w:tcMar>
            <w:vAlign w:val="center"/>
          </w:tcPr>
          <w:p w14:paraId="5F6E87BD"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vertAlign w:val="superscript"/>
              </w:rPr>
              <w:t>a</w:t>
            </w:r>
            <w:r w:rsidRPr="0001719F">
              <w:rPr>
                <w:rFonts w:eastAsia="Arial"/>
                <w:color w:val="000000"/>
                <w:sz w:val="20"/>
                <w:szCs w:val="20"/>
              </w:rPr>
              <w:t>The correlation coefficient is based on mean across imputed models</w:t>
            </w:r>
          </w:p>
        </w:tc>
      </w:tr>
      <w:tr w:rsidR="00A10028" w14:paraId="670D3E91" w14:textId="77777777" w:rsidTr="00FB72D7">
        <w:trPr>
          <w:cantSplit/>
          <w:trHeight w:val="254"/>
        </w:trPr>
        <w:tc>
          <w:tcPr>
            <w:tcW w:w="13249" w:type="dxa"/>
            <w:gridSpan w:val="11"/>
            <w:shd w:val="clear" w:color="auto" w:fill="FFFFFF"/>
            <w:tcMar>
              <w:top w:w="0" w:type="dxa"/>
              <w:left w:w="0" w:type="dxa"/>
              <w:bottom w:w="0" w:type="dxa"/>
              <w:right w:w="0" w:type="dxa"/>
            </w:tcMar>
            <w:vAlign w:val="center"/>
          </w:tcPr>
          <w:p w14:paraId="58B65CA6" w14:textId="77777777" w:rsidR="00A10028" w:rsidRPr="0001719F" w:rsidRDefault="00A10028" w:rsidP="00EE536E">
            <w:pPr>
              <w:keepNext/>
              <w:spacing w:before="0" w:after="0" w:line="240" w:lineRule="auto"/>
              <w:ind w:left="100" w:right="100" w:firstLine="0"/>
              <w:rPr>
                <w:sz w:val="20"/>
                <w:szCs w:val="20"/>
              </w:rPr>
            </w:pPr>
            <w:r w:rsidRPr="0001719F">
              <w:rPr>
                <w:rFonts w:eastAsia="Arial"/>
                <w:color w:val="000000"/>
                <w:sz w:val="20"/>
                <w:szCs w:val="20"/>
                <w:vertAlign w:val="superscript"/>
              </w:rPr>
              <w:t>b</w:t>
            </w:r>
            <w:r w:rsidRPr="0001719F">
              <w:rPr>
                <w:rFonts w:eastAsia="Arial"/>
                <w:color w:val="000000"/>
                <w:sz w:val="20"/>
                <w:szCs w:val="20"/>
              </w:rPr>
              <w:t>Fit statistics based on mean across imputed models</w:t>
            </w:r>
          </w:p>
        </w:tc>
      </w:tr>
    </w:tbl>
    <w:p w14:paraId="10BCD5E3" w14:textId="37662E39" w:rsidR="00A10028" w:rsidRDefault="00A10028">
      <w:pPr>
        <w:pStyle w:val="TableCaption"/>
      </w:pPr>
    </w:p>
    <w:p w14:paraId="29EED2F6" w14:textId="77777777" w:rsidR="0033629A" w:rsidRDefault="0033629A" w:rsidP="00781BB7">
      <w:pPr>
        <w:ind w:firstLine="0"/>
        <w:sectPr w:rsidR="0033629A" w:rsidSect="00D01347">
          <w:headerReference w:type="even" r:id="rId91"/>
          <w:headerReference w:type="default" r:id="rId92"/>
          <w:footerReference w:type="even" r:id="rId93"/>
          <w:footerReference w:type="default" r:id="rId94"/>
          <w:headerReference w:type="first" r:id="rId95"/>
          <w:footerReference w:type="first" r:id="rId96"/>
          <w:pgSz w:w="16838" w:h="11906" w:orient="landscape" w:code="9"/>
          <w:pgMar w:top="1440" w:right="1440" w:bottom="1440" w:left="1440" w:header="720" w:footer="720" w:gutter="0"/>
          <w:cols w:space="720"/>
          <w:docGrid w:linePitch="326"/>
        </w:sectPr>
      </w:pPr>
    </w:p>
    <w:p w14:paraId="5E74A71F" w14:textId="4AE047C7" w:rsidR="0033629A" w:rsidRDefault="004409CB">
      <w:pPr>
        <w:pStyle w:val="BodyText"/>
      </w:pPr>
      <w:bookmarkStart w:id="125" w:name="limitations"/>
      <w:bookmarkEnd w:id="99"/>
      <w:bookmarkEnd w:id="121"/>
      <w:r>
        <w:lastRenderedPageBreak/>
        <w:t xml:space="preserve">For some countries, PISA is not representative of the entire country. For instance, in China, the PISA exam only includes large and comparatively wealthier cities or regions, which skews the PISA scores upwards. This does not give an accurate picture of China because it is biased toward these types of regions while ignoring poorer or more rural areas. Furthermore, as the regions have shifted over time, longitudinal comparisons within China may not be as valid. China is not the only country this has occurred in. For example, in Argentina in 2015, only Buenos Aires was included in the PISA exam. The effect of this selection can easily be seen in Figure </w:t>
      </w:r>
      <w:hyperlink w:anchor="pisascores">
        <w:r>
          <w:fldChar w:fldCharType="begin"/>
        </w:r>
        <w:r>
          <w:instrText xml:space="preserve"> REF pisascores \h</w:instrText>
        </w:r>
        <w:r>
          <w:fldChar w:fldCharType="separate"/>
        </w:r>
        <w:r w:rsidR="00766923">
          <w:rPr>
            <w:b/>
            <w:noProof/>
          </w:rPr>
          <w:t>6</w:t>
        </w:r>
        <w:r>
          <w:fldChar w:fldCharType="end"/>
        </w:r>
      </w:hyperlink>
      <w:r>
        <w:t>, with the 2015 PISA score for Argentina standing out as a potential outlier.</w:t>
      </w:r>
    </w:p>
    <w:p w14:paraId="3C3C2E26" w14:textId="77777777" w:rsidR="0033629A" w:rsidRDefault="004409CB">
      <w:pPr>
        <w:pStyle w:val="BodyText"/>
      </w:pPr>
      <w:r>
        <w:t>Such issues can only be ameliorated by utilizing a measure of science education (or climate change education) that is more globally comprehensive. Unfortunately, the PISA exam seems to be the most globally comprehensive source of such a measure (</w:t>
      </w:r>
      <w:hyperlink w:anchor="ref-singer2018">
        <w:r>
          <w:rPr>
            <w:rStyle w:val="Hyperlink"/>
          </w:rPr>
          <w:t>Singer et al., 2018</w:t>
        </w:r>
      </w:hyperlink>
      <w:r>
        <w:t xml:space="preserve">). Thus far, the PISA has not made many inroads into middle- and lower-income nations, especially sub-Saharan Africa. There are </w:t>
      </w:r>
      <w:proofErr w:type="gramStart"/>
      <w:r>
        <w:t>a large number of</w:t>
      </w:r>
      <w:proofErr w:type="gramEnd"/>
      <w:r>
        <w:t xml:space="preserve"> financial, technical, and contextual challenges (social, political, and cultural) that make implementing such an assessment difficult (</w:t>
      </w:r>
      <w:hyperlink w:anchor="ref-lockheed2015">
        <w:r>
          <w:rPr>
            <w:rStyle w:val="Hyperlink"/>
          </w:rPr>
          <w:t>Lockheed et al., 2015</w:t>
        </w:r>
      </w:hyperlink>
      <w:r>
        <w:t xml:space="preserve">). Beyond the present research, a lack of </w:t>
      </w:r>
      <w:proofErr w:type="gramStart"/>
      <w:r>
        <w:t>internationally-comparable</w:t>
      </w:r>
      <w:proofErr w:type="gramEnd"/>
      <w:r>
        <w:t xml:space="preserve"> educational measurement efforts in Africa means that researchers must draw conclusions about education that ignores such an important part of the world (</w:t>
      </w:r>
      <w:hyperlink w:anchor="ref-rise2019">
        <w:r>
          <w:rPr>
            <w:rStyle w:val="Hyperlink"/>
          </w:rPr>
          <w:t>RISE, 2019, September 12</w:t>
        </w:r>
      </w:hyperlink>
      <w:r>
        <w:t>).</w:t>
      </w:r>
    </w:p>
    <w:p w14:paraId="6BC33222" w14:textId="66671732" w:rsidR="0033629A" w:rsidRDefault="004409CB">
      <w:pPr>
        <w:pStyle w:val="BodyText"/>
      </w:pPr>
      <w:r>
        <w:t xml:space="preserve">The limited number of countries available also limits the statistical power of the present research. In fact, statistical power - the ability to detect an effect if there is indeed an effect - for this study is limited by at least three different data constraints. Firstly, the number of countries participating in the PISA since scientific literacy was introduced is 98. This serves as a baseline number of countries that can be included in this research. Secondly, this research encompasses five assessment cycles carried out from 2006 to 2018. However, not all </w:t>
      </w:r>
      <w:r>
        <w:lastRenderedPageBreak/>
        <w:t>countries have participated in each of these cycles, which limits the number of longitudinal data points each country can have. In addition, if any country is missing data on the CO</w:t>
      </w:r>
      <w:r>
        <w:rPr>
          <w:vertAlign w:val="subscript"/>
        </w:rPr>
        <w:t>2</w:t>
      </w:r>
      <w:r>
        <w:t xml:space="preserve"> dependent variable for a year, that country-year combination must be removed from the analysis, though this issue is minimized due to comprehensive emissions databases. These restrictions meant only 82 countries could be included. In total, the final analysis has 328 observations spread across 82 countries, with each country having between 1 and 5 time points of data. While most (63%) of the sample participated five times, 30 countries participated in the PISA four or fewer times, with 9 countries only participating once (see Figure </w:t>
      </w:r>
      <w:hyperlink w:anchor="participation">
        <w:r>
          <w:fldChar w:fldCharType="begin"/>
        </w:r>
        <w:r>
          <w:instrText xml:space="preserve"> REF participation \h</w:instrText>
        </w:r>
        <w:r>
          <w:fldChar w:fldCharType="separate"/>
        </w:r>
        <w:r w:rsidR="00766923">
          <w:rPr>
            <w:b/>
            <w:noProof/>
          </w:rPr>
          <w:t>23</w:t>
        </w:r>
        <w:r>
          <w:fldChar w:fldCharType="end"/>
        </w:r>
      </w:hyperlink>
      <w:r>
        <w:t>). For the latter countries, that means the analyses are based on only one time-point. While these countries contribute information to the model for the year of their inclusion, little can be said about these countries and the impact of scientific literacy on CO</w:t>
      </w:r>
      <w:r>
        <w:rPr>
          <w:vertAlign w:val="subscript"/>
        </w:rPr>
        <w:t>2</w:t>
      </w:r>
      <w:r>
        <w:t xml:space="preserve"> emissions over time specifically (</w:t>
      </w:r>
      <w:hyperlink w:anchor="ref-hox2018">
        <w:r>
          <w:rPr>
            <w:rStyle w:val="Hyperlink"/>
          </w:rPr>
          <w:t>Hox et al., 2018</w:t>
        </w:r>
      </w:hyperlink>
      <w:r>
        <w:t>). The total of 328 observations spread across 82 groups still presents a limitation to the statistical power of the models. Considering both issues above and barring either finding a new metric or new PISA participants, the only way to improve statistical power is to repeat this analysis after several more assessment cycles have passed. This ensures that the number of data points countries have increased.</w:t>
      </w:r>
    </w:p>
    <w:p w14:paraId="3A672362" w14:textId="77777777" w:rsidR="0033629A" w:rsidRDefault="004409CB">
      <w:pPr>
        <w:pStyle w:val="BodyText"/>
      </w:pPr>
      <w:r>
        <w:t xml:space="preserve">While increased length of time examined would certainly improve statistical power of the model, another possible limitation is related to the PISA scores themselves. Recall that in 2015, the PISA shifted their IRT modeling process from a simple Rasch/PCM model to a more complex 2-PL/GPCM model to better account for the sophisticated nature of the test design and items. This suggests that scores prior to 2015 may not be fully compatible with scores estimated from 2015 onward. In other words, if scores prior to 2015 were re-estimated following the 2015 methods, the IRT models may produce slightly different final scores. This means PISA scores may not be completely comparable across years without some adjustment or re-estimation. In terms of the present research’s limitations, the possibility of longitudinal </w:t>
      </w:r>
      <w:r>
        <w:lastRenderedPageBreak/>
        <w:t xml:space="preserve">scores that are not completely comparable suggests there may be some minor levels of uncertainty in the independent variables, as scores for e.g., 2006 and 2015 may be different if they were scaled the same way. </w:t>
      </w:r>
      <w:hyperlink w:anchor="ref-robitzsch2019">
        <w:r>
          <w:rPr>
            <w:rStyle w:val="Hyperlink"/>
          </w:rPr>
          <w:t>Robitzsch &amp; Ludtke</w:t>
        </w:r>
      </w:hyperlink>
      <w:r>
        <w:t xml:space="preserve"> (</w:t>
      </w:r>
      <w:hyperlink w:anchor="ref-robitzsch2019">
        <w:r>
          <w:rPr>
            <w:rStyle w:val="Hyperlink"/>
          </w:rPr>
          <w:t>2019</w:t>
        </w:r>
      </w:hyperlink>
      <w:r>
        <w:t>) found that original and re-estimated scores often disagreed when examining 2006 and 2009 PISA data, though typically the disagreement was in the magnitude of the difference (</w:t>
      </w:r>
      <w:proofErr w:type="gramStart"/>
      <w:r>
        <w:t>e.g.</w:t>
      </w:r>
      <w:proofErr w:type="gramEnd"/>
      <w:r>
        <w:t> 3 vs 9 points) rather than the direction of the difference (increase vs decrease.)</w:t>
      </w:r>
    </w:p>
    <w:p w14:paraId="21C54922" w14:textId="3C353106" w:rsidR="0033629A" w:rsidRDefault="004409CB">
      <w:pPr>
        <w:pStyle w:val="BodyText"/>
      </w:pPr>
      <w:r>
        <w:t xml:space="preserve">The PISA does offer a linking error to correct for variability of how items function over time. However, little to no guidance is offered on how to use this metric in complex models. Re-estimation of PISA scientific literacy scores </w:t>
      </w:r>
      <w:proofErr w:type="gramStart"/>
      <w:r>
        <w:t>is</w:t>
      </w:r>
      <w:proofErr w:type="gramEnd"/>
      <w:r>
        <w:t xml:space="preserve"> another way to address this issue. One could fit hybrid IRT models using all scientific literacy data from 2006 onwards. However, even with a close following of the PISA methods and related literature </w:t>
      </w:r>
      <w:hyperlink w:anchor="ref-robitzsch2020">
        <w:r>
          <w:rPr>
            <w:rStyle w:val="Hyperlink"/>
          </w:rPr>
          <w:t>Robitzsch et al.</w:t>
        </w:r>
      </w:hyperlink>
      <w:r>
        <w:t xml:space="preserve"> (</w:t>
      </w:r>
      <w:hyperlink w:anchor="ref-robitzsch2020">
        <w:r>
          <w:rPr>
            <w:rStyle w:val="Hyperlink"/>
          </w:rPr>
          <w:t>2020</w:t>
        </w:r>
      </w:hyperlink>
      <w:r>
        <w:t>) such an attempt is difficult. One hurdle is computational power, as this analysis constitutes more than 2 million rows of information with around 400 columns of item data and hundreds more if one includes the supplementary data necessary to calculate covariates for the latent regression model. The PISA can take steps to make this easier by publishing re-estimated results following their newest procedure. This PISA 2015 technical report indicates this analysis has already been completed (</w:t>
      </w:r>
      <w:hyperlink w:anchor="ref-oecd2017a">
        <w:r>
          <w:rPr>
            <w:rStyle w:val="Hyperlink"/>
          </w:rPr>
          <w:t>OECD, 2017b</w:t>
        </w:r>
      </w:hyperlink>
      <w:r>
        <w:t>). Furthermore, the estimation can be made more transparent by providing reproducible code needed to estimate models using modern and freely available software (</w:t>
      </w:r>
      <w:proofErr w:type="gramStart"/>
      <w:r>
        <w:t>e.g.</w:t>
      </w:r>
      <w:proofErr w:type="gramEnd"/>
      <w:r>
        <w:t> R) as opposed to arcane packages with limited to no access or support.</w:t>
      </w:r>
    </w:p>
    <w:p w14:paraId="46FA6B38" w14:textId="0701C72A" w:rsidR="00026214" w:rsidRDefault="00A1728E">
      <w:pPr>
        <w:pStyle w:val="BodyText"/>
      </w:pPr>
      <w:r>
        <w:t xml:space="preserve">Accounting for linking error could reduce measurement error that occurs as item difficulty shifts over time or through different subgroups. Similarly, error in the form of uncertainty of </w:t>
      </w:r>
      <w:r w:rsidR="004650EB">
        <w:t>country scientific literacy scores</w:t>
      </w:r>
      <w:r>
        <w:t xml:space="preserve"> themselves is not directly accounted for in the model. When working with student-level data, the PISA has recommended estimating models separately for each plausible value and pooling results as if a multiply imputed model were fit </w:t>
      </w:r>
      <w:r>
        <w:lastRenderedPageBreak/>
        <w:t xml:space="preserve">(i.e., </w:t>
      </w:r>
      <w:r w:rsidR="00026214">
        <w:t xml:space="preserve">using </w:t>
      </w:r>
      <w:r>
        <w:t>Rubin’s rules</w:t>
      </w:r>
      <w:r w:rsidR="00026214">
        <w:t xml:space="preserve">; </w:t>
      </w:r>
      <w:hyperlink w:anchor="ref-jerrim2017">
        <w:r w:rsidR="00AB0014">
          <w:rPr>
            <w:rStyle w:val="Hyperlink"/>
          </w:rPr>
          <w:t>Jerrim et al., 2017</w:t>
        </w:r>
      </w:hyperlink>
      <w:r>
        <w:t xml:space="preserve">). This is one method to account for uncertainty, as the standard errors around each plausible value are estimated. The current model, however, estimates scores at the student </w:t>
      </w:r>
      <w:r w:rsidR="00E314BA">
        <w:t xml:space="preserve">level and includes weighted averages of plausible values rather than means and standard errors. </w:t>
      </w:r>
      <w:r w:rsidR="00026214">
        <w:t>The use of a metric that includes multiple plausible values accounts for some uncertainty error but perhaps not sufficiently (</w:t>
      </w:r>
      <w:hyperlink w:anchor="ref-jorgenson2014" w:history="1">
        <w:r w:rsidR="00026214" w:rsidRPr="0050133F">
          <w:rPr>
            <w:rStyle w:val="Hyperlink"/>
            <w:noProof w:val="0"/>
          </w:rPr>
          <w:t>Jerrim</w:t>
        </w:r>
        <w:r w:rsidR="0050133F" w:rsidRPr="0050133F">
          <w:rPr>
            <w:rStyle w:val="Hyperlink"/>
            <w:noProof w:val="0"/>
          </w:rPr>
          <w:t xml:space="preserve"> et al.</w:t>
        </w:r>
        <w:r w:rsidR="00026214" w:rsidRPr="0050133F">
          <w:rPr>
            <w:rStyle w:val="Hyperlink"/>
            <w:noProof w:val="0"/>
          </w:rPr>
          <w:t>, 2018</w:t>
        </w:r>
      </w:hyperlink>
      <w:r w:rsidR="00026214">
        <w:t xml:space="preserve">). </w:t>
      </w:r>
    </w:p>
    <w:p w14:paraId="5FA69975" w14:textId="32D40430" w:rsidR="00A1728E" w:rsidRDefault="00E314BA">
      <w:pPr>
        <w:pStyle w:val="BodyText"/>
      </w:pPr>
      <w:r>
        <w:t xml:space="preserve">Estimating a three-level model with scores over time nested within individuals who are nested within countries is one possible alternative to the model presently fit. However, </w:t>
      </w:r>
      <w:r w:rsidR="00026214">
        <w:t>this is not without its own missing data and interpretation problems. As the present analysis was concerned with measures at the country level, inclusion of a</w:t>
      </w:r>
      <w:r w:rsidR="004937DC">
        <w:t xml:space="preserve"> weighted mean of multiple plausible values seems the best approach. In addition, the weighted mean of plausible values has been shown to provide similar results as when all scores are used in the manner suggested by PISA (</w:t>
      </w:r>
      <w:hyperlink w:anchor="ref-andrew2021" w:history="1">
        <w:r w:rsidR="004937DC" w:rsidRPr="0050133F">
          <w:rPr>
            <w:rStyle w:val="Hyperlink"/>
            <w:noProof w:val="0"/>
          </w:rPr>
          <w:t>Aparicio et al., 2021</w:t>
        </w:r>
      </w:hyperlink>
      <w:r w:rsidR="004937DC">
        <w:t>).</w:t>
      </w:r>
    </w:p>
    <w:p w14:paraId="289371B9" w14:textId="6F072DA2" w:rsidR="0033629A" w:rsidRDefault="004409CB">
      <w:pPr>
        <w:pStyle w:val="BodyText"/>
      </w:pPr>
      <w:r>
        <w:t xml:space="preserve">A further limitation of the current research pertains to the research design itself. Figure </w:t>
      </w:r>
      <w:hyperlink w:anchor="allcor">
        <w:r>
          <w:fldChar w:fldCharType="begin"/>
        </w:r>
        <w:r>
          <w:instrText xml:space="preserve"> REF allcor \h</w:instrText>
        </w:r>
        <w:r>
          <w:fldChar w:fldCharType="separate"/>
        </w:r>
        <w:r w:rsidR="00766923">
          <w:rPr>
            <w:b/>
            <w:noProof/>
          </w:rPr>
          <w:t>16</w:t>
        </w:r>
        <w:r>
          <w:fldChar w:fldCharType="end"/>
        </w:r>
      </w:hyperlink>
      <w:r>
        <w:t xml:space="preserve"> indicated the correlations between all the variables included in the research. The correlation between scientific literacy and CO</w:t>
      </w:r>
      <w:r>
        <w:rPr>
          <w:vertAlign w:val="subscript"/>
        </w:rPr>
        <w:t>2</w:t>
      </w:r>
      <w:r>
        <w:t xml:space="preserve"> per capita was quite low, at </w:t>
      </w:r>
      <m:oMath>
        <m:r>
          <w:rPr>
            <w:rFonts w:ascii="Cambria Math" w:hAnsi="Cambria Math"/>
          </w:rPr>
          <m:t>r</m:t>
        </m:r>
        <m:r>
          <m:rPr>
            <m:sty m:val="p"/>
          </m:rPr>
          <w:rPr>
            <w:rFonts w:ascii="Cambria Math" w:hAnsi="Cambria Math"/>
          </w:rPr>
          <m:t>=</m:t>
        </m:r>
        <m:r>
          <w:rPr>
            <w:rFonts w:ascii="Cambria Math" w:hAnsi="Cambria Math"/>
          </w:rPr>
          <m:t>.19</m:t>
        </m:r>
      </m:oMath>
      <w:r>
        <w:t>. This suggests that there may be little detectable relationship between the two variables. This foreshadowed the non-significant and minor effects scientific literacy had in the models. One possibility for this is that there may be a longer lag effect than one year, as changes to CO</w:t>
      </w:r>
      <w:r>
        <w:rPr>
          <w:vertAlign w:val="subscript"/>
        </w:rPr>
        <w:t>2</w:t>
      </w:r>
      <w:r>
        <w:t xml:space="preserve"> from individual behaviors can take a longer time to trickle up. Including a longer lag on CO</w:t>
      </w:r>
      <w:r>
        <w:rPr>
          <w:vertAlign w:val="subscript"/>
        </w:rPr>
        <w:t>2</w:t>
      </w:r>
      <w:r>
        <w:t xml:space="preserve">, for example could better capture the </w:t>
      </w:r>
      <w:proofErr w:type="gramStart"/>
      <w:r>
        <w:t>long term</w:t>
      </w:r>
      <w:proofErr w:type="gramEnd"/>
      <w:r>
        <w:t xml:space="preserve"> effects of education. </w:t>
      </w:r>
      <w:r w:rsidR="00A81FE1">
        <w:t xml:space="preserve">However, </w:t>
      </w:r>
      <w:r w:rsidR="00A15210">
        <w:t>including longer lags introduces more confounders into the model, especially if the lag encompasses other PISA assessments. In this case, it would be difficult to disentangle the effects of one assessment from another. Likewise</w:t>
      </w:r>
      <w:r>
        <w:t>, it may be more difficult to associate any effect of education at age 15 with CO</w:t>
      </w:r>
      <w:r>
        <w:rPr>
          <w:vertAlign w:val="subscript"/>
        </w:rPr>
        <w:t>2</w:t>
      </w:r>
      <w:r>
        <w:t xml:space="preserve"> levels 5, 10, or 15 years later.</w:t>
      </w:r>
      <w:r w:rsidR="00A15210">
        <w:t xml:space="preserve"> The age at which individuals can take more climate-informed actions is unclear and likely varies by country.</w:t>
      </w:r>
    </w:p>
    <w:p w14:paraId="3B7E8DEA" w14:textId="77777777" w:rsidR="0033629A" w:rsidRDefault="004409CB">
      <w:pPr>
        <w:pStyle w:val="BodyText"/>
      </w:pPr>
      <w:r>
        <w:lastRenderedPageBreak/>
        <w:t>CO</w:t>
      </w:r>
      <w:r>
        <w:rPr>
          <w:vertAlign w:val="subscript"/>
        </w:rPr>
        <w:t>2</w:t>
      </w:r>
      <w:r>
        <w:t xml:space="preserve"> per capita itself may not be the best measure to understand how individual choices impact carbon emissions. Even though CO</w:t>
      </w:r>
      <w:r>
        <w:rPr>
          <w:vertAlign w:val="subscript"/>
        </w:rPr>
        <w:t>2</w:t>
      </w:r>
      <w:r>
        <w:t xml:space="preserve"> per capita is a </w:t>
      </w:r>
      <w:r>
        <w:rPr>
          <w:i/>
          <w:iCs/>
        </w:rPr>
        <w:t>per person</w:t>
      </w:r>
      <w:r>
        <w:t xml:space="preserve"> measure, it is really a measure of an entire nation’s emission profile, including that of industry, divided by population (</w:t>
      </w:r>
      <w:hyperlink w:anchor="ref-andrew2021">
        <w:r>
          <w:rPr>
            <w:rStyle w:val="Hyperlink"/>
          </w:rPr>
          <w:t>Andrew &amp; Peters, 2021</w:t>
        </w:r>
      </w:hyperlink>
      <w:r>
        <w:t>). That means it measures more than simply the carbon-generating activities of individuals.</w:t>
      </w:r>
    </w:p>
    <w:p w14:paraId="01171D55" w14:textId="77777777" w:rsidR="0033629A" w:rsidRDefault="004409CB">
      <w:pPr>
        <w:pStyle w:val="BodyText"/>
      </w:pPr>
      <w:r>
        <w:t>Measures more sensitive to individual activities may be more successful at capturing the effect of education and how that translates into individual and community choices. One such measure could be ecological footprint. A focus on CO</w:t>
      </w:r>
      <w:r>
        <w:rPr>
          <w:vertAlign w:val="subscript"/>
        </w:rPr>
        <w:t>2</w:t>
      </w:r>
      <w:r>
        <w:t xml:space="preserve"> emissions emphasizes the end product of activities, whereas ecological footprint serves as an indirect measure of the activities themselves, namely the land and water required to produce commodities that people consume (</w:t>
      </w:r>
      <w:hyperlink w:anchor="ref-dietz2007">
        <w:r>
          <w:rPr>
            <w:rStyle w:val="Hyperlink"/>
          </w:rPr>
          <w:t>Dietz, Rosa, et al., 2007</w:t>
        </w:r>
      </w:hyperlink>
      <w:r>
        <w:t xml:space="preserve">; </w:t>
      </w:r>
      <w:hyperlink w:anchor="ref-jorgenson2003">
        <w:r>
          <w:rPr>
            <w:rStyle w:val="Hyperlink"/>
          </w:rPr>
          <w:t>Jorgenson, 2003</w:t>
        </w:r>
      </w:hyperlink>
      <w:r>
        <w:t>). In other words, this measure may more closely represent individual consumption, which in turn can influence climate change as well as other ecological issues. Future research could use such a measure in its aggregated or disaggregated form and build an argument in which science education influences consumption behaviors. Research can focus on climate change, or, because ecological footprint is related to environmental issues broadly, other concerns such as deforestation or resource use. While carbon emissions are a more narrow metric, they also may be affected by non-consumption-based activities such as voting and policy support (</w:t>
      </w:r>
      <w:hyperlink w:anchor="ref-wynes2021">
        <w:r>
          <w:rPr>
            <w:rStyle w:val="Hyperlink"/>
          </w:rPr>
          <w:t>Wynes et al., 2021</w:t>
        </w:r>
      </w:hyperlink>
      <w:r>
        <w:t>) or may be reduced via a shift to sustainable energy consumption (</w:t>
      </w:r>
      <w:hyperlink w:anchor="ref-sharma2021">
        <w:r>
          <w:rPr>
            <w:rStyle w:val="Hyperlink"/>
          </w:rPr>
          <w:t>R. Sharma et al., 2021</w:t>
        </w:r>
      </w:hyperlink>
      <w:r>
        <w:t>).</w:t>
      </w:r>
    </w:p>
    <w:p w14:paraId="6ECCF8C1" w14:textId="77777777" w:rsidR="0033629A" w:rsidRDefault="004409CB">
      <w:pPr>
        <w:pStyle w:val="BodyText"/>
      </w:pPr>
      <w:r>
        <w:t xml:space="preserve">The use of the IVS (Integrated Values Survey) to derive a left-right political orientation scale also poses a potential limitation for that </w:t>
      </w:r>
      <w:proofErr w:type="gramStart"/>
      <w:r>
        <w:t>particular variable</w:t>
      </w:r>
      <w:proofErr w:type="gramEnd"/>
      <w:r>
        <w:t xml:space="preserve">. The use of this variable was based on </w:t>
      </w:r>
      <w:hyperlink w:anchor="ref-czarnekRightwingIdeologyReduces2021">
        <w:r>
          <w:rPr>
            <w:rStyle w:val="Hyperlink"/>
          </w:rPr>
          <w:t>Czarnek et al.</w:t>
        </w:r>
      </w:hyperlink>
      <w:r>
        <w:t xml:space="preserve"> (</w:t>
      </w:r>
      <w:hyperlink w:anchor="ref-czarnekRightwingIdeologyReduces2021">
        <w:r>
          <w:rPr>
            <w:rStyle w:val="Hyperlink"/>
          </w:rPr>
          <w:t>2021</w:t>
        </w:r>
      </w:hyperlink>
      <w:r>
        <w:t>), who chose for their main analysis a single question from the IVS regarding self-placement on the left-right scale. This question, however, may not be comparable across countries and cultures, as the anchor terms “left” and “right” may have different meanings (</w:t>
      </w:r>
      <w:hyperlink w:anchor="ref-zuell2019">
        <w:r>
          <w:rPr>
            <w:rStyle w:val="Hyperlink"/>
          </w:rPr>
          <w:t>Zuell &amp; Scholz, 2019</w:t>
        </w:r>
      </w:hyperlink>
      <w:r>
        <w:t xml:space="preserve">). For their supplementary </w:t>
      </w:r>
      <w:r>
        <w:lastRenderedPageBreak/>
        <w:t xml:space="preserve">analysis, </w:t>
      </w:r>
      <w:hyperlink w:anchor="ref-czarnekRightwingIdeologyReduces2021">
        <w:r>
          <w:rPr>
            <w:rStyle w:val="Hyperlink"/>
          </w:rPr>
          <w:t>Czarnek et al.</w:t>
        </w:r>
      </w:hyperlink>
      <w:r>
        <w:t xml:space="preserve"> (</w:t>
      </w:r>
      <w:hyperlink w:anchor="ref-czarnekRightwingIdeologyReduces2021">
        <w:r>
          <w:rPr>
            <w:rStyle w:val="Hyperlink"/>
          </w:rPr>
          <w:t>2021</w:t>
        </w:r>
      </w:hyperlink>
      <w:r>
        <w:t xml:space="preserve">) chose a number of variables they </w:t>
      </w:r>
      <w:r>
        <w:rPr>
          <w:i/>
          <w:iCs/>
        </w:rPr>
        <w:t>thought</w:t>
      </w:r>
      <w:r>
        <w:t xml:space="preserve"> were associated with different aspects of left-right ideology. The present dissertation utilized the same items, in addition to several others, and sought to derive a scale that was more </w:t>
      </w:r>
      <w:proofErr w:type="gramStart"/>
      <w:r>
        <w:t>empirically-based</w:t>
      </w:r>
      <w:proofErr w:type="gramEnd"/>
      <w:r>
        <w:t xml:space="preserve"> in the data. This was done through factor analysis. The final scale used three questions and had an Chronbach’s alpha of .61. This may be considered </w:t>
      </w:r>
      <w:proofErr w:type="gramStart"/>
      <w:r>
        <w:t>acceptable, but</w:t>
      </w:r>
      <w:proofErr w:type="gramEnd"/>
      <w:r>
        <w:t xml:space="preserve"> is quite low. The low alpha suggests a scale with more items that </w:t>
      </w:r>
      <w:proofErr w:type="gramStart"/>
      <w:r>
        <w:t>strongly-associated</w:t>
      </w:r>
      <w:proofErr w:type="gramEnd"/>
      <w:r>
        <w:t xml:space="preserve"> items would provide a better measure of political ideology (</w:t>
      </w:r>
      <w:hyperlink w:anchor="ref-furr2014">
        <w:r>
          <w:rPr>
            <w:rStyle w:val="Hyperlink"/>
          </w:rPr>
          <w:t>Furr &amp; Bacharach</w:t>
        </w:r>
      </w:hyperlink>
      <w:r>
        <w:t xml:space="preserve"> (</w:t>
      </w:r>
      <w:hyperlink w:anchor="ref-furr2014">
        <w:r>
          <w:rPr>
            <w:rStyle w:val="Hyperlink"/>
          </w:rPr>
          <w:t>2014</w:t>
        </w:r>
      </w:hyperlink>
      <w:r>
        <w:t xml:space="preserve">)). Establishing such a scale was beyond the scope of this dissertation. Future researchers, on the other hand, can better explore the IVS for additional items that form a </w:t>
      </w:r>
      <w:proofErr w:type="gramStart"/>
      <w:r>
        <w:t>highly-reliable</w:t>
      </w:r>
      <w:proofErr w:type="gramEnd"/>
      <w:r>
        <w:t xml:space="preserve"> unidimensional scale of ideology. Or, researchers can find a different source for ideological affiliation altogether, though few sources are as globally and temporally comprehensive as the IVS.</w:t>
      </w:r>
    </w:p>
    <w:p w14:paraId="486FEAC4" w14:textId="3C91E445" w:rsidR="0033629A" w:rsidRDefault="004409CB">
      <w:pPr>
        <w:pStyle w:val="BodyText"/>
      </w:pPr>
      <w:r>
        <w:t>A final limitation is related to the internal validity of the research (</w:t>
      </w:r>
      <w:hyperlink w:anchor="ref-shadish2002">
        <w:r>
          <w:rPr>
            <w:rStyle w:val="Hyperlink"/>
          </w:rPr>
          <w:t>Shadish et al., 2002</w:t>
        </w:r>
      </w:hyperlink>
      <w:r>
        <w:t xml:space="preserve">). The study design is based on existing and non-manipulatable data. The design relies on detecting and quantifying the associations among the variables given the data. In other words, the study is correlational in nature. This means that the results can only be interpreted as relationships rather than cause and effect. </w:t>
      </w:r>
      <w:proofErr w:type="gramStart"/>
      <w:r>
        <w:t>In order to</w:t>
      </w:r>
      <w:proofErr w:type="gramEnd"/>
      <w:r>
        <w:t xml:space="preserve"> make causal claims, a research study would need to be designed such that it is entirely clear the temporal relationship between science education and carbon emissions. In addition, the design would need to ensure all variables that need to be included are </w:t>
      </w:r>
      <w:proofErr w:type="gramStart"/>
      <w:r>
        <w:t>so as to</w:t>
      </w:r>
      <w:proofErr w:type="gramEnd"/>
      <w:r>
        <w:t xml:space="preserve"> rule out alternative explanations. Using secondary data from international large -n statistical methods allow causal inference from non-experimental research (</w:t>
      </w:r>
      <w:hyperlink w:anchor="ref-cordero2018">
        <w:r>
          <w:rPr>
            <w:rStyle w:val="Hyperlink"/>
          </w:rPr>
          <w:t>J. M. Cordero et al., 2018</w:t>
        </w:r>
      </w:hyperlink>
      <w:r>
        <w:t xml:space="preserve">). However, causal inference from observational data is not appropriate for every research question. The conceptual framework of the current study (Figure </w:t>
      </w:r>
      <w:hyperlink w:anchor="tpd">
        <w:r>
          <w:fldChar w:fldCharType="begin"/>
        </w:r>
        <w:r>
          <w:instrText xml:space="preserve"> REF tpd \h</w:instrText>
        </w:r>
        <w:r>
          <w:fldChar w:fldCharType="separate"/>
        </w:r>
        <w:r w:rsidR="00766923">
          <w:rPr>
            <w:b/>
            <w:noProof/>
          </w:rPr>
          <w:t>1</w:t>
        </w:r>
        <w:r>
          <w:fldChar w:fldCharType="end"/>
        </w:r>
      </w:hyperlink>
      <w:r>
        <w:t>), which encompasses individual, national, and international levels of analysis, may be too complex to lend itself to causal inference from observational data.</w:t>
      </w:r>
    </w:p>
    <w:p w14:paraId="54565CD7" w14:textId="77777777" w:rsidR="0033629A" w:rsidRDefault="004409CB" w:rsidP="003E1682">
      <w:pPr>
        <w:pStyle w:val="Figure"/>
        <w:ind w:left="0"/>
        <w:jc w:val="center"/>
      </w:pPr>
      <w:r>
        <w:rPr>
          <w:noProof/>
        </w:rPr>
        <w:lastRenderedPageBreak/>
        <w:drawing>
          <wp:inline distT="0" distB="0" distL="0" distR="0" wp14:anchorId="0C75442A" wp14:editId="09C4BCA1">
            <wp:extent cx="5486400" cy="27432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
                    <pic:cNvPicPr>
                      <a:picLocks noChangeAspect="1" noChangeArrowheads="1"/>
                    </pic:cNvPicPr>
                  </pic:nvPicPr>
                  <pic:blipFill>
                    <a:blip r:embed="rId97"/>
                    <a:srcRect/>
                    <a:stretch>
                      <a:fillRect/>
                    </a:stretch>
                  </pic:blipFill>
                  <pic:spPr bwMode="auto">
                    <a:xfrm>
                      <a:off x="0" y="0"/>
                      <a:ext cx="76200" cy="38100"/>
                    </a:xfrm>
                    <a:prstGeom prst="rect">
                      <a:avLst/>
                    </a:prstGeom>
                    <a:noFill/>
                  </pic:spPr>
                </pic:pic>
              </a:graphicData>
            </a:graphic>
          </wp:inline>
        </w:drawing>
      </w:r>
    </w:p>
    <w:p w14:paraId="10347734" w14:textId="19639C2E" w:rsidR="0033629A" w:rsidRDefault="004409CB">
      <w:pPr>
        <w:pStyle w:val="ImageCaption"/>
      </w:pPr>
      <w:bookmarkStart w:id="126" w:name="_Toc105675537"/>
      <w:r>
        <w:rPr>
          <w:b/>
        </w:rPr>
        <w:t xml:space="preserve">Figure </w:t>
      </w:r>
      <w:bookmarkStart w:id="127" w:name="includedmap"/>
      <w:r>
        <w:rPr>
          <w:b/>
        </w:rPr>
        <w:fldChar w:fldCharType="begin"/>
      </w:r>
      <w:r>
        <w:rPr>
          <w:b/>
        </w:rPr>
        <w:instrText>SEQ Figure \* Arabic</w:instrText>
      </w:r>
      <w:r>
        <w:rPr>
          <w:b/>
        </w:rPr>
        <w:fldChar w:fldCharType="separate"/>
      </w:r>
      <w:r w:rsidR="00766923">
        <w:rPr>
          <w:b/>
          <w:noProof/>
        </w:rPr>
        <w:t>22</w:t>
      </w:r>
      <w:r>
        <w:rPr>
          <w:b/>
        </w:rPr>
        <w:fldChar w:fldCharType="end"/>
      </w:r>
      <w:bookmarkEnd w:id="127"/>
      <w:r>
        <w:t>: Map of countries included in sample.</w:t>
      </w:r>
      <w:bookmarkEnd w:id="126"/>
    </w:p>
    <w:p w14:paraId="28A8F720" w14:textId="77777777" w:rsidR="00781BB7" w:rsidRDefault="00781BB7">
      <w:pPr>
        <w:pStyle w:val="ImageCaption"/>
      </w:pPr>
    </w:p>
    <w:p w14:paraId="6CCC418A" w14:textId="72FB4DA8" w:rsidR="00A10028" w:rsidRDefault="00A10028">
      <w:pPr>
        <w:pStyle w:val="ImageCaption"/>
      </w:pPr>
    </w:p>
    <w:p w14:paraId="2DDF100E" w14:textId="77777777" w:rsidR="00A10028" w:rsidRDefault="00A10028">
      <w:pPr>
        <w:pStyle w:val="ImageCaption"/>
      </w:pPr>
    </w:p>
    <w:p w14:paraId="47CDCA3A" w14:textId="77777777" w:rsidR="0033629A" w:rsidRDefault="004409CB">
      <w:pPr>
        <w:pStyle w:val="Figure"/>
        <w:jc w:val="center"/>
      </w:pPr>
      <w:r>
        <w:rPr>
          <w:noProof/>
        </w:rPr>
        <w:drawing>
          <wp:inline distT="0" distB="0" distL="0" distR="0" wp14:anchorId="5B8516E5" wp14:editId="6E00EEDC">
            <wp:extent cx="4571149" cy="1859028"/>
            <wp:effectExtent l="0" t="0" r="1270" b="825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
                    <pic:cNvPicPr>
                      <a:picLocks noChangeAspect="1" noChangeArrowheads="1"/>
                    </pic:cNvPicPr>
                  </pic:nvPicPr>
                  <pic:blipFill>
                    <a:blip r:embed="rId98"/>
                    <a:srcRect/>
                    <a:stretch>
                      <a:fillRect/>
                    </a:stretch>
                  </pic:blipFill>
                  <pic:spPr bwMode="auto">
                    <a:xfrm>
                      <a:off x="0" y="0"/>
                      <a:ext cx="63575" cy="25855"/>
                    </a:xfrm>
                    <a:prstGeom prst="rect">
                      <a:avLst/>
                    </a:prstGeom>
                    <a:noFill/>
                  </pic:spPr>
                </pic:pic>
              </a:graphicData>
            </a:graphic>
          </wp:inline>
        </w:drawing>
      </w:r>
    </w:p>
    <w:p w14:paraId="3CD3DFB9" w14:textId="56D93D4B" w:rsidR="0033629A" w:rsidRDefault="004409CB">
      <w:pPr>
        <w:pStyle w:val="ImageCaption"/>
      </w:pPr>
      <w:bookmarkStart w:id="128" w:name="_Toc105675538"/>
      <w:r>
        <w:rPr>
          <w:b/>
        </w:rPr>
        <w:t xml:space="preserve">Figure </w:t>
      </w:r>
      <w:bookmarkStart w:id="129" w:name="participation"/>
      <w:r>
        <w:rPr>
          <w:b/>
        </w:rPr>
        <w:fldChar w:fldCharType="begin"/>
      </w:r>
      <w:r>
        <w:rPr>
          <w:b/>
        </w:rPr>
        <w:instrText>SEQ Figure \* Arabic</w:instrText>
      </w:r>
      <w:r>
        <w:rPr>
          <w:b/>
        </w:rPr>
        <w:fldChar w:fldCharType="separate"/>
      </w:r>
      <w:r w:rsidR="00766923">
        <w:rPr>
          <w:b/>
          <w:noProof/>
        </w:rPr>
        <w:t>23</w:t>
      </w:r>
      <w:r>
        <w:rPr>
          <w:b/>
        </w:rPr>
        <w:fldChar w:fldCharType="end"/>
      </w:r>
      <w:bookmarkEnd w:id="129"/>
      <w:r>
        <w:t>: Number of countries by number of times they participated in the PISA</w:t>
      </w:r>
      <w:bookmarkEnd w:id="128"/>
    </w:p>
    <w:p w14:paraId="273A8F14" w14:textId="77777777" w:rsidR="0033629A" w:rsidRDefault="004409CB">
      <w:pPr>
        <w:pStyle w:val="BodyText"/>
      </w:pPr>
      <w:r>
        <w:br w:type="page"/>
      </w:r>
    </w:p>
    <w:p w14:paraId="0C8FC810" w14:textId="77777777" w:rsidR="0033629A" w:rsidRDefault="004409CB">
      <w:pPr>
        <w:pStyle w:val="Heading1"/>
      </w:pPr>
      <w:bookmarkStart w:id="130" w:name="_Toc107939127"/>
      <w:bookmarkStart w:id="131" w:name="chapter-five-discussion-and-conclusion"/>
      <w:bookmarkEnd w:id="97"/>
      <w:bookmarkEnd w:id="125"/>
      <w:r>
        <w:lastRenderedPageBreak/>
        <w:t>CHAPTER FIVE: Discussion and Conclusion</w:t>
      </w:r>
      <w:bookmarkEnd w:id="130"/>
    </w:p>
    <w:p w14:paraId="02FAC078" w14:textId="77777777" w:rsidR="0033629A" w:rsidRDefault="004409CB">
      <w:pPr>
        <w:pStyle w:val="FirstParagraph"/>
      </w:pPr>
      <w:r>
        <w:t xml:space="preserve">This final chapter focuses on interpreting the statistical results. </w:t>
      </w:r>
      <w:proofErr w:type="gramStart"/>
      <w:r>
        <w:t>In particular, results</w:t>
      </w:r>
      <w:proofErr w:type="gramEnd"/>
      <w:r>
        <w:t xml:space="preserve"> are explicitly connected back to the research questions the methods aimed to answer. Results are discussed within the context of the conceptual framework and the relevant literature base. Following the discussion, implications for policy and future research will be considered. Finally, the conclusion section condenses the previous chapters into a summary that provides an adroit climax to the whole project.</w:t>
      </w:r>
    </w:p>
    <w:p w14:paraId="68B666FA" w14:textId="77777777" w:rsidR="0033629A" w:rsidRDefault="004409CB">
      <w:pPr>
        <w:pStyle w:val="Heading2"/>
      </w:pPr>
      <w:bookmarkStart w:id="132" w:name="_Toc107939128"/>
      <w:bookmarkStart w:id="133" w:name="discussion"/>
      <w:r>
        <w:t>Discussion</w:t>
      </w:r>
      <w:bookmarkEnd w:id="132"/>
    </w:p>
    <w:p w14:paraId="3899652E" w14:textId="77777777" w:rsidR="0033629A" w:rsidRDefault="004409CB">
      <w:pPr>
        <w:pStyle w:val="FirstParagraph"/>
      </w:pPr>
      <w:r>
        <w:t>The conceptual framework put forth in Chapters 2 and 3 detailed a “trickle-up” process by which changes in understanding climate change through increased scientific literacy can influence individual beliefs and behaviors. These individual changes can then go on to affect family and friends, community, and even one’s nation through shifts in behaviors, norms, and policy support. These shifts, in turn, can culminate in decreases in carbon emissions for a country. Based on prior literature and research, such a concept is realistic. Yet, no analysis has attempted to empirically assess it. The point of this dissertation was to measure these relationships and understand how they may differ by economic development status and gender, both of which have differential relationships to various aspects of climate change.</w:t>
      </w:r>
    </w:p>
    <w:p w14:paraId="6FCB76D1" w14:textId="7CD2B76E" w:rsidR="0033629A" w:rsidRDefault="004409CB">
      <w:pPr>
        <w:pStyle w:val="BodyText"/>
      </w:pPr>
      <w:r>
        <w:t>Research question one explored whether a relationship existed between changes in scientific literacy as measured by the PISA and per capita CO</w:t>
      </w:r>
      <w:r>
        <w:rPr>
          <w:vertAlign w:val="subscript"/>
        </w:rPr>
        <w:t>2</w:t>
      </w:r>
      <w:r>
        <w:t xml:space="preserve"> emissions. The multilevel growth model that was estimated attempted to answer that question by examining the association between scientific literacy and CO</w:t>
      </w:r>
      <w:r>
        <w:rPr>
          <w:vertAlign w:val="subscript"/>
        </w:rPr>
        <w:t>2</w:t>
      </w:r>
      <w:r>
        <w:t xml:space="preserve">, holding </w:t>
      </w:r>
      <w:proofErr w:type="gramStart"/>
      <w:r>
        <w:t>a number of</w:t>
      </w:r>
      <w:proofErr w:type="gramEnd"/>
      <w:r>
        <w:t xml:space="preserve"> theoretically determined variables constant as a means to isolate the effect of scientific literacy. Furthermore, scientific literacy itself was separated into two distinct measures </w:t>
      </w:r>
      <w:proofErr w:type="gramStart"/>
      <w:r>
        <w:t>in order to</w:t>
      </w:r>
      <w:proofErr w:type="gramEnd"/>
      <w:r>
        <w:t xml:space="preserve"> isolate the within-country </w:t>
      </w:r>
      <w:r>
        <w:lastRenderedPageBreak/>
        <w:t>and between-country effects. The within-country effects (</w:t>
      </w:r>
      <w:r>
        <w:rPr>
          <w:i/>
          <w:iCs/>
        </w:rPr>
        <w:t>scientific literacy within</w:t>
      </w:r>
      <w:r>
        <w:t>) allow examination of how a country’s fluctuations in scientific literacy scores are related to CO</w:t>
      </w:r>
      <w:r>
        <w:rPr>
          <w:vertAlign w:val="subscript"/>
        </w:rPr>
        <w:t>2</w:t>
      </w:r>
      <w:r>
        <w:t>. The between-country effects (</w:t>
      </w:r>
      <w:r>
        <w:rPr>
          <w:i/>
          <w:iCs/>
        </w:rPr>
        <w:t>scientific literacy between</w:t>
      </w:r>
      <w:r>
        <w:t>) allow comparison of average CO</w:t>
      </w:r>
      <w:r>
        <w:rPr>
          <w:vertAlign w:val="subscript"/>
        </w:rPr>
        <w:t>2</w:t>
      </w:r>
      <w:r>
        <w:t xml:space="preserve"> emissions per capita across countries. Figure </w:t>
      </w:r>
      <w:hyperlink w:anchor="bwwi">
        <w:r>
          <w:fldChar w:fldCharType="begin"/>
        </w:r>
        <w:r>
          <w:instrText xml:space="preserve"> REF bwwi \h</w:instrText>
        </w:r>
        <w:r>
          <w:fldChar w:fldCharType="separate"/>
        </w:r>
        <w:r w:rsidR="00766923">
          <w:rPr>
            <w:b/>
            <w:noProof/>
          </w:rPr>
          <w:t>24</w:t>
        </w:r>
        <w:r>
          <w:fldChar w:fldCharType="end"/>
        </w:r>
      </w:hyperlink>
      <w:r>
        <w:t xml:space="preserve"> depicts this difference clearly. The colored lines represent the estimated effects for individual countries while the black line represents the effect for all countries.</w:t>
      </w:r>
    </w:p>
    <w:p w14:paraId="6B9A1959" w14:textId="74150693" w:rsidR="0033629A" w:rsidRDefault="004409CB">
      <w:pPr>
        <w:pStyle w:val="BodyText"/>
      </w:pPr>
      <w:r>
        <w:t>Overall, the results indicated that there was a statistically significant relationship between scientific literacy and CO</w:t>
      </w:r>
      <w:r>
        <w:rPr>
          <w:vertAlign w:val="subscript"/>
        </w:rPr>
        <w:t>2</w:t>
      </w:r>
      <w:r>
        <w:t xml:space="preserve"> per capita when comparing between countries. </w:t>
      </w:r>
      <w:proofErr w:type="gramStart"/>
      <w:r>
        <w:t>In particular, a</w:t>
      </w:r>
      <w:proofErr w:type="gramEnd"/>
      <w:r>
        <w:t xml:space="preserve"> 1-point increase in average scientific literacy is associated with a 0.45% increase in CO</w:t>
      </w:r>
      <w:r>
        <w:rPr>
          <w:vertAlign w:val="subscript"/>
        </w:rPr>
        <w:t>2</w:t>
      </w:r>
      <w:r>
        <w:t xml:space="preserve"> per capita. By any measure, the effect of scientific literacy on CO</w:t>
      </w:r>
      <w:r>
        <w:rPr>
          <w:vertAlign w:val="subscript"/>
        </w:rPr>
        <w:t>2</w:t>
      </w:r>
      <w:r>
        <w:t xml:space="preserve"> is negligible. Still, the effect is positive whereas the conceptual framework indicates it should be negative. One way to interpret the scientific literacy between effect </w:t>
      </w:r>
      <w:r w:rsidR="004179C6">
        <w:t xml:space="preserve">is </w:t>
      </w:r>
      <w:r>
        <w:t xml:space="preserve">as </w:t>
      </w:r>
      <w:r w:rsidR="004179C6">
        <w:t>an effect</w:t>
      </w:r>
      <w:r>
        <w:t xml:space="preserve"> that indicates that countries with higher average scientific literacy have higher CO</w:t>
      </w:r>
      <w:r>
        <w:rPr>
          <w:vertAlign w:val="subscript"/>
        </w:rPr>
        <w:t>2</w:t>
      </w:r>
      <w:r>
        <w:t xml:space="preserve"> emissions. When considered this way, it can be argued that what is driving CO</w:t>
      </w:r>
      <w:r>
        <w:rPr>
          <w:vertAlign w:val="subscript"/>
        </w:rPr>
        <w:t>2</w:t>
      </w:r>
      <w:r>
        <w:t xml:space="preserve"> is not scientific literacy but a characteristic of these countries that have higher average scores.</w:t>
      </w:r>
      <w:r w:rsidR="005A468D">
        <w:t xml:space="preserve"> Indeed, this reflects findings by </w:t>
      </w:r>
      <w:hyperlink w:anchor="ref-jorgenson2003" w:history="1">
        <w:r w:rsidR="005A468D" w:rsidRPr="005A468D">
          <w:rPr>
            <w:rStyle w:val="Hyperlink"/>
            <w:noProof w:val="0"/>
          </w:rPr>
          <w:t>Jorgenson (2003</w:t>
        </w:r>
      </w:hyperlink>
      <w:r w:rsidR="005A468D">
        <w:t xml:space="preserve">; </w:t>
      </w:r>
      <w:hyperlink w:anchor="ref-jorgenson2005" w:history="1">
        <w:r w:rsidR="005A468D" w:rsidRPr="005A468D">
          <w:rPr>
            <w:rStyle w:val="Hyperlink"/>
            <w:noProof w:val="0"/>
          </w:rPr>
          <w:t>2005</w:t>
        </w:r>
      </w:hyperlink>
      <w:r w:rsidR="005A468D">
        <w:t xml:space="preserve">) and </w:t>
      </w:r>
      <w:hyperlink w:anchor="ref-mayer2013" w:history="1">
        <w:r w:rsidR="005A468D" w:rsidRPr="005A468D">
          <w:rPr>
            <w:rStyle w:val="Hyperlink"/>
            <w:noProof w:val="0"/>
          </w:rPr>
          <w:t>Mayer (2013)</w:t>
        </w:r>
      </w:hyperlink>
      <w:r w:rsidR="005A468D">
        <w:t>, who also found increases in education to be related to higher emissions.</w:t>
      </w:r>
      <w:r w:rsidR="004179C6">
        <w:t xml:space="preserve"> </w:t>
      </w:r>
      <w:hyperlink w:anchor="ref-jorgenson2003" w:history="1">
        <w:r w:rsidR="004179C6" w:rsidRPr="005A468D">
          <w:rPr>
            <w:rStyle w:val="Hyperlink"/>
            <w:noProof w:val="0"/>
          </w:rPr>
          <w:t>Jorgenson (200</w:t>
        </w:r>
        <w:r w:rsidR="004179C6">
          <w:rPr>
            <w:rStyle w:val="Hyperlink"/>
            <w:noProof w:val="0"/>
          </w:rPr>
          <w:t>3)</w:t>
        </w:r>
      </w:hyperlink>
      <w:r w:rsidR="004179C6">
        <w:t xml:space="preserve"> explains that higher education can lead to increased consumption via higher incomes, which in turn leads to higher emissions. In other words, affluence or economic growth can help explain the relationship between the scientific literacy scores across countries and those country’s emissions. </w:t>
      </w:r>
    </w:p>
    <w:p w14:paraId="11CB5B0E" w14:textId="152CBD70" w:rsidR="0033629A" w:rsidRDefault="004409CB">
      <w:pPr>
        <w:pStyle w:val="BodyText"/>
      </w:pPr>
      <w:r>
        <w:t xml:space="preserve">Figure </w:t>
      </w:r>
      <w:hyperlink w:anchor="co2slgdp">
        <w:r>
          <w:fldChar w:fldCharType="begin"/>
        </w:r>
        <w:r>
          <w:instrText xml:space="preserve"> REF co2slgdp \h</w:instrText>
        </w:r>
        <w:r>
          <w:fldChar w:fldCharType="separate"/>
        </w:r>
        <w:r w:rsidR="00766923">
          <w:rPr>
            <w:b/>
            <w:noProof/>
          </w:rPr>
          <w:t>25</w:t>
        </w:r>
        <w:r>
          <w:fldChar w:fldCharType="end"/>
        </w:r>
      </w:hyperlink>
      <w:r>
        <w:t xml:space="preserve"> explains this further. On the vertical y-axis is CO</w:t>
      </w:r>
      <w:r>
        <w:rPr>
          <w:vertAlign w:val="subscript"/>
        </w:rPr>
        <w:t>2</w:t>
      </w:r>
      <w:r>
        <w:t xml:space="preserve"> per capita. On the x-axis is scientific literacy scores. The dots represent individual countries. They are colored according to their region and sized based on their GDP per capita, with larger circles representing countries with higher GDP. The black vertical line represents average scientific literacy scores. The black horizontal line represents average CO</w:t>
      </w:r>
      <w:r>
        <w:rPr>
          <w:vertAlign w:val="subscript"/>
        </w:rPr>
        <w:t>2</w:t>
      </w:r>
      <w:r>
        <w:t xml:space="preserve"> per capita. The plot is </w:t>
      </w:r>
      <w:r>
        <w:lastRenderedPageBreak/>
        <w:t>separated into OECD and Non-OECD panels. As depicted in the figure, most OECD nations have above-average scientific literacy scores and have above average CO</w:t>
      </w:r>
      <w:r>
        <w:rPr>
          <w:vertAlign w:val="subscript"/>
        </w:rPr>
        <w:t>2</w:t>
      </w:r>
      <w:r>
        <w:t xml:space="preserve"> emissions. These nations also tend to have high GDPs. We can also see </w:t>
      </w:r>
      <w:proofErr w:type="gramStart"/>
      <w:r>
        <w:t>a number of</w:t>
      </w:r>
      <w:proofErr w:type="gramEnd"/>
      <w:r>
        <w:t xml:space="preserve"> middle-income nations. We also find that nations below average on these two measures typically have lower GDPs and lower scientific literacy scores. While there are nations that deviate, the overall pattern suggests that GDP drives emissions rather than scientific literacy. This is further evidenced by examining the correlations (Figure </w:t>
      </w:r>
      <w:hyperlink w:anchor="allcor">
        <w:r>
          <w:fldChar w:fldCharType="begin"/>
        </w:r>
        <w:r>
          <w:instrText xml:space="preserve"> REF allcor \h</w:instrText>
        </w:r>
        <w:r>
          <w:fldChar w:fldCharType="separate"/>
        </w:r>
        <w:r w:rsidR="00766923">
          <w:rPr>
            <w:b/>
            <w:noProof/>
          </w:rPr>
          <w:t>16</w:t>
        </w:r>
        <w:r>
          <w:fldChar w:fldCharType="end"/>
        </w:r>
      </w:hyperlink>
      <w:r>
        <w:t>: GDP has a strong correlation to both scientific literacy (.51) and CO</w:t>
      </w:r>
      <w:r>
        <w:rPr>
          <w:vertAlign w:val="subscript"/>
        </w:rPr>
        <w:t>2</w:t>
      </w:r>
      <w:r>
        <w:t xml:space="preserve"> per capita (.47) whereas scientific literacy has a weak correlation with CO</w:t>
      </w:r>
      <w:r>
        <w:rPr>
          <w:vertAlign w:val="subscript"/>
        </w:rPr>
        <w:t>2</w:t>
      </w:r>
      <w:r>
        <w:t xml:space="preserve"> (.19).</w:t>
      </w:r>
    </w:p>
    <w:p w14:paraId="4170D4F8" w14:textId="77777777" w:rsidR="0033629A" w:rsidRDefault="004409CB">
      <w:pPr>
        <w:pStyle w:val="BodyText"/>
      </w:pPr>
      <w:r>
        <w:t xml:space="preserve">That GDP is a major driver of emissions should not be surprising. It is a cornerstone of the </w:t>
      </w:r>
      <m:oMath>
        <m:r>
          <w:rPr>
            <w:rFonts w:ascii="Cambria Math" w:hAnsi="Cambria Math"/>
          </w:rPr>
          <m:t>IPAT</m:t>
        </m:r>
      </m:oMath>
      <w:r>
        <w:t xml:space="preserve"> concept (GDP is a measure of affluence, </w:t>
      </w:r>
      <w:r>
        <w:rPr>
          <w:i/>
          <w:iCs/>
        </w:rPr>
        <w:t>A</w:t>
      </w:r>
      <w:r>
        <w:t>) and its significant relationship to emissions has been demonstrated multiple times (</w:t>
      </w:r>
      <w:hyperlink w:anchor="ref-dietz2007">
        <w:r>
          <w:rPr>
            <w:rStyle w:val="Hyperlink"/>
          </w:rPr>
          <w:t>Dietz, Rosa, et al., 2007</w:t>
        </w:r>
      </w:hyperlink>
      <w:r>
        <w:t xml:space="preserve">; </w:t>
      </w:r>
      <w:hyperlink w:anchor="ref-hailemariam2020">
        <w:r>
          <w:rPr>
            <w:rStyle w:val="Hyperlink"/>
          </w:rPr>
          <w:t>Hailemariam et al., 2020</w:t>
        </w:r>
      </w:hyperlink>
      <w:r>
        <w:t xml:space="preserve">; </w:t>
      </w:r>
      <w:hyperlink w:anchor="ref-mcgee2018">
        <w:r>
          <w:rPr>
            <w:rStyle w:val="Hyperlink"/>
          </w:rPr>
          <w:t>McGee &amp; Greiner, 2018</w:t>
        </w:r>
      </w:hyperlink>
      <w:r>
        <w:t xml:space="preserve">; </w:t>
      </w:r>
      <w:hyperlink w:anchor="ref-mitchell2012">
        <w:r>
          <w:rPr>
            <w:rStyle w:val="Hyperlink"/>
          </w:rPr>
          <w:t>Mitchell, 2012</w:t>
        </w:r>
      </w:hyperlink>
      <w:r>
        <w:t>). Though not directly significant in the present research, its role, especially as it correlates to scientific literacy, is clear.</w:t>
      </w:r>
    </w:p>
    <w:p w14:paraId="20A7005E" w14:textId="77777777" w:rsidR="0033629A" w:rsidRDefault="004409CB">
      <w:pPr>
        <w:pStyle w:val="BodyText"/>
      </w:pPr>
      <w:r>
        <w:t xml:space="preserve">The current findings also echo previous research related to income inequality, as measured by the Gini coefficient. Aside from the effect of time and scientific literacy between countries, income inequality was the only other variable to have a significant relationship to per capita carbon emissions. A 1% increase in income inequality is associated with a 1.65% decrease in carbon emissions. That is, as income inequality grows, carbon emissions decrease. Like GDP, the current finding corroborates previous work by </w:t>
      </w:r>
      <w:hyperlink w:anchor="ref-hailemariam2020">
        <w:r>
          <w:rPr>
            <w:rStyle w:val="Hyperlink"/>
          </w:rPr>
          <w:t>Hailemariam et al.</w:t>
        </w:r>
      </w:hyperlink>
      <w:r>
        <w:t xml:space="preserve"> (</w:t>
      </w:r>
      <w:hyperlink w:anchor="ref-hailemariam2020">
        <w:r>
          <w:rPr>
            <w:rStyle w:val="Hyperlink"/>
          </w:rPr>
          <w:t>2020</w:t>
        </w:r>
      </w:hyperlink>
      <w:r>
        <w:t xml:space="preserve">), </w:t>
      </w:r>
      <w:hyperlink w:anchor="ref-jorgenson2017">
        <w:r>
          <w:rPr>
            <w:rStyle w:val="Hyperlink"/>
          </w:rPr>
          <w:t>Jorgenson et al.</w:t>
        </w:r>
      </w:hyperlink>
      <w:r>
        <w:t xml:space="preserve"> (</w:t>
      </w:r>
      <w:hyperlink w:anchor="ref-jorgenson2017">
        <w:r>
          <w:rPr>
            <w:rStyle w:val="Hyperlink"/>
          </w:rPr>
          <w:t>2017</w:t>
        </w:r>
      </w:hyperlink>
      <w:r>
        <w:t xml:space="preserve">), </w:t>
      </w:r>
      <w:hyperlink w:anchor="ref-jorgenson2018">
        <w:r>
          <w:rPr>
            <w:rStyle w:val="Hyperlink"/>
          </w:rPr>
          <w:t>Jorgenson et al.</w:t>
        </w:r>
      </w:hyperlink>
      <w:r>
        <w:t xml:space="preserve"> (</w:t>
      </w:r>
      <w:hyperlink w:anchor="ref-jorgenson2018">
        <w:r>
          <w:rPr>
            <w:rStyle w:val="Hyperlink"/>
          </w:rPr>
          <w:t>2018</w:t>
        </w:r>
      </w:hyperlink>
      <w:r>
        <w:t xml:space="preserve">), </w:t>
      </w:r>
      <w:hyperlink w:anchor="ref-mcgee2018">
        <w:r>
          <w:rPr>
            <w:rStyle w:val="Hyperlink"/>
          </w:rPr>
          <w:t>McGee &amp; Greiner</w:t>
        </w:r>
      </w:hyperlink>
      <w:r>
        <w:t xml:space="preserve"> (</w:t>
      </w:r>
      <w:hyperlink w:anchor="ref-mcgee2018">
        <w:r>
          <w:rPr>
            <w:rStyle w:val="Hyperlink"/>
          </w:rPr>
          <w:t>2018</w:t>
        </w:r>
      </w:hyperlink>
      <w:r>
        <w:t>), and others.</w:t>
      </w:r>
    </w:p>
    <w:p w14:paraId="41C5DA8F" w14:textId="12AFEF47" w:rsidR="0033629A" w:rsidRDefault="004409CB" w:rsidP="00B53352">
      <w:pPr>
        <w:pStyle w:val="BodyText"/>
      </w:pPr>
      <w:r>
        <w:t xml:space="preserve">In what ways does income inequality contribute to increased carbon emissions? </w:t>
      </w:r>
      <w:hyperlink w:anchor="ref-mcgee2018">
        <w:r>
          <w:rPr>
            <w:rStyle w:val="Hyperlink"/>
          </w:rPr>
          <w:t>McGee &amp; Greiner</w:t>
        </w:r>
      </w:hyperlink>
      <w:r>
        <w:t xml:space="preserve"> (</w:t>
      </w:r>
      <w:hyperlink w:anchor="ref-mcgee2018">
        <w:r>
          <w:rPr>
            <w:rStyle w:val="Hyperlink"/>
          </w:rPr>
          <w:t>2018</w:t>
        </w:r>
      </w:hyperlink>
      <w:r>
        <w:t xml:space="preserve">) </w:t>
      </w:r>
      <w:r w:rsidR="00A15210">
        <w:t>argue</w:t>
      </w:r>
      <w:r>
        <w:t xml:space="preserve"> that there is a significant interaction between GDP and Gini. For high Gini nations (those with higher inequality), emissions levels increase as GDP in </w:t>
      </w:r>
      <w:r>
        <w:lastRenderedPageBreak/>
        <w:t xml:space="preserve">those nations also increase. Similar findings can be seen in </w:t>
      </w:r>
      <w:hyperlink w:anchor="ref-hailemariam2020">
        <w:r>
          <w:rPr>
            <w:rStyle w:val="Hyperlink"/>
          </w:rPr>
          <w:t>Hailemariam et al.</w:t>
        </w:r>
      </w:hyperlink>
      <w:r>
        <w:t xml:space="preserve"> (</w:t>
      </w:r>
      <w:hyperlink w:anchor="ref-hailemariam2020">
        <w:r>
          <w:rPr>
            <w:rStyle w:val="Hyperlink"/>
          </w:rPr>
          <w:t>2020</w:t>
        </w:r>
      </w:hyperlink>
      <w:r>
        <w:t>). They argue that inequality is driven by the consumption behaviors of the top income earners (e.g., the richest 10%) as well as the gap between low- and middle-income households, which the Gini coefficient is a better representation of. As inequality increases</w:t>
      </w:r>
      <w:r w:rsidR="00A15210">
        <w:t xml:space="preserve">, </w:t>
      </w:r>
      <w:r>
        <w:t xml:space="preserve">the gap between low and middle-income households </w:t>
      </w:r>
      <w:r w:rsidR="00B53352">
        <w:t>increases</w:t>
      </w:r>
      <w:r>
        <w:t xml:space="preserve">, </w:t>
      </w:r>
      <w:r w:rsidR="00A15210">
        <w:t>with more low-income households than higher income.</w:t>
      </w:r>
      <w:r w:rsidR="00B53352">
        <w:t xml:space="preserve"> Thus, there are less emissions due to lower economic ability for consumption of goods and energy. Conversely, as inequality decreases and income across a nation increases, so too does</w:t>
      </w:r>
      <w:r>
        <w:t xml:space="preserve"> carbon-intensive consumption.</w:t>
      </w:r>
    </w:p>
    <w:p w14:paraId="5E5E7391" w14:textId="77777777" w:rsidR="0033629A" w:rsidRDefault="004409CB">
      <w:pPr>
        <w:pStyle w:val="BodyText"/>
      </w:pPr>
      <w:r>
        <w:t>Thus far, based on the results of the dissertation, a relationship between scientific literacy, economics, and carbon emissions across countries has been established. However, when controlling for these factors, how does the relationship within a country over time unfold? That is, are changes in scientific literacy for an individual country significantly related to changes in that individual country’s emissions, all else held constant?</w:t>
      </w:r>
    </w:p>
    <w:p w14:paraId="688476C9" w14:textId="3AB7F4AA" w:rsidR="0033629A" w:rsidRDefault="004409CB">
      <w:pPr>
        <w:pStyle w:val="BodyText"/>
      </w:pPr>
      <w:r>
        <w:t>The results of the analysis found no significant relationship between an individual country’s change in scientific literacy scores and their CO</w:t>
      </w:r>
      <w:r>
        <w:rPr>
          <w:vertAlign w:val="subscript"/>
        </w:rPr>
        <w:t>2</w:t>
      </w:r>
      <w:r>
        <w:t xml:space="preserve"> per capita levels. Likewise, the results also found no significant differences for OECD and non-OECD nations (research question two) or for males and females (research question three). This was somewhat surprising. These relationships as explained in the conceptual model should </w:t>
      </w:r>
      <w:proofErr w:type="gramStart"/>
      <w:r>
        <w:t>exist, but</w:t>
      </w:r>
      <w:proofErr w:type="gramEnd"/>
      <w:r>
        <w:t xml:space="preserve"> were not found by this research. This points to an issue of undetermination (</w:t>
      </w:r>
      <w:hyperlink w:anchor="ref-schultz2018">
        <w:r>
          <w:rPr>
            <w:rStyle w:val="Hyperlink"/>
          </w:rPr>
          <w:t>Schultz, 2018</w:t>
        </w:r>
      </w:hyperlink>
      <w:r>
        <w:t xml:space="preserve">; </w:t>
      </w:r>
      <w:hyperlink w:anchor="ref-stanford2021">
        <w:r>
          <w:rPr>
            <w:rStyle w:val="Hyperlink"/>
          </w:rPr>
          <w:t>Stanford, 2021</w:t>
        </w:r>
      </w:hyperlink>
      <w:r>
        <w:t>). Undetermination refers to a “condition where the information available is insufficient for determining what we should believe” (</w:t>
      </w:r>
      <w:hyperlink w:anchor="ref-schultz2018">
        <w:r>
          <w:rPr>
            <w:rStyle w:val="Hyperlink"/>
          </w:rPr>
          <w:t>Schultz, 2018, p. 55</w:t>
        </w:r>
      </w:hyperlink>
      <w:r>
        <w:t xml:space="preserve">). In essence, the non-significant results do not suggest a rejection of the relationship between changes in scientific literacy and emissions. Rather, the results simply point to a lack of evidence for determining this relationship more fully. Assuming that the conceptual framework is accurate in suggesting that scientific literacy should affect emissions, there may be </w:t>
      </w:r>
      <w:proofErr w:type="gramStart"/>
      <w:r>
        <w:t>a number of</w:t>
      </w:r>
      <w:proofErr w:type="gramEnd"/>
      <w:r>
        <w:t xml:space="preserve"> </w:t>
      </w:r>
      <w:r>
        <w:lastRenderedPageBreak/>
        <w:t xml:space="preserve">reasons why such an effect was not detected. Chapter 4 already pointed out </w:t>
      </w:r>
      <w:proofErr w:type="gramStart"/>
      <w:r>
        <w:t>a number of</w:t>
      </w:r>
      <w:proofErr w:type="gramEnd"/>
      <w:r>
        <w:t xml:space="preserve"> statistical limitations that may have led to undetermination. However, there are several additional, education-related factors that should also be explored further.</w:t>
      </w:r>
    </w:p>
    <w:p w14:paraId="1B42B04C" w14:textId="1733F14B" w:rsidR="00A10028" w:rsidRDefault="00A10028" w:rsidP="00A10028">
      <w:pPr>
        <w:pStyle w:val="BodyText"/>
      </w:pPr>
      <w:r>
        <w:t xml:space="preserve">Closer examination of scientific literacy’s change over time within countries shows many countries have relatively stable scores or scores that fluctuate wildly over time such that in one period there is marked growth while in the next period there is large decline (see Figure </w:t>
      </w:r>
      <w:hyperlink w:anchor="slchange">
        <w:r>
          <w:fldChar w:fldCharType="begin"/>
        </w:r>
        <w:r>
          <w:instrText xml:space="preserve"> REF slchange \h</w:instrText>
        </w:r>
        <w:r>
          <w:fldChar w:fldCharType="separate"/>
        </w:r>
        <w:r w:rsidR="00766923">
          <w:rPr>
            <w:b/>
            <w:noProof/>
          </w:rPr>
          <w:t>26</w:t>
        </w:r>
        <w:r>
          <w:fldChar w:fldCharType="end"/>
        </w:r>
      </w:hyperlink>
      <w:r>
        <w:t>). In general, there is little variation in scientific literacy scores over time to find a clear association with CO</w:t>
      </w:r>
      <w:r>
        <w:rPr>
          <w:vertAlign w:val="subscript"/>
        </w:rPr>
        <w:t>2</w:t>
      </w:r>
      <w:r>
        <w:t xml:space="preserve"> emissions. This is not a unique finding. </w:t>
      </w:r>
      <w:r w:rsidR="005A468D">
        <w:t>The PISA points out (</w:t>
      </w:r>
      <w:hyperlink w:anchor="ref-oecd2019a">
        <w:r w:rsidR="005A468D">
          <w:rPr>
            <w:rStyle w:val="Hyperlink"/>
          </w:rPr>
          <w:t>OECD, 2019b</w:t>
        </w:r>
      </w:hyperlink>
      <w:r w:rsidR="005A468D">
        <w:t xml:space="preserve">) that scientific literacy scores are relatively stable and when they do grow, it is by a small amount. </w:t>
      </w:r>
      <w:hyperlink w:anchor="ref-rowley2019a">
        <w:r>
          <w:rPr>
            <w:rStyle w:val="Hyperlink"/>
          </w:rPr>
          <w:t>Rowley et al.</w:t>
        </w:r>
      </w:hyperlink>
      <w:r>
        <w:t xml:space="preserve"> (</w:t>
      </w:r>
      <w:hyperlink w:anchor="ref-rowley2019a">
        <w:r>
          <w:rPr>
            <w:rStyle w:val="Hyperlink"/>
          </w:rPr>
          <w:t>2019</w:t>
        </w:r>
      </w:hyperlink>
      <w:r>
        <w:t>) also found that during the 2006 to 2012 period, PISA scores of most individual countries typically did not significantly increase or change.</w:t>
      </w:r>
    </w:p>
    <w:p w14:paraId="68721B8A" w14:textId="77777777" w:rsidR="00A10028" w:rsidRDefault="00A10028" w:rsidP="00A10028">
      <w:pPr>
        <w:pStyle w:val="BodyText"/>
      </w:pPr>
      <w:r>
        <w:t>While we may assume, or at least hope, that scientific literacy increases over time, that is unfortunately not evident. In fact, the PISA argues that large improvements in a country’s performance should not be expected, as changes in educational policy and practice are incremental and can take a while to surface (</w:t>
      </w:r>
      <w:hyperlink w:anchor="ref-oecd2019a">
        <w:r>
          <w:rPr>
            <w:rStyle w:val="Hyperlink"/>
          </w:rPr>
          <w:t>OECD, 2019b, p. 121</w:t>
        </w:r>
      </w:hyperlink>
      <w:r>
        <w:t>). This slow-to-surface phenomena may be one reason why a significant relationship between changes in a country’s CO</w:t>
      </w:r>
      <w:r>
        <w:rPr>
          <w:vertAlign w:val="subscript"/>
        </w:rPr>
        <w:t>2</w:t>
      </w:r>
      <w:r>
        <w:t xml:space="preserve"> and changes in its scientific literacy scores were not found.</w:t>
      </w:r>
    </w:p>
    <w:p w14:paraId="3CCDF98D" w14:textId="4432D077" w:rsidR="0033629A" w:rsidRDefault="00A10028" w:rsidP="00A10028">
      <w:pPr>
        <w:pStyle w:val="BodyText"/>
      </w:pPr>
      <w:r>
        <w:t xml:space="preserve">Undetermination may also be aided by other factors. For example, while scientific literacy as measured by the PISA may include climate change and related content, it is ultimately a test of science education in general rather than climate (change) </w:t>
      </w:r>
      <w:proofErr w:type="gramStart"/>
      <w:r>
        <w:t>education in particular</w:t>
      </w:r>
      <w:proofErr w:type="gramEnd"/>
      <w:r>
        <w:t xml:space="preserve">. There is no guarantee of either the quantity or quality of climate change education students receive through their science education classwork. For example, </w:t>
      </w:r>
      <w:hyperlink w:anchor="ref-ranney2016">
        <w:r>
          <w:rPr>
            <w:rStyle w:val="Hyperlink"/>
          </w:rPr>
          <w:t>Ranney &amp; Clark</w:t>
        </w:r>
      </w:hyperlink>
      <w:r>
        <w:t xml:space="preserve"> (</w:t>
      </w:r>
      <w:hyperlink w:anchor="ref-ranney2016">
        <w:r>
          <w:rPr>
            <w:rStyle w:val="Hyperlink"/>
          </w:rPr>
          <w:t>2016</w:t>
        </w:r>
      </w:hyperlink>
      <w:r>
        <w:t xml:space="preserve">) </w:t>
      </w:r>
      <w:r w:rsidR="00CB2249">
        <w:t>have</w:t>
      </w:r>
      <w:r>
        <w:t xml:space="preserve"> demonstrated that mechanistic climate knowledge can help shift individual understanding of climate change and the need for action. It is entirely plausible that students </w:t>
      </w:r>
      <w:r w:rsidR="004409CB">
        <w:br w:type="page"/>
      </w:r>
    </w:p>
    <w:p w14:paraId="44EB6BB7" w14:textId="77777777" w:rsidR="0033629A" w:rsidRDefault="004409CB">
      <w:pPr>
        <w:pStyle w:val="Figure"/>
        <w:jc w:val="center"/>
      </w:pPr>
      <w:r>
        <w:rPr>
          <w:noProof/>
        </w:rPr>
        <w:lastRenderedPageBreak/>
        <w:drawing>
          <wp:inline distT="0" distB="0" distL="0" distR="0" wp14:anchorId="06F4F40A" wp14:editId="7E42EAE3">
            <wp:extent cx="5486400" cy="27432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a:picLocks noChangeAspect="1" noChangeArrowheads="1"/>
                    </pic:cNvPicPr>
                  </pic:nvPicPr>
                  <pic:blipFill>
                    <a:blip r:embed="rId99"/>
                    <a:srcRect/>
                    <a:stretch>
                      <a:fillRect/>
                    </a:stretch>
                  </pic:blipFill>
                  <pic:spPr bwMode="auto">
                    <a:xfrm>
                      <a:off x="0" y="0"/>
                      <a:ext cx="76200" cy="38100"/>
                    </a:xfrm>
                    <a:prstGeom prst="rect">
                      <a:avLst/>
                    </a:prstGeom>
                    <a:noFill/>
                  </pic:spPr>
                </pic:pic>
              </a:graphicData>
            </a:graphic>
          </wp:inline>
        </w:drawing>
      </w:r>
    </w:p>
    <w:p w14:paraId="16902EFD" w14:textId="011DD75C" w:rsidR="0033629A" w:rsidRDefault="004409CB">
      <w:pPr>
        <w:pStyle w:val="ImageCaption"/>
      </w:pPr>
      <w:bookmarkStart w:id="134" w:name="_Toc105675539"/>
      <w:r>
        <w:rPr>
          <w:b/>
        </w:rPr>
        <w:t xml:space="preserve">Figure </w:t>
      </w:r>
      <w:bookmarkStart w:id="135" w:name="bwwi"/>
      <w:r>
        <w:rPr>
          <w:b/>
        </w:rPr>
        <w:fldChar w:fldCharType="begin"/>
      </w:r>
      <w:r>
        <w:rPr>
          <w:b/>
        </w:rPr>
        <w:instrText>SEQ Figure \* Arabic</w:instrText>
      </w:r>
      <w:r>
        <w:rPr>
          <w:b/>
        </w:rPr>
        <w:fldChar w:fldCharType="separate"/>
      </w:r>
      <w:r w:rsidR="00766923">
        <w:rPr>
          <w:b/>
          <w:noProof/>
        </w:rPr>
        <w:t>24</w:t>
      </w:r>
      <w:r>
        <w:rPr>
          <w:b/>
        </w:rPr>
        <w:fldChar w:fldCharType="end"/>
      </w:r>
      <w:bookmarkEnd w:id="135"/>
      <w:r>
        <w:t>: Within and between effects of scientific literacy on CO</w:t>
      </w:r>
      <w:r>
        <w:rPr>
          <w:vertAlign w:val="subscript"/>
        </w:rPr>
        <w:t>2</w:t>
      </w:r>
      <w:bookmarkEnd w:id="134"/>
    </w:p>
    <w:p w14:paraId="443B6BC0" w14:textId="77777777" w:rsidR="00FA4138" w:rsidRDefault="004409CB">
      <w:pPr>
        <w:sectPr w:rsidR="00FA4138" w:rsidSect="00304462">
          <w:headerReference w:type="even" r:id="rId100"/>
          <w:headerReference w:type="default" r:id="rId101"/>
          <w:footerReference w:type="even" r:id="rId102"/>
          <w:footerReference w:type="default" r:id="rId103"/>
          <w:headerReference w:type="first" r:id="rId104"/>
          <w:footerReference w:type="first" r:id="rId105"/>
          <w:pgSz w:w="11952" w:h="16848"/>
          <w:pgMar w:top="1440" w:right="1440" w:bottom="1440" w:left="1440" w:header="720" w:footer="720" w:gutter="0"/>
          <w:cols w:space="720"/>
        </w:sectPr>
      </w:pPr>
      <w:r>
        <w:br w:type="page"/>
      </w:r>
    </w:p>
    <w:p w14:paraId="34675BC7" w14:textId="77777777" w:rsidR="0033629A" w:rsidRDefault="0033629A"/>
    <w:p w14:paraId="7C38C026" w14:textId="3F24BF3A" w:rsidR="0033629A" w:rsidRDefault="00B7360D" w:rsidP="00FA4138">
      <w:pPr>
        <w:pStyle w:val="Figure"/>
        <w:ind w:left="0"/>
        <w:jc w:val="center"/>
      </w:pPr>
      <w:r>
        <w:rPr>
          <w:noProof/>
        </w:rPr>
        <w:drawing>
          <wp:inline distT="0" distB="0" distL="0" distR="0" wp14:anchorId="760DE0A8" wp14:editId="30732B08">
            <wp:extent cx="6317673" cy="4736338"/>
            <wp:effectExtent l="0" t="0" r="571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6317673" cy="4736338"/>
                    </a:xfrm>
                    <a:prstGeom prst="rect">
                      <a:avLst/>
                    </a:prstGeom>
                    <a:noFill/>
                    <a:ln>
                      <a:noFill/>
                    </a:ln>
                  </pic:spPr>
                </pic:pic>
              </a:graphicData>
            </a:graphic>
          </wp:inline>
        </w:drawing>
      </w:r>
    </w:p>
    <w:p w14:paraId="4AE9D510" w14:textId="0B8F4E38" w:rsidR="00D52E9A" w:rsidRDefault="004409CB" w:rsidP="00D52E9A">
      <w:pPr>
        <w:pStyle w:val="ImageCaption"/>
        <w:sectPr w:rsidR="00D52E9A" w:rsidSect="00AB68BB">
          <w:headerReference w:type="even" r:id="rId107"/>
          <w:headerReference w:type="default" r:id="rId108"/>
          <w:footerReference w:type="even" r:id="rId109"/>
          <w:footerReference w:type="default" r:id="rId110"/>
          <w:headerReference w:type="first" r:id="rId111"/>
          <w:footerReference w:type="first" r:id="rId112"/>
          <w:pgSz w:w="16838" w:h="11906" w:orient="landscape"/>
          <w:pgMar w:top="1440" w:right="1440" w:bottom="1440" w:left="1440" w:header="720" w:footer="720" w:gutter="0"/>
          <w:cols w:space="720"/>
          <w:docGrid w:linePitch="326"/>
        </w:sectPr>
      </w:pPr>
      <w:bookmarkStart w:id="136" w:name="_Toc105675540"/>
      <w:r>
        <w:rPr>
          <w:b/>
        </w:rPr>
        <w:t xml:space="preserve">Figure </w:t>
      </w:r>
      <w:bookmarkStart w:id="137" w:name="co2slgdp"/>
      <w:r>
        <w:rPr>
          <w:b/>
        </w:rPr>
        <w:fldChar w:fldCharType="begin"/>
      </w:r>
      <w:r>
        <w:rPr>
          <w:b/>
        </w:rPr>
        <w:instrText>SEQ Figure \* Arabic</w:instrText>
      </w:r>
      <w:r>
        <w:rPr>
          <w:b/>
        </w:rPr>
        <w:fldChar w:fldCharType="separate"/>
      </w:r>
      <w:r w:rsidR="00766923">
        <w:rPr>
          <w:b/>
          <w:noProof/>
        </w:rPr>
        <w:t>25</w:t>
      </w:r>
      <w:r>
        <w:rPr>
          <w:b/>
        </w:rPr>
        <w:fldChar w:fldCharType="end"/>
      </w:r>
      <w:bookmarkEnd w:id="137"/>
      <w:r>
        <w:t>: The relationships between CO</w:t>
      </w:r>
      <w:r>
        <w:rPr>
          <w:vertAlign w:val="subscript"/>
        </w:rPr>
        <w:t>2</w:t>
      </w:r>
      <w:r>
        <w:t>, GDP, and scientific literacy.</w:t>
      </w:r>
      <w:bookmarkEnd w:id="136"/>
    </w:p>
    <w:p w14:paraId="444DD412" w14:textId="78CD93F9" w:rsidR="003E1682" w:rsidRDefault="003E1682" w:rsidP="003E1682">
      <w:pPr>
        <w:ind w:firstLine="0"/>
      </w:pPr>
      <w:r>
        <w:lastRenderedPageBreak/>
        <w:t>are not given a strong mechanistic climate change foundation through their home education systems.</w:t>
      </w:r>
    </w:p>
    <w:p w14:paraId="73221048" w14:textId="084543BC" w:rsidR="0033629A" w:rsidRDefault="004409CB" w:rsidP="00D52E9A">
      <w:r>
        <w:t>Indeed, though climate change education has been part of the United Nations’ sustainable development goals, which has an influence on educational content across the globe (</w:t>
      </w:r>
      <w:hyperlink w:anchor="ref-sinnes2016">
        <w:r>
          <w:rPr>
            <w:rStyle w:val="Hyperlink"/>
          </w:rPr>
          <w:t>Sinnes &amp; Eriksen, 2016</w:t>
        </w:r>
      </w:hyperlink>
      <w:r>
        <w:t xml:space="preserve">; </w:t>
      </w:r>
      <w:hyperlink w:anchor="ref-unitednations2014">
        <w:r>
          <w:rPr>
            <w:rStyle w:val="Hyperlink"/>
          </w:rPr>
          <w:t>United Nations, 2014</w:t>
        </w:r>
      </w:hyperlink>
      <w:r>
        <w:t xml:space="preserve">), climate change may neither be the focus nor the norm of science education courses. Data on how climate change is integrated into national curricula is lacking. </w:t>
      </w:r>
      <w:hyperlink w:anchor="ref-unesco2021">
        <w:r>
          <w:rPr>
            <w:rStyle w:val="Hyperlink"/>
          </w:rPr>
          <w:t>UNESCO</w:t>
        </w:r>
      </w:hyperlink>
      <w:r>
        <w:t xml:space="preserve"> (</w:t>
      </w:r>
      <w:hyperlink w:anchor="ref-unesco2021">
        <w:r>
          <w:rPr>
            <w:rStyle w:val="Hyperlink"/>
          </w:rPr>
          <w:t>2021</w:t>
        </w:r>
      </w:hyperlink>
      <w:r>
        <w:t xml:space="preserve">) offers perhaps the only source of cross-national information on this. In their survey of 129 documents from 100 countries, they found that just 53% of countries’ curricula mention climate change. For most of the countries surveyed, climate change accounts for about 10% or less of curricular content (Figure </w:t>
      </w:r>
      <w:hyperlink w:anchor="unescocc">
        <w:r>
          <w:fldChar w:fldCharType="begin"/>
        </w:r>
        <w:r>
          <w:instrText xml:space="preserve"> REF unescocc \h</w:instrText>
        </w:r>
        <w:r w:rsidR="00D52E9A">
          <w:instrText xml:space="preserve"> \* MERGEFORMAT </w:instrText>
        </w:r>
        <w:r>
          <w:fldChar w:fldCharType="separate"/>
        </w:r>
        <w:r w:rsidR="00766923">
          <w:rPr>
            <w:b/>
            <w:noProof/>
          </w:rPr>
          <w:t>27</w:t>
        </w:r>
        <w:r>
          <w:fldChar w:fldCharType="end"/>
        </w:r>
      </w:hyperlink>
      <w:r>
        <w:t>). Interestingly, sub-Saharan Africa has the largest percentage of climate change content - an area that is not assessed by the PISA and by extension is not part of this research.</w:t>
      </w:r>
    </w:p>
    <w:p w14:paraId="7CD789F2" w14:textId="77777777" w:rsidR="0033629A" w:rsidRDefault="004409CB">
      <w:pPr>
        <w:pStyle w:val="BodyText"/>
      </w:pPr>
      <w:r>
        <w:t>While UNESCO’s brief does offer case studies of national integration for a few countries, their findings do not offer enough details as to either the depth or breadth of the way climate change is being taught. Even when national curricula do include climate change, implementation fidelity may vary widely or be completely lacking.</w:t>
      </w:r>
    </w:p>
    <w:p w14:paraId="73D4096A" w14:textId="75449EF8" w:rsidR="0033629A" w:rsidRDefault="004409CB">
      <w:pPr>
        <w:pStyle w:val="BodyText"/>
      </w:pPr>
      <w:r>
        <w:t>The United States offers an example of this variation. No national curriculum exists in the United States. However, many states have chosen to adopt a set of science standards called the Next Generation Science Standards (NGSS). Other states have modified versions of the NGSS while several others have homegrown sets of state standards. The NGSS was the first set of standards to place climate change explicitly in the curriculum. In fact, objection to climate change content (among other “controversial” content, such as evolution) is one of the reasons why states created modified or altogether new standards (</w:t>
      </w:r>
      <w:hyperlink w:anchor="ref-worth2021">
        <w:r>
          <w:rPr>
            <w:rStyle w:val="Hyperlink"/>
          </w:rPr>
          <w:t>Worth, 2021</w:t>
        </w:r>
      </w:hyperlink>
      <w:r>
        <w:t xml:space="preserve">). A grading of these standards by </w:t>
      </w:r>
      <w:hyperlink w:anchor="X4792cc562eea3c44d7acc8124d4be875b75da02">
        <w:r>
          <w:rPr>
            <w:rStyle w:val="Hyperlink"/>
          </w:rPr>
          <w:t>National Center for Science Education &amp; Texas Freedom Education Fund</w:t>
        </w:r>
      </w:hyperlink>
      <w:r>
        <w:t xml:space="preserve"> </w:t>
      </w:r>
    </w:p>
    <w:p w14:paraId="6E8962EF" w14:textId="77777777" w:rsidR="0033629A" w:rsidRDefault="004409CB">
      <w:pPr>
        <w:pStyle w:val="Figure"/>
        <w:jc w:val="center"/>
      </w:pPr>
      <w:r>
        <w:rPr>
          <w:noProof/>
        </w:rPr>
        <w:lastRenderedPageBreak/>
        <w:drawing>
          <wp:inline distT="0" distB="0" distL="0" distR="0" wp14:anchorId="0855C46C" wp14:editId="2E483556">
            <wp:extent cx="5270268" cy="2635134"/>
            <wp:effectExtent l="0" t="0" r="698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
                    <pic:cNvPicPr>
                      <a:picLocks noChangeAspect="1" noChangeArrowheads="1"/>
                    </pic:cNvPicPr>
                  </pic:nvPicPr>
                  <pic:blipFill>
                    <a:blip r:embed="rId113"/>
                    <a:srcRect/>
                    <a:stretch>
                      <a:fillRect/>
                    </a:stretch>
                  </pic:blipFill>
                  <pic:spPr bwMode="auto">
                    <a:xfrm>
                      <a:off x="0" y="0"/>
                      <a:ext cx="73252" cy="36626"/>
                    </a:xfrm>
                    <a:prstGeom prst="rect">
                      <a:avLst/>
                    </a:prstGeom>
                    <a:noFill/>
                  </pic:spPr>
                </pic:pic>
              </a:graphicData>
            </a:graphic>
          </wp:inline>
        </w:drawing>
      </w:r>
    </w:p>
    <w:p w14:paraId="27A563C3" w14:textId="3FC66E87" w:rsidR="0033629A" w:rsidRDefault="004409CB">
      <w:pPr>
        <w:pStyle w:val="ImageCaption"/>
      </w:pPr>
      <w:bookmarkStart w:id="138" w:name="_Toc105675541"/>
      <w:r>
        <w:rPr>
          <w:b/>
        </w:rPr>
        <w:t xml:space="preserve">Figure </w:t>
      </w:r>
      <w:bookmarkStart w:id="139" w:name="slchange"/>
      <w:r>
        <w:rPr>
          <w:b/>
        </w:rPr>
        <w:fldChar w:fldCharType="begin"/>
      </w:r>
      <w:r>
        <w:rPr>
          <w:b/>
        </w:rPr>
        <w:instrText>SEQ Figure \* Arabic</w:instrText>
      </w:r>
      <w:r>
        <w:rPr>
          <w:b/>
        </w:rPr>
        <w:fldChar w:fldCharType="separate"/>
      </w:r>
      <w:r w:rsidR="00766923">
        <w:rPr>
          <w:b/>
          <w:noProof/>
        </w:rPr>
        <w:t>26</w:t>
      </w:r>
      <w:r>
        <w:rPr>
          <w:b/>
        </w:rPr>
        <w:fldChar w:fldCharType="end"/>
      </w:r>
      <w:bookmarkEnd w:id="139"/>
      <w:r>
        <w:t>: Change in scientific literacy over time by region.</w:t>
      </w:r>
      <w:bookmarkEnd w:id="138"/>
    </w:p>
    <w:p w14:paraId="45657CDA" w14:textId="77777777" w:rsidR="00470330" w:rsidRDefault="00470330">
      <w:pPr>
        <w:pStyle w:val="ImageCaption"/>
      </w:pPr>
    </w:p>
    <w:p w14:paraId="02DF23F8" w14:textId="77777777" w:rsidR="00A10028" w:rsidRDefault="00A10028">
      <w:pPr>
        <w:pStyle w:val="ImageCaption"/>
      </w:pPr>
    </w:p>
    <w:p w14:paraId="0EF0E9EA" w14:textId="77777777" w:rsidR="0033629A" w:rsidRDefault="004409CB" w:rsidP="00470330">
      <w:pPr>
        <w:pStyle w:val="Figure"/>
        <w:ind w:firstLine="720"/>
        <w:jc w:val="center"/>
      </w:pPr>
      <w:r>
        <w:rPr>
          <w:noProof/>
        </w:rPr>
        <w:drawing>
          <wp:inline distT="0" distB="0" distL="0" distR="0" wp14:anchorId="584B49A2" wp14:editId="4C08713F">
            <wp:extent cx="5458553" cy="3116638"/>
            <wp:effectExtent l="0" t="0" r="8890" b="762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
                    <pic:cNvPicPr>
                      <a:picLocks noChangeAspect="1" noChangeArrowheads="1"/>
                    </pic:cNvPicPr>
                  </pic:nvPicPr>
                  <pic:blipFill>
                    <a:blip r:embed="rId114"/>
                    <a:srcRect/>
                    <a:stretch>
                      <a:fillRect/>
                    </a:stretch>
                  </pic:blipFill>
                  <pic:spPr bwMode="auto">
                    <a:xfrm>
                      <a:off x="0" y="0"/>
                      <a:ext cx="76103" cy="43452"/>
                    </a:xfrm>
                    <a:prstGeom prst="rect">
                      <a:avLst/>
                    </a:prstGeom>
                    <a:noFill/>
                  </pic:spPr>
                </pic:pic>
              </a:graphicData>
            </a:graphic>
          </wp:inline>
        </w:drawing>
      </w:r>
    </w:p>
    <w:p w14:paraId="4B4A60B7" w14:textId="249CD7DE" w:rsidR="0033629A" w:rsidRDefault="004409CB">
      <w:pPr>
        <w:pStyle w:val="ImageCaption"/>
      </w:pPr>
      <w:bookmarkStart w:id="140" w:name="_Toc105675542"/>
      <w:r>
        <w:rPr>
          <w:b/>
        </w:rPr>
        <w:t xml:space="preserve">Figure </w:t>
      </w:r>
      <w:bookmarkStart w:id="141" w:name="unescocc"/>
      <w:r>
        <w:rPr>
          <w:b/>
        </w:rPr>
        <w:fldChar w:fldCharType="begin"/>
      </w:r>
      <w:r>
        <w:rPr>
          <w:b/>
        </w:rPr>
        <w:instrText>SEQ Figure \* Arabic</w:instrText>
      </w:r>
      <w:r>
        <w:rPr>
          <w:b/>
        </w:rPr>
        <w:fldChar w:fldCharType="separate"/>
      </w:r>
      <w:r w:rsidR="00766923">
        <w:rPr>
          <w:b/>
          <w:noProof/>
        </w:rPr>
        <w:t>27</w:t>
      </w:r>
      <w:r>
        <w:rPr>
          <w:b/>
        </w:rPr>
        <w:fldChar w:fldCharType="end"/>
      </w:r>
      <w:bookmarkEnd w:id="141"/>
      <w:r>
        <w:t xml:space="preserve">: Percentage of climate change content in curricula by region. Figure reproduced from </w:t>
      </w:r>
      <w:hyperlink w:anchor="ref-unesco2021">
        <w:r>
          <w:rPr>
            <w:rStyle w:val="Hyperlink"/>
          </w:rPr>
          <w:t>UNESCO</w:t>
        </w:r>
      </w:hyperlink>
      <w:r>
        <w:t xml:space="preserve"> (</w:t>
      </w:r>
      <w:hyperlink w:anchor="ref-unesco2021">
        <w:r>
          <w:rPr>
            <w:rStyle w:val="Hyperlink"/>
          </w:rPr>
          <w:t>2021</w:t>
        </w:r>
      </w:hyperlink>
      <w:r>
        <w:t>).</w:t>
      </w:r>
      <w:bookmarkEnd w:id="140"/>
    </w:p>
    <w:p w14:paraId="003F5DE3" w14:textId="77777777" w:rsidR="00A10028" w:rsidRDefault="00A10028">
      <w:pPr>
        <w:spacing w:before="0" w:after="200" w:line="240" w:lineRule="auto"/>
        <w:ind w:firstLine="0"/>
      </w:pPr>
      <w:r>
        <w:br w:type="page"/>
      </w:r>
    </w:p>
    <w:p w14:paraId="09D77F05" w14:textId="2B30A44E" w:rsidR="003E1682" w:rsidRDefault="003E1682" w:rsidP="003E1682">
      <w:pPr>
        <w:pStyle w:val="BodyText"/>
        <w:ind w:firstLine="0"/>
      </w:pPr>
      <w:r>
        <w:lastRenderedPageBreak/>
        <w:t>(</w:t>
      </w:r>
      <w:hyperlink w:anchor="X4792cc562eea3c44d7acc8124d4be875b75da02">
        <w:r>
          <w:rPr>
            <w:rStyle w:val="Hyperlink"/>
          </w:rPr>
          <w:t>2020</w:t>
        </w:r>
      </w:hyperlink>
      <w:r>
        <w:t>) on an A-F scale for each state found that NGSS states and those who have modified NGSS standards typically have the highest grades in terms of how climate change is taught. States with homegrown standards typically have the lowest grades.</w:t>
      </w:r>
    </w:p>
    <w:p w14:paraId="7F6D3AD9" w14:textId="64938162" w:rsidR="0033629A" w:rsidRDefault="004409CB">
      <w:pPr>
        <w:pStyle w:val="BodyText"/>
      </w:pPr>
      <w:r>
        <w:t xml:space="preserve">The implication of these various standards means that students in the same country can receive radically different climate (change) education, ranging from a few weeks to </w:t>
      </w:r>
      <w:proofErr w:type="gramStart"/>
      <w:r>
        <w:t>none at all</w:t>
      </w:r>
      <w:proofErr w:type="gramEnd"/>
      <w:r>
        <w:t>. Perhaps worse is that what is taught about climate change may be factually incorrect or alienated from human activities. Such an example is likely in countries where climate change is seen as political or where there is a strong, well-funded climate change denial movement (</w:t>
      </w:r>
      <w:hyperlink w:anchor="ref-brulle2020">
        <w:r>
          <w:rPr>
            <w:rStyle w:val="Hyperlink"/>
          </w:rPr>
          <w:t>Brulle, 2020</w:t>
        </w:r>
      </w:hyperlink>
      <w:r>
        <w:t xml:space="preserve">; </w:t>
      </w:r>
      <w:hyperlink w:anchor="ref-mann2021">
        <w:r>
          <w:rPr>
            <w:rStyle w:val="Hyperlink"/>
          </w:rPr>
          <w:t>Mann, 2021</w:t>
        </w:r>
      </w:hyperlink>
      <w:r>
        <w:t>), something more likely to occur in Western nations (</w:t>
      </w:r>
      <w:hyperlink w:anchor="ref-czarnekRightwingIdeologyReduces2021">
        <w:r>
          <w:rPr>
            <w:rStyle w:val="Hyperlink"/>
          </w:rPr>
          <w:t>Czarnek et al., 2021</w:t>
        </w:r>
      </w:hyperlink>
      <w:r>
        <w:t>).</w:t>
      </w:r>
    </w:p>
    <w:p w14:paraId="1C778607" w14:textId="77777777" w:rsidR="0033629A" w:rsidRDefault="004409CB">
      <w:pPr>
        <w:pStyle w:val="BodyText"/>
      </w:pPr>
      <w:r>
        <w:t xml:space="preserve">There are also </w:t>
      </w:r>
      <w:proofErr w:type="gramStart"/>
      <w:r>
        <w:t>a number of</w:t>
      </w:r>
      <w:proofErr w:type="gramEnd"/>
      <w:r>
        <w:t xml:space="preserve"> other plausible reasons for undetermination of the conceptual framework for this dissertation. For example, perhaps the climate education that does exist has a positive effect on individual beliefs, but lack of education on effective actions is an issue. </w:t>
      </w:r>
      <w:hyperlink w:anchor="ref-stevenson2018">
        <w:r>
          <w:rPr>
            <w:rStyle w:val="Hyperlink"/>
          </w:rPr>
          <w:t>K. T. Stevenson et al.</w:t>
        </w:r>
      </w:hyperlink>
      <w:r>
        <w:t xml:space="preserve"> (</w:t>
      </w:r>
      <w:hyperlink w:anchor="ref-stevenson2018">
        <w:r>
          <w:rPr>
            <w:rStyle w:val="Hyperlink"/>
          </w:rPr>
          <w:t>2018</w:t>
        </w:r>
      </w:hyperlink>
      <w:r>
        <w:t xml:space="preserve">) also identified such a phenomenon, </w:t>
      </w:r>
      <w:proofErr w:type="gramStart"/>
      <w:r>
        <w:t>where</w:t>
      </w:r>
      <w:proofErr w:type="gramEnd"/>
      <w:r>
        <w:t xml:space="preserve"> teaching about climate change positively affected concern and hope but not behavior. It could also be that a focus on action is not emphasized. For example, </w:t>
      </w:r>
      <w:hyperlink w:anchor="ref-wynes2019">
        <w:r>
          <w:rPr>
            <w:rStyle w:val="Hyperlink"/>
          </w:rPr>
          <w:t>Wynes &amp; Nicholas</w:t>
        </w:r>
      </w:hyperlink>
      <w:r>
        <w:t xml:space="preserve"> (</w:t>
      </w:r>
      <w:hyperlink w:anchor="ref-wynes2019">
        <w:r>
          <w:rPr>
            <w:rStyle w:val="Hyperlink"/>
          </w:rPr>
          <w:t>2019</w:t>
        </w:r>
      </w:hyperlink>
      <w:r>
        <w:t xml:space="preserve">) found that most Canadian secondary school curricula emphasized mechanistic knowledge of climate change rather than effective actions. Possibly due in part to this, </w:t>
      </w:r>
      <w:hyperlink w:anchor="ref-wynes2020">
        <w:r>
          <w:rPr>
            <w:rStyle w:val="Hyperlink"/>
          </w:rPr>
          <w:t>Wynes et al.</w:t>
        </w:r>
      </w:hyperlink>
      <w:r>
        <w:t xml:space="preserve"> (</w:t>
      </w:r>
      <w:hyperlink w:anchor="ref-wynes2020">
        <w:r>
          <w:rPr>
            <w:rStyle w:val="Hyperlink"/>
          </w:rPr>
          <w:t>2020</w:t>
        </w:r>
      </w:hyperlink>
      <w:r>
        <w:t>) also found that a general lack of understanding about what effective climate actions look like.</w:t>
      </w:r>
    </w:p>
    <w:p w14:paraId="305D834D" w14:textId="77777777" w:rsidR="0033629A" w:rsidRDefault="004409CB">
      <w:pPr>
        <w:pStyle w:val="Heading2"/>
      </w:pPr>
      <w:bookmarkStart w:id="142" w:name="_Toc107939129"/>
      <w:bookmarkStart w:id="143" w:name="implications"/>
      <w:bookmarkEnd w:id="133"/>
      <w:r>
        <w:t>Implications</w:t>
      </w:r>
      <w:bookmarkEnd w:id="142"/>
    </w:p>
    <w:p w14:paraId="0E82E2C3" w14:textId="77777777" w:rsidR="0033629A" w:rsidRDefault="004409CB">
      <w:pPr>
        <w:pStyle w:val="FirstParagraph"/>
      </w:pPr>
      <w:r>
        <w:t xml:space="preserve">The undetermination of the results and the possible reasons why effects have thus far not been detected, coupled with the statistical limitations of the models, suggest </w:t>
      </w:r>
      <w:proofErr w:type="gramStart"/>
      <w:r>
        <w:t>a number of</w:t>
      </w:r>
      <w:proofErr w:type="gramEnd"/>
      <w:r>
        <w:t xml:space="preserve"> future research directions. </w:t>
      </w:r>
      <w:proofErr w:type="gramStart"/>
      <w:r>
        <w:t>In order to</w:t>
      </w:r>
      <w:proofErr w:type="gramEnd"/>
      <w:r>
        <w:t xml:space="preserve"> improve the statistical power of the model, the analysis could be redone after several additional PISA assessment cycles pass. This not only ensures a </w:t>
      </w:r>
      <w:r>
        <w:lastRenderedPageBreak/>
        <w:t xml:space="preserve">larger sample size to work </w:t>
      </w:r>
      <w:proofErr w:type="gramStart"/>
      <w:r>
        <w:t>with</w:t>
      </w:r>
      <w:proofErr w:type="gramEnd"/>
      <w:r>
        <w:t xml:space="preserve"> but the expanded time span may allow for the measuring of education effects of policy changes made a decade or more in the past.</w:t>
      </w:r>
    </w:p>
    <w:p w14:paraId="4E4218BF" w14:textId="3C95BB34" w:rsidR="0033629A" w:rsidRDefault="004409CB">
      <w:pPr>
        <w:pStyle w:val="BodyText"/>
      </w:pPr>
      <w:r>
        <w:t xml:space="preserve">Augmenting the statistical models to include measures of the quality or quantity of climate (change) education can also improve the insight derived from these models. </w:t>
      </w:r>
      <w:r w:rsidR="00B53352">
        <w:t xml:space="preserve">While </w:t>
      </w:r>
      <w:hyperlink w:anchor="ref-unesco2021">
        <w:r w:rsidR="00B53352">
          <w:rPr>
            <w:rStyle w:val="Hyperlink"/>
          </w:rPr>
          <w:t>UNESCO</w:t>
        </w:r>
      </w:hyperlink>
      <w:r w:rsidR="00B53352">
        <w:t xml:space="preserve"> (</w:t>
      </w:r>
      <w:hyperlink w:anchor="ref-unesco2021">
        <w:r w:rsidR="00B53352">
          <w:rPr>
            <w:rStyle w:val="Hyperlink"/>
          </w:rPr>
          <w:t>2021</w:t>
        </w:r>
      </w:hyperlink>
      <w:r w:rsidR="00B53352">
        <w:t xml:space="preserve">) provides a broad quantitative overview of how climate change is included in curricula around the world, the data are not publicly available. </w:t>
      </w:r>
      <w:r>
        <w:t xml:space="preserve">Currently, </w:t>
      </w:r>
      <w:r w:rsidR="00B53352">
        <w:t>a robust, publicly available</w:t>
      </w:r>
      <w:r>
        <w:t xml:space="preserve"> international data set of </w:t>
      </w:r>
      <w:r w:rsidR="00B53352">
        <w:t>similar</w:t>
      </w:r>
      <w:r>
        <w:t xml:space="preserve"> measures does not </w:t>
      </w:r>
      <w:r w:rsidR="005A468D">
        <w:t>exist but</w:t>
      </w:r>
      <w:r>
        <w:t xml:space="preserve"> would certainly be worth curating for future research. Including variables to capture misinformation or media bias may also shed light on interesting interactions with education and emissions Alternatively, the analysis can focus on a single country, where more localized variables can be included. For example, a model focusing on the United States could include science scores by state from the Trends in International Mathematics and Science Study [PISA scores do not have state information; </w:t>
      </w:r>
      <w:hyperlink w:anchor="ref-carnoy2015">
        <w:r>
          <w:rPr>
            <w:rStyle w:val="Hyperlink"/>
          </w:rPr>
          <w:t>Carnoy et al.</w:t>
        </w:r>
      </w:hyperlink>
      <w:r>
        <w:t xml:space="preserve"> (</w:t>
      </w:r>
      <w:hyperlink w:anchor="ref-carnoy2015">
        <w:r>
          <w:rPr>
            <w:rStyle w:val="Hyperlink"/>
          </w:rPr>
          <w:t>2015</w:t>
        </w:r>
      </w:hyperlink>
      <w:r>
        <w:t xml:space="preserve">)]. It could look at state-level emissions and the interaction between science trends and climate (change) education quality from </w:t>
      </w:r>
      <w:hyperlink w:anchor="X4792cc562eea3c44d7acc8124d4be875b75da02">
        <w:r>
          <w:rPr>
            <w:rStyle w:val="Hyperlink"/>
          </w:rPr>
          <w:t>National Center for Science Education &amp; Texas Freedom Education Fund</w:t>
        </w:r>
      </w:hyperlink>
      <w:r>
        <w:t xml:space="preserve"> (</w:t>
      </w:r>
      <w:hyperlink w:anchor="X4792cc562eea3c44d7acc8124d4be875b75da02">
        <w:r>
          <w:rPr>
            <w:rStyle w:val="Hyperlink"/>
          </w:rPr>
          <w:t>2020</w:t>
        </w:r>
      </w:hyperlink>
      <w:r>
        <w:t xml:space="preserve">) on emissions. </w:t>
      </w:r>
      <w:r w:rsidR="003B7D0F">
        <w:t>Measures of local and national governance could be include</w:t>
      </w:r>
      <w:r w:rsidR="005A468D">
        <w:t xml:space="preserve">d </w:t>
      </w:r>
      <w:r w:rsidR="003B7D0F">
        <w:t>(</w:t>
      </w:r>
      <w:hyperlink w:anchor="ref-schafer2002" w:history="1">
        <w:r w:rsidR="003B7D0F" w:rsidRPr="005A468D">
          <w:rPr>
            <w:rStyle w:val="Hyperlink"/>
            <w:noProof w:val="0"/>
          </w:rPr>
          <w:t>Schmidt &amp; Rocconi., 2021</w:t>
        </w:r>
      </w:hyperlink>
      <w:r w:rsidR="003B7D0F">
        <w:t>) as environmental voting records (</w:t>
      </w:r>
      <w:proofErr w:type="gramStart"/>
      <w:r w:rsidR="003B7D0F">
        <w:t>e.g.</w:t>
      </w:r>
      <w:proofErr w:type="gramEnd"/>
      <w:r w:rsidR="003B7D0F">
        <w:t xml:space="preserve"> data from the League of Conservation Voters). </w:t>
      </w:r>
      <w:r>
        <w:t>Rather than examining CO</w:t>
      </w:r>
      <w:r>
        <w:rPr>
          <w:vertAlign w:val="subscript"/>
        </w:rPr>
        <w:t>2</w:t>
      </w:r>
      <w:r>
        <w:t xml:space="preserve"> emissions, utilizing another outcome may pick up on small shifts in behavior, such as</w:t>
      </w:r>
      <w:r w:rsidR="00B53352">
        <w:t xml:space="preserve"> </w:t>
      </w:r>
      <w:r>
        <w:t>policy support, ecological footprint, or fossil-fuel-based energy use may be viable alternatives to carbon emissions</w:t>
      </w:r>
      <w:r w:rsidR="00B53352">
        <w:t xml:space="preserve"> or serve as useful covariates</w:t>
      </w:r>
      <w:r>
        <w:t>.</w:t>
      </w:r>
    </w:p>
    <w:p w14:paraId="58BC4348" w14:textId="77777777" w:rsidR="0033629A" w:rsidRDefault="004409CB">
      <w:pPr>
        <w:pStyle w:val="BodyText"/>
      </w:pPr>
      <w:r>
        <w:t>Besides research implications, there are definite implications for education and policy. Education has been considered a crucial component in fighting climate change (</w:t>
      </w:r>
      <w:hyperlink w:anchor="ref-unesco2015">
        <w:r>
          <w:rPr>
            <w:rStyle w:val="Hyperlink"/>
          </w:rPr>
          <w:t>UNESCO, 2015</w:t>
        </w:r>
      </w:hyperlink>
      <w:r>
        <w:t xml:space="preserve">). Yet, just over half of curricula around the globe mention climate change. Few countries likely teach it with any depth that considers not only its mechanistic components but also effective actions that can be done to foster individual and systemic change. If science </w:t>
      </w:r>
      <w:r>
        <w:lastRenderedPageBreak/>
        <w:t>education (and, by extension, climate change education) is to have any effect on the climate crisis, the suggestions from UNESCO (</w:t>
      </w:r>
      <w:hyperlink w:anchor="ref-unesco2021">
        <w:r>
          <w:rPr>
            <w:rStyle w:val="Hyperlink"/>
          </w:rPr>
          <w:t>2021, p. 12</w:t>
        </w:r>
      </w:hyperlink>
      <w:r>
        <w:t>) are worth considering:</w:t>
      </w:r>
    </w:p>
    <w:p w14:paraId="496E1093" w14:textId="77777777" w:rsidR="0033629A" w:rsidRDefault="004409CB">
      <w:pPr>
        <w:pStyle w:val="Compact"/>
        <w:numPr>
          <w:ilvl w:val="0"/>
          <w:numId w:val="14"/>
        </w:numPr>
      </w:pPr>
      <w:r>
        <w:t>Climate change education should be a core curriculum component in every country.</w:t>
      </w:r>
    </w:p>
    <w:p w14:paraId="1E7EB511" w14:textId="77777777" w:rsidR="0033629A" w:rsidRDefault="004409CB">
      <w:pPr>
        <w:pStyle w:val="Compact"/>
        <w:numPr>
          <w:ilvl w:val="0"/>
          <w:numId w:val="14"/>
        </w:numPr>
      </w:pPr>
      <w:r>
        <w:t>Greater focus on climate change content is needed in the curricula of countries most responsible for climate change.</w:t>
      </w:r>
    </w:p>
    <w:p w14:paraId="7DF50299" w14:textId="77777777" w:rsidR="0033629A" w:rsidRDefault="004409CB">
      <w:pPr>
        <w:pStyle w:val="Compact"/>
        <w:numPr>
          <w:ilvl w:val="0"/>
          <w:numId w:val="14"/>
        </w:numPr>
      </w:pPr>
      <w:r>
        <w:t>Climate change education should be integrated across all levels and disciplines of learning.</w:t>
      </w:r>
    </w:p>
    <w:p w14:paraId="3B7194FA" w14:textId="77777777" w:rsidR="0033629A" w:rsidRDefault="004409CB">
      <w:pPr>
        <w:pStyle w:val="Compact"/>
        <w:numPr>
          <w:ilvl w:val="0"/>
          <w:numId w:val="14"/>
        </w:numPr>
      </w:pPr>
      <w:r>
        <w:t>Teachers and school leaders need to be prepared to teach climate change.</w:t>
      </w:r>
    </w:p>
    <w:p w14:paraId="0F6D1C28" w14:textId="77777777" w:rsidR="0033629A" w:rsidRDefault="004409CB">
      <w:pPr>
        <w:pStyle w:val="Compact"/>
        <w:numPr>
          <w:ilvl w:val="0"/>
          <w:numId w:val="14"/>
        </w:numPr>
      </w:pPr>
      <w:r>
        <w:t>Climate change education must equally focus on ‘head,’ ‘heart’ and ‘hands’ – and teachers need to be ready.</w:t>
      </w:r>
    </w:p>
    <w:p w14:paraId="67DDDC22" w14:textId="77777777" w:rsidR="0033629A" w:rsidRDefault="004409CB">
      <w:pPr>
        <w:pStyle w:val="Compact"/>
        <w:numPr>
          <w:ilvl w:val="0"/>
          <w:numId w:val="14"/>
        </w:numPr>
      </w:pPr>
      <w:r>
        <w:t>Climate change education should be woven into diverse aspects of countries’ policies and programmes.</w:t>
      </w:r>
    </w:p>
    <w:p w14:paraId="4552E7A2" w14:textId="77777777" w:rsidR="0033629A" w:rsidRDefault="004409CB">
      <w:pPr>
        <w:pStyle w:val="Compact"/>
        <w:numPr>
          <w:ilvl w:val="0"/>
          <w:numId w:val="14"/>
        </w:numPr>
      </w:pPr>
      <w:r>
        <w:t>Ministries of Education and Environment can and should work together to boost climate change education.</w:t>
      </w:r>
    </w:p>
    <w:p w14:paraId="188CFF2E" w14:textId="77777777" w:rsidR="0033629A" w:rsidRDefault="004409CB">
      <w:pPr>
        <w:pStyle w:val="FirstParagraph"/>
      </w:pPr>
      <w:r>
        <w:t>To add to those suggestions, education must focus on increasing knowledge, raising concern, instilling hope, and fostering action (</w:t>
      </w:r>
      <w:hyperlink w:anchor="ref-nicholas2021">
        <w:r>
          <w:rPr>
            <w:rStyle w:val="Hyperlink"/>
          </w:rPr>
          <w:t>Nicholas, 2021</w:t>
        </w:r>
      </w:hyperlink>
      <w:r>
        <w:t xml:space="preserve">; </w:t>
      </w:r>
      <w:hyperlink w:anchor="ref-steinberger2022">
        <w:r>
          <w:rPr>
            <w:rStyle w:val="Hyperlink"/>
          </w:rPr>
          <w:t>Steinberger, 2022</w:t>
        </w:r>
      </w:hyperlink>
      <w:r>
        <w:t xml:space="preserve">). This may be particularly important for many countries with high scientific literacy rates, which are associated with higher carbon emissions. </w:t>
      </w:r>
      <w:hyperlink w:anchor="ref-nielsen2021">
        <w:r>
          <w:rPr>
            <w:rStyle w:val="Hyperlink"/>
          </w:rPr>
          <w:t>Nielsen et al.</w:t>
        </w:r>
      </w:hyperlink>
      <w:r>
        <w:t xml:space="preserve"> (</w:t>
      </w:r>
      <w:hyperlink w:anchor="ref-nielsen2021">
        <w:r>
          <w:rPr>
            <w:rStyle w:val="Hyperlink"/>
          </w:rPr>
          <w:t>2021</w:t>
        </w:r>
      </w:hyperlink>
      <w:r>
        <w:t xml:space="preserve">) point out five roles that high-SES individuals can follow to have a meaningful effect on the climate: consumer, investor, citizen, organizational participant, and role model. Many of these can apply directly to adolescents or indirectly to their families. Adolescents (or any school-aged child) can follow and promote sustainable consumption, encourage their parents to invest in fossil-fuel-free portfolios, encourage climate-friendly candidate and policy support, promote sustainable changes at school (e.g., </w:t>
      </w:r>
      <w:hyperlink w:anchor="ref-lieberman2022">
        <w:r>
          <w:rPr>
            <w:rStyle w:val="Hyperlink"/>
          </w:rPr>
          <w:t>Lieberman, 2022</w:t>
        </w:r>
      </w:hyperlink>
      <w:r>
        <w:t xml:space="preserve">), and become role models of sustainability to their </w:t>
      </w:r>
      <w:r>
        <w:lastRenderedPageBreak/>
        <w:t xml:space="preserve">larger community (see also </w:t>
      </w:r>
      <w:hyperlink w:anchor="ref-projectdrawdown2020">
        <w:r>
          <w:rPr>
            <w:rStyle w:val="Hyperlink"/>
          </w:rPr>
          <w:t>Project Drawdown, 2020</w:t>
        </w:r>
      </w:hyperlink>
      <w:r>
        <w:t xml:space="preserve"> for additional actions and their related emissions changes).</w:t>
      </w:r>
    </w:p>
    <w:p w14:paraId="74264C91" w14:textId="77777777" w:rsidR="0033629A" w:rsidRDefault="004409CB">
      <w:pPr>
        <w:pStyle w:val="BodyText"/>
      </w:pPr>
      <w:r>
        <w:t>Knowledge is key for helping students understand the climate crisis. Teaching about hope and action is crucial for moving beyond knowledge. These are, however, admittedly large challenges, ones that may ask teachers to step out of their comfort zone. But in a world where nearly 60% of young people around the globe are experiencing some form of climate anxiety (</w:t>
      </w:r>
      <w:hyperlink w:anchor="ref-marks2021">
        <w:r>
          <w:rPr>
            <w:rStyle w:val="Hyperlink"/>
          </w:rPr>
          <w:t>Marks et al., 2021</w:t>
        </w:r>
      </w:hyperlink>
      <w:r>
        <w:t xml:space="preserve">), there is a strong and well-funded climate denial movement </w:t>
      </w:r>
      <w:hyperlink w:anchor="ref-mann2021">
        <w:r>
          <w:rPr>
            <w:rStyle w:val="Hyperlink"/>
          </w:rPr>
          <w:t>Mann</w:t>
        </w:r>
      </w:hyperlink>
      <w:r>
        <w:t xml:space="preserve"> (</w:t>
      </w:r>
      <w:hyperlink w:anchor="ref-mann2021">
        <w:r>
          <w:rPr>
            <w:rStyle w:val="Hyperlink"/>
          </w:rPr>
          <w:t>2021</w:t>
        </w:r>
      </w:hyperlink>
      <w:r>
        <w:t>), and literal time is running out (we are expected to exceed 1.5 degrees of warming by 2030), it seems time to, quoting Greta Thunberg (2018) again, “wake up and change.”</w:t>
      </w:r>
    </w:p>
    <w:p w14:paraId="7C54541A" w14:textId="77777777" w:rsidR="0033629A" w:rsidRDefault="004409CB">
      <w:pPr>
        <w:pStyle w:val="Heading2"/>
      </w:pPr>
      <w:bookmarkStart w:id="144" w:name="_Toc107939130"/>
      <w:bookmarkStart w:id="145" w:name="conclusion"/>
      <w:bookmarkEnd w:id="143"/>
      <w:r>
        <w:t>Conclusion</w:t>
      </w:r>
      <w:bookmarkEnd w:id="144"/>
    </w:p>
    <w:p w14:paraId="4A2B6C58" w14:textId="77777777" w:rsidR="0033629A" w:rsidRDefault="004409CB">
      <w:pPr>
        <w:pStyle w:val="FirstParagraph"/>
      </w:pPr>
      <w:r>
        <w:t>Human activities have radically changed the climate, negatively impacting most species of life on earth, people included. While technology has advanced to such a degree that we now posses most of the means of preventing further climate change, there are still major social and political hurdles that stand in the way. Education has been touted as one possible means for helping to move forward necessary action on climate change. A hybrid model of planned behavior and human capital helps explain how education can affect climate change. Essentially, increased knowledge about science and climate change can lead to increased beliefs and concern among adolescents, which can then go on to affect their behavior and the behavior of their friends, family, and community. Through increased belief in climate change, pro-environmental behavior, and policy support at local and national levels, there may be a “trickle-up” impact of education on national carbon emissions.</w:t>
      </w:r>
    </w:p>
    <w:p w14:paraId="7EE85264" w14:textId="12F8F493" w:rsidR="0033629A" w:rsidRDefault="004409CB">
      <w:pPr>
        <w:pStyle w:val="BodyText"/>
      </w:pPr>
      <w:r>
        <w:t xml:space="preserve">The current dissertation sought to assess this model and determine what, if any, relationship education may have on carbon emissions per capita. The PISA scientific literacy </w:t>
      </w:r>
      <w:r>
        <w:lastRenderedPageBreak/>
        <w:t>assessment was chosen as the key independent variable, as it attempts to measure the ability of fifteen-year</w:t>
      </w:r>
      <w:r w:rsidR="00CB2249">
        <w:t>-</w:t>
      </w:r>
      <w:r>
        <w:t>olds</w:t>
      </w:r>
      <w:r w:rsidR="00CB2249">
        <w:t>’</w:t>
      </w:r>
      <w:r>
        <w:t xml:space="preserve"> to use science knowledge </w:t>
      </w:r>
      <w:proofErr w:type="gramStart"/>
      <w:r>
        <w:t>in order to</w:t>
      </w:r>
      <w:proofErr w:type="gramEnd"/>
      <w:r>
        <w:t xml:space="preserve"> address the issues that </w:t>
      </w:r>
      <w:r w:rsidR="00CB2249">
        <w:t xml:space="preserve">they </w:t>
      </w:r>
      <w:r>
        <w:t>are facing. There is arguably no greater issue than climate change. A multilevel growth model was fit that examined changes in CO</w:t>
      </w:r>
      <w:r>
        <w:rPr>
          <w:vertAlign w:val="subscript"/>
        </w:rPr>
        <w:t>2</w:t>
      </w:r>
      <w:r>
        <w:t xml:space="preserve"> per capita and PISA scientific literacy, holding </w:t>
      </w:r>
      <w:proofErr w:type="gramStart"/>
      <w:r>
        <w:t>a number of</w:t>
      </w:r>
      <w:proofErr w:type="gramEnd"/>
      <w:r>
        <w:t xml:space="preserve"> social, political, and economic variables constant.</w:t>
      </w:r>
    </w:p>
    <w:p w14:paraId="31ADD225" w14:textId="77777777" w:rsidR="0033629A" w:rsidRDefault="004409CB">
      <w:pPr>
        <w:pStyle w:val="BodyText"/>
      </w:pPr>
      <w:r>
        <w:t>The results indicated that, while increases in scientific literacy across all countries are significantly associated with an increase in CO</w:t>
      </w:r>
      <w:r>
        <w:rPr>
          <w:vertAlign w:val="subscript"/>
        </w:rPr>
        <w:t>2</w:t>
      </w:r>
      <w:r>
        <w:t xml:space="preserve"> per capita, this is likely mostly driven by economics, namely GDP. There were no significant relationships between changes in scientific literacy within a country and that country’s emissions. This suggests evidence for the conceptual framework is undetermined, as there are </w:t>
      </w:r>
      <w:proofErr w:type="gramStart"/>
      <w:r>
        <w:t>a number of</w:t>
      </w:r>
      <w:proofErr w:type="gramEnd"/>
      <w:r>
        <w:t xml:space="preserve"> statistical and educational factors that may be attenuating any potential effect from education.</w:t>
      </w:r>
    </w:p>
    <w:p w14:paraId="7463AD2E" w14:textId="73CB7295" w:rsidR="0033629A" w:rsidRDefault="004409CB">
      <w:pPr>
        <w:pStyle w:val="BodyText"/>
      </w:pPr>
      <w:r>
        <w:t>Based on this research, it is suggested that shifts in educational policies and practices that emphasize and integrates science and climate change education across the curricula may have a greater effect on emissions than is currently the case. In addition, science and climate education should be imbued with a focus on effective climate change actions that can foster the individual and systemic changes needed to avert a global catastrophe.</w:t>
      </w:r>
    </w:p>
    <w:p w14:paraId="2EF7B273" w14:textId="77777777" w:rsidR="0033629A" w:rsidRDefault="004409CB">
      <w:pPr>
        <w:pStyle w:val="BodyText"/>
      </w:pPr>
      <w:r>
        <w:br w:type="page"/>
      </w:r>
    </w:p>
    <w:p w14:paraId="6F85BF9D" w14:textId="77777777" w:rsidR="0033629A" w:rsidRDefault="004409CB">
      <w:pPr>
        <w:pStyle w:val="Heading1"/>
      </w:pPr>
      <w:bookmarkStart w:id="146" w:name="_Toc107939131"/>
      <w:bookmarkStart w:id="147" w:name="references"/>
      <w:bookmarkEnd w:id="131"/>
      <w:bookmarkEnd w:id="145"/>
      <w:r>
        <w:lastRenderedPageBreak/>
        <w:t>REFERENCES</w:t>
      </w:r>
      <w:bookmarkEnd w:id="146"/>
    </w:p>
    <w:p w14:paraId="7914E211" w14:textId="77777777" w:rsidR="0033629A" w:rsidRDefault="004409CB" w:rsidP="009E3272">
      <w:pPr>
        <w:pStyle w:val="Bibliography"/>
        <w:ind w:left="720" w:hanging="810"/>
      </w:pPr>
      <w:bookmarkStart w:id="148" w:name="ref-akenji2019"/>
      <w:bookmarkStart w:id="149" w:name="refs"/>
      <w:r>
        <w:t xml:space="preserve">Akenji, L., Lettenmeir, M., Toivio, V., Koide, R., &amp; Amellina, A. (2019). </w:t>
      </w:r>
      <w:r>
        <w:rPr>
          <w:i/>
          <w:iCs/>
        </w:rPr>
        <w:t>1.5-degree lifestyles</w:t>
      </w:r>
      <w:r>
        <w:t>.</w:t>
      </w:r>
    </w:p>
    <w:p w14:paraId="3131A614" w14:textId="77777777" w:rsidR="0033629A" w:rsidRDefault="004409CB" w:rsidP="009E3272">
      <w:pPr>
        <w:pStyle w:val="Bibliography"/>
        <w:ind w:left="720" w:hanging="810"/>
      </w:pPr>
      <w:bookmarkStart w:id="150" w:name="ref-aleman2015"/>
      <w:bookmarkEnd w:id="148"/>
      <w:r>
        <w:t xml:space="preserve">Aleman, E., &amp; Kim, Y. (2015). The democratizing effect of education. </w:t>
      </w:r>
      <w:r>
        <w:rPr>
          <w:i/>
          <w:iCs/>
        </w:rPr>
        <w:t>Research &amp; Politics</w:t>
      </w:r>
      <w:r>
        <w:t xml:space="preserve">, </w:t>
      </w:r>
      <w:r>
        <w:rPr>
          <w:i/>
          <w:iCs/>
        </w:rPr>
        <w:t>2</w:t>
      </w:r>
      <w:r>
        <w:t xml:space="preserve">(4), 2053168015613360. </w:t>
      </w:r>
      <w:hyperlink r:id="rId115">
        <w:r>
          <w:rPr>
            <w:rStyle w:val="Hyperlink"/>
          </w:rPr>
          <w:t>https://doi.org/10.1177/2053168015613360</w:t>
        </w:r>
      </w:hyperlink>
    </w:p>
    <w:p w14:paraId="58BD2980" w14:textId="77777777" w:rsidR="0033629A" w:rsidRDefault="004409CB" w:rsidP="009E3272">
      <w:pPr>
        <w:pStyle w:val="Bibliography"/>
        <w:ind w:left="720" w:hanging="810"/>
      </w:pPr>
      <w:bookmarkStart w:id="151" w:name="ref-allea2020"/>
      <w:bookmarkEnd w:id="150"/>
      <w:r>
        <w:t xml:space="preserve">ALLEA. (2020). </w:t>
      </w:r>
      <w:r>
        <w:rPr>
          <w:i/>
          <w:iCs/>
        </w:rPr>
        <w:t>A snapshot of climate change education initiatives in Europe</w:t>
      </w:r>
      <w:r>
        <w:t>. ALLEA.</w:t>
      </w:r>
    </w:p>
    <w:p w14:paraId="6BEE0457" w14:textId="77777777" w:rsidR="0033629A" w:rsidRDefault="004409CB" w:rsidP="009E3272">
      <w:pPr>
        <w:pStyle w:val="Bibliography"/>
        <w:ind w:left="720" w:hanging="810"/>
      </w:pPr>
      <w:bookmarkStart w:id="152" w:name="ref-aloisi2017"/>
      <w:bookmarkEnd w:id="151"/>
      <w:r>
        <w:t xml:space="preserve">Aloisi, C., &amp; Tymms, P. (2017). PISA trends, social changes, and education reforms. </w:t>
      </w:r>
      <w:r>
        <w:rPr>
          <w:i/>
          <w:iCs/>
        </w:rPr>
        <w:t>Educational Research and Evaluation</w:t>
      </w:r>
      <w:r>
        <w:t xml:space="preserve">, </w:t>
      </w:r>
      <w:r>
        <w:rPr>
          <w:i/>
          <w:iCs/>
        </w:rPr>
        <w:t>23</w:t>
      </w:r>
      <w:r>
        <w:t xml:space="preserve">(5-6), 180–220. </w:t>
      </w:r>
      <w:hyperlink r:id="rId116">
        <w:r>
          <w:rPr>
            <w:rStyle w:val="Hyperlink"/>
          </w:rPr>
          <w:t>https://doi.org/10.1080/13803611.2017.1455290</w:t>
        </w:r>
      </w:hyperlink>
    </w:p>
    <w:p w14:paraId="25296C94" w14:textId="77777777" w:rsidR="0033629A" w:rsidRDefault="004409CB" w:rsidP="009E3272">
      <w:pPr>
        <w:pStyle w:val="Bibliography"/>
        <w:ind w:left="720" w:hanging="810"/>
      </w:pPr>
      <w:bookmarkStart w:id="153" w:name="ref-andrew2021"/>
      <w:bookmarkEnd w:id="152"/>
      <w:r>
        <w:t xml:space="preserve">Andrew, R., &amp; Peters, G. (2021). </w:t>
      </w:r>
      <w:r>
        <w:rPr>
          <w:i/>
          <w:iCs/>
        </w:rPr>
        <w:t>The Global Carbon Project’s fossil CO2 emissions dataset</w:t>
      </w:r>
      <w:r>
        <w:t xml:space="preserve">. </w:t>
      </w:r>
      <w:hyperlink r:id="rId117">
        <w:r>
          <w:rPr>
            <w:rStyle w:val="Hyperlink"/>
          </w:rPr>
          <w:t>https://doi.org/10.6084/m9.figshare.16729084.v1</w:t>
        </w:r>
      </w:hyperlink>
    </w:p>
    <w:p w14:paraId="080C73D0" w14:textId="6DEF8906" w:rsidR="0050133F" w:rsidRDefault="0050133F" w:rsidP="009E3272">
      <w:pPr>
        <w:pStyle w:val="Bibliography"/>
        <w:ind w:left="720" w:hanging="810"/>
      </w:pPr>
      <w:bookmarkStart w:id="154" w:name="ref-apollo2021"/>
      <w:bookmarkEnd w:id="153"/>
      <w:r w:rsidRPr="0050133F">
        <w:t xml:space="preserve">Aparicio, J., Cordero, J. M., &amp; Ortiz, L. (2021). Efficiency analysis with educational data: How to deal with plausible values from international large-scale assessments. </w:t>
      </w:r>
      <w:r w:rsidRPr="0050133F">
        <w:rPr>
          <w:i/>
          <w:iCs/>
        </w:rPr>
        <w:t>Mathematics, 9</w:t>
      </w:r>
      <w:r w:rsidRPr="0050133F">
        <w:t>(13), 1579.</w:t>
      </w:r>
    </w:p>
    <w:p w14:paraId="41371DB1" w14:textId="7DCEF7FC" w:rsidR="0033629A" w:rsidRDefault="004409CB" w:rsidP="009E3272">
      <w:pPr>
        <w:pStyle w:val="Bibliography"/>
        <w:ind w:left="720" w:hanging="810"/>
      </w:pPr>
      <w:r>
        <w:t xml:space="preserve">Apollo, A., &amp; Mbah, M. F. (2021). Challenges and opportunities for climate change education (CCE) in East Africa: A critical review. </w:t>
      </w:r>
      <w:r>
        <w:rPr>
          <w:i/>
          <w:iCs/>
        </w:rPr>
        <w:t>Climate</w:t>
      </w:r>
      <w:r>
        <w:t xml:space="preserve">, </w:t>
      </w:r>
      <w:r>
        <w:rPr>
          <w:i/>
          <w:iCs/>
        </w:rPr>
        <w:t>9</w:t>
      </w:r>
      <w:r>
        <w:t xml:space="preserve">(6), 93. </w:t>
      </w:r>
      <w:hyperlink r:id="rId118">
        <w:r>
          <w:rPr>
            <w:rStyle w:val="Hyperlink"/>
          </w:rPr>
          <w:t>https://doi.org/10.3390/cli9060093</w:t>
        </w:r>
      </w:hyperlink>
    </w:p>
    <w:p w14:paraId="7A7AE46B" w14:textId="77777777" w:rsidR="0033629A" w:rsidRDefault="004409CB" w:rsidP="009E3272">
      <w:pPr>
        <w:pStyle w:val="Bibliography"/>
        <w:ind w:left="720" w:hanging="810"/>
      </w:pPr>
      <w:bookmarkStart w:id="155" w:name="ref-attari2019"/>
      <w:bookmarkEnd w:id="154"/>
      <w:r>
        <w:t xml:space="preserve">Attari, S. Z., Krantz, D. H., &amp; Weber, E. U. (2019). Climate change communicators’ carbon footprints affect their audience’s policy support. </w:t>
      </w:r>
      <w:r>
        <w:rPr>
          <w:i/>
          <w:iCs/>
        </w:rPr>
        <w:t>Climatic Change</w:t>
      </w:r>
      <w:r>
        <w:t xml:space="preserve">, </w:t>
      </w:r>
      <w:r>
        <w:rPr>
          <w:i/>
          <w:iCs/>
        </w:rPr>
        <w:t>154</w:t>
      </w:r>
      <w:r>
        <w:t xml:space="preserve">(3), 529–545. </w:t>
      </w:r>
      <w:hyperlink r:id="rId119">
        <w:r>
          <w:rPr>
            <w:rStyle w:val="Hyperlink"/>
          </w:rPr>
          <w:t>https://doi.org/10.1007/s10584-019-02463-0</w:t>
        </w:r>
      </w:hyperlink>
    </w:p>
    <w:p w14:paraId="5799C3E5" w14:textId="77777777" w:rsidR="0033629A" w:rsidRDefault="004409CB" w:rsidP="009E3272">
      <w:pPr>
        <w:pStyle w:val="Bibliography"/>
        <w:ind w:left="720" w:hanging="810"/>
      </w:pPr>
      <w:bookmarkStart w:id="156" w:name="ref-axinn1993"/>
      <w:bookmarkEnd w:id="155"/>
      <w:r>
        <w:lastRenderedPageBreak/>
        <w:t xml:space="preserve">Axinn, W. G., &amp; Thornton, A. (1993). Mothers, children, and cohabitation: The intergenerational effects of attitudes and behavior. </w:t>
      </w:r>
      <w:r>
        <w:rPr>
          <w:i/>
          <w:iCs/>
        </w:rPr>
        <w:t>American Sociological Review</w:t>
      </w:r>
      <w:r>
        <w:t xml:space="preserve">, </w:t>
      </w:r>
      <w:r>
        <w:rPr>
          <w:i/>
          <w:iCs/>
        </w:rPr>
        <w:t>58</w:t>
      </w:r>
      <w:r>
        <w:t xml:space="preserve">(2), 233–246. </w:t>
      </w:r>
      <w:hyperlink r:id="rId120">
        <w:r>
          <w:rPr>
            <w:rStyle w:val="Hyperlink"/>
          </w:rPr>
          <w:t>https://doi.org/10.2307/2095968</w:t>
        </w:r>
      </w:hyperlink>
    </w:p>
    <w:p w14:paraId="40FD1F1A" w14:textId="77777777" w:rsidR="0033629A" w:rsidRDefault="004409CB" w:rsidP="009E3272">
      <w:pPr>
        <w:pStyle w:val="Bibliography"/>
        <w:ind w:left="720" w:hanging="810"/>
      </w:pPr>
      <w:bookmarkStart w:id="157" w:name="ref-azevedo2017"/>
      <w:bookmarkEnd w:id="156"/>
      <w:r>
        <w:t xml:space="preserve">Azevedo, J., &amp; Marques, M. (2017). Climate literacy: A systematic review and model integration. </w:t>
      </w:r>
      <w:r>
        <w:rPr>
          <w:i/>
          <w:iCs/>
        </w:rPr>
        <w:t>International Journal of Global Warming</w:t>
      </w:r>
      <w:r>
        <w:t xml:space="preserve">, </w:t>
      </w:r>
      <w:r>
        <w:rPr>
          <w:i/>
          <w:iCs/>
        </w:rPr>
        <w:t>12</w:t>
      </w:r>
      <w:r>
        <w:t xml:space="preserve">, 414. </w:t>
      </w:r>
      <w:hyperlink r:id="rId121">
        <w:r>
          <w:rPr>
            <w:rStyle w:val="Hyperlink"/>
          </w:rPr>
          <w:t>https://doi.org/10.1504/IJGW.2017.084789</w:t>
        </w:r>
      </w:hyperlink>
    </w:p>
    <w:p w14:paraId="499F0C66" w14:textId="77777777" w:rsidR="0033629A" w:rsidRDefault="004409CB" w:rsidP="009E3272">
      <w:pPr>
        <w:pStyle w:val="Bibliography"/>
        <w:ind w:left="720" w:hanging="810"/>
      </w:pPr>
      <w:bookmarkStart w:id="158" w:name="ref-baker2011"/>
      <w:bookmarkEnd w:id="157"/>
      <w:r>
        <w:t xml:space="preserve">Baker, D. P., Leon, J., Greenaway, E. G. S., Collins, J., &amp; Movit, M. (2011). The education effect on population health: A reassessment. </w:t>
      </w:r>
      <w:r>
        <w:rPr>
          <w:i/>
          <w:iCs/>
        </w:rPr>
        <w:t>Population and Development Review</w:t>
      </w:r>
      <w:r>
        <w:t xml:space="preserve">, </w:t>
      </w:r>
      <w:r>
        <w:rPr>
          <w:i/>
          <w:iCs/>
        </w:rPr>
        <w:t>37</w:t>
      </w:r>
      <w:r>
        <w:t xml:space="preserve">(2), 307–332. </w:t>
      </w:r>
      <w:hyperlink r:id="rId122">
        <w:r>
          <w:rPr>
            <w:rStyle w:val="Hyperlink"/>
          </w:rPr>
          <w:t>https://doi.org/10.1111/j.1728-4457.2011.00412.x</w:t>
        </w:r>
      </w:hyperlink>
    </w:p>
    <w:p w14:paraId="75AB8ABB" w14:textId="77777777" w:rsidR="0033629A" w:rsidRDefault="004409CB" w:rsidP="009E3272">
      <w:pPr>
        <w:pStyle w:val="Bibliography"/>
        <w:ind w:left="720" w:hanging="810"/>
      </w:pPr>
      <w:bookmarkStart w:id="159" w:name="ref-ballantyne1998"/>
      <w:bookmarkEnd w:id="158"/>
      <w:r>
        <w:t xml:space="preserve">Ballantyne, R., Connell, S., &amp; Fien, J. (1998). Students as catalysts of environmental change: A framework for researching intergenerational influence through environmental education. </w:t>
      </w:r>
      <w:r>
        <w:rPr>
          <w:i/>
          <w:iCs/>
        </w:rPr>
        <w:t>Environmental Education Research</w:t>
      </w:r>
      <w:r>
        <w:t xml:space="preserve">, </w:t>
      </w:r>
      <w:r>
        <w:rPr>
          <w:i/>
          <w:iCs/>
        </w:rPr>
        <w:t>4</w:t>
      </w:r>
      <w:r>
        <w:t xml:space="preserve">(3), 285–298. </w:t>
      </w:r>
      <w:hyperlink r:id="rId123">
        <w:r>
          <w:rPr>
            <w:rStyle w:val="Hyperlink"/>
          </w:rPr>
          <w:t>https://doi.org/10.1080/1350462980040304</w:t>
        </w:r>
      </w:hyperlink>
    </w:p>
    <w:p w14:paraId="50F6146E" w14:textId="77777777" w:rsidR="0033629A" w:rsidRDefault="004409CB" w:rsidP="009E3272">
      <w:pPr>
        <w:pStyle w:val="Bibliography"/>
        <w:ind w:left="720" w:hanging="810"/>
      </w:pPr>
      <w:bookmarkStart w:id="160" w:name="ref-bano2018"/>
      <w:bookmarkEnd w:id="159"/>
      <w:r>
        <w:t xml:space="preserve">Bano, S., Zhao, Y., Ahmad, A., Wang, S., &amp; Liu, Y. (2018). Identifying the impacts of human capital on carbon emissions in Pakistan. </w:t>
      </w:r>
      <w:r>
        <w:rPr>
          <w:i/>
          <w:iCs/>
        </w:rPr>
        <w:t>Journal of Cleaner Production</w:t>
      </w:r>
      <w:r>
        <w:t xml:space="preserve">, </w:t>
      </w:r>
      <w:r>
        <w:rPr>
          <w:i/>
          <w:iCs/>
        </w:rPr>
        <w:t>183</w:t>
      </w:r>
      <w:r>
        <w:t xml:space="preserve">, 1082–1092. </w:t>
      </w:r>
      <w:hyperlink r:id="rId124">
        <w:r>
          <w:rPr>
            <w:rStyle w:val="Hyperlink"/>
          </w:rPr>
          <w:t>https://doi.org/10.1016/j.jclepro.2018.02.008</w:t>
        </w:r>
      </w:hyperlink>
    </w:p>
    <w:p w14:paraId="0B7A9A67" w14:textId="77777777" w:rsidR="0033629A" w:rsidRDefault="004409CB" w:rsidP="009E3272">
      <w:pPr>
        <w:pStyle w:val="Bibliography"/>
        <w:ind w:left="720" w:hanging="810"/>
      </w:pPr>
      <w:bookmarkStart w:id="161" w:name="ref-bates2010"/>
      <w:bookmarkEnd w:id="160"/>
      <w:r>
        <w:t xml:space="preserve">Bates, D. M. (2010). </w:t>
      </w:r>
      <w:r>
        <w:rPr>
          <w:i/>
          <w:iCs/>
        </w:rPr>
        <w:t>Lme4: Mixed-effects modeling with R</w:t>
      </w:r>
      <w:r>
        <w:t>. Springer.</w:t>
      </w:r>
    </w:p>
    <w:p w14:paraId="79821E1B" w14:textId="77777777" w:rsidR="0033629A" w:rsidRDefault="004409CB" w:rsidP="009E3272">
      <w:pPr>
        <w:pStyle w:val="Bibliography"/>
        <w:ind w:left="720" w:hanging="810"/>
      </w:pPr>
      <w:bookmarkStart w:id="162" w:name="ref-becker1993"/>
      <w:bookmarkEnd w:id="161"/>
      <w:r>
        <w:t xml:space="preserve">Becker, G. S. (1993). Nobel lecture: The economic way of looking at behavior. </w:t>
      </w:r>
      <w:r>
        <w:rPr>
          <w:i/>
          <w:iCs/>
        </w:rPr>
        <w:t>Journal of Political Economy</w:t>
      </w:r>
      <w:r>
        <w:t xml:space="preserve">, </w:t>
      </w:r>
      <w:r>
        <w:rPr>
          <w:i/>
          <w:iCs/>
        </w:rPr>
        <w:t>101</w:t>
      </w:r>
      <w:r>
        <w:t xml:space="preserve">(3), 385–409. </w:t>
      </w:r>
      <w:hyperlink r:id="rId125">
        <w:r>
          <w:rPr>
            <w:rStyle w:val="Hyperlink"/>
          </w:rPr>
          <w:t>https://doi.org/10.1086/261880</w:t>
        </w:r>
      </w:hyperlink>
    </w:p>
    <w:p w14:paraId="0FC9F6F6" w14:textId="77777777" w:rsidR="0033629A" w:rsidRDefault="004409CB" w:rsidP="009E3272">
      <w:pPr>
        <w:pStyle w:val="Bibliography"/>
        <w:ind w:left="720" w:hanging="810"/>
      </w:pPr>
      <w:bookmarkStart w:id="163" w:name="ref-beugelsdijk2018"/>
      <w:bookmarkEnd w:id="162"/>
      <w:r>
        <w:t xml:space="preserve">Beugelsdijk, S., &amp; Welzel, C. (2018). Dimensions and dynamics of national culture: Synthesizing Hofstede with Inglehart. </w:t>
      </w:r>
      <w:r>
        <w:rPr>
          <w:i/>
          <w:iCs/>
        </w:rPr>
        <w:t>Journal of Cross-Cultural Psychology</w:t>
      </w:r>
      <w:r>
        <w:t xml:space="preserve">, </w:t>
      </w:r>
      <w:r>
        <w:rPr>
          <w:i/>
          <w:iCs/>
        </w:rPr>
        <w:t>49</w:t>
      </w:r>
      <w:r>
        <w:t xml:space="preserve">(10), 1469–1505. </w:t>
      </w:r>
      <w:hyperlink r:id="rId126">
        <w:r>
          <w:rPr>
            <w:rStyle w:val="Hyperlink"/>
          </w:rPr>
          <w:t>https://doi.org/10.1177/0022022118798505</w:t>
        </w:r>
      </w:hyperlink>
    </w:p>
    <w:p w14:paraId="5213E64D" w14:textId="77777777" w:rsidR="0033629A" w:rsidRDefault="004409CB" w:rsidP="009E3272">
      <w:pPr>
        <w:pStyle w:val="Bibliography"/>
        <w:ind w:left="720" w:hanging="810"/>
      </w:pPr>
      <w:bookmarkStart w:id="164" w:name="ref-blodgett2008"/>
      <w:bookmarkEnd w:id="163"/>
      <w:r>
        <w:lastRenderedPageBreak/>
        <w:t xml:space="preserve">Blodgett, J. G., Bakir, A., &amp; Rose, G. M. (2008). A test of the validity of Hofstede’s cultural framework. </w:t>
      </w:r>
      <w:r>
        <w:rPr>
          <w:i/>
          <w:iCs/>
        </w:rPr>
        <w:t>Journal of Consumer Marketing</w:t>
      </w:r>
      <w:r>
        <w:t xml:space="preserve">, </w:t>
      </w:r>
      <w:r>
        <w:rPr>
          <w:i/>
          <w:iCs/>
        </w:rPr>
        <w:t>25</w:t>
      </w:r>
      <w:r>
        <w:t xml:space="preserve">(6), 339–349. </w:t>
      </w:r>
      <w:hyperlink r:id="rId127">
        <w:r>
          <w:rPr>
            <w:rStyle w:val="Hyperlink"/>
          </w:rPr>
          <w:t>https://doi.org/10.1108/07363760810902477</w:t>
        </w:r>
      </w:hyperlink>
    </w:p>
    <w:p w14:paraId="6076F4E2" w14:textId="77777777" w:rsidR="0033629A" w:rsidRDefault="004409CB" w:rsidP="009E3272">
      <w:pPr>
        <w:pStyle w:val="Bibliography"/>
        <w:ind w:left="720" w:hanging="810"/>
      </w:pPr>
      <w:bookmarkStart w:id="165" w:name="ref-bloem2013"/>
      <w:bookmarkEnd w:id="164"/>
      <w:r>
        <w:t xml:space="preserve">Bloem, S. (2013). </w:t>
      </w:r>
      <w:r>
        <w:rPr>
          <w:i/>
          <w:iCs/>
        </w:rPr>
        <w:t xml:space="preserve">PISA in </w:t>
      </w:r>
      <w:proofErr w:type="gramStart"/>
      <w:r>
        <w:rPr>
          <w:i/>
          <w:iCs/>
        </w:rPr>
        <w:t>low and middle income</w:t>
      </w:r>
      <w:proofErr w:type="gramEnd"/>
      <w:r>
        <w:rPr>
          <w:i/>
          <w:iCs/>
        </w:rPr>
        <w:t xml:space="preserve"> countries</w:t>
      </w:r>
      <w:r>
        <w:t xml:space="preserve">. OECD. </w:t>
      </w:r>
      <w:hyperlink r:id="rId128">
        <w:r>
          <w:rPr>
            <w:rStyle w:val="Hyperlink"/>
          </w:rPr>
          <w:t>https://doi.org/10.1787/5k41tm2gx2vd-en</w:t>
        </w:r>
      </w:hyperlink>
    </w:p>
    <w:p w14:paraId="4E9D64EE" w14:textId="77777777" w:rsidR="0033629A" w:rsidRDefault="004409CB" w:rsidP="009E3272">
      <w:pPr>
        <w:pStyle w:val="Bibliography"/>
        <w:ind w:left="720" w:hanging="810"/>
      </w:pPr>
      <w:bookmarkStart w:id="166" w:name="ref-boese2019"/>
      <w:bookmarkEnd w:id="165"/>
      <w:r>
        <w:t xml:space="preserve">Boese, V. A. (2019). How (not) to measure democracy. </w:t>
      </w:r>
      <w:r>
        <w:rPr>
          <w:i/>
          <w:iCs/>
        </w:rPr>
        <w:t>International Area Studies Review</w:t>
      </w:r>
      <w:r>
        <w:t xml:space="preserve">, </w:t>
      </w:r>
      <w:r>
        <w:rPr>
          <w:i/>
          <w:iCs/>
        </w:rPr>
        <w:t>22</w:t>
      </w:r>
      <w:r>
        <w:t xml:space="preserve">(2), 95–127. </w:t>
      </w:r>
      <w:hyperlink r:id="rId129">
        <w:r>
          <w:rPr>
            <w:rStyle w:val="Hyperlink"/>
          </w:rPr>
          <w:t>https://doi.org/10.1177/2233865918815571</w:t>
        </w:r>
      </w:hyperlink>
    </w:p>
    <w:p w14:paraId="0735EEB5" w14:textId="77777777" w:rsidR="0033629A" w:rsidRDefault="004409CB" w:rsidP="009E3272">
      <w:pPr>
        <w:pStyle w:val="Bibliography"/>
        <w:ind w:left="720" w:hanging="810"/>
      </w:pPr>
      <w:bookmarkStart w:id="167" w:name="ref-boevedepauw2010"/>
      <w:bookmarkEnd w:id="166"/>
      <w:r>
        <w:t xml:space="preserve">Boeve-de Pauw, J., &amp; Van Petegem, P. (2010). A cross-national perspective on youth environmental attitudes. </w:t>
      </w:r>
      <w:r>
        <w:rPr>
          <w:i/>
          <w:iCs/>
        </w:rPr>
        <w:t>The Environmentalist</w:t>
      </w:r>
      <w:r>
        <w:t xml:space="preserve">, </w:t>
      </w:r>
      <w:r>
        <w:rPr>
          <w:i/>
          <w:iCs/>
        </w:rPr>
        <w:t>30</w:t>
      </w:r>
      <w:r>
        <w:t xml:space="preserve">(2), 133–144. </w:t>
      </w:r>
      <w:hyperlink r:id="rId130">
        <w:r>
          <w:rPr>
            <w:rStyle w:val="Hyperlink"/>
          </w:rPr>
          <w:t>https://doi.org/10.1007/s10669-009-9253-1</w:t>
        </w:r>
      </w:hyperlink>
    </w:p>
    <w:p w14:paraId="3B134CFA" w14:textId="77777777" w:rsidR="0033629A" w:rsidRDefault="004409CB" w:rsidP="009E3272">
      <w:pPr>
        <w:pStyle w:val="Bibliography"/>
        <w:ind w:left="720" w:hanging="810"/>
      </w:pPr>
      <w:bookmarkStart w:id="168" w:name="ref-bollinger2012"/>
      <w:bookmarkEnd w:id="167"/>
      <w:r>
        <w:t xml:space="preserve">Bollinger, B., &amp; Gillingham, K. (2012). Peer effects in the diffusion of solar photovoltaic panels. </w:t>
      </w:r>
      <w:r>
        <w:rPr>
          <w:i/>
          <w:iCs/>
        </w:rPr>
        <w:t>Marketing Science</w:t>
      </w:r>
      <w:r>
        <w:t xml:space="preserve">, </w:t>
      </w:r>
      <w:r>
        <w:rPr>
          <w:i/>
          <w:iCs/>
        </w:rPr>
        <w:t>31</w:t>
      </w:r>
      <w:r>
        <w:t xml:space="preserve">(6), 900–912. </w:t>
      </w:r>
      <w:hyperlink r:id="rId131">
        <w:r>
          <w:rPr>
            <w:rStyle w:val="Hyperlink"/>
          </w:rPr>
          <w:t>https://doi.org/10.1287/mksc.1120.0727</w:t>
        </w:r>
      </w:hyperlink>
    </w:p>
    <w:p w14:paraId="6E7CE7A3" w14:textId="77777777" w:rsidR="0033629A" w:rsidRDefault="004409CB" w:rsidP="009E3272">
      <w:pPr>
        <w:pStyle w:val="Bibliography"/>
        <w:ind w:left="720" w:hanging="810"/>
      </w:pPr>
      <w:bookmarkStart w:id="169" w:name="ref-boudet2016"/>
      <w:bookmarkEnd w:id="168"/>
      <w:r>
        <w:t xml:space="preserve">Boudet, H., Ardoin, N. M., Flora, J., Armel, K. C., Desai, M., &amp; Robinson, T. N. (2016). Effects of a behaviour change intervention for Girl Scouts on child and parent energy-saving behaviours. </w:t>
      </w:r>
      <w:r>
        <w:rPr>
          <w:i/>
          <w:iCs/>
        </w:rPr>
        <w:t>Nature Energy</w:t>
      </w:r>
      <w:r>
        <w:t xml:space="preserve">, </w:t>
      </w:r>
      <w:r>
        <w:rPr>
          <w:i/>
          <w:iCs/>
        </w:rPr>
        <w:t>1</w:t>
      </w:r>
      <w:r>
        <w:t xml:space="preserve">(8), 16091. </w:t>
      </w:r>
      <w:hyperlink r:id="rId132">
        <w:r>
          <w:rPr>
            <w:rStyle w:val="Hyperlink"/>
          </w:rPr>
          <w:t>https://doi.org/10.1038/nenergy.2016.91</w:t>
        </w:r>
      </w:hyperlink>
    </w:p>
    <w:p w14:paraId="48CF49BB" w14:textId="77777777" w:rsidR="0033629A" w:rsidRDefault="004409CB" w:rsidP="009E3272">
      <w:pPr>
        <w:pStyle w:val="Bibliography"/>
        <w:ind w:left="720" w:hanging="810"/>
      </w:pPr>
      <w:bookmarkStart w:id="170" w:name="ref-bridges2008"/>
      <w:bookmarkEnd w:id="169"/>
      <w:r>
        <w:t xml:space="preserve">Bridges, D. (2008). Educationalization: On the appropriateness of asking educational institutions to solve social and economic problems. </w:t>
      </w:r>
      <w:r>
        <w:rPr>
          <w:i/>
          <w:iCs/>
        </w:rPr>
        <w:t>Educational Theory</w:t>
      </w:r>
      <w:r>
        <w:t xml:space="preserve">, </w:t>
      </w:r>
      <w:r>
        <w:rPr>
          <w:i/>
          <w:iCs/>
        </w:rPr>
        <w:t>58</w:t>
      </w:r>
      <w:r>
        <w:t xml:space="preserve">(4), 461–474. </w:t>
      </w:r>
      <w:hyperlink r:id="rId133">
        <w:r>
          <w:rPr>
            <w:rStyle w:val="Hyperlink"/>
          </w:rPr>
          <w:t>https://doi.org/10.1111/j.1741-5446.2008.00300.x</w:t>
        </w:r>
      </w:hyperlink>
    </w:p>
    <w:p w14:paraId="534C6BF7" w14:textId="77777777" w:rsidR="0033629A" w:rsidRDefault="004409CB" w:rsidP="009E3272">
      <w:pPr>
        <w:pStyle w:val="Bibliography"/>
        <w:ind w:left="720" w:hanging="810"/>
      </w:pPr>
      <w:bookmarkStart w:id="171" w:name="ref-brulle2020"/>
      <w:bookmarkEnd w:id="170"/>
      <w:r>
        <w:t xml:space="preserve">Brulle, R. (2020). </w:t>
      </w:r>
      <w:r>
        <w:rPr>
          <w:i/>
          <w:iCs/>
        </w:rPr>
        <w:t>Denialism: Organized opposition to climate change action in the United States</w:t>
      </w:r>
      <w:r>
        <w:t>.</w:t>
      </w:r>
    </w:p>
    <w:p w14:paraId="35D6C530" w14:textId="77777777" w:rsidR="0033629A" w:rsidRDefault="004409CB" w:rsidP="009E3272">
      <w:pPr>
        <w:pStyle w:val="Bibliography"/>
        <w:ind w:left="720" w:hanging="810"/>
      </w:pPr>
      <w:bookmarkStart w:id="172" w:name="ref-busch2019"/>
      <w:bookmarkEnd w:id="171"/>
      <w:r>
        <w:lastRenderedPageBreak/>
        <w:t xml:space="preserve">Busch, K. C., Ardoin, N., Gruehn, D., &amp; Stevenson, K. (2019). Exploring a theoretical model of climate change action for youth. </w:t>
      </w:r>
      <w:r>
        <w:rPr>
          <w:i/>
          <w:iCs/>
        </w:rPr>
        <w:t>International Journal of Science Education</w:t>
      </w:r>
      <w:r>
        <w:t xml:space="preserve">, </w:t>
      </w:r>
      <w:r>
        <w:rPr>
          <w:i/>
          <w:iCs/>
        </w:rPr>
        <w:t>41</w:t>
      </w:r>
      <w:r>
        <w:t xml:space="preserve">(17), 2389–2409. </w:t>
      </w:r>
      <w:hyperlink r:id="rId134">
        <w:r>
          <w:rPr>
            <w:rStyle w:val="Hyperlink"/>
          </w:rPr>
          <w:t>https://doi.org/10.1080/09500693.2019.1680903</w:t>
        </w:r>
      </w:hyperlink>
    </w:p>
    <w:p w14:paraId="0B578FD8" w14:textId="77777777" w:rsidR="0033629A" w:rsidRDefault="004409CB" w:rsidP="009E3272">
      <w:pPr>
        <w:pStyle w:val="Bibliography"/>
        <w:ind w:left="720" w:hanging="810"/>
      </w:pPr>
      <w:bookmarkStart w:id="173" w:name="ref-busch2017"/>
      <w:bookmarkEnd w:id="172"/>
      <w:r>
        <w:t xml:space="preserve">Busch, K. C., &amp; Rom’an, D. (2017). Fundamental Climate Literacy and the Promise of the Next Generation Science Standards. In D. P. Shepardson, A. Roychoudhury, &amp; A. S. Hirsch (Eds.), </w:t>
      </w:r>
      <w:r>
        <w:rPr>
          <w:i/>
          <w:iCs/>
        </w:rPr>
        <w:t>Teaching and Learning About Climate Change</w:t>
      </w:r>
      <w:r>
        <w:t xml:space="preserve"> (First, pp. 120–134). Routledge. </w:t>
      </w:r>
      <w:hyperlink r:id="rId135">
        <w:r>
          <w:rPr>
            <w:rStyle w:val="Hyperlink"/>
          </w:rPr>
          <w:t>https://doi.org/10.4324/9781315629841-9</w:t>
        </w:r>
      </w:hyperlink>
    </w:p>
    <w:p w14:paraId="3935F6EF" w14:textId="77777777" w:rsidR="0033629A" w:rsidRDefault="004409CB" w:rsidP="009E3272">
      <w:pPr>
        <w:pStyle w:val="Bibliography"/>
        <w:ind w:left="720" w:hanging="810"/>
      </w:pPr>
      <w:bookmarkStart w:id="174" w:name="ref-bustamante2019"/>
      <w:bookmarkEnd w:id="173"/>
      <w:r>
        <w:t xml:space="preserve">Bustamante, M. M. C., Silva, J. S., Scariot, A., Sampaio, A. B., Mascia, D. L., Garcia, E., Sano, E., Fernandes, G. W., Durigan, G., Roitman, I., Figueiredo, I., Rodrigues, R. R., Pillar, V. D., de Oliveira, A. O., Malhado, A. C., Alencar, A., Vendramini, A., Padovezi, A., Carrascosa, H., … Nobre, C. (2019). Ecological restoration as a strategy for mitigating and adapting to climate change: Lessons and challenges from Brazil. </w:t>
      </w:r>
      <w:r>
        <w:rPr>
          <w:i/>
          <w:iCs/>
        </w:rPr>
        <w:t>Mitigation and Adaptation Strategies for Global Change</w:t>
      </w:r>
      <w:r>
        <w:t xml:space="preserve">, </w:t>
      </w:r>
      <w:r>
        <w:rPr>
          <w:i/>
          <w:iCs/>
        </w:rPr>
        <w:t>24</w:t>
      </w:r>
      <w:r>
        <w:t xml:space="preserve">(7), 1249–1270. </w:t>
      </w:r>
      <w:hyperlink r:id="rId136">
        <w:r>
          <w:rPr>
            <w:rStyle w:val="Hyperlink"/>
          </w:rPr>
          <w:t>https://doi.org/10.1007/s11027-018-9837-5</w:t>
        </w:r>
      </w:hyperlink>
    </w:p>
    <w:p w14:paraId="664F01C5" w14:textId="77777777" w:rsidR="0033629A" w:rsidRDefault="004409CB" w:rsidP="009E3272">
      <w:pPr>
        <w:pStyle w:val="Bibliography"/>
        <w:ind w:left="720" w:hanging="810"/>
      </w:pPr>
      <w:bookmarkStart w:id="175" w:name="ref-bybee2008"/>
      <w:bookmarkEnd w:id="174"/>
      <w:r>
        <w:t xml:space="preserve">Bybee, R. W. (2008). Scientific literacy, environmental issues, and PISA 2006: The 2008 Paul F. Brandwein lecture. </w:t>
      </w:r>
      <w:r>
        <w:rPr>
          <w:i/>
          <w:iCs/>
        </w:rPr>
        <w:t>Journal of Science Education and Technology</w:t>
      </w:r>
      <w:r>
        <w:t xml:space="preserve">, </w:t>
      </w:r>
      <w:r>
        <w:rPr>
          <w:i/>
          <w:iCs/>
        </w:rPr>
        <w:t>17</w:t>
      </w:r>
      <w:r>
        <w:t xml:space="preserve">(6), 566–585. </w:t>
      </w:r>
      <w:hyperlink r:id="rId137">
        <w:r>
          <w:rPr>
            <w:rStyle w:val="Hyperlink"/>
          </w:rPr>
          <w:t>https://doi.org/10.1007/s10956-008-9124-4</w:t>
        </w:r>
      </w:hyperlink>
    </w:p>
    <w:p w14:paraId="0003BF55" w14:textId="77777777" w:rsidR="0033629A" w:rsidRDefault="004409CB" w:rsidP="009E3272">
      <w:pPr>
        <w:pStyle w:val="Bibliography"/>
        <w:ind w:left="720" w:hanging="810"/>
      </w:pPr>
      <w:bookmarkStart w:id="176" w:name="ref-campbell2021"/>
      <w:bookmarkEnd w:id="175"/>
      <w:r>
        <w:t xml:space="preserve">Campbell, J. A., McIntyre, J., &amp; Kucirkova, N. (2021). Gender equality, human development, and PISA results over time. </w:t>
      </w:r>
      <w:r>
        <w:rPr>
          <w:i/>
          <w:iCs/>
        </w:rPr>
        <w:t>Social Sciences</w:t>
      </w:r>
      <w:r>
        <w:t xml:space="preserve">, </w:t>
      </w:r>
      <w:r>
        <w:rPr>
          <w:i/>
          <w:iCs/>
        </w:rPr>
        <w:t>10</w:t>
      </w:r>
      <w:r>
        <w:t xml:space="preserve">(12), 480. </w:t>
      </w:r>
      <w:hyperlink r:id="rId138">
        <w:r>
          <w:rPr>
            <w:rStyle w:val="Hyperlink"/>
          </w:rPr>
          <w:t>https://doi.org/10.3390/socsci10120480</w:t>
        </w:r>
      </w:hyperlink>
    </w:p>
    <w:p w14:paraId="2ACFCE69" w14:textId="77777777" w:rsidR="0033629A" w:rsidRDefault="004409CB" w:rsidP="009E3272">
      <w:pPr>
        <w:pStyle w:val="Bibliography"/>
        <w:ind w:left="720" w:hanging="810"/>
      </w:pPr>
      <w:bookmarkStart w:id="177" w:name="ref-carbonbrief2018"/>
      <w:bookmarkEnd w:id="176"/>
      <w:r>
        <w:t xml:space="preserve">Carbon Brief. (2018). </w:t>
      </w:r>
      <w:r>
        <w:rPr>
          <w:i/>
          <w:iCs/>
        </w:rPr>
        <w:t>Interactive: The impacts of climate change at 1.5C, 2C and beyond</w:t>
      </w:r>
      <w:r>
        <w:t>.</w:t>
      </w:r>
    </w:p>
    <w:p w14:paraId="012E6446" w14:textId="77777777" w:rsidR="0033629A" w:rsidRDefault="004409CB" w:rsidP="009E3272">
      <w:pPr>
        <w:pStyle w:val="Bibliography"/>
        <w:ind w:left="720" w:hanging="810"/>
      </w:pPr>
      <w:bookmarkStart w:id="178" w:name="ref-carnoy2015"/>
      <w:bookmarkEnd w:id="177"/>
      <w:r>
        <w:lastRenderedPageBreak/>
        <w:t xml:space="preserve">Carnoy, Garcia, E., &amp; Khavenson, T. (2015). Bringing it back home: Why state comparisons are more useful than international comparisons for improving U.S. Education policy. In </w:t>
      </w:r>
      <w:r>
        <w:rPr>
          <w:i/>
          <w:iCs/>
        </w:rPr>
        <w:t>Economic Policy Institute</w:t>
      </w:r>
      <w:r>
        <w:t>.</w:t>
      </w:r>
    </w:p>
    <w:p w14:paraId="6BC96F5C" w14:textId="77777777" w:rsidR="0033629A" w:rsidRDefault="004409CB" w:rsidP="009E3272">
      <w:pPr>
        <w:pStyle w:val="Bibliography"/>
        <w:ind w:left="720" w:hanging="810"/>
      </w:pPr>
      <w:bookmarkStart w:id="179" w:name="ref-caro2017"/>
      <w:bookmarkEnd w:id="178"/>
      <w:r>
        <w:t xml:space="preserve">Caro, D. H., &amp; Biecek, P. (2017). Intsvy: An R package for analyzing international large-scale assessment data. </w:t>
      </w:r>
      <w:r>
        <w:rPr>
          <w:i/>
          <w:iCs/>
        </w:rPr>
        <w:t>Journal of Statistical Software</w:t>
      </w:r>
      <w:r>
        <w:t xml:space="preserve">, </w:t>
      </w:r>
      <w:r>
        <w:rPr>
          <w:i/>
          <w:iCs/>
        </w:rPr>
        <w:t>81</w:t>
      </w:r>
      <w:r>
        <w:t xml:space="preserve">, 1–44. </w:t>
      </w:r>
      <w:hyperlink r:id="rId139">
        <w:r>
          <w:rPr>
            <w:rStyle w:val="Hyperlink"/>
          </w:rPr>
          <w:t>https://doi.org/10.18637/jss.v081.i07</w:t>
        </w:r>
      </w:hyperlink>
    </w:p>
    <w:p w14:paraId="29C21F23" w14:textId="77777777" w:rsidR="0033629A" w:rsidRDefault="004409CB" w:rsidP="009E3272">
      <w:pPr>
        <w:pStyle w:val="Bibliography"/>
        <w:ind w:left="720" w:hanging="810"/>
      </w:pPr>
      <w:bookmarkStart w:id="180" w:name="ref-carrico2021"/>
      <w:bookmarkEnd w:id="179"/>
      <w:r>
        <w:t xml:space="preserve">Carrico, A. R. (2021). Climate change, behavior, and the possibility of spillover effects: Recent advances and future directions. </w:t>
      </w:r>
      <w:r>
        <w:rPr>
          <w:i/>
          <w:iCs/>
        </w:rPr>
        <w:t>Current Opinion in Behavioral Sciences</w:t>
      </w:r>
      <w:r>
        <w:t xml:space="preserve">, </w:t>
      </w:r>
      <w:r>
        <w:rPr>
          <w:i/>
          <w:iCs/>
        </w:rPr>
        <w:t>42</w:t>
      </w:r>
      <w:r>
        <w:t xml:space="preserve">, 76–82. </w:t>
      </w:r>
      <w:hyperlink r:id="rId140">
        <w:r>
          <w:rPr>
            <w:rStyle w:val="Hyperlink"/>
          </w:rPr>
          <w:t>https://doi.org/10.1016/j.cobeha.2021.03.025</w:t>
        </w:r>
      </w:hyperlink>
    </w:p>
    <w:p w14:paraId="17314EF8" w14:textId="77777777" w:rsidR="0033629A" w:rsidRDefault="004409CB" w:rsidP="009E3272">
      <w:pPr>
        <w:pStyle w:val="Bibliography"/>
        <w:ind w:left="720" w:hanging="810"/>
      </w:pPr>
      <w:bookmarkStart w:id="181" w:name="ref-carstensen2013"/>
      <w:bookmarkEnd w:id="180"/>
      <w:r>
        <w:t xml:space="preserve">Carstensen, C. H. (2013). Linking PISA competencies over three cycles: Results from Germany. In M. Prenzel, M. Kobarg, K. Schöps, &amp; S. Rönnebeck (Eds.), </w:t>
      </w:r>
      <w:r>
        <w:rPr>
          <w:i/>
          <w:iCs/>
        </w:rPr>
        <w:t>Research on PISA</w:t>
      </w:r>
      <w:r>
        <w:t xml:space="preserve"> (pp. 199–213). Springer Netherlands. </w:t>
      </w:r>
      <w:hyperlink r:id="rId141">
        <w:r>
          <w:rPr>
            <w:rStyle w:val="Hyperlink"/>
          </w:rPr>
          <w:t>https://doi.org/10.1007/978-94-007-4458-5_12</w:t>
        </w:r>
      </w:hyperlink>
    </w:p>
    <w:p w14:paraId="59AF3DFC" w14:textId="77777777" w:rsidR="0033629A" w:rsidRDefault="004409CB" w:rsidP="009E3272">
      <w:pPr>
        <w:pStyle w:val="Bibliography"/>
        <w:ind w:left="720" w:hanging="810"/>
      </w:pPr>
      <w:bookmarkStart w:id="182" w:name="ref-chertow2000"/>
      <w:bookmarkEnd w:id="181"/>
      <w:r>
        <w:t xml:space="preserve">Chertow, M. R. (2000). The IPAT equation and its variants. </w:t>
      </w:r>
      <w:r>
        <w:rPr>
          <w:i/>
          <w:iCs/>
        </w:rPr>
        <w:t>Journal of Industrial Ecology</w:t>
      </w:r>
      <w:r>
        <w:t xml:space="preserve">, </w:t>
      </w:r>
      <w:r>
        <w:rPr>
          <w:i/>
          <w:iCs/>
        </w:rPr>
        <w:t>4</w:t>
      </w:r>
      <w:r>
        <w:t xml:space="preserve">(4), 13–29. </w:t>
      </w:r>
      <w:hyperlink r:id="rId142">
        <w:r>
          <w:rPr>
            <w:rStyle w:val="Hyperlink"/>
          </w:rPr>
          <w:t>https://doi.org/10.1162/10881980052541927</w:t>
        </w:r>
      </w:hyperlink>
    </w:p>
    <w:p w14:paraId="32E9C7BC" w14:textId="77777777" w:rsidR="0033629A" w:rsidRDefault="004409CB" w:rsidP="009E3272">
      <w:pPr>
        <w:pStyle w:val="Bibliography"/>
        <w:ind w:left="720" w:hanging="810"/>
      </w:pPr>
      <w:bookmarkStart w:id="183" w:name="ref-chineka2020"/>
      <w:bookmarkEnd w:id="182"/>
      <w:r>
        <w:t xml:space="preserve">Chineka, R., &amp; Yasukawa, K. (2020). Intergenerational learning in climate change adaptations; limitations and affordances. </w:t>
      </w:r>
      <w:r>
        <w:rPr>
          <w:i/>
          <w:iCs/>
        </w:rPr>
        <w:t>Environmental Education Research</w:t>
      </w:r>
      <w:r>
        <w:t xml:space="preserve">, </w:t>
      </w:r>
      <w:r>
        <w:rPr>
          <w:i/>
          <w:iCs/>
        </w:rPr>
        <w:t>26</w:t>
      </w:r>
      <w:r>
        <w:t xml:space="preserve">(4), 577–593. </w:t>
      </w:r>
      <w:hyperlink r:id="rId143">
        <w:r>
          <w:rPr>
            <w:rStyle w:val="Hyperlink"/>
          </w:rPr>
          <w:t>https://doi.org/10.1080/13504622.2020.1733494</w:t>
        </w:r>
      </w:hyperlink>
    </w:p>
    <w:p w14:paraId="4DA0534F" w14:textId="77777777" w:rsidR="0033629A" w:rsidRDefault="004409CB" w:rsidP="009E3272">
      <w:pPr>
        <w:pStyle w:val="Bibliography"/>
        <w:ind w:left="720" w:hanging="810"/>
      </w:pPr>
      <w:bookmarkStart w:id="184" w:name="ref-cialdini2007"/>
      <w:bookmarkEnd w:id="183"/>
      <w:r>
        <w:t xml:space="preserve">Cialdini, R. B. (2007). Descriptive social norms as underappreciated sources of social control. </w:t>
      </w:r>
      <w:r>
        <w:rPr>
          <w:i/>
          <w:iCs/>
        </w:rPr>
        <w:t>Psychometrika</w:t>
      </w:r>
      <w:r>
        <w:t xml:space="preserve">, </w:t>
      </w:r>
      <w:r>
        <w:rPr>
          <w:i/>
          <w:iCs/>
        </w:rPr>
        <w:t>72</w:t>
      </w:r>
      <w:r>
        <w:t xml:space="preserve">(2), 263. </w:t>
      </w:r>
      <w:hyperlink r:id="rId144">
        <w:r>
          <w:rPr>
            <w:rStyle w:val="Hyperlink"/>
          </w:rPr>
          <w:t>https://doi.org/10.1007/s11336-006-1560-6</w:t>
        </w:r>
      </w:hyperlink>
    </w:p>
    <w:p w14:paraId="1AA8D9A4" w14:textId="77777777" w:rsidR="0033629A" w:rsidRDefault="004409CB" w:rsidP="009E3272">
      <w:pPr>
        <w:pStyle w:val="Bibliography"/>
        <w:ind w:left="720" w:hanging="810"/>
      </w:pPr>
      <w:bookmarkStart w:id="185" w:name="ref-climatewatch2019"/>
      <w:bookmarkEnd w:id="184"/>
      <w:r>
        <w:t xml:space="preserve">Climate Watch. (2019). </w:t>
      </w:r>
      <w:r>
        <w:rPr>
          <w:i/>
          <w:iCs/>
        </w:rPr>
        <w:t>Historical GHG emissions</w:t>
      </w:r>
      <w:r>
        <w:t>.</w:t>
      </w:r>
    </w:p>
    <w:p w14:paraId="5AB2172F" w14:textId="77777777" w:rsidR="0033629A" w:rsidRDefault="004409CB" w:rsidP="009E3272">
      <w:pPr>
        <w:pStyle w:val="Bibliography"/>
        <w:ind w:left="720" w:hanging="810"/>
      </w:pPr>
      <w:bookmarkStart w:id="186" w:name="ref-clogg1995"/>
      <w:bookmarkEnd w:id="185"/>
      <w:r>
        <w:lastRenderedPageBreak/>
        <w:t xml:space="preserve">Clogg, C. C., Petkova, E., &amp; Haritou, A. (1995). Statistical methods for comparing regression coefficients between models. </w:t>
      </w:r>
      <w:r>
        <w:rPr>
          <w:i/>
          <w:iCs/>
        </w:rPr>
        <w:t>American Journal of Sociology</w:t>
      </w:r>
      <w:r>
        <w:t xml:space="preserve">, </w:t>
      </w:r>
      <w:r>
        <w:rPr>
          <w:i/>
          <w:iCs/>
        </w:rPr>
        <w:t>100</w:t>
      </w:r>
      <w:r>
        <w:t xml:space="preserve">(5), 1261–1293. </w:t>
      </w:r>
      <w:hyperlink r:id="rId145">
        <w:r>
          <w:rPr>
            <w:rStyle w:val="Hyperlink"/>
          </w:rPr>
          <w:t>https://doi.org/10.1086/230638</w:t>
        </w:r>
      </w:hyperlink>
    </w:p>
    <w:p w14:paraId="7D303F29" w14:textId="77777777" w:rsidR="0033629A" w:rsidRDefault="004409CB" w:rsidP="009E3272">
      <w:pPr>
        <w:pStyle w:val="Bibliography"/>
        <w:ind w:left="720" w:hanging="810"/>
      </w:pPr>
      <w:bookmarkStart w:id="187" w:name="ref-coertjens2010"/>
      <w:bookmarkEnd w:id="186"/>
      <w:r>
        <w:t xml:space="preserve">Coertjens, L., Boeve-de Pauw, J., De Maeyer, S., &amp; Van Petegem, P. (2010). Do schools make a difference in their students’ environmental attitudes and awareness? Evidence from PISA 2006. </w:t>
      </w:r>
      <w:r>
        <w:rPr>
          <w:i/>
          <w:iCs/>
        </w:rPr>
        <w:t>International Journal of Science and Mathematics Education</w:t>
      </w:r>
      <w:r>
        <w:t xml:space="preserve">, </w:t>
      </w:r>
      <w:r>
        <w:rPr>
          <w:i/>
          <w:iCs/>
        </w:rPr>
        <w:t>8</w:t>
      </w:r>
      <w:r>
        <w:t xml:space="preserve">(3), 497–522. </w:t>
      </w:r>
      <w:hyperlink r:id="rId146">
        <w:r>
          <w:rPr>
            <w:rStyle w:val="Hyperlink"/>
          </w:rPr>
          <w:t>https://doi.org/10.1007/s10763-010-9200-0</w:t>
        </w:r>
      </w:hyperlink>
    </w:p>
    <w:p w14:paraId="3EF406F9" w14:textId="77777777" w:rsidR="0033629A" w:rsidRDefault="004409CB" w:rsidP="009E3272">
      <w:pPr>
        <w:pStyle w:val="Bibliography"/>
        <w:ind w:left="720" w:hanging="810"/>
      </w:pPr>
      <w:bookmarkStart w:id="188" w:name="ref-collins1988"/>
      <w:bookmarkEnd w:id="187"/>
      <w:r>
        <w:t xml:space="preserve">Collins, R. (1988). The micro contribution to macro sociology. </w:t>
      </w:r>
      <w:r>
        <w:rPr>
          <w:i/>
          <w:iCs/>
        </w:rPr>
        <w:t>Sociological Theory</w:t>
      </w:r>
      <w:r>
        <w:t xml:space="preserve">, </w:t>
      </w:r>
      <w:r>
        <w:rPr>
          <w:i/>
          <w:iCs/>
        </w:rPr>
        <w:t>6</w:t>
      </w:r>
      <w:r>
        <w:t xml:space="preserve">(2), 242–253. </w:t>
      </w:r>
      <w:hyperlink r:id="rId147">
        <w:r>
          <w:rPr>
            <w:rStyle w:val="Hyperlink"/>
          </w:rPr>
          <w:t>https://doi.org/10.2307/202118</w:t>
        </w:r>
      </w:hyperlink>
    </w:p>
    <w:p w14:paraId="32BC5AB2" w14:textId="77777777" w:rsidR="0033629A" w:rsidRDefault="004409CB" w:rsidP="009E3272">
      <w:pPr>
        <w:pStyle w:val="Bibliography"/>
        <w:ind w:left="720" w:hanging="810"/>
      </w:pPr>
      <w:bookmarkStart w:id="189" w:name="ref-VDemV11"/>
      <w:bookmarkEnd w:id="188"/>
      <w:r>
        <w:t xml:space="preserve">Coppedge, M., Gerring, J., Knutsen, C. H., Lindberg, S. I., Teorell, J., Alizada, N., Altman, D., Bernhard, M., Cornell, A., Fish, M. S., Gastaldi, L., Gjerløw, H., Glynn, A., Hicken, A., Hindle, G., Ilchenko, N., Krusell, J., Lührmann, A., Maerz, S. F., … Ziblatt, D. (2021a). </w:t>
      </w:r>
      <w:r>
        <w:rPr>
          <w:i/>
          <w:iCs/>
        </w:rPr>
        <w:t>V-dem country-year dataset V11.1</w:t>
      </w:r>
      <w:r>
        <w:t xml:space="preserve">. Varieties of Democracy (V-Dem) Project. </w:t>
      </w:r>
      <w:hyperlink r:id="rId148">
        <w:r>
          <w:rPr>
            <w:rStyle w:val="Hyperlink"/>
          </w:rPr>
          <w:t>https://doi.org/10.23696/vdemds21</w:t>
        </w:r>
      </w:hyperlink>
    </w:p>
    <w:p w14:paraId="7EF02924" w14:textId="77777777" w:rsidR="0033629A" w:rsidRDefault="004409CB" w:rsidP="009E3272">
      <w:pPr>
        <w:pStyle w:val="Bibliography"/>
        <w:ind w:left="720" w:hanging="810"/>
      </w:pPr>
      <w:bookmarkStart w:id="190" w:name="ref-Vdemcodebook2021"/>
      <w:bookmarkEnd w:id="189"/>
      <w:r>
        <w:t xml:space="preserve">Coppedge, Michael, Gerring, J., Knutsen, C. H., Lindberg, S. I., Teorell, J., Altman, D., Bernhard, M., Cornell, A., Fish, M. S., Gastaldi, L., Gjerløw, H., Glynn, A., Hicken, A., Lührmann, A., Maerz, S. F., Marquardt, K. L., McMann, K., Mechkova, V., … Ziblatt, D. (2021b). </w:t>
      </w:r>
      <w:r>
        <w:rPr>
          <w:i/>
          <w:iCs/>
        </w:rPr>
        <w:t>V-dem codebook V11.1</w:t>
      </w:r>
      <w:r>
        <w:t>. Varieties of Democracy (V-Dem) Project.</w:t>
      </w:r>
    </w:p>
    <w:p w14:paraId="5E67390C" w14:textId="77777777" w:rsidR="0033629A" w:rsidRDefault="004409CB" w:rsidP="009E3272">
      <w:pPr>
        <w:pStyle w:val="Bibliography"/>
        <w:ind w:left="720" w:hanging="810"/>
      </w:pPr>
      <w:bookmarkStart w:id="191" w:name="ref-cordero2020"/>
      <w:bookmarkEnd w:id="190"/>
      <w:r>
        <w:t xml:space="preserve">Cordero, E. C., Centeno, D., &amp; Todd, A. M. (2020). The role of climate change education on individual lifetime carbon emissions. </w:t>
      </w:r>
      <w:r>
        <w:rPr>
          <w:i/>
          <w:iCs/>
        </w:rPr>
        <w:t>PLOS ONE</w:t>
      </w:r>
      <w:r>
        <w:t xml:space="preserve">, </w:t>
      </w:r>
      <w:r>
        <w:rPr>
          <w:i/>
          <w:iCs/>
        </w:rPr>
        <w:t>15</w:t>
      </w:r>
      <w:r>
        <w:t xml:space="preserve">(2), e0206266. </w:t>
      </w:r>
      <w:hyperlink r:id="rId149">
        <w:r>
          <w:rPr>
            <w:rStyle w:val="Hyperlink"/>
          </w:rPr>
          <w:t>https://doi.org/10.1371/journal.pone.0206266</w:t>
        </w:r>
      </w:hyperlink>
    </w:p>
    <w:p w14:paraId="39045BA6" w14:textId="77777777" w:rsidR="0033629A" w:rsidRDefault="004409CB" w:rsidP="009E3272">
      <w:pPr>
        <w:pStyle w:val="Bibliography"/>
        <w:ind w:left="720" w:hanging="810"/>
      </w:pPr>
      <w:bookmarkStart w:id="192" w:name="ref-cordero2018"/>
      <w:bookmarkEnd w:id="191"/>
      <w:r>
        <w:lastRenderedPageBreak/>
        <w:t xml:space="preserve">Cordero, J. M., Cristobal, V., &amp; Santin, D. (2018). Causal inference on education policies: A survey of empirical studies using PISA, TIMSS and PIRLS: Causal inference on education policies. </w:t>
      </w:r>
      <w:r>
        <w:rPr>
          <w:i/>
          <w:iCs/>
        </w:rPr>
        <w:t>Journal of Economic Surveys</w:t>
      </w:r>
      <w:r>
        <w:t xml:space="preserve">, </w:t>
      </w:r>
      <w:r>
        <w:rPr>
          <w:i/>
          <w:iCs/>
        </w:rPr>
        <w:t>32</w:t>
      </w:r>
      <w:r>
        <w:t xml:space="preserve">(3), 878–915. </w:t>
      </w:r>
      <w:hyperlink r:id="rId150">
        <w:r>
          <w:rPr>
            <w:rStyle w:val="Hyperlink"/>
          </w:rPr>
          <w:t>https://doi.org/10.1111/joes.12217</w:t>
        </w:r>
      </w:hyperlink>
    </w:p>
    <w:p w14:paraId="773CC46C" w14:textId="77777777" w:rsidR="0033629A" w:rsidRDefault="004409CB" w:rsidP="009E3272">
      <w:pPr>
        <w:pStyle w:val="Bibliography"/>
        <w:ind w:left="720" w:hanging="810"/>
      </w:pPr>
      <w:bookmarkStart w:id="193" w:name="ref-corner2015"/>
      <w:bookmarkEnd w:id="192"/>
      <w:r>
        <w:t xml:space="preserve">Corner, A., Roberts, O., Chiari, S., Völler, S., Mayrhuber, E. S., Mandl, S., &amp; Monson, K. (2015). How do young people engage with climate change? The role of knowledge, values, message framing, and trusted communicators. </w:t>
      </w:r>
      <w:r>
        <w:rPr>
          <w:i/>
          <w:iCs/>
        </w:rPr>
        <w:t>WIREs Climate Change</w:t>
      </w:r>
      <w:r>
        <w:t xml:space="preserve">, </w:t>
      </w:r>
      <w:r>
        <w:rPr>
          <w:i/>
          <w:iCs/>
        </w:rPr>
        <w:t>6</w:t>
      </w:r>
      <w:r>
        <w:t xml:space="preserve">(5), 523–534. </w:t>
      </w:r>
      <w:hyperlink r:id="rId151">
        <w:r>
          <w:rPr>
            <w:rStyle w:val="Hyperlink"/>
          </w:rPr>
          <w:t>https://doi.org/10.1002/wcc.353</w:t>
        </w:r>
      </w:hyperlink>
    </w:p>
    <w:p w14:paraId="71484A42" w14:textId="77777777" w:rsidR="0033629A" w:rsidRDefault="004409CB" w:rsidP="009E3272">
      <w:pPr>
        <w:pStyle w:val="Bibliography"/>
        <w:ind w:left="720" w:hanging="810"/>
      </w:pPr>
      <w:bookmarkStart w:id="194" w:name="ref-czarnekRightwingIdeologyReduces2021"/>
      <w:bookmarkEnd w:id="193"/>
      <w:r>
        <w:t xml:space="preserve">Czarnek, G., Kossowska, M., &amp; Szwed, P. (2021). Right-wing ideology reduces the effects of education on climate change beliefs in more developed countries. </w:t>
      </w:r>
      <w:r>
        <w:rPr>
          <w:i/>
          <w:iCs/>
        </w:rPr>
        <w:t>Nature Climate Change</w:t>
      </w:r>
      <w:r>
        <w:t xml:space="preserve">, </w:t>
      </w:r>
      <w:r>
        <w:rPr>
          <w:i/>
          <w:iCs/>
        </w:rPr>
        <w:t>11</w:t>
      </w:r>
      <w:r>
        <w:t xml:space="preserve">(1), 9–13. </w:t>
      </w:r>
      <w:hyperlink r:id="rId152">
        <w:r>
          <w:rPr>
            <w:rStyle w:val="Hyperlink"/>
          </w:rPr>
          <w:t>https://doi.org/10.1038/s41558-020-00930-6</w:t>
        </w:r>
      </w:hyperlink>
    </w:p>
    <w:p w14:paraId="7D55BCE2" w14:textId="77777777" w:rsidR="0033629A" w:rsidRDefault="004409CB" w:rsidP="009E3272">
      <w:pPr>
        <w:pStyle w:val="Bibliography"/>
        <w:ind w:left="720" w:hanging="810"/>
      </w:pPr>
      <w:bookmarkStart w:id="195" w:name="ref-darlington2017"/>
      <w:bookmarkEnd w:id="194"/>
      <w:r>
        <w:t xml:space="preserve">Darlington, R. B., &amp; Hayes, A. F. (2017). </w:t>
      </w:r>
      <w:r>
        <w:rPr>
          <w:i/>
          <w:iCs/>
        </w:rPr>
        <w:t>Regression analysis and linear models: Concepts, applications, and implementation</w:t>
      </w:r>
      <w:r>
        <w:t>. The Guilford Press.</w:t>
      </w:r>
    </w:p>
    <w:p w14:paraId="5D3C347E" w14:textId="77777777" w:rsidR="0033629A" w:rsidRDefault="004409CB" w:rsidP="009E3272">
      <w:pPr>
        <w:pStyle w:val="Bibliography"/>
        <w:ind w:left="720" w:hanging="810"/>
      </w:pPr>
      <w:bookmarkStart w:id="196" w:name="ref-daviskean2005"/>
      <w:bookmarkEnd w:id="195"/>
      <w:r>
        <w:t xml:space="preserve">Davis-Kean, P. E. (2005). The Influence of Parent Education and Family Income on Child Achievement: The Indirect Role of Parental Expectations and the Home Environment. </w:t>
      </w:r>
      <w:r>
        <w:rPr>
          <w:i/>
          <w:iCs/>
        </w:rPr>
        <w:t>Journal of Family Psychology</w:t>
      </w:r>
      <w:r>
        <w:t xml:space="preserve">, </w:t>
      </w:r>
      <w:r>
        <w:rPr>
          <w:i/>
          <w:iCs/>
        </w:rPr>
        <w:t>19</w:t>
      </w:r>
      <w:r>
        <w:t xml:space="preserve">(2), 294–304. </w:t>
      </w:r>
      <w:hyperlink r:id="rId153">
        <w:r>
          <w:rPr>
            <w:rStyle w:val="Hyperlink"/>
          </w:rPr>
          <w:t>https://doi.org/10.1037/0893-3200.19.2.294</w:t>
        </w:r>
      </w:hyperlink>
    </w:p>
    <w:p w14:paraId="69B6B27E" w14:textId="77777777" w:rsidR="0033629A" w:rsidRDefault="004409CB" w:rsidP="009E3272">
      <w:pPr>
        <w:pStyle w:val="Bibliography"/>
        <w:ind w:left="720" w:hanging="810"/>
      </w:pPr>
      <w:bookmarkStart w:id="197" w:name="ref-deleeuw2015"/>
      <w:bookmarkEnd w:id="196"/>
      <w:r>
        <w:t xml:space="preserve">de Leeuw, A., Valois, P., Ajzen, I., &amp; Schmidt, P. (2015). Using the theory of planned behavior to identify key beliefs underlying pro-environmental behavior in high-school students: Implications for educational interventions. </w:t>
      </w:r>
      <w:r>
        <w:rPr>
          <w:i/>
          <w:iCs/>
        </w:rPr>
        <w:t>Journal of Environmental Psychology</w:t>
      </w:r>
      <w:r>
        <w:t xml:space="preserve">, </w:t>
      </w:r>
      <w:r>
        <w:rPr>
          <w:i/>
          <w:iCs/>
        </w:rPr>
        <w:t>42</w:t>
      </w:r>
      <w:r>
        <w:t xml:space="preserve">, 128–138. </w:t>
      </w:r>
      <w:hyperlink r:id="rId154">
        <w:r>
          <w:rPr>
            <w:rStyle w:val="Hyperlink"/>
          </w:rPr>
          <w:t>https://doi.org/10.1016/j.jenvp.2015.03.005</w:t>
        </w:r>
      </w:hyperlink>
    </w:p>
    <w:p w14:paraId="20EA7B1E" w14:textId="77777777" w:rsidR="0033629A" w:rsidRDefault="004409CB" w:rsidP="009E3272">
      <w:pPr>
        <w:pStyle w:val="Bibliography"/>
        <w:ind w:left="720" w:hanging="810"/>
      </w:pPr>
      <w:bookmarkStart w:id="198" w:name="ref-deboer1991"/>
      <w:bookmarkEnd w:id="197"/>
      <w:r>
        <w:t xml:space="preserve">DeBoer, G. E. (1991). </w:t>
      </w:r>
      <w:r>
        <w:rPr>
          <w:i/>
          <w:iCs/>
        </w:rPr>
        <w:t>A history of ideas in science education: Implications for practice</w:t>
      </w:r>
      <w:r>
        <w:t>. Teachers College Press.</w:t>
      </w:r>
    </w:p>
    <w:p w14:paraId="5E820497" w14:textId="77777777" w:rsidR="0033629A" w:rsidRDefault="004409CB" w:rsidP="009E3272">
      <w:pPr>
        <w:pStyle w:val="Bibliography"/>
        <w:ind w:left="720" w:hanging="810"/>
      </w:pPr>
      <w:bookmarkStart w:id="199" w:name="ref-demaria2013"/>
      <w:bookmarkEnd w:id="198"/>
      <w:r>
        <w:lastRenderedPageBreak/>
        <w:t xml:space="preserve">Demaria, F., Schneider, F., Sekulova, F., &amp; Martinez-Alier, J. (2013). What is degrowth? From an activist slogan to a social movement. </w:t>
      </w:r>
      <w:r>
        <w:rPr>
          <w:i/>
          <w:iCs/>
        </w:rPr>
        <w:t>Environmental Values</w:t>
      </w:r>
      <w:r>
        <w:t xml:space="preserve">, </w:t>
      </w:r>
      <w:r>
        <w:rPr>
          <w:i/>
          <w:iCs/>
        </w:rPr>
        <w:t>22</w:t>
      </w:r>
      <w:r>
        <w:t xml:space="preserve">(2), 191–215. </w:t>
      </w:r>
      <w:hyperlink r:id="rId155">
        <w:r>
          <w:rPr>
            <w:rStyle w:val="Hyperlink"/>
          </w:rPr>
          <w:t>https://doi.org/10.3197/096327113X13581561725194</w:t>
        </w:r>
      </w:hyperlink>
    </w:p>
    <w:p w14:paraId="3CF6F4C4" w14:textId="77777777" w:rsidR="0033629A" w:rsidRDefault="004409CB" w:rsidP="009E3272">
      <w:pPr>
        <w:pStyle w:val="Bibliography"/>
        <w:ind w:left="720" w:hanging="810"/>
      </w:pPr>
      <w:bookmarkStart w:id="200" w:name="ref-derman2018"/>
      <w:bookmarkEnd w:id="199"/>
      <w:r>
        <w:t xml:space="preserve">Derman, M., &amp; Gurbuz, H. (2018). Environmental education in the science curriculum in different countries: Turkey, Australia, Singapore, Ireland, and Canada. </w:t>
      </w:r>
      <w:r>
        <w:rPr>
          <w:i/>
          <w:iCs/>
        </w:rPr>
        <w:t>Journal of Education in Science, Environment and Health</w:t>
      </w:r>
      <w:r>
        <w:t xml:space="preserve">, 129–141. </w:t>
      </w:r>
      <w:hyperlink r:id="rId156">
        <w:r>
          <w:rPr>
            <w:rStyle w:val="Hyperlink"/>
          </w:rPr>
          <w:t>https://doi.org/10.21891/jeseh.409495</w:t>
        </w:r>
      </w:hyperlink>
    </w:p>
    <w:p w14:paraId="6918C9DC" w14:textId="77777777" w:rsidR="0033629A" w:rsidRDefault="004409CB" w:rsidP="009E3272">
      <w:pPr>
        <w:pStyle w:val="Bibliography"/>
        <w:ind w:left="720" w:hanging="810"/>
      </w:pPr>
      <w:bookmarkStart w:id="201" w:name="ref-desjardins2018"/>
      <w:bookmarkEnd w:id="200"/>
      <w:r>
        <w:t xml:space="preserve">Desjardins, C. D., &amp; Bulut, O. (2018). </w:t>
      </w:r>
      <w:r>
        <w:rPr>
          <w:i/>
          <w:iCs/>
        </w:rPr>
        <w:t>Handbook of educational measurement and psychometrics using R</w:t>
      </w:r>
      <w:r>
        <w:t>.</w:t>
      </w:r>
    </w:p>
    <w:p w14:paraId="7704E1C6" w14:textId="77777777" w:rsidR="0033629A" w:rsidRDefault="004409CB" w:rsidP="009E3272">
      <w:pPr>
        <w:pStyle w:val="Bibliography"/>
        <w:ind w:left="720" w:hanging="810"/>
      </w:pPr>
      <w:bookmarkStart w:id="202" w:name="ref-desjardins2015a"/>
      <w:bookmarkEnd w:id="201"/>
      <w:r>
        <w:t xml:space="preserve">Desjardins, R. (2015). Education and social transformation. </w:t>
      </w:r>
      <w:r>
        <w:rPr>
          <w:i/>
          <w:iCs/>
        </w:rPr>
        <w:t>European Journal of Education</w:t>
      </w:r>
      <w:r>
        <w:t xml:space="preserve">, </w:t>
      </w:r>
      <w:r>
        <w:rPr>
          <w:i/>
          <w:iCs/>
        </w:rPr>
        <w:t>50</w:t>
      </w:r>
      <w:r>
        <w:t xml:space="preserve">(3), 239–244. </w:t>
      </w:r>
      <w:hyperlink r:id="rId157">
        <w:r>
          <w:rPr>
            <w:rStyle w:val="Hyperlink"/>
          </w:rPr>
          <w:t>https://doi.org/10.1111/ejed.12140</w:t>
        </w:r>
      </w:hyperlink>
    </w:p>
    <w:p w14:paraId="11565581" w14:textId="77777777" w:rsidR="0033629A" w:rsidRDefault="004409CB" w:rsidP="009E3272">
      <w:pPr>
        <w:pStyle w:val="Bibliography"/>
        <w:ind w:left="720" w:hanging="810"/>
      </w:pPr>
      <w:bookmarkStart w:id="203" w:name="ref-dewey1897"/>
      <w:bookmarkEnd w:id="202"/>
      <w:r>
        <w:t xml:space="preserve">Dewey, J. (1897). My pedagogic creed. </w:t>
      </w:r>
      <w:r>
        <w:rPr>
          <w:i/>
          <w:iCs/>
        </w:rPr>
        <w:t>School Journal</w:t>
      </w:r>
      <w:r>
        <w:t xml:space="preserve">, </w:t>
      </w:r>
      <w:r>
        <w:rPr>
          <w:i/>
          <w:iCs/>
        </w:rPr>
        <w:t>54</w:t>
      </w:r>
      <w:r>
        <w:t>, 77–80.</w:t>
      </w:r>
    </w:p>
    <w:p w14:paraId="381AF0FC" w14:textId="77777777" w:rsidR="0033629A" w:rsidRDefault="004409CB" w:rsidP="009E3272">
      <w:pPr>
        <w:pStyle w:val="Bibliography"/>
        <w:ind w:left="720" w:hanging="810"/>
      </w:pPr>
      <w:bookmarkStart w:id="204" w:name="ref-dietz2007a"/>
      <w:bookmarkEnd w:id="203"/>
      <w:r>
        <w:t xml:space="preserve">Dietz, T., Dan, A., &amp; Shwom, R. (2007). Support for climate change policy: Social psychological and social structural influences*. </w:t>
      </w:r>
      <w:r>
        <w:rPr>
          <w:i/>
          <w:iCs/>
        </w:rPr>
        <w:t>Rural Sociology</w:t>
      </w:r>
      <w:r>
        <w:t xml:space="preserve">, </w:t>
      </w:r>
      <w:r>
        <w:rPr>
          <w:i/>
          <w:iCs/>
        </w:rPr>
        <w:t>72</w:t>
      </w:r>
      <w:r>
        <w:t xml:space="preserve">(2), 185–214. </w:t>
      </w:r>
      <w:hyperlink r:id="rId158">
        <w:r>
          <w:rPr>
            <w:rStyle w:val="Hyperlink"/>
          </w:rPr>
          <w:t>https://doi.org/10.1526/003601107781170026</w:t>
        </w:r>
      </w:hyperlink>
    </w:p>
    <w:p w14:paraId="7C9BB315" w14:textId="77777777" w:rsidR="0033629A" w:rsidRDefault="004409CB" w:rsidP="009E3272">
      <w:pPr>
        <w:pStyle w:val="Bibliography"/>
        <w:ind w:left="720" w:hanging="810"/>
      </w:pPr>
      <w:bookmarkStart w:id="205" w:name="ref-dietz2005"/>
      <w:bookmarkEnd w:id="204"/>
      <w:r>
        <w:t xml:space="preserve">Dietz, T., Fitzgerald, A., &amp; Shwom, R. (2005). Environmental values. </w:t>
      </w:r>
      <w:r>
        <w:rPr>
          <w:i/>
          <w:iCs/>
        </w:rPr>
        <w:t>Annual Review of Environment and Resources</w:t>
      </w:r>
      <w:r>
        <w:t xml:space="preserve">, </w:t>
      </w:r>
      <w:r>
        <w:rPr>
          <w:i/>
          <w:iCs/>
        </w:rPr>
        <w:t>30</w:t>
      </w:r>
      <w:r>
        <w:t xml:space="preserve">(1), 335–372. </w:t>
      </w:r>
      <w:hyperlink r:id="rId159">
        <w:r>
          <w:rPr>
            <w:rStyle w:val="Hyperlink"/>
          </w:rPr>
          <w:t>https://doi.org/10.1146/annurev.energy.30.050504.144444</w:t>
        </w:r>
      </w:hyperlink>
    </w:p>
    <w:p w14:paraId="7C322E07" w14:textId="77777777" w:rsidR="0033629A" w:rsidRDefault="004409CB" w:rsidP="009E3272">
      <w:pPr>
        <w:pStyle w:val="Bibliography"/>
        <w:ind w:left="720" w:hanging="810"/>
      </w:pPr>
      <w:bookmarkStart w:id="206" w:name="ref-dietz2015"/>
      <w:bookmarkEnd w:id="205"/>
      <w:r>
        <w:t xml:space="preserve">Dietz, T., Frank, K. A., Whitley, C. T., Kelly, J., &amp; Kelly, R. (2015). Political influences on greenhouse gas emissions from US states. </w:t>
      </w:r>
      <w:r>
        <w:rPr>
          <w:i/>
          <w:iCs/>
        </w:rPr>
        <w:t>Proceedings of the National Academy of Sciences</w:t>
      </w:r>
      <w:r>
        <w:t xml:space="preserve">, </w:t>
      </w:r>
      <w:r>
        <w:rPr>
          <w:i/>
          <w:iCs/>
        </w:rPr>
        <w:t>112</w:t>
      </w:r>
      <w:r>
        <w:t xml:space="preserve">(27), 8254–8259. </w:t>
      </w:r>
      <w:hyperlink r:id="rId160">
        <w:r>
          <w:rPr>
            <w:rStyle w:val="Hyperlink"/>
          </w:rPr>
          <w:t>https://doi.org/10.1073/pnas.1417806112</w:t>
        </w:r>
      </w:hyperlink>
    </w:p>
    <w:p w14:paraId="2C1CB70F" w14:textId="77777777" w:rsidR="0033629A" w:rsidRDefault="004409CB" w:rsidP="009E3272">
      <w:pPr>
        <w:pStyle w:val="Bibliography"/>
        <w:ind w:left="720" w:hanging="810"/>
      </w:pPr>
      <w:bookmarkStart w:id="207" w:name="ref-dietz2012"/>
      <w:bookmarkEnd w:id="206"/>
      <w:r>
        <w:lastRenderedPageBreak/>
        <w:t xml:space="preserve">Dietz, T., Rosa, E. A., &amp; York, R. (2012). Environmentally efficient well-being: Is there a Kuznets curve? </w:t>
      </w:r>
      <w:r>
        <w:rPr>
          <w:i/>
          <w:iCs/>
        </w:rPr>
        <w:t>Applied Geography</w:t>
      </w:r>
      <w:r>
        <w:t xml:space="preserve">, </w:t>
      </w:r>
      <w:r>
        <w:rPr>
          <w:i/>
          <w:iCs/>
        </w:rPr>
        <w:t>32</w:t>
      </w:r>
      <w:r>
        <w:t xml:space="preserve">(1), 21–28. </w:t>
      </w:r>
      <w:hyperlink r:id="rId161">
        <w:r>
          <w:rPr>
            <w:rStyle w:val="Hyperlink"/>
          </w:rPr>
          <w:t>https://doi.org/10.1016/j.apgeog.2010.10.011</w:t>
        </w:r>
      </w:hyperlink>
    </w:p>
    <w:p w14:paraId="64A77F4E" w14:textId="77777777" w:rsidR="0033629A" w:rsidRDefault="004409CB" w:rsidP="009E3272">
      <w:pPr>
        <w:pStyle w:val="Bibliography"/>
        <w:ind w:left="720" w:hanging="810"/>
      </w:pPr>
      <w:bookmarkStart w:id="208" w:name="ref-dietz2007"/>
      <w:bookmarkEnd w:id="207"/>
      <w:r>
        <w:t xml:space="preserve">Dietz, T., Rosa, E. A., &amp; York, R. (2007). Driving the human ecological footprint. </w:t>
      </w:r>
      <w:r>
        <w:rPr>
          <w:i/>
          <w:iCs/>
        </w:rPr>
        <w:t>Frontiers in Ecology and the Environment</w:t>
      </w:r>
      <w:r>
        <w:t xml:space="preserve">, </w:t>
      </w:r>
      <w:r>
        <w:rPr>
          <w:i/>
          <w:iCs/>
        </w:rPr>
        <w:t>5</w:t>
      </w:r>
      <w:r>
        <w:t xml:space="preserve">(1), 13–18. </w:t>
      </w:r>
      <w:hyperlink r:id="rId162">
        <w:r>
          <w:rPr>
            <w:rStyle w:val="Hyperlink"/>
          </w:rPr>
          <w:t>https://doi.org/10.1890/1540-9295(2007)5[13:DTHEF]2.0.CO;2</w:t>
        </w:r>
      </w:hyperlink>
    </w:p>
    <w:p w14:paraId="08CBD0C5" w14:textId="77777777" w:rsidR="0033629A" w:rsidRDefault="004409CB" w:rsidP="009E3272">
      <w:pPr>
        <w:pStyle w:val="Bibliography"/>
        <w:ind w:left="720" w:hanging="810"/>
      </w:pPr>
      <w:bookmarkStart w:id="209" w:name="ref-dostiegoulet2009"/>
      <w:bookmarkEnd w:id="208"/>
      <w:r>
        <w:t xml:space="preserve">Dostie-Goulet, E. (2009). Social networks and the development of political interest. </w:t>
      </w:r>
      <w:r>
        <w:rPr>
          <w:i/>
          <w:iCs/>
        </w:rPr>
        <w:t>Journal of Youth Studies</w:t>
      </w:r>
      <w:r>
        <w:t xml:space="preserve">, </w:t>
      </w:r>
      <w:r>
        <w:rPr>
          <w:i/>
          <w:iCs/>
        </w:rPr>
        <w:t>12</w:t>
      </w:r>
      <w:r>
        <w:t xml:space="preserve">(4), 405–421. </w:t>
      </w:r>
      <w:hyperlink r:id="rId163">
        <w:r>
          <w:rPr>
            <w:rStyle w:val="Hyperlink"/>
          </w:rPr>
          <w:t>https://doi.org/10.1080/13676260902866512</w:t>
        </w:r>
      </w:hyperlink>
    </w:p>
    <w:p w14:paraId="0E14CB98" w14:textId="77777777" w:rsidR="0033629A" w:rsidRDefault="004409CB" w:rsidP="009E3272">
      <w:pPr>
        <w:pStyle w:val="Bibliography"/>
        <w:ind w:left="720" w:hanging="810"/>
      </w:pPr>
      <w:bookmarkStart w:id="210" w:name="ref-drummond2017"/>
      <w:bookmarkEnd w:id="209"/>
      <w:r>
        <w:t xml:space="preserve">Drummond, C., &amp; Fischhoff, B. (2017). Individuals with greater science literacy and education have more polarized beliefs on controversial science topics. </w:t>
      </w:r>
      <w:r>
        <w:rPr>
          <w:i/>
          <w:iCs/>
        </w:rPr>
        <w:t>Proceedings of the National Academy of Sciences</w:t>
      </w:r>
      <w:r>
        <w:t xml:space="preserve">, </w:t>
      </w:r>
      <w:r>
        <w:rPr>
          <w:i/>
          <w:iCs/>
        </w:rPr>
        <w:t>114</w:t>
      </w:r>
      <w:r>
        <w:t xml:space="preserve">(36), 9587–9592. </w:t>
      </w:r>
      <w:hyperlink r:id="rId164">
        <w:r>
          <w:rPr>
            <w:rStyle w:val="Hyperlink"/>
          </w:rPr>
          <w:t>https://doi.org/10.1073/pnas.1704882114</w:t>
        </w:r>
      </w:hyperlink>
    </w:p>
    <w:p w14:paraId="4ED33845" w14:textId="77777777" w:rsidR="0033629A" w:rsidRDefault="004409CB" w:rsidP="009E3272">
      <w:pPr>
        <w:pStyle w:val="Bibliography"/>
        <w:ind w:left="720" w:hanging="810"/>
      </w:pPr>
      <w:bookmarkStart w:id="211" w:name="ref-duprel2009"/>
      <w:bookmarkEnd w:id="210"/>
      <w:r>
        <w:t xml:space="preserve">du Prel, J.-B., Hommel, G., Röhrig, B., &amp; Blettner, M. (2009). Confidence interval or p-value? </w:t>
      </w:r>
      <w:r>
        <w:rPr>
          <w:i/>
          <w:iCs/>
        </w:rPr>
        <w:t>Deutsches Ärzteblatt International</w:t>
      </w:r>
      <w:r>
        <w:t xml:space="preserve">, </w:t>
      </w:r>
      <w:r>
        <w:rPr>
          <w:i/>
          <w:iCs/>
        </w:rPr>
        <w:t>106</w:t>
      </w:r>
      <w:r>
        <w:t xml:space="preserve">(19), 335–339. </w:t>
      </w:r>
      <w:hyperlink r:id="rId165">
        <w:r>
          <w:rPr>
            <w:rStyle w:val="Hyperlink"/>
          </w:rPr>
          <w:t>https://doi.org/10.3238/arztebl.2009.0335</w:t>
        </w:r>
      </w:hyperlink>
    </w:p>
    <w:p w14:paraId="182295CC" w14:textId="77777777" w:rsidR="0033629A" w:rsidRDefault="004409CB" w:rsidP="009E3272">
      <w:pPr>
        <w:pStyle w:val="Bibliography"/>
        <w:ind w:left="720" w:hanging="810"/>
      </w:pPr>
      <w:bookmarkStart w:id="212" w:name="ref-dunaway2017"/>
      <w:bookmarkEnd w:id="211"/>
      <w:r>
        <w:t xml:space="preserve">Dunaway, F. (2017, November 21). The ’Crying Indian’ ad that fooled the environmental movement. </w:t>
      </w:r>
      <w:r>
        <w:rPr>
          <w:i/>
          <w:iCs/>
        </w:rPr>
        <w:t>Chicago Tribune</w:t>
      </w:r>
      <w:r>
        <w:t>.</w:t>
      </w:r>
    </w:p>
    <w:p w14:paraId="01D967B7" w14:textId="77777777" w:rsidR="0033629A" w:rsidRDefault="004409CB" w:rsidP="009E3272">
      <w:pPr>
        <w:pStyle w:val="Bibliography"/>
        <w:ind w:left="720" w:hanging="810"/>
      </w:pPr>
      <w:bookmarkStart w:id="213" w:name="ref-ehrhardtmartinez2015"/>
      <w:bookmarkEnd w:id="212"/>
      <w:r>
        <w:t xml:space="preserve">Ehrhardt-Martinez, K., Rudel, T. K., Norgaard, K. M., &amp; Broadbent, J. (2015). Mitigating climate change. In R. E. Dunlap &amp; R. J. Brulle (Eds.), </w:t>
      </w:r>
      <w:r>
        <w:rPr>
          <w:i/>
          <w:iCs/>
        </w:rPr>
        <w:t>Climate Change and Society: Sociological Perspectives</w:t>
      </w:r>
      <w:r>
        <w:t xml:space="preserve"> (pp. 199–234). Oxford University Press.</w:t>
      </w:r>
    </w:p>
    <w:p w14:paraId="0C6C783A" w14:textId="77777777" w:rsidR="0033629A" w:rsidRDefault="004409CB" w:rsidP="009E3272">
      <w:pPr>
        <w:pStyle w:val="Bibliography"/>
        <w:ind w:left="720" w:hanging="810"/>
      </w:pPr>
      <w:bookmarkStart w:id="214" w:name="Xc0bc36d94989ebac6d66c41886548cec14dd8ac"/>
      <w:bookmarkEnd w:id="213"/>
      <w:r>
        <w:t xml:space="preserve">Engels, A., Hüther, O., Schäfer, M., &amp; Held, H. (2013). Public climate-change skepticism, energy preferences and political participation. </w:t>
      </w:r>
      <w:r>
        <w:rPr>
          <w:i/>
          <w:iCs/>
        </w:rPr>
        <w:t>Global Environmental Change</w:t>
      </w:r>
      <w:r>
        <w:t xml:space="preserve">, </w:t>
      </w:r>
      <w:r>
        <w:rPr>
          <w:i/>
          <w:iCs/>
        </w:rPr>
        <w:t>23</w:t>
      </w:r>
      <w:r>
        <w:t xml:space="preserve">(5), 1018–1027. </w:t>
      </w:r>
      <w:hyperlink r:id="rId166">
        <w:r>
          <w:rPr>
            <w:rStyle w:val="Hyperlink"/>
          </w:rPr>
          <w:t>https://doi.org/10.1016/j.gloenvcha.2013.05.008</w:t>
        </w:r>
      </w:hyperlink>
    </w:p>
    <w:p w14:paraId="384D0B03" w14:textId="77777777" w:rsidR="0033629A" w:rsidRDefault="004409CB" w:rsidP="009E3272">
      <w:pPr>
        <w:pStyle w:val="Bibliography"/>
        <w:ind w:left="720" w:hanging="810"/>
      </w:pPr>
      <w:bookmarkStart w:id="215" w:name="ref-ergas2021"/>
      <w:bookmarkEnd w:id="214"/>
      <w:r>
        <w:lastRenderedPageBreak/>
        <w:t xml:space="preserve">Ergas, C., Greiner, P. T., McGee, J. A., &amp; Clement, M. T. (2021). Does gender climate influence climate change? The multidimensionality of gender equality and its countervailing effects on the carbon intensity of well-being. </w:t>
      </w:r>
      <w:r>
        <w:rPr>
          <w:i/>
          <w:iCs/>
        </w:rPr>
        <w:t>Sustainability</w:t>
      </w:r>
      <w:r>
        <w:t xml:space="preserve">, </w:t>
      </w:r>
      <w:r>
        <w:rPr>
          <w:i/>
          <w:iCs/>
        </w:rPr>
        <w:t>13</w:t>
      </w:r>
      <w:r>
        <w:t xml:space="preserve">(7), 3956. </w:t>
      </w:r>
      <w:hyperlink r:id="rId167">
        <w:r>
          <w:rPr>
            <w:rStyle w:val="Hyperlink"/>
          </w:rPr>
          <w:t>https://doi.org/10.3390/su13073956</w:t>
        </w:r>
      </w:hyperlink>
    </w:p>
    <w:p w14:paraId="7EAC3690" w14:textId="77777777" w:rsidR="0033629A" w:rsidRDefault="004409CB" w:rsidP="009E3272">
      <w:pPr>
        <w:pStyle w:val="Bibliography"/>
        <w:ind w:left="720" w:hanging="810"/>
      </w:pPr>
      <w:bookmarkStart w:id="216" w:name="ref-ergas2012"/>
      <w:bookmarkEnd w:id="215"/>
      <w:r>
        <w:t xml:space="preserve">Ergas, C., &amp; York, R. (2012). Women’s status and carbon dioxide emissions: A quantitative cross-national analysis. </w:t>
      </w:r>
      <w:r>
        <w:rPr>
          <w:i/>
          <w:iCs/>
        </w:rPr>
        <w:t>Social Science Research</w:t>
      </w:r>
      <w:r>
        <w:t xml:space="preserve">, </w:t>
      </w:r>
      <w:r>
        <w:rPr>
          <w:i/>
          <w:iCs/>
        </w:rPr>
        <w:t>41</w:t>
      </w:r>
      <w:r>
        <w:t xml:space="preserve">(4), 965–976. </w:t>
      </w:r>
      <w:hyperlink r:id="rId168">
        <w:r>
          <w:rPr>
            <w:rStyle w:val="Hyperlink"/>
          </w:rPr>
          <w:t>https://doi.org/10.1016/j.ssresearch.2012.03.008</w:t>
        </w:r>
      </w:hyperlink>
    </w:p>
    <w:p w14:paraId="2FB623FB" w14:textId="77777777" w:rsidR="0033629A" w:rsidRDefault="004409CB" w:rsidP="009E3272">
      <w:pPr>
        <w:pStyle w:val="Bibliography"/>
        <w:ind w:left="720" w:hanging="810"/>
      </w:pPr>
      <w:bookmarkStart w:id="217" w:name="ref-erler2021"/>
      <w:bookmarkEnd w:id="216"/>
      <w:r>
        <w:t xml:space="preserve">Erler, N. S., Rizopoulos, D., &amp; Lesaffre, E. M. E. H. (2021). Jointai: Joint analysis and imputation of incomplete data in r. </w:t>
      </w:r>
      <w:r>
        <w:rPr>
          <w:i/>
          <w:iCs/>
        </w:rPr>
        <w:t>Journal of Statistical Software</w:t>
      </w:r>
      <w:r>
        <w:t xml:space="preserve">, </w:t>
      </w:r>
      <w:r>
        <w:rPr>
          <w:i/>
          <w:iCs/>
        </w:rPr>
        <w:t>100</w:t>
      </w:r>
      <w:r>
        <w:t xml:space="preserve">, 1–56. </w:t>
      </w:r>
      <w:hyperlink r:id="rId169">
        <w:r>
          <w:rPr>
            <w:rStyle w:val="Hyperlink"/>
          </w:rPr>
          <w:t>https://doi.org/10.18637/jss.v100.i20</w:t>
        </w:r>
      </w:hyperlink>
    </w:p>
    <w:p w14:paraId="798F1CC9" w14:textId="77777777" w:rsidR="0033629A" w:rsidRDefault="004409CB" w:rsidP="009E3272">
      <w:pPr>
        <w:pStyle w:val="Bibliography"/>
        <w:ind w:left="720" w:hanging="810"/>
      </w:pPr>
      <w:bookmarkStart w:id="218" w:name="ref-fairbrother2019"/>
      <w:bookmarkEnd w:id="217"/>
      <w:r>
        <w:t xml:space="preserve">Fairbrother, M., Johansson Sevä, I., &amp; Kulin, J. (2019). Political trust and the relationship between climate change beliefs and support for fossil fuel taxes: Evidence from a survey of 23 European countries. </w:t>
      </w:r>
      <w:r>
        <w:rPr>
          <w:i/>
          <w:iCs/>
        </w:rPr>
        <w:t>Global Environmental Change</w:t>
      </w:r>
      <w:r>
        <w:t xml:space="preserve">, </w:t>
      </w:r>
      <w:r>
        <w:rPr>
          <w:i/>
          <w:iCs/>
        </w:rPr>
        <w:t>59</w:t>
      </w:r>
      <w:r>
        <w:t xml:space="preserve">, 102003. </w:t>
      </w:r>
      <w:hyperlink r:id="rId170">
        <w:r>
          <w:rPr>
            <w:rStyle w:val="Hyperlink"/>
          </w:rPr>
          <w:t>https://doi.org/10.1016/j.gloenvcha.2019.102003</w:t>
        </w:r>
      </w:hyperlink>
    </w:p>
    <w:p w14:paraId="02504B9A" w14:textId="77777777" w:rsidR="0033629A" w:rsidRDefault="004409CB" w:rsidP="009E3272">
      <w:pPr>
        <w:pStyle w:val="Bibliography"/>
        <w:ind w:left="720" w:hanging="810"/>
      </w:pPr>
      <w:bookmarkStart w:id="219" w:name="ref-fox2022"/>
      <w:bookmarkEnd w:id="218"/>
      <w:r>
        <w:t xml:space="preserve">Fox, J., &amp; Dusa, A. (2022). </w:t>
      </w:r>
      <w:r>
        <w:rPr>
          <w:i/>
          <w:iCs/>
        </w:rPr>
        <w:t>Polycor: Polychoric and polyserial correlations</w:t>
      </w:r>
      <w:r>
        <w:t>.</w:t>
      </w:r>
    </w:p>
    <w:p w14:paraId="5D70FABB" w14:textId="77777777" w:rsidR="0033629A" w:rsidRDefault="004409CB" w:rsidP="009E3272">
      <w:pPr>
        <w:pStyle w:val="Bibliography"/>
        <w:ind w:left="720" w:hanging="810"/>
      </w:pPr>
      <w:bookmarkStart w:id="220" w:name="ref-frankenberg2013"/>
      <w:bookmarkEnd w:id="219"/>
      <w:r>
        <w:t xml:space="preserve">Frankenberg, E., Sikoki, B., Sumantri, C., Suriastini, W., &amp; Thomas, D. (2013). Education, vulnerability, and resilience after a natural disaster. </w:t>
      </w:r>
      <w:r>
        <w:rPr>
          <w:i/>
          <w:iCs/>
        </w:rPr>
        <w:t xml:space="preserve">Ecology and </w:t>
      </w:r>
      <w:proofErr w:type="gramStart"/>
      <w:r>
        <w:rPr>
          <w:i/>
          <w:iCs/>
        </w:rPr>
        <w:t>Society :</w:t>
      </w:r>
      <w:proofErr w:type="gramEnd"/>
      <w:r>
        <w:rPr>
          <w:i/>
          <w:iCs/>
        </w:rPr>
        <w:t xml:space="preserve"> A Journal of Integrative Science for Resilience and Sustainability</w:t>
      </w:r>
      <w:r>
        <w:t xml:space="preserve">, </w:t>
      </w:r>
      <w:r>
        <w:rPr>
          <w:i/>
          <w:iCs/>
        </w:rPr>
        <w:t>18</w:t>
      </w:r>
      <w:r>
        <w:t xml:space="preserve">(2), 16. </w:t>
      </w:r>
      <w:hyperlink r:id="rId171">
        <w:r>
          <w:rPr>
            <w:rStyle w:val="Hyperlink"/>
          </w:rPr>
          <w:t>https://doi.org/10.5751/ES-05377-180216</w:t>
        </w:r>
      </w:hyperlink>
    </w:p>
    <w:p w14:paraId="524FC315" w14:textId="77777777" w:rsidR="0033629A" w:rsidRDefault="004409CB" w:rsidP="009E3272">
      <w:pPr>
        <w:pStyle w:val="Bibliography"/>
        <w:ind w:left="720" w:hanging="810"/>
      </w:pPr>
      <w:bookmarkStart w:id="221" w:name="ref-friedlingstein2021"/>
      <w:bookmarkEnd w:id="220"/>
      <w:r>
        <w:t xml:space="preserve">Friedlingstein, P., Jones, M. W., O’Sullivan, M., Andrew, R. M., Bakker, D. C. E., Hauck, J., Le Qu’er’e, C., Peters, G. P., Peters, W., Pongratz, J., Sitch, S., Canadell, J. G., Ciais, P., Jackson, R. B., Alin, S. R., Anthoni, P., Bates, N. R., Becker, M., Bellouin, N., … </w:t>
      </w:r>
      <w:r>
        <w:lastRenderedPageBreak/>
        <w:t xml:space="preserve">Zen, J. (2021). Global Carbon Budget 2021. </w:t>
      </w:r>
      <w:r>
        <w:rPr>
          <w:i/>
          <w:iCs/>
        </w:rPr>
        <w:t>Earth System Science Data Discussions</w:t>
      </w:r>
      <w:r>
        <w:t xml:space="preserve">, 1–191. </w:t>
      </w:r>
      <w:hyperlink r:id="rId172">
        <w:r>
          <w:rPr>
            <w:rStyle w:val="Hyperlink"/>
          </w:rPr>
          <w:t>https://doi.org/10.5194/essd-2021-386</w:t>
        </w:r>
      </w:hyperlink>
    </w:p>
    <w:p w14:paraId="58FBE3BB" w14:textId="77777777" w:rsidR="0033629A" w:rsidRDefault="004409CB" w:rsidP="009E3272">
      <w:pPr>
        <w:pStyle w:val="Bibliography"/>
        <w:ind w:left="720" w:hanging="810"/>
      </w:pPr>
      <w:bookmarkStart w:id="222" w:name="ref-furr2014"/>
      <w:bookmarkEnd w:id="221"/>
      <w:r>
        <w:t xml:space="preserve">Furr, R. M., &amp; Bacharach, V. R. (2014). </w:t>
      </w:r>
      <w:r>
        <w:rPr>
          <w:i/>
          <w:iCs/>
        </w:rPr>
        <w:t>Psychometrics: An introduction</w:t>
      </w:r>
      <w:r>
        <w:t xml:space="preserve"> (Second edition). SAGE.</w:t>
      </w:r>
    </w:p>
    <w:p w14:paraId="525C5460" w14:textId="77777777" w:rsidR="0033629A" w:rsidRDefault="004409CB" w:rsidP="009E3272">
      <w:pPr>
        <w:pStyle w:val="Bibliography"/>
        <w:ind w:left="720" w:hanging="810"/>
      </w:pPr>
      <w:bookmarkStart w:id="223" w:name="ref-gamboa2015"/>
      <w:bookmarkEnd w:id="222"/>
      <w:r>
        <w:t xml:space="preserve">Gamboa, L. F., &amp; Waltenberg, F. D. (2015). Measuring inequality of opportunity in education by combining information on coverage and achievement in PISA. </w:t>
      </w:r>
      <w:r>
        <w:rPr>
          <w:i/>
          <w:iCs/>
        </w:rPr>
        <w:t>Educational Assessment</w:t>
      </w:r>
      <w:r>
        <w:t xml:space="preserve">, </w:t>
      </w:r>
      <w:r>
        <w:rPr>
          <w:i/>
          <w:iCs/>
        </w:rPr>
        <w:t>20</w:t>
      </w:r>
      <w:r>
        <w:t xml:space="preserve">(4), 320–337. </w:t>
      </w:r>
      <w:hyperlink r:id="rId173">
        <w:r>
          <w:rPr>
            <w:rStyle w:val="Hyperlink"/>
          </w:rPr>
          <w:t>https://doi.org/10.1080/10627197.2015.1093926</w:t>
        </w:r>
      </w:hyperlink>
    </w:p>
    <w:p w14:paraId="3B1DBFBE" w14:textId="77777777" w:rsidR="0033629A" w:rsidRDefault="004409CB" w:rsidP="009E3272">
      <w:pPr>
        <w:pStyle w:val="Bibliography"/>
        <w:ind w:left="720" w:hanging="810"/>
      </w:pPr>
      <w:bookmarkStart w:id="224" w:name="ref-garson2015"/>
      <w:bookmarkEnd w:id="223"/>
      <w:r>
        <w:t xml:space="preserve">Garson, G. D. (2015). </w:t>
      </w:r>
      <w:r>
        <w:rPr>
          <w:i/>
          <w:iCs/>
        </w:rPr>
        <w:t>Missing values analysis &amp; data imputation</w:t>
      </w:r>
      <w:r>
        <w:t>. Statistical Associates Publishing.</w:t>
      </w:r>
    </w:p>
    <w:p w14:paraId="7F519FD4" w14:textId="77777777" w:rsidR="0033629A" w:rsidRDefault="004409CB" w:rsidP="009E3272">
      <w:pPr>
        <w:pStyle w:val="Bibliography"/>
        <w:ind w:left="720" w:hanging="810"/>
      </w:pPr>
      <w:bookmarkStart w:id="225" w:name="ref-geiger2019"/>
      <w:bookmarkEnd w:id="224"/>
      <w:r>
        <w:t xml:space="preserve">Geiger, S. M., Geiger, M., &amp; Wilhelm, O. (2019). Environment-specific vs. General knowledge and their role in pro-environmental behavior. </w:t>
      </w:r>
      <w:r>
        <w:rPr>
          <w:i/>
          <w:iCs/>
        </w:rPr>
        <w:t>Frontiers in Psychology</w:t>
      </w:r>
      <w:r>
        <w:t xml:space="preserve">, </w:t>
      </w:r>
      <w:r>
        <w:rPr>
          <w:i/>
          <w:iCs/>
        </w:rPr>
        <w:t>10</w:t>
      </w:r>
      <w:r>
        <w:t xml:space="preserve">, 718. </w:t>
      </w:r>
      <w:hyperlink r:id="rId174">
        <w:r>
          <w:rPr>
            <w:rStyle w:val="Hyperlink"/>
          </w:rPr>
          <w:t>https://doi.org/10.3389/fpsyg.2019.00718</w:t>
        </w:r>
      </w:hyperlink>
    </w:p>
    <w:p w14:paraId="796D96FA" w14:textId="77777777" w:rsidR="0033629A" w:rsidRDefault="004409CB" w:rsidP="009E3272">
      <w:pPr>
        <w:pStyle w:val="Bibliography"/>
        <w:ind w:left="720" w:hanging="810"/>
      </w:pPr>
      <w:bookmarkStart w:id="226" w:name="ref-gelissen2007"/>
      <w:bookmarkEnd w:id="225"/>
      <w:r>
        <w:t xml:space="preserve">Gelissen, J. (2007). Explaining popular support for environmental protection: A multilevel analysis of 50 nations. </w:t>
      </w:r>
      <w:r>
        <w:rPr>
          <w:i/>
          <w:iCs/>
        </w:rPr>
        <w:t>Environment and Behavior</w:t>
      </w:r>
      <w:r>
        <w:t xml:space="preserve">, </w:t>
      </w:r>
      <w:r>
        <w:rPr>
          <w:i/>
          <w:iCs/>
        </w:rPr>
        <w:t>39</w:t>
      </w:r>
      <w:r>
        <w:t xml:space="preserve">(3), 392–415. </w:t>
      </w:r>
      <w:hyperlink r:id="rId175">
        <w:r>
          <w:rPr>
            <w:rStyle w:val="Hyperlink"/>
          </w:rPr>
          <w:t>https://doi.org/10.1177/0013916506292014</w:t>
        </w:r>
      </w:hyperlink>
    </w:p>
    <w:p w14:paraId="7C45E489" w14:textId="77777777" w:rsidR="0033629A" w:rsidRDefault="004409CB" w:rsidP="009E3272">
      <w:pPr>
        <w:pStyle w:val="Bibliography"/>
        <w:ind w:left="720" w:hanging="810"/>
      </w:pPr>
      <w:bookmarkStart w:id="227" w:name="ref-gerlach2021"/>
      <w:bookmarkEnd w:id="226"/>
      <w:r>
        <w:t xml:space="preserve">Gerlach, P., &amp; Eriksson, K. (2021). Measuring cultural dimensions: External validity and internal consistency of Hofstede’s VSM 2013 scales. </w:t>
      </w:r>
      <w:r>
        <w:rPr>
          <w:i/>
          <w:iCs/>
        </w:rPr>
        <w:t>Frontiers in Psychology</w:t>
      </w:r>
      <w:r>
        <w:t xml:space="preserve">, </w:t>
      </w:r>
      <w:r>
        <w:rPr>
          <w:i/>
          <w:iCs/>
        </w:rPr>
        <w:t>12</w:t>
      </w:r>
      <w:r>
        <w:t xml:space="preserve">, 1056. </w:t>
      </w:r>
      <w:hyperlink r:id="rId176">
        <w:r>
          <w:rPr>
            <w:rStyle w:val="Hyperlink"/>
          </w:rPr>
          <w:t>https://doi.org/10.3389/fpsyg.2021.662604</w:t>
        </w:r>
      </w:hyperlink>
    </w:p>
    <w:p w14:paraId="205D5561" w14:textId="77777777" w:rsidR="0033629A" w:rsidRDefault="004409CB" w:rsidP="009E3272">
      <w:pPr>
        <w:pStyle w:val="Bibliography"/>
        <w:ind w:left="720" w:hanging="810"/>
      </w:pPr>
      <w:bookmarkStart w:id="228" w:name="ref-gillies2017"/>
      <w:bookmarkEnd w:id="227"/>
      <w:r>
        <w:t xml:space="preserve">Gillies, D. (2017). Human capital theory in education. </w:t>
      </w:r>
      <w:r>
        <w:rPr>
          <w:i/>
          <w:iCs/>
        </w:rPr>
        <w:t>Encyclopedia of Educational Philosophy</w:t>
      </w:r>
      <w:r>
        <w:t>, 1053–1057.</w:t>
      </w:r>
    </w:p>
    <w:p w14:paraId="37A13C96" w14:textId="77777777" w:rsidR="0033629A" w:rsidRDefault="004409CB" w:rsidP="009E3272">
      <w:pPr>
        <w:pStyle w:val="Bibliography"/>
        <w:ind w:left="720" w:hanging="810"/>
      </w:pPr>
      <w:bookmarkStart w:id="229" w:name="ref-givens2015"/>
      <w:bookmarkEnd w:id="228"/>
      <w:r>
        <w:t xml:space="preserve">Givens, J. E. (2015). Urbanization, slums, and the carbon intensity of well-being: Implications for sustainable development. </w:t>
      </w:r>
      <w:r>
        <w:rPr>
          <w:i/>
          <w:iCs/>
        </w:rPr>
        <w:t>Human Ecology Review</w:t>
      </w:r>
      <w:r>
        <w:t xml:space="preserve">, </w:t>
      </w:r>
      <w:r>
        <w:rPr>
          <w:i/>
          <w:iCs/>
        </w:rPr>
        <w:t>22</w:t>
      </w:r>
      <w:r>
        <w:t>(1), 107–128.</w:t>
      </w:r>
    </w:p>
    <w:p w14:paraId="3F9E11DF" w14:textId="77777777" w:rsidR="0033629A" w:rsidRDefault="004409CB" w:rsidP="009E3272">
      <w:pPr>
        <w:pStyle w:val="Bibliography"/>
        <w:ind w:left="720" w:hanging="810"/>
      </w:pPr>
      <w:bookmarkStart w:id="230" w:name="ref-glesne2016"/>
      <w:bookmarkEnd w:id="229"/>
      <w:r>
        <w:lastRenderedPageBreak/>
        <w:t xml:space="preserve">Glesne, C. (2016). </w:t>
      </w:r>
      <w:r>
        <w:rPr>
          <w:i/>
          <w:iCs/>
        </w:rPr>
        <w:t>Becoming qualitative researchers: An introduction</w:t>
      </w:r>
      <w:r>
        <w:t>. Pearson.</w:t>
      </w:r>
    </w:p>
    <w:p w14:paraId="2E206783" w14:textId="77777777" w:rsidR="0033629A" w:rsidRDefault="004409CB" w:rsidP="009E3272">
      <w:pPr>
        <w:pStyle w:val="Bibliography"/>
        <w:ind w:left="720" w:hanging="810"/>
      </w:pPr>
      <w:bookmarkStart w:id="231" w:name="ref-green2021"/>
      <w:bookmarkEnd w:id="230"/>
      <w:r>
        <w:t xml:space="preserve">Green, J. F. (2021). Does carbon pricing reduce emissions? A review of ex-post analyses. </w:t>
      </w:r>
      <w:r>
        <w:rPr>
          <w:i/>
          <w:iCs/>
        </w:rPr>
        <w:t>Environmental Research Letters</w:t>
      </w:r>
      <w:r>
        <w:t xml:space="preserve">, </w:t>
      </w:r>
      <w:r>
        <w:rPr>
          <w:i/>
          <w:iCs/>
        </w:rPr>
        <w:t>16</w:t>
      </w:r>
      <w:r>
        <w:t xml:space="preserve">(4), 043004. </w:t>
      </w:r>
      <w:hyperlink r:id="rId177">
        <w:r>
          <w:rPr>
            <w:rStyle w:val="Hyperlink"/>
          </w:rPr>
          <w:t>https://doi.org/10.1088/1748-9326/abdae9</w:t>
        </w:r>
      </w:hyperlink>
    </w:p>
    <w:p w14:paraId="2C2FDBB7" w14:textId="77777777" w:rsidR="0033629A" w:rsidRDefault="004409CB" w:rsidP="009E3272">
      <w:pPr>
        <w:pStyle w:val="Bibliography"/>
        <w:ind w:left="720" w:hanging="810"/>
      </w:pPr>
      <w:bookmarkStart w:id="232" w:name="ref-greiner2020a"/>
      <w:bookmarkEnd w:id="231"/>
      <w:r>
        <w:t xml:space="preserve">Greiner, P. T., &amp; McGee, J. A. (2020). The asymmetry of economic growth and the carbon intensity of well-being. </w:t>
      </w:r>
      <w:r>
        <w:rPr>
          <w:i/>
          <w:iCs/>
        </w:rPr>
        <w:t>Environmental Sociology</w:t>
      </w:r>
      <w:r>
        <w:t xml:space="preserve">, </w:t>
      </w:r>
      <w:r>
        <w:rPr>
          <w:i/>
          <w:iCs/>
        </w:rPr>
        <w:t>6</w:t>
      </w:r>
      <w:r>
        <w:t xml:space="preserve">(1), 95–106. </w:t>
      </w:r>
      <w:hyperlink r:id="rId178">
        <w:r>
          <w:rPr>
            <w:rStyle w:val="Hyperlink"/>
          </w:rPr>
          <w:t>https://doi.org/10.1080/23251042.2019.1675567</w:t>
        </w:r>
      </w:hyperlink>
    </w:p>
    <w:p w14:paraId="430CCE20" w14:textId="77777777" w:rsidR="0033629A" w:rsidRDefault="004409CB" w:rsidP="009E3272">
      <w:pPr>
        <w:pStyle w:val="Bibliography"/>
        <w:ind w:left="720" w:hanging="810"/>
      </w:pPr>
      <w:bookmarkStart w:id="233" w:name="ref-griffin2017"/>
      <w:bookmarkEnd w:id="232"/>
      <w:r>
        <w:t xml:space="preserve">Griffin, P. (2017). </w:t>
      </w:r>
      <w:r>
        <w:rPr>
          <w:i/>
          <w:iCs/>
        </w:rPr>
        <w:t xml:space="preserve">The carbon </w:t>
      </w:r>
      <w:proofErr w:type="gramStart"/>
      <w:r>
        <w:rPr>
          <w:i/>
          <w:iCs/>
        </w:rPr>
        <w:t>majors</w:t>
      </w:r>
      <w:proofErr w:type="gramEnd"/>
      <w:r>
        <w:rPr>
          <w:i/>
          <w:iCs/>
        </w:rPr>
        <w:t xml:space="preserve"> database: CDP carbon majors report 2017</w:t>
      </w:r>
      <w:r>
        <w:t xml:space="preserve"> (p. 16). CDP.</w:t>
      </w:r>
    </w:p>
    <w:p w14:paraId="5D4C88E0" w14:textId="77777777" w:rsidR="0033629A" w:rsidRDefault="004409CB" w:rsidP="009E3272">
      <w:pPr>
        <w:pStyle w:val="Bibliography"/>
        <w:ind w:left="720" w:hanging="810"/>
      </w:pPr>
      <w:bookmarkStart w:id="234" w:name="ref-grimm2017"/>
      <w:bookmarkEnd w:id="233"/>
      <w:r>
        <w:t xml:space="preserve">Grimm, K. J., Ram, N., &amp; Estabrook, R. (2017). </w:t>
      </w:r>
      <w:r>
        <w:rPr>
          <w:i/>
          <w:iCs/>
        </w:rPr>
        <w:t>Growth modeling: Structural equation and multilevel modeling approaches</w:t>
      </w:r>
      <w:r>
        <w:t>. Guilford Press.</w:t>
      </w:r>
    </w:p>
    <w:p w14:paraId="5C2BDEC0" w14:textId="77777777" w:rsidR="0033629A" w:rsidRDefault="004409CB" w:rsidP="009E3272">
      <w:pPr>
        <w:pStyle w:val="Bibliography"/>
        <w:ind w:left="720" w:hanging="810"/>
      </w:pPr>
      <w:bookmarkStart w:id="235" w:name="ref-gronhoj2012"/>
      <w:bookmarkEnd w:id="234"/>
      <w:r>
        <w:t xml:space="preserve">Gronhoj, A., &amp; Thogersen, J. (2012). Action speaks louder than words: The effect of personal attitudes and family norms on adolescents’ pro-Environmental behaviour. </w:t>
      </w:r>
      <w:r>
        <w:rPr>
          <w:i/>
          <w:iCs/>
        </w:rPr>
        <w:t>Journal of Economic Psychology</w:t>
      </w:r>
      <w:r>
        <w:t xml:space="preserve">, </w:t>
      </w:r>
      <w:r>
        <w:rPr>
          <w:i/>
          <w:iCs/>
        </w:rPr>
        <w:t>33</w:t>
      </w:r>
      <w:r>
        <w:t xml:space="preserve">(1), 292–302. </w:t>
      </w:r>
      <w:hyperlink r:id="rId179">
        <w:r>
          <w:rPr>
            <w:rStyle w:val="Hyperlink"/>
          </w:rPr>
          <w:t>https://doi.org/10.1016/j.joep.2011.10.001</w:t>
        </w:r>
      </w:hyperlink>
    </w:p>
    <w:p w14:paraId="1A0D62BD" w14:textId="77777777" w:rsidR="0033629A" w:rsidRDefault="004409CB" w:rsidP="009E3272">
      <w:pPr>
        <w:pStyle w:val="Bibliography"/>
        <w:ind w:left="720" w:hanging="810"/>
      </w:pPr>
      <w:bookmarkStart w:id="236" w:name="ref-grund2021"/>
      <w:bookmarkEnd w:id="235"/>
      <w:r>
        <w:t xml:space="preserve">Grund, S., Robitzsch, A., &amp; Luedtke, O. (2021). </w:t>
      </w:r>
      <w:r>
        <w:rPr>
          <w:i/>
          <w:iCs/>
        </w:rPr>
        <w:t>Mitml: Tools for multiple imputation in multilevel modeling</w:t>
      </w:r>
      <w:r>
        <w:t>.</w:t>
      </w:r>
    </w:p>
    <w:p w14:paraId="0E91B139" w14:textId="77777777" w:rsidR="0033629A" w:rsidRDefault="004409CB" w:rsidP="009E3272">
      <w:pPr>
        <w:pStyle w:val="Bibliography"/>
        <w:ind w:left="720" w:hanging="810"/>
      </w:pPr>
      <w:bookmarkStart w:id="237" w:name="ref-guy2014"/>
      <w:bookmarkEnd w:id="236"/>
      <w:r>
        <w:t xml:space="preserve">Guy, S., Kashima, Y., Walker, I., &amp; O’Neill, S. (2014). Investigating the effects of knowledge and ideology on climate change beliefs. </w:t>
      </w:r>
      <w:r>
        <w:rPr>
          <w:i/>
          <w:iCs/>
        </w:rPr>
        <w:t>European Journal of Social Psychology</w:t>
      </w:r>
      <w:r>
        <w:t xml:space="preserve">, </w:t>
      </w:r>
      <w:r>
        <w:rPr>
          <w:i/>
          <w:iCs/>
        </w:rPr>
        <w:t>44</w:t>
      </w:r>
      <w:r>
        <w:t xml:space="preserve">(5), 421–429. </w:t>
      </w:r>
      <w:hyperlink r:id="rId180">
        <w:r>
          <w:rPr>
            <w:rStyle w:val="Hyperlink"/>
          </w:rPr>
          <w:t>https://doi.org/10.1002/ejsp.2039</w:t>
        </w:r>
      </w:hyperlink>
    </w:p>
    <w:p w14:paraId="064892E7" w14:textId="77777777" w:rsidR="0033629A" w:rsidRDefault="004409CB" w:rsidP="009E3272">
      <w:pPr>
        <w:pStyle w:val="Bibliography"/>
        <w:ind w:left="720" w:hanging="810"/>
      </w:pPr>
      <w:bookmarkStart w:id="238" w:name="ref-hailemariam2020"/>
      <w:bookmarkEnd w:id="237"/>
      <w:r>
        <w:t xml:space="preserve">Hailemariam, A., Dzhumashev, R., &amp; Shahbaz, M. (2020). Carbon emissions, income inequality and economic development. </w:t>
      </w:r>
      <w:r>
        <w:rPr>
          <w:i/>
          <w:iCs/>
        </w:rPr>
        <w:t>Empirical Economics</w:t>
      </w:r>
      <w:r>
        <w:t xml:space="preserve">, </w:t>
      </w:r>
      <w:r>
        <w:rPr>
          <w:i/>
          <w:iCs/>
        </w:rPr>
        <w:t>59</w:t>
      </w:r>
      <w:r>
        <w:t xml:space="preserve">(3), 1139–1159. </w:t>
      </w:r>
      <w:hyperlink r:id="rId181">
        <w:r>
          <w:rPr>
            <w:rStyle w:val="Hyperlink"/>
          </w:rPr>
          <w:t>https://doi.org/10.1007/s00181-019-01664-x</w:t>
        </w:r>
      </w:hyperlink>
    </w:p>
    <w:p w14:paraId="29386E6D" w14:textId="77777777" w:rsidR="0033629A" w:rsidRDefault="004409CB" w:rsidP="009E3272">
      <w:pPr>
        <w:pStyle w:val="Bibliography"/>
        <w:ind w:left="720" w:hanging="810"/>
      </w:pPr>
      <w:bookmarkStart w:id="239" w:name="X5880f069ffcfa3094c79115709cc9df3292fa0f"/>
      <w:bookmarkEnd w:id="238"/>
      <w:r>
        <w:lastRenderedPageBreak/>
        <w:t xml:space="preserve">Hamilton, L. C. (2011). Education, </w:t>
      </w:r>
      <w:proofErr w:type="gramStart"/>
      <w:r>
        <w:t>politics</w:t>
      </w:r>
      <w:proofErr w:type="gramEnd"/>
      <w:r>
        <w:t xml:space="preserve"> and opinions about climate change evidence for interaction effects. </w:t>
      </w:r>
      <w:r>
        <w:rPr>
          <w:i/>
          <w:iCs/>
        </w:rPr>
        <w:t>Climatic Change</w:t>
      </w:r>
      <w:r>
        <w:t xml:space="preserve">, </w:t>
      </w:r>
      <w:r>
        <w:rPr>
          <w:i/>
          <w:iCs/>
        </w:rPr>
        <w:t>104</w:t>
      </w:r>
      <w:r>
        <w:t xml:space="preserve">(2), 231–242. </w:t>
      </w:r>
      <w:hyperlink r:id="rId182">
        <w:r>
          <w:rPr>
            <w:rStyle w:val="Hyperlink"/>
          </w:rPr>
          <w:t>https://doi.org/10.1007/s10584-010-9957-8</w:t>
        </w:r>
      </w:hyperlink>
    </w:p>
    <w:p w14:paraId="74F12283" w14:textId="77777777" w:rsidR="0033629A" w:rsidRDefault="004409CB" w:rsidP="009E3272">
      <w:pPr>
        <w:pStyle w:val="Bibliography"/>
        <w:ind w:left="720" w:hanging="810"/>
      </w:pPr>
      <w:bookmarkStart w:id="240" w:name="ref-hamilton2015"/>
      <w:bookmarkEnd w:id="239"/>
      <w:r>
        <w:t xml:space="preserve">Hamilton, L. C., Hartter, J., Lemcke-Stampone, M., Moore, D. W., &amp; Safford, T. G. (2015). Tracking public beliefs about anthropogenic climate change. </w:t>
      </w:r>
      <w:r>
        <w:rPr>
          <w:i/>
          <w:iCs/>
        </w:rPr>
        <w:t>PLOS ONE</w:t>
      </w:r>
      <w:r>
        <w:t xml:space="preserve">, </w:t>
      </w:r>
      <w:r>
        <w:rPr>
          <w:i/>
          <w:iCs/>
        </w:rPr>
        <w:t>10</w:t>
      </w:r>
      <w:r>
        <w:t xml:space="preserve">(9), e0138208. </w:t>
      </w:r>
      <w:hyperlink r:id="rId183">
        <w:r>
          <w:rPr>
            <w:rStyle w:val="Hyperlink"/>
          </w:rPr>
          <w:t>https://doi.org/10.1371/journal.pone.0138208</w:t>
        </w:r>
      </w:hyperlink>
    </w:p>
    <w:p w14:paraId="61C5F067" w14:textId="77777777" w:rsidR="0033629A" w:rsidRDefault="004409CB" w:rsidP="009E3272">
      <w:pPr>
        <w:pStyle w:val="Bibliography"/>
        <w:ind w:left="720" w:hanging="810"/>
      </w:pPr>
      <w:bookmarkStart w:id="241" w:name="ref-hanushek2010"/>
      <w:bookmarkEnd w:id="240"/>
      <w:r>
        <w:t xml:space="preserve">Hanushek, E. A. (2010). Education and economic growth. </w:t>
      </w:r>
      <w:r>
        <w:rPr>
          <w:i/>
          <w:iCs/>
        </w:rPr>
        <w:t>International Encyclopedia of Education</w:t>
      </w:r>
      <w:r>
        <w:t xml:space="preserve">, </w:t>
      </w:r>
      <w:r>
        <w:rPr>
          <w:i/>
          <w:iCs/>
        </w:rPr>
        <w:t>2</w:t>
      </w:r>
      <w:r>
        <w:t>, 9.</w:t>
      </w:r>
    </w:p>
    <w:p w14:paraId="01A48028" w14:textId="77777777" w:rsidR="0033629A" w:rsidRDefault="004409CB" w:rsidP="009E3272">
      <w:pPr>
        <w:pStyle w:val="Bibliography"/>
        <w:ind w:left="720" w:hanging="810"/>
      </w:pPr>
      <w:bookmarkStart w:id="242" w:name="ref-harkerschuch2019"/>
      <w:bookmarkEnd w:id="241"/>
      <w:r>
        <w:t xml:space="preserve">Harker-Schuch, I. (2019). Why Is Early Adolescence So Pivotal in the Climate Change Communication and Education Arena? In W. Leal Filho &amp; S. L. Hemstock (Eds.), </w:t>
      </w:r>
      <w:r>
        <w:rPr>
          <w:i/>
          <w:iCs/>
        </w:rPr>
        <w:t>Climate Change and the Role of Education</w:t>
      </w:r>
      <w:r>
        <w:t xml:space="preserve"> (pp. 279–290). Springer International Publishing. </w:t>
      </w:r>
      <w:hyperlink r:id="rId184">
        <w:r>
          <w:rPr>
            <w:rStyle w:val="Hyperlink"/>
          </w:rPr>
          <w:t>https://doi.org/10.1007/978-3-030-32898-6_16</w:t>
        </w:r>
      </w:hyperlink>
    </w:p>
    <w:p w14:paraId="1ED51EC1" w14:textId="77777777" w:rsidR="0033629A" w:rsidRDefault="004409CB" w:rsidP="009E3272">
      <w:pPr>
        <w:pStyle w:val="Bibliography"/>
        <w:ind w:left="720" w:hanging="810"/>
      </w:pPr>
      <w:bookmarkStart w:id="243" w:name="ref-harper2020"/>
      <w:bookmarkEnd w:id="242"/>
      <w:r>
        <w:t xml:space="preserve">Harper, A., &amp; Vinke, K. (2020, November). </w:t>
      </w:r>
      <w:r>
        <w:rPr>
          <w:i/>
          <w:iCs/>
        </w:rPr>
        <w:t>Climate change and the future of safe returns</w:t>
      </w:r>
      <w:r>
        <w:t>.</w:t>
      </w:r>
    </w:p>
    <w:p w14:paraId="710989A2" w14:textId="77777777" w:rsidR="0033629A" w:rsidRDefault="004409CB" w:rsidP="009E3272">
      <w:pPr>
        <w:pStyle w:val="Bibliography"/>
        <w:ind w:left="720" w:hanging="810"/>
      </w:pPr>
      <w:bookmarkStart w:id="244" w:name="ref-hess2019"/>
      <w:bookmarkEnd w:id="243"/>
      <w:r>
        <w:t xml:space="preserve">Hess, D. J., &amp; Maki, A. (2019). Climate change belief, sustainability education, and political values: Assessing the need for higher-education curriculum reform. </w:t>
      </w:r>
      <w:r>
        <w:rPr>
          <w:i/>
          <w:iCs/>
        </w:rPr>
        <w:t>Journal of Cleaner Production</w:t>
      </w:r>
      <w:r>
        <w:t xml:space="preserve">, </w:t>
      </w:r>
      <w:r>
        <w:rPr>
          <w:i/>
          <w:iCs/>
        </w:rPr>
        <w:t>228</w:t>
      </w:r>
      <w:r>
        <w:t xml:space="preserve">, 1157–1166. </w:t>
      </w:r>
      <w:hyperlink r:id="rId185">
        <w:r>
          <w:rPr>
            <w:rStyle w:val="Hyperlink"/>
          </w:rPr>
          <w:t>https://doi.org/10.1016/j.jclepro.2019.04.291</w:t>
        </w:r>
      </w:hyperlink>
    </w:p>
    <w:p w14:paraId="15F2080C" w14:textId="77777777" w:rsidR="0033629A" w:rsidRDefault="004409CB" w:rsidP="009E3272">
      <w:pPr>
        <w:pStyle w:val="Bibliography"/>
        <w:ind w:left="720" w:hanging="810"/>
      </w:pPr>
      <w:bookmarkStart w:id="245" w:name="ref-hestness2014"/>
      <w:bookmarkEnd w:id="244"/>
      <w:r>
        <w:t xml:space="preserve">Hestness, E., McDonald, R. C., Breslyn, W., McGinnis, J. R., &amp; Mouza, C. (2014). Science teacher professional development in climate change education informed by the Next Generation Science Standards. </w:t>
      </w:r>
      <w:r>
        <w:rPr>
          <w:i/>
          <w:iCs/>
        </w:rPr>
        <w:t>Journal of Geoscience Education</w:t>
      </w:r>
      <w:r>
        <w:t xml:space="preserve">, </w:t>
      </w:r>
      <w:r>
        <w:rPr>
          <w:i/>
          <w:iCs/>
        </w:rPr>
        <w:t>62</w:t>
      </w:r>
      <w:r>
        <w:t xml:space="preserve">(3), 319–329. </w:t>
      </w:r>
      <w:hyperlink r:id="rId186">
        <w:r>
          <w:rPr>
            <w:rStyle w:val="Hyperlink"/>
          </w:rPr>
          <w:t>https://doi.org/10.5408/13-049.1</w:t>
        </w:r>
      </w:hyperlink>
    </w:p>
    <w:p w14:paraId="012B7DB8" w14:textId="77777777" w:rsidR="0033629A" w:rsidRDefault="004409CB" w:rsidP="009E3272">
      <w:pPr>
        <w:pStyle w:val="Bibliography"/>
        <w:ind w:left="720" w:hanging="810"/>
      </w:pPr>
      <w:bookmarkStart w:id="246" w:name="ref-heymans2019"/>
      <w:bookmarkEnd w:id="245"/>
      <w:r>
        <w:t xml:space="preserve">Heymans, M. W., &amp; Eekhout, I. (2019). </w:t>
      </w:r>
      <w:r>
        <w:rPr>
          <w:i/>
          <w:iCs/>
        </w:rPr>
        <w:t>Applied missing data analysis with SPSS and RStudio</w:t>
      </w:r>
      <w:r>
        <w:t>.</w:t>
      </w:r>
    </w:p>
    <w:p w14:paraId="7C82A8A6" w14:textId="77777777" w:rsidR="0033629A" w:rsidRDefault="004409CB" w:rsidP="009E3272">
      <w:pPr>
        <w:pStyle w:val="Bibliography"/>
        <w:ind w:left="720" w:hanging="810"/>
      </w:pPr>
      <w:bookmarkStart w:id="247" w:name="ref-hoffman2015"/>
      <w:bookmarkEnd w:id="246"/>
      <w:r>
        <w:t xml:space="preserve">Hoffman, L. (2015). </w:t>
      </w:r>
      <w:r>
        <w:rPr>
          <w:i/>
          <w:iCs/>
        </w:rPr>
        <w:t>Longitudinal analysis: Modeling within-person fluctuation and change</w:t>
      </w:r>
      <w:r>
        <w:t>.</w:t>
      </w:r>
    </w:p>
    <w:p w14:paraId="3B8CD9F9" w14:textId="77777777" w:rsidR="0033629A" w:rsidRDefault="004409CB" w:rsidP="009E3272">
      <w:pPr>
        <w:pStyle w:val="Bibliography"/>
        <w:ind w:left="720" w:hanging="810"/>
      </w:pPr>
      <w:bookmarkStart w:id="248" w:name="ref-hofstede2015"/>
      <w:bookmarkEnd w:id="247"/>
      <w:r>
        <w:lastRenderedPageBreak/>
        <w:t xml:space="preserve">Hofstede, G. J. (2015). Dimension data matrix. In </w:t>
      </w:r>
      <w:r>
        <w:rPr>
          <w:i/>
          <w:iCs/>
        </w:rPr>
        <w:t>Geert Hofstede</w:t>
      </w:r>
      <w:r>
        <w:t>. https://geerthofstede.com/research-and-vsm/dimension-data-matrix/.</w:t>
      </w:r>
    </w:p>
    <w:p w14:paraId="2592F99A" w14:textId="77777777" w:rsidR="0033629A" w:rsidRDefault="004409CB" w:rsidP="009E3272">
      <w:pPr>
        <w:pStyle w:val="Bibliography"/>
        <w:ind w:left="720" w:hanging="810"/>
      </w:pPr>
      <w:bookmarkStart w:id="249" w:name="ref-hornsey2016"/>
      <w:bookmarkEnd w:id="248"/>
      <w:r>
        <w:t xml:space="preserve">Hornsey, M. J., Harris, E. A., Bain, P. G., &amp; Fielding, K. S. (2016). Meta-analyses of the determinants and outcomes of belief in climate change. </w:t>
      </w:r>
      <w:r>
        <w:rPr>
          <w:i/>
          <w:iCs/>
        </w:rPr>
        <w:t>Nature Climate Change</w:t>
      </w:r>
      <w:r>
        <w:t xml:space="preserve">, </w:t>
      </w:r>
      <w:r>
        <w:rPr>
          <w:i/>
          <w:iCs/>
        </w:rPr>
        <w:t>6</w:t>
      </w:r>
      <w:r>
        <w:t xml:space="preserve">(6), 622–626. </w:t>
      </w:r>
      <w:hyperlink r:id="rId187">
        <w:r>
          <w:rPr>
            <w:rStyle w:val="Hyperlink"/>
          </w:rPr>
          <w:t>https://doi.org/10.1038/nclimate2943</w:t>
        </w:r>
      </w:hyperlink>
    </w:p>
    <w:p w14:paraId="127E621D" w14:textId="77777777" w:rsidR="0033629A" w:rsidRDefault="004409CB" w:rsidP="009E3272">
      <w:pPr>
        <w:pStyle w:val="Bibliography"/>
        <w:ind w:left="720" w:hanging="810"/>
      </w:pPr>
      <w:bookmarkStart w:id="250" w:name="ref-hornsey2018"/>
      <w:bookmarkEnd w:id="249"/>
      <w:r>
        <w:t xml:space="preserve">Hornsey, M. J., Harris, E. A., &amp; Fielding, K. S. (2018). Relationships among conspiratorial beliefs, </w:t>
      </w:r>
      <w:proofErr w:type="gramStart"/>
      <w:r>
        <w:t>conservatism</w:t>
      </w:r>
      <w:proofErr w:type="gramEnd"/>
      <w:r>
        <w:t xml:space="preserve"> and climate scepticism across nations. </w:t>
      </w:r>
      <w:r>
        <w:rPr>
          <w:i/>
          <w:iCs/>
        </w:rPr>
        <w:t>Nature Climate Change</w:t>
      </w:r>
      <w:r>
        <w:t xml:space="preserve">, </w:t>
      </w:r>
      <w:r>
        <w:rPr>
          <w:i/>
          <w:iCs/>
        </w:rPr>
        <w:t>8</w:t>
      </w:r>
      <w:r>
        <w:t xml:space="preserve">(7), 614–620. </w:t>
      </w:r>
      <w:hyperlink r:id="rId188">
        <w:r>
          <w:rPr>
            <w:rStyle w:val="Hyperlink"/>
          </w:rPr>
          <w:t>https://doi.org/10.1038/s41558-018-0157-2</w:t>
        </w:r>
      </w:hyperlink>
    </w:p>
    <w:p w14:paraId="1586ABDC" w14:textId="77777777" w:rsidR="0033629A" w:rsidRDefault="004409CB" w:rsidP="009E3272">
      <w:pPr>
        <w:pStyle w:val="Bibliography"/>
        <w:ind w:left="720" w:hanging="810"/>
      </w:pPr>
      <w:bookmarkStart w:id="251" w:name="ref-howe2015"/>
      <w:bookmarkEnd w:id="250"/>
      <w:r>
        <w:t xml:space="preserve">Howe, P. D., Mildenberger, M., Marlon, J. R., &amp; Leiserowitz, A. (2015). Geographic variation in opinions on climate change at state and local scales in the USA. </w:t>
      </w:r>
      <w:r>
        <w:rPr>
          <w:i/>
          <w:iCs/>
        </w:rPr>
        <w:t>Nature Climate Change</w:t>
      </w:r>
      <w:r>
        <w:t xml:space="preserve">, </w:t>
      </w:r>
      <w:r>
        <w:rPr>
          <w:i/>
          <w:iCs/>
        </w:rPr>
        <w:t>5</w:t>
      </w:r>
      <w:r>
        <w:t xml:space="preserve">(6), 596–603. </w:t>
      </w:r>
      <w:hyperlink r:id="rId189">
        <w:r>
          <w:rPr>
            <w:rStyle w:val="Hyperlink"/>
          </w:rPr>
          <w:t>https://doi.org/10.1038/nclimate2583</w:t>
        </w:r>
      </w:hyperlink>
    </w:p>
    <w:p w14:paraId="6A7BC8AC" w14:textId="77777777" w:rsidR="0033629A" w:rsidRDefault="004409CB" w:rsidP="009E3272">
      <w:pPr>
        <w:pStyle w:val="Bibliography"/>
        <w:ind w:left="720" w:hanging="810"/>
      </w:pPr>
      <w:bookmarkStart w:id="252" w:name="ref-hox2018"/>
      <w:bookmarkEnd w:id="251"/>
      <w:r>
        <w:t xml:space="preserve">Hox, J. J., Moerbeek, M., &amp; van de Schoot, R. (2018). </w:t>
      </w:r>
      <w:r>
        <w:rPr>
          <w:i/>
          <w:iCs/>
        </w:rPr>
        <w:t>Multilevel analysis: Techniques and applications</w:t>
      </w:r>
      <w:r>
        <w:t>. Routledge.</w:t>
      </w:r>
    </w:p>
    <w:p w14:paraId="29CE5FB4" w14:textId="77777777" w:rsidR="0033629A" w:rsidRDefault="004409CB" w:rsidP="009E3272">
      <w:pPr>
        <w:pStyle w:val="Bibliography"/>
        <w:ind w:left="720" w:hanging="810"/>
      </w:pPr>
      <w:bookmarkStart w:id="253" w:name="ref-hultman2021"/>
      <w:bookmarkEnd w:id="252"/>
      <w:r>
        <w:t xml:space="preserve">Hultman, N., &amp; Gross, S. (2021, March 1). </w:t>
      </w:r>
      <w:r>
        <w:rPr>
          <w:i/>
          <w:iCs/>
        </w:rPr>
        <w:t>How the United States can return to credible climate leadership</w:t>
      </w:r>
      <w:r>
        <w:t>. Brookings.</w:t>
      </w:r>
    </w:p>
    <w:p w14:paraId="6D3A4179" w14:textId="77777777" w:rsidR="0033629A" w:rsidRDefault="004409CB" w:rsidP="009E3272">
      <w:pPr>
        <w:pStyle w:val="Bibliography"/>
        <w:ind w:left="720" w:hanging="810"/>
      </w:pPr>
      <w:bookmarkStart w:id="254" w:name="ref-huque2018"/>
      <w:bookmarkEnd w:id="253"/>
      <w:r>
        <w:t xml:space="preserve">Huque, M. H., Carlin, J. B., Simpson, J. A., &amp; Lee, K. J. (2018). A comparison of multiple imputation methods for missing data in longitudinal studies. </w:t>
      </w:r>
      <w:r>
        <w:rPr>
          <w:i/>
          <w:iCs/>
        </w:rPr>
        <w:t>BMC Medical Research Methodology</w:t>
      </w:r>
      <w:r>
        <w:t xml:space="preserve">, </w:t>
      </w:r>
      <w:r>
        <w:rPr>
          <w:i/>
          <w:iCs/>
        </w:rPr>
        <w:t>18</w:t>
      </w:r>
      <w:r>
        <w:t xml:space="preserve">(1), 168. </w:t>
      </w:r>
      <w:hyperlink r:id="rId190">
        <w:r>
          <w:rPr>
            <w:rStyle w:val="Hyperlink"/>
          </w:rPr>
          <w:t>https://doi.org/10.1186/s12874-018-0615-6</w:t>
        </w:r>
      </w:hyperlink>
    </w:p>
    <w:p w14:paraId="6EEEAAED" w14:textId="77777777" w:rsidR="0033629A" w:rsidRDefault="004409CB" w:rsidP="009E3272">
      <w:pPr>
        <w:pStyle w:val="Bibliography"/>
        <w:ind w:left="720" w:hanging="810"/>
      </w:pPr>
      <w:bookmarkStart w:id="255" w:name="ref-inglehart1995"/>
      <w:bookmarkEnd w:id="254"/>
      <w:r>
        <w:t xml:space="preserve">Inglehart, R. (1995). Public support for environmental protection: Objective problems and subjective values in 43 societies. </w:t>
      </w:r>
      <w:r>
        <w:rPr>
          <w:i/>
          <w:iCs/>
        </w:rPr>
        <w:t>PS: Political Science and Politics</w:t>
      </w:r>
      <w:r>
        <w:t xml:space="preserve">, </w:t>
      </w:r>
      <w:r>
        <w:rPr>
          <w:i/>
          <w:iCs/>
        </w:rPr>
        <w:t>28</w:t>
      </w:r>
      <w:r>
        <w:t xml:space="preserve">(1), 57–72. </w:t>
      </w:r>
      <w:hyperlink r:id="rId191">
        <w:r>
          <w:rPr>
            <w:rStyle w:val="Hyperlink"/>
          </w:rPr>
          <w:t>https://doi.org/10.2307/420583</w:t>
        </w:r>
      </w:hyperlink>
    </w:p>
    <w:p w14:paraId="55203C8F" w14:textId="77777777" w:rsidR="0033629A" w:rsidRDefault="004409CB" w:rsidP="009E3272">
      <w:pPr>
        <w:pStyle w:val="Bibliography"/>
        <w:ind w:left="720" w:hanging="810"/>
      </w:pPr>
      <w:bookmarkStart w:id="256" w:name="ref-2021c"/>
      <w:bookmarkEnd w:id="255"/>
      <w:r>
        <w:lastRenderedPageBreak/>
        <w:t xml:space="preserve">Integrated Values Surveys (IVS) 1981-2021. (2021). In </w:t>
      </w:r>
      <w:r>
        <w:rPr>
          <w:i/>
          <w:iCs/>
        </w:rPr>
        <w:t>European Values Study</w:t>
      </w:r>
      <w:r>
        <w:t>. https://europeanvaluesstudy.eu/methodology-data-documentation/integrated-values-surveys-ivs-1981-2021/.</w:t>
      </w:r>
    </w:p>
    <w:p w14:paraId="50C01A88" w14:textId="77777777" w:rsidR="0033629A" w:rsidRDefault="004409CB" w:rsidP="009E3272">
      <w:pPr>
        <w:pStyle w:val="Bibliography"/>
        <w:ind w:left="720" w:hanging="810"/>
      </w:pPr>
      <w:bookmarkStart w:id="257" w:name="ref-ipcc2014"/>
      <w:bookmarkEnd w:id="256"/>
      <w:r>
        <w:t xml:space="preserve">IPCC. (2014). </w:t>
      </w:r>
      <w:r>
        <w:rPr>
          <w:i/>
          <w:iCs/>
        </w:rPr>
        <w:t>Climate change 2014: Synthesis report. Contribution of working groups I, II and III to the fifth assessment report of the Intergovernmental Panel on Climate Change</w:t>
      </w:r>
      <w:r>
        <w:t>.</w:t>
      </w:r>
    </w:p>
    <w:p w14:paraId="74C6B26A" w14:textId="77777777" w:rsidR="0033629A" w:rsidRDefault="004409CB" w:rsidP="009E3272">
      <w:pPr>
        <w:pStyle w:val="Bibliography"/>
        <w:ind w:left="720" w:hanging="810"/>
      </w:pPr>
      <w:bookmarkStart w:id="258" w:name="ref-ipcc2018a"/>
      <w:bookmarkEnd w:id="257"/>
      <w:r>
        <w:t xml:space="preserve">IPCC. (2018). </w:t>
      </w:r>
      <w:r>
        <w:rPr>
          <w:i/>
          <w:iCs/>
        </w:rPr>
        <w:t>Global warming of 1.5: An IPCC Special Report on the impacts of global warming of 1.5 above pre-industrial levels and related global greenhouse gas emission pathways, in the context of strengthening the global response to the threat of climate change, sustainable development, and efforts to eradicate poverty</w:t>
      </w:r>
      <w:r>
        <w:t>.</w:t>
      </w:r>
    </w:p>
    <w:p w14:paraId="05B772A4" w14:textId="77777777" w:rsidR="0033629A" w:rsidRDefault="004409CB" w:rsidP="009E3272">
      <w:pPr>
        <w:pStyle w:val="Bibliography"/>
        <w:ind w:left="720" w:hanging="810"/>
      </w:pPr>
      <w:bookmarkStart w:id="259" w:name="ref-isenhour2010"/>
      <w:bookmarkEnd w:id="258"/>
      <w:r>
        <w:t xml:space="preserve">Isenhour, C. (2010). On conflicted Swedish consumers, the effort to stop shopping and neoliberal environmental governance. </w:t>
      </w:r>
      <w:r>
        <w:rPr>
          <w:i/>
          <w:iCs/>
        </w:rPr>
        <w:t>Journal of Consumer Behaviour</w:t>
      </w:r>
      <w:r>
        <w:t xml:space="preserve">, </w:t>
      </w:r>
      <w:r>
        <w:rPr>
          <w:i/>
          <w:iCs/>
        </w:rPr>
        <w:t>9</w:t>
      </w:r>
      <w:r>
        <w:t xml:space="preserve">(6), 454–469. </w:t>
      </w:r>
      <w:hyperlink r:id="rId192">
        <w:r>
          <w:rPr>
            <w:rStyle w:val="Hyperlink"/>
          </w:rPr>
          <w:t>https://doi.org/10.1002/cb.336</w:t>
        </w:r>
      </w:hyperlink>
    </w:p>
    <w:p w14:paraId="69B5A0DE" w14:textId="77777777" w:rsidR="0033629A" w:rsidRDefault="004409CB" w:rsidP="009E3272">
      <w:pPr>
        <w:pStyle w:val="Bibliography"/>
        <w:ind w:left="720" w:hanging="810"/>
      </w:pPr>
      <w:bookmarkStart w:id="260" w:name="ref-jachimowicz2018"/>
      <w:bookmarkEnd w:id="259"/>
      <w:r>
        <w:t xml:space="preserve">Jachimowicz, J. M., Hauser, O. P., O’Brien, J. D., Sherman, E., &amp; Galinsky, A. D. (2018). The critical role of second-order normative beliefs in predicting energy conservation. </w:t>
      </w:r>
      <w:r>
        <w:rPr>
          <w:i/>
          <w:iCs/>
        </w:rPr>
        <w:t>Nature Human Behaviour</w:t>
      </w:r>
      <w:r>
        <w:t xml:space="preserve">, </w:t>
      </w:r>
      <w:r>
        <w:rPr>
          <w:i/>
          <w:iCs/>
        </w:rPr>
        <w:t>2</w:t>
      </w:r>
      <w:r>
        <w:t xml:space="preserve">(10), 757–764. </w:t>
      </w:r>
      <w:hyperlink r:id="rId193">
        <w:r>
          <w:rPr>
            <w:rStyle w:val="Hyperlink"/>
          </w:rPr>
          <w:t>https://doi.org/10.1038/s41562-018-0434-0</w:t>
        </w:r>
      </w:hyperlink>
    </w:p>
    <w:p w14:paraId="77E953B0" w14:textId="77777777" w:rsidR="0033629A" w:rsidRDefault="004409CB" w:rsidP="009E3272">
      <w:pPr>
        <w:pStyle w:val="Bibliography"/>
        <w:ind w:left="720" w:hanging="810"/>
      </w:pPr>
      <w:bookmarkStart w:id="261" w:name="ref-jacobson2017"/>
      <w:bookmarkEnd w:id="260"/>
      <w:r>
        <w:t xml:space="preserve">Jacobson, M. Z., Delucchi, M. A., Bauer, Z. A. F., Goodman, S. C., Chapman, W. E., Cameron, M. A., Bozonnat, C., Chobadi, L., Clonts, H. A., Enevoldsen, P., Erwin, J. R., Fobi, S. N., Goldstrom, O. K., Hennessy, E. M., Liu, J., Lo, J., Meyer, C. B., Morris, S. B., Moy, K. R., … Yachanin, A. S. (2017). 100% clean and renewable wind, water, and sunlight all-sector energy roadmaps for 139 countries of the world. </w:t>
      </w:r>
      <w:r>
        <w:rPr>
          <w:i/>
          <w:iCs/>
        </w:rPr>
        <w:t>Joule</w:t>
      </w:r>
      <w:r>
        <w:t xml:space="preserve">, </w:t>
      </w:r>
      <w:r>
        <w:rPr>
          <w:i/>
          <w:iCs/>
        </w:rPr>
        <w:t>1</w:t>
      </w:r>
      <w:r>
        <w:t xml:space="preserve">(1), 108–121. </w:t>
      </w:r>
      <w:hyperlink r:id="rId194">
        <w:r>
          <w:rPr>
            <w:rStyle w:val="Hyperlink"/>
          </w:rPr>
          <w:t>https://doi.org/10.1016/j.joule.2017.07.005</w:t>
        </w:r>
      </w:hyperlink>
    </w:p>
    <w:p w14:paraId="4D3C8E7B" w14:textId="77777777" w:rsidR="0033629A" w:rsidRDefault="004409CB" w:rsidP="009E3272">
      <w:pPr>
        <w:pStyle w:val="Bibliography"/>
        <w:ind w:left="720" w:hanging="810"/>
      </w:pPr>
      <w:bookmarkStart w:id="262" w:name="ref-jacobson2015"/>
      <w:bookmarkEnd w:id="261"/>
      <w:r>
        <w:lastRenderedPageBreak/>
        <w:t xml:space="preserve">Jacobson, M. Z., Delucchi, M. A., Bazouin, G., Bauer, Z. A. F., Heavey, C. C., Fisher, E., Morris, S. B., Piekutowski, D. J. Y., Vencill, T. A., &amp; Yeskoo, T. W. (2015). 100% clean and renewable wind, water, and sunlight (wws) all-sector energy roadmaps for the 50 united states. </w:t>
      </w:r>
      <w:r>
        <w:rPr>
          <w:i/>
          <w:iCs/>
        </w:rPr>
        <w:t>Energy &amp; Environmental Science</w:t>
      </w:r>
      <w:r>
        <w:t xml:space="preserve">, </w:t>
      </w:r>
      <w:r>
        <w:rPr>
          <w:i/>
          <w:iCs/>
        </w:rPr>
        <w:t>8</w:t>
      </w:r>
      <w:r>
        <w:t xml:space="preserve">(7), 2093–2117. </w:t>
      </w:r>
      <w:hyperlink r:id="rId195">
        <w:r>
          <w:rPr>
            <w:rStyle w:val="Hyperlink"/>
          </w:rPr>
          <w:t>https://doi.org/10.1039/C5EE01283J</w:t>
        </w:r>
      </w:hyperlink>
    </w:p>
    <w:p w14:paraId="2732F527" w14:textId="6AFF0087" w:rsidR="0033629A" w:rsidRDefault="004409CB" w:rsidP="009E3272">
      <w:pPr>
        <w:pStyle w:val="Bibliography"/>
        <w:ind w:left="720" w:hanging="810"/>
        <w:rPr>
          <w:rStyle w:val="Hyperlink"/>
        </w:rPr>
      </w:pPr>
      <w:bookmarkStart w:id="263" w:name="ref-jerrim2017"/>
      <w:bookmarkEnd w:id="262"/>
      <w:r>
        <w:t xml:space="preserve">Jerrim, J., Lopez-Agudo, L. A., Marcenaro-Gutierrez, O. D., &amp; Shure, N. (2017). What happens when econometrics and psychometrics collide? An example using the PISA data. </w:t>
      </w:r>
      <w:r>
        <w:rPr>
          <w:i/>
          <w:iCs/>
        </w:rPr>
        <w:t>Economics of Education Review</w:t>
      </w:r>
      <w:r>
        <w:t xml:space="preserve">, </w:t>
      </w:r>
      <w:r>
        <w:rPr>
          <w:i/>
          <w:iCs/>
        </w:rPr>
        <w:t>61</w:t>
      </w:r>
      <w:r>
        <w:t xml:space="preserve">, 51–58. </w:t>
      </w:r>
      <w:hyperlink r:id="rId196">
        <w:r>
          <w:rPr>
            <w:rStyle w:val="Hyperlink"/>
          </w:rPr>
          <w:t>https://doi.org/10.1016/j.econedurev.2017.09.007</w:t>
        </w:r>
      </w:hyperlink>
    </w:p>
    <w:p w14:paraId="0B58B30E" w14:textId="77777777" w:rsidR="0066637F" w:rsidRPr="0066637F" w:rsidRDefault="00AB0014" w:rsidP="009E3272">
      <w:pPr>
        <w:pStyle w:val="Bibliography"/>
        <w:ind w:left="720" w:hanging="810"/>
        <w:rPr>
          <w:rStyle w:val="Hyperlink"/>
          <w:color w:val="auto"/>
          <w:u w:val="none"/>
        </w:rPr>
      </w:pPr>
      <w:bookmarkStart w:id="264" w:name="ref-jorgenson2014"/>
      <w:bookmarkEnd w:id="263"/>
      <w:r w:rsidRPr="0066637F">
        <w:rPr>
          <w:rStyle w:val="Hyperlink"/>
          <w:color w:val="auto"/>
          <w:u w:val="none"/>
        </w:rPr>
        <w:t>Jerrim, J., Parker, P., Choi, A., Chmielewski, A. K., Sälzer, C., &amp; Shure, N. (2018). How robust are cross‐country comparisons of PISA scores to the scaling model used?. Educational Measurement: Issues and Practice, 37(4), 28-39.</w:t>
      </w:r>
    </w:p>
    <w:p w14:paraId="68F3A54B" w14:textId="4144E6D8" w:rsidR="0033629A" w:rsidRDefault="004409CB" w:rsidP="009E3272">
      <w:pPr>
        <w:pStyle w:val="Bibliography"/>
        <w:ind w:left="720" w:hanging="810"/>
      </w:pPr>
      <w:r>
        <w:t xml:space="preserve">Jorgenson, A. K. (2014). Economic development and the carbon intensity of human well-being. </w:t>
      </w:r>
      <w:r>
        <w:rPr>
          <w:i/>
          <w:iCs/>
        </w:rPr>
        <w:t>Nature Climate Change</w:t>
      </w:r>
      <w:r>
        <w:t xml:space="preserve">, </w:t>
      </w:r>
      <w:r>
        <w:rPr>
          <w:i/>
          <w:iCs/>
        </w:rPr>
        <w:t>4</w:t>
      </w:r>
      <w:r>
        <w:t xml:space="preserve">(3), 186–189. </w:t>
      </w:r>
      <w:hyperlink r:id="rId197">
        <w:r>
          <w:rPr>
            <w:rStyle w:val="Hyperlink"/>
          </w:rPr>
          <w:t>https://doi.org/10.1038/nclimate2110</w:t>
        </w:r>
      </w:hyperlink>
    </w:p>
    <w:p w14:paraId="66191D10" w14:textId="77777777" w:rsidR="0033629A" w:rsidRDefault="004409CB" w:rsidP="009E3272">
      <w:pPr>
        <w:pStyle w:val="Bibliography"/>
        <w:ind w:left="720" w:hanging="810"/>
      </w:pPr>
      <w:bookmarkStart w:id="265" w:name="ref-jorgenson2003"/>
      <w:bookmarkEnd w:id="264"/>
      <w:r>
        <w:t xml:space="preserve">Jorgenson, A. K. (2003). Consumption and environmental degradation: A cross-national analysis of the ecological footprint. </w:t>
      </w:r>
      <w:r>
        <w:rPr>
          <w:i/>
          <w:iCs/>
        </w:rPr>
        <w:t>Social Problems</w:t>
      </w:r>
      <w:r>
        <w:t xml:space="preserve">, </w:t>
      </w:r>
      <w:r>
        <w:rPr>
          <w:i/>
          <w:iCs/>
        </w:rPr>
        <w:t>50</w:t>
      </w:r>
      <w:r>
        <w:t xml:space="preserve">(3), 374–394. </w:t>
      </w:r>
      <w:hyperlink r:id="rId198">
        <w:r>
          <w:rPr>
            <w:rStyle w:val="Hyperlink"/>
          </w:rPr>
          <w:t>https://doi.org/10.1525/sp.2003.50.3.374</w:t>
        </w:r>
      </w:hyperlink>
    </w:p>
    <w:p w14:paraId="6C7CE173" w14:textId="77777777" w:rsidR="0033629A" w:rsidRDefault="004409CB" w:rsidP="009E3272">
      <w:pPr>
        <w:pStyle w:val="Bibliography"/>
        <w:ind w:left="720" w:hanging="810"/>
      </w:pPr>
      <w:bookmarkStart w:id="266" w:name="ref-jorgenson2005"/>
      <w:bookmarkEnd w:id="265"/>
      <w:r>
        <w:t xml:space="preserve">Jorgenson, A. K. (2005). Unpacking international power and the ecological footprints of nations: A quantitative cross-national study. </w:t>
      </w:r>
      <w:r>
        <w:rPr>
          <w:i/>
          <w:iCs/>
        </w:rPr>
        <w:t>Sociological Perspectives</w:t>
      </w:r>
      <w:r>
        <w:t xml:space="preserve">, </w:t>
      </w:r>
      <w:r>
        <w:rPr>
          <w:i/>
          <w:iCs/>
        </w:rPr>
        <w:t>48</w:t>
      </w:r>
      <w:r>
        <w:t xml:space="preserve">(3), 383–402. </w:t>
      </w:r>
      <w:hyperlink r:id="rId199">
        <w:r>
          <w:rPr>
            <w:rStyle w:val="Hyperlink"/>
          </w:rPr>
          <w:t>https://doi.org/10.1525/sop.2005.48.3.383</w:t>
        </w:r>
      </w:hyperlink>
    </w:p>
    <w:p w14:paraId="0DE1F589" w14:textId="77777777" w:rsidR="0033629A" w:rsidRDefault="004409CB" w:rsidP="009E3272">
      <w:pPr>
        <w:pStyle w:val="Bibliography"/>
        <w:ind w:left="720" w:hanging="810"/>
      </w:pPr>
      <w:bookmarkStart w:id="267" w:name="ref-jorgenson2015"/>
      <w:bookmarkEnd w:id="266"/>
      <w:r>
        <w:t xml:space="preserve">Jorgenson, A. K. (2015). Inequality and the carbon intensity of human well-being. </w:t>
      </w:r>
      <w:r>
        <w:rPr>
          <w:i/>
          <w:iCs/>
        </w:rPr>
        <w:t>Journal of Environmental Studies and Sciences</w:t>
      </w:r>
      <w:r>
        <w:t xml:space="preserve">, </w:t>
      </w:r>
      <w:r>
        <w:rPr>
          <w:i/>
          <w:iCs/>
        </w:rPr>
        <w:t>5</w:t>
      </w:r>
      <w:r>
        <w:t xml:space="preserve">(3), 277–282. </w:t>
      </w:r>
      <w:hyperlink r:id="rId200">
        <w:r>
          <w:rPr>
            <w:rStyle w:val="Hyperlink"/>
          </w:rPr>
          <w:t>https://doi.org/10.1007/s13412-015-0234-z</w:t>
        </w:r>
      </w:hyperlink>
    </w:p>
    <w:p w14:paraId="30954CE1" w14:textId="77777777" w:rsidR="0033629A" w:rsidRDefault="004409CB" w:rsidP="009E3272">
      <w:pPr>
        <w:pStyle w:val="Bibliography"/>
        <w:ind w:left="720" w:hanging="810"/>
      </w:pPr>
      <w:bookmarkStart w:id="268" w:name="ref-jorgenson2010"/>
      <w:bookmarkEnd w:id="267"/>
      <w:r>
        <w:lastRenderedPageBreak/>
        <w:t xml:space="preserve">Jorgenson, A. K., &amp; Birkholz, R. (2010). Assessing the causes of anthropogenic methane emissions in comparative perspective, 1990. </w:t>
      </w:r>
      <w:r>
        <w:rPr>
          <w:i/>
          <w:iCs/>
        </w:rPr>
        <w:t>Ecological Economics</w:t>
      </w:r>
      <w:r>
        <w:t xml:space="preserve">, </w:t>
      </w:r>
      <w:r>
        <w:rPr>
          <w:i/>
          <w:iCs/>
        </w:rPr>
        <w:t>69</w:t>
      </w:r>
      <w:r>
        <w:t xml:space="preserve">(12), 2634–2643. </w:t>
      </w:r>
      <w:hyperlink r:id="rId201">
        <w:r>
          <w:rPr>
            <w:rStyle w:val="Hyperlink"/>
          </w:rPr>
          <w:t>https://doi.org/10.1016/j.ecolecon.2010.08.008</w:t>
        </w:r>
      </w:hyperlink>
    </w:p>
    <w:p w14:paraId="6AB331D9" w14:textId="77777777" w:rsidR="0033629A" w:rsidRDefault="004409CB" w:rsidP="009E3272">
      <w:pPr>
        <w:pStyle w:val="Bibliography"/>
        <w:ind w:left="720" w:hanging="810"/>
      </w:pPr>
      <w:bookmarkStart w:id="269" w:name="ref-jorgenson2010a"/>
      <w:bookmarkEnd w:id="268"/>
      <w:r>
        <w:t xml:space="preserve">Jorgenson, A. K., &amp; Clark, B. (2010). Assessing the temporal stability of the Population/Environment relationship in comparative perspective: A cross-national panel study of carbon dioxide emissions, 1960. </w:t>
      </w:r>
      <w:r>
        <w:rPr>
          <w:i/>
          <w:iCs/>
        </w:rPr>
        <w:t>Population and Environment</w:t>
      </w:r>
      <w:r>
        <w:t xml:space="preserve">, </w:t>
      </w:r>
      <w:r>
        <w:rPr>
          <w:i/>
          <w:iCs/>
        </w:rPr>
        <w:t>32</w:t>
      </w:r>
      <w:r>
        <w:t xml:space="preserve">(1), 27–41. </w:t>
      </w:r>
      <w:hyperlink r:id="rId202">
        <w:r>
          <w:rPr>
            <w:rStyle w:val="Hyperlink"/>
          </w:rPr>
          <w:t>https://doi.org/10.1007/s11111-010-0117-x</w:t>
        </w:r>
      </w:hyperlink>
    </w:p>
    <w:p w14:paraId="778C3110" w14:textId="77777777" w:rsidR="0033629A" w:rsidRDefault="004409CB" w:rsidP="009E3272">
      <w:pPr>
        <w:pStyle w:val="Bibliography"/>
        <w:ind w:left="720" w:hanging="810"/>
      </w:pPr>
      <w:bookmarkStart w:id="270" w:name="ref-jorgenson2018"/>
      <w:bookmarkEnd w:id="269"/>
      <w:r>
        <w:t xml:space="preserve">Jorgenson, A. K., Dietz, T., &amp; Kelly, O. (2018). Inequality, poverty, and the carbon intensity of human well-being in the United States: A sex-specific analysis. </w:t>
      </w:r>
      <w:r>
        <w:rPr>
          <w:i/>
          <w:iCs/>
        </w:rPr>
        <w:t>Sustainability Science</w:t>
      </w:r>
      <w:r>
        <w:t xml:space="preserve">, </w:t>
      </w:r>
      <w:r>
        <w:rPr>
          <w:i/>
          <w:iCs/>
        </w:rPr>
        <w:t>13</w:t>
      </w:r>
      <w:r>
        <w:t xml:space="preserve">(4), 1167–1174. </w:t>
      </w:r>
      <w:hyperlink r:id="rId203">
        <w:r>
          <w:rPr>
            <w:rStyle w:val="Hyperlink"/>
          </w:rPr>
          <w:t>https://doi.org/10.1007/s11625-017-0517-2</w:t>
        </w:r>
      </w:hyperlink>
    </w:p>
    <w:p w14:paraId="58432DD8" w14:textId="77777777" w:rsidR="0033629A" w:rsidRDefault="004409CB" w:rsidP="009E3272">
      <w:pPr>
        <w:pStyle w:val="Bibliography"/>
        <w:ind w:left="720" w:hanging="810"/>
      </w:pPr>
      <w:bookmarkStart w:id="271" w:name="ref-jorgenson2013"/>
      <w:bookmarkEnd w:id="270"/>
      <w:r>
        <w:t xml:space="preserve">Jorgenson, A. K., &amp; Givens, J. E. (2013). The emergence of new world-systems perspectives on global environmental change. In S. Lockie (Ed.), </w:t>
      </w:r>
      <w:r>
        <w:rPr>
          <w:i/>
          <w:iCs/>
        </w:rPr>
        <w:t>Routledge international handbook of social and environmental change</w:t>
      </w:r>
      <w:r>
        <w:t xml:space="preserve"> (First, pp. 31–44). Routledge. </w:t>
      </w:r>
      <w:hyperlink r:id="rId204">
        <w:r>
          <w:rPr>
            <w:rStyle w:val="Hyperlink"/>
          </w:rPr>
          <w:t>https://doi.org/10.4324/9780203814550</w:t>
        </w:r>
      </w:hyperlink>
    </w:p>
    <w:p w14:paraId="24429B33" w14:textId="77777777" w:rsidR="0033629A" w:rsidRDefault="004409CB" w:rsidP="009E3272">
      <w:pPr>
        <w:pStyle w:val="Bibliography"/>
        <w:ind w:left="720" w:hanging="810"/>
      </w:pPr>
      <w:bookmarkStart w:id="272" w:name="ref-jorgenson2017"/>
      <w:bookmarkEnd w:id="271"/>
      <w:r>
        <w:t xml:space="preserve">Jorgenson, A. K., Schor, J., &amp; Huang, X. (2017). Income Inequality and Carbon Emissions in the United States: A State-Level Analysis, 1997. </w:t>
      </w:r>
      <w:r>
        <w:rPr>
          <w:i/>
          <w:iCs/>
        </w:rPr>
        <w:t>Ecological Economics</w:t>
      </w:r>
      <w:r>
        <w:t xml:space="preserve">, </w:t>
      </w:r>
      <w:r>
        <w:rPr>
          <w:i/>
          <w:iCs/>
        </w:rPr>
        <w:t>134</w:t>
      </w:r>
      <w:r>
        <w:t xml:space="preserve">, 40–48. </w:t>
      </w:r>
      <w:hyperlink r:id="rId205">
        <w:r>
          <w:rPr>
            <w:rStyle w:val="Hyperlink"/>
          </w:rPr>
          <w:t>https://doi.org/10.1016/j.ecolecon.2016.12.016</w:t>
        </w:r>
      </w:hyperlink>
    </w:p>
    <w:p w14:paraId="2A48C44D" w14:textId="77777777" w:rsidR="0033629A" w:rsidRDefault="004409CB" w:rsidP="009E3272">
      <w:pPr>
        <w:pStyle w:val="Bibliography"/>
        <w:ind w:left="720" w:hanging="810"/>
      </w:pPr>
      <w:bookmarkStart w:id="273" w:name="ref-kagawa2009"/>
      <w:bookmarkEnd w:id="272"/>
      <w:r>
        <w:t xml:space="preserve">Kagawa, F., &amp; Selby, D. (2009). Climate change education: A critical agenda for interesting times. In F. Kagawa &amp; D. Selby (Eds.), </w:t>
      </w:r>
      <w:r>
        <w:rPr>
          <w:i/>
          <w:iCs/>
        </w:rPr>
        <w:t>Education and climate change: Living and learning in interesting times</w:t>
      </w:r>
      <w:r>
        <w:t xml:space="preserve"> (pp. 241–243).</w:t>
      </w:r>
    </w:p>
    <w:p w14:paraId="449F9078" w14:textId="77777777" w:rsidR="0033629A" w:rsidRDefault="004409CB" w:rsidP="009E3272">
      <w:pPr>
        <w:pStyle w:val="Bibliography"/>
        <w:ind w:left="720" w:hanging="810"/>
      </w:pPr>
      <w:bookmarkStart w:id="274" w:name="ref-kagawa2010a"/>
      <w:bookmarkEnd w:id="273"/>
      <w:r>
        <w:t xml:space="preserve">Kagawa, F., &amp; Selby, D. (Eds.). (2010). </w:t>
      </w:r>
      <w:r>
        <w:rPr>
          <w:i/>
          <w:iCs/>
        </w:rPr>
        <w:t>Education and climate change: Living and learning in interesting times</w:t>
      </w:r>
      <w:r>
        <w:t>. Routledge.</w:t>
      </w:r>
    </w:p>
    <w:p w14:paraId="387624E9" w14:textId="4FCB2E39" w:rsidR="0033629A" w:rsidRDefault="004409CB" w:rsidP="009E3272">
      <w:pPr>
        <w:pStyle w:val="Bibliography"/>
        <w:ind w:left="720" w:hanging="810"/>
      </w:pPr>
      <w:bookmarkStart w:id="275" w:name="ref-kahan2013"/>
      <w:bookmarkEnd w:id="274"/>
      <w:r>
        <w:lastRenderedPageBreak/>
        <w:t>Kahan, D</w:t>
      </w:r>
      <w:r w:rsidR="009B28B7">
        <w:t>. M</w:t>
      </w:r>
      <w:r>
        <w:t xml:space="preserve">. (2013). Ideology, motivated reasoning, and cognitive reflection. </w:t>
      </w:r>
      <w:r>
        <w:rPr>
          <w:i/>
          <w:iCs/>
        </w:rPr>
        <w:t>Judgment and Decision Making</w:t>
      </w:r>
      <w:r>
        <w:t xml:space="preserve">, </w:t>
      </w:r>
      <w:r>
        <w:rPr>
          <w:i/>
          <w:iCs/>
        </w:rPr>
        <w:t>8</w:t>
      </w:r>
      <w:r>
        <w:t>(4), 18.</w:t>
      </w:r>
    </w:p>
    <w:p w14:paraId="2772C5E7" w14:textId="513551D4" w:rsidR="0033629A" w:rsidRDefault="004409CB" w:rsidP="009E3272">
      <w:pPr>
        <w:pStyle w:val="Bibliography"/>
        <w:ind w:left="720" w:hanging="810"/>
      </w:pPr>
      <w:bookmarkStart w:id="276" w:name="ref-kahan2012"/>
      <w:bookmarkEnd w:id="275"/>
      <w:r>
        <w:t xml:space="preserve">Kahan, </w:t>
      </w:r>
      <w:r w:rsidR="009B28B7">
        <w:t xml:space="preserve">D. </w:t>
      </w:r>
      <w:r>
        <w:t xml:space="preserve">M., Peters, E., Wittlin, M., Slovic, P., Ouellette, L. L., Braman, D., &amp; Mandel, G. (2012). The polarizing impact of science literacy and numeracy on perceived climate change risks. </w:t>
      </w:r>
      <w:r>
        <w:rPr>
          <w:i/>
          <w:iCs/>
        </w:rPr>
        <w:t>Nature Climate Change</w:t>
      </w:r>
      <w:r>
        <w:t xml:space="preserve">, </w:t>
      </w:r>
      <w:r>
        <w:rPr>
          <w:i/>
          <w:iCs/>
        </w:rPr>
        <w:t>2</w:t>
      </w:r>
      <w:r>
        <w:t xml:space="preserve">(10), 732–735. </w:t>
      </w:r>
      <w:hyperlink r:id="rId206">
        <w:r>
          <w:rPr>
            <w:rStyle w:val="Hyperlink"/>
          </w:rPr>
          <w:t>https://doi.org/10.1038/nclimate1547</w:t>
        </w:r>
      </w:hyperlink>
    </w:p>
    <w:p w14:paraId="791EFECA" w14:textId="77777777" w:rsidR="0033629A" w:rsidRDefault="004409CB" w:rsidP="009E3272">
      <w:pPr>
        <w:pStyle w:val="Bibliography"/>
        <w:ind w:left="720" w:hanging="810"/>
      </w:pPr>
      <w:bookmarkStart w:id="277" w:name="ref-kallis2020"/>
      <w:bookmarkEnd w:id="276"/>
      <w:r>
        <w:t xml:space="preserve">Kallis, G. (2020). </w:t>
      </w:r>
      <w:r>
        <w:rPr>
          <w:i/>
          <w:iCs/>
        </w:rPr>
        <w:t>The case for degrowth</w:t>
      </w:r>
      <w:r>
        <w:t>. Polity Press.</w:t>
      </w:r>
    </w:p>
    <w:p w14:paraId="35217D5A" w14:textId="77777777" w:rsidR="0033629A" w:rsidRDefault="004409CB" w:rsidP="009E3272">
      <w:pPr>
        <w:pStyle w:val="Bibliography"/>
        <w:ind w:left="720" w:hanging="810"/>
      </w:pPr>
      <w:bookmarkStart w:id="278" w:name="ref-kaya2018"/>
      <w:bookmarkEnd w:id="277"/>
      <w:r>
        <w:t xml:space="preserve">Kaya, V. H., &amp; Elster, D. (2018). German students’ environmental literacy in science education based on PISA data. </w:t>
      </w:r>
      <w:r>
        <w:rPr>
          <w:i/>
          <w:iCs/>
        </w:rPr>
        <w:t>Science Education International</w:t>
      </w:r>
      <w:r>
        <w:t xml:space="preserve">, </w:t>
      </w:r>
      <w:r>
        <w:rPr>
          <w:i/>
          <w:iCs/>
        </w:rPr>
        <w:t>29</w:t>
      </w:r>
      <w:r>
        <w:t>(2).</w:t>
      </w:r>
    </w:p>
    <w:p w14:paraId="60D2A3CF" w14:textId="77777777" w:rsidR="0033629A" w:rsidRDefault="004409CB" w:rsidP="009E3272">
      <w:pPr>
        <w:pStyle w:val="Bibliography"/>
        <w:ind w:left="720" w:hanging="810"/>
      </w:pPr>
      <w:bookmarkStart w:id="279" w:name="ref-kelly2020"/>
      <w:bookmarkEnd w:id="278"/>
      <w:r>
        <w:t xml:space="preserve">Kelly, O. (2020). The silver </w:t>
      </w:r>
      <w:proofErr w:type="gramStart"/>
      <w:r>
        <w:t>bullet</w:t>
      </w:r>
      <w:proofErr w:type="gramEnd"/>
      <w:r>
        <w:t xml:space="preserve">? Assessing the role of education for sustainability. </w:t>
      </w:r>
      <w:r>
        <w:rPr>
          <w:i/>
          <w:iCs/>
        </w:rPr>
        <w:t>Social Forces</w:t>
      </w:r>
      <w:r>
        <w:t xml:space="preserve">, </w:t>
      </w:r>
      <w:r>
        <w:rPr>
          <w:i/>
          <w:iCs/>
        </w:rPr>
        <w:t>99</w:t>
      </w:r>
      <w:r>
        <w:t xml:space="preserve">(1), 178–204. </w:t>
      </w:r>
      <w:hyperlink r:id="rId207">
        <w:r>
          <w:rPr>
            <w:rStyle w:val="Hyperlink"/>
          </w:rPr>
          <w:t>https://doi.org/10.1093/sf/soz144</w:t>
        </w:r>
      </w:hyperlink>
    </w:p>
    <w:p w14:paraId="0BE32C4C" w14:textId="77777777" w:rsidR="0033629A" w:rsidRDefault="004409CB" w:rsidP="009E3272">
      <w:pPr>
        <w:pStyle w:val="Bibliography"/>
        <w:ind w:left="720" w:hanging="810"/>
      </w:pPr>
      <w:bookmarkStart w:id="280" w:name="ref-kelly2021"/>
      <w:bookmarkEnd w:id="279"/>
      <w:r>
        <w:t xml:space="preserve">Kelly, O., Thombs, R. P., &amp; Jorgenson, A. K. (2021). The unsustainable state: Greenhouse gas emissions, inequality, and human well-being in the United States, 1913 to 2017. </w:t>
      </w:r>
      <w:proofErr w:type="gramStart"/>
      <w:r>
        <w:rPr>
          <w:i/>
          <w:iCs/>
        </w:rPr>
        <w:t>Socius :</w:t>
      </w:r>
      <w:proofErr w:type="gramEnd"/>
      <w:r>
        <w:rPr>
          <w:i/>
          <w:iCs/>
        </w:rPr>
        <w:t xml:space="preserve"> Sociological Research for a Dynamic World</w:t>
      </w:r>
      <w:r>
        <w:t xml:space="preserve">, </w:t>
      </w:r>
      <w:r>
        <w:rPr>
          <w:i/>
          <w:iCs/>
        </w:rPr>
        <w:t>7</w:t>
      </w:r>
      <w:r>
        <w:t xml:space="preserve">, 23780231211020536. </w:t>
      </w:r>
      <w:hyperlink r:id="rId208">
        <w:r>
          <w:rPr>
            <w:rStyle w:val="Hyperlink"/>
          </w:rPr>
          <w:t>https://doi.org/10.1177/23780231211020536</w:t>
        </w:r>
      </w:hyperlink>
    </w:p>
    <w:p w14:paraId="252708E6" w14:textId="77777777" w:rsidR="0033629A" w:rsidRDefault="004409CB" w:rsidP="009E3272">
      <w:pPr>
        <w:pStyle w:val="Bibliography"/>
        <w:ind w:left="720" w:hanging="810"/>
      </w:pPr>
      <w:bookmarkStart w:id="281" w:name="ref-kinda2010"/>
      <w:bookmarkEnd w:id="280"/>
      <w:r>
        <w:t xml:space="preserve">Kinda, S. R. (2010). Does education really matter for environmental quality? </w:t>
      </w:r>
      <w:r>
        <w:rPr>
          <w:i/>
          <w:iCs/>
        </w:rPr>
        <w:t>Economics Bulletin</w:t>
      </w:r>
      <w:r>
        <w:t xml:space="preserve">, </w:t>
      </w:r>
      <w:r>
        <w:rPr>
          <w:i/>
          <w:iCs/>
        </w:rPr>
        <w:t>30</w:t>
      </w:r>
      <w:r>
        <w:t xml:space="preserve">(4), 1–15. </w:t>
      </w:r>
      <w:hyperlink r:id="rId209">
        <w:r>
          <w:rPr>
            <w:rStyle w:val="Hyperlink"/>
          </w:rPr>
          <w:t>https://doi.org/10.2139/ssrn.2714320</w:t>
        </w:r>
      </w:hyperlink>
    </w:p>
    <w:p w14:paraId="658D1640" w14:textId="77777777" w:rsidR="0033629A" w:rsidRDefault="004409CB" w:rsidP="009E3272">
      <w:pPr>
        <w:pStyle w:val="Bibliography"/>
        <w:ind w:left="720" w:hanging="810"/>
      </w:pPr>
      <w:bookmarkStart w:id="282" w:name="ref-kuznetsova2017"/>
      <w:bookmarkEnd w:id="281"/>
      <w:r>
        <w:t xml:space="preserve">Kuznetsova, A., Brockhoff, P. B., &amp; Christensen, R. H. B. (2017). lmerTest package: Tests in linear mixed effects models. </w:t>
      </w:r>
      <w:r>
        <w:rPr>
          <w:i/>
          <w:iCs/>
        </w:rPr>
        <w:t>Journal of Statistical Software</w:t>
      </w:r>
      <w:r>
        <w:t xml:space="preserve">, </w:t>
      </w:r>
      <w:r>
        <w:rPr>
          <w:i/>
          <w:iCs/>
        </w:rPr>
        <w:t>82</w:t>
      </w:r>
      <w:r>
        <w:t xml:space="preserve">, 1–26. </w:t>
      </w:r>
      <w:hyperlink r:id="rId210">
        <w:r>
          <w:rPr>
            <w:rStyle w:val="Hyperlink"/>
          </w:rPr>
          <w:t>https://doi.org/10.18637/jss.v082.i13</w:t>
        </w:r>
      </w:hyperlink>
    </w:p>
    <w:p w14:paraId="709B8604" w14:textId="77777777" w:rsidR="0033629A" w:rsidRDefault="004409CB" w:rsidP="009E3272">
      <w:pPr>
        <w:pStyle w:val="Bibliography"/>
        <w:ind w:left="720" w:hanging="810"/>
      </w:pPr>
      <w:bookmarkStart w:id="283" w:name="ref-lahuis2014"/>
      <w:bookmarkEnd w:id="282"/>
      <w:r>
        <w:t xml:space="preserve">LaHuis, D. M., Hartman, M. J., Hakoyama, S., &amp; Clark, P. C. (2014). Explained variance measures for multilevel models. </w:t>
      </w:r>
      <w:r>
        <w:rPr>
          <w:i/>
          <w:iCs/>
        </w:rPr>
        <w:t>Organizational Research Methods</w:t>
      </w:r>
      <w:r>
        <w:t xml:space="preserve">, </w:t>
      </w:r>
      <w:r>
        <w:rPr>
          <w:i/>
          <w:iCs/>
        </w:rPr>
        <w:t>17</w:t>
      </w:r>
      <w:r>
        <w:t xml:space="preserve">(4), 433–451. </w:t>
      </w:r>
      <w:hyperlink r:id="rId211">
        <w:r>
          <w:rPr>
            <w:rStyle w:val="Hyperlink"/>
          </w:rPr>
          <w:t>https://doi.org/10.1177/1094428114541701</w:t>
        </w:r>
      </w:hyperlink>
    </w:p>
    <w:p w14:paraId="19712F75" w14:textId="77777777" w:rsidR="0033629A" w:rsidRDefault="004409CB" w:rsidP="009E3272">
      <w:pPr>
        <w:pStyle w:val="Bibliography"/>
        <w:ind w:left="720" w:hanging="810"/>
      </w:pPr>
      <w:bookmarkStart w:id="284" w:name="ref-lam2021"/>
      <w:bookmarkEnd w:id="283"/>
      <w:r>
        <w:lastRenderedPageBreak/>
        <w:t xml:space="preserve">Lam, S. M., &amp; Zhou, Y. (2021). SES-achievement gaps in East Asia: Evidence from PISA 2003. </w:t>
      </w:r>
      <w:r>
        <w:rPr>
          <w:i/>
          <w:iCs/>
        </w:rPr>
        <w:t>The Asia-Pacific Education Researcher</w:t>
      </w:r>
      <w:r>
        <w:t xml:space="preserve">. </w:t>
      </w:r>
      <w:hyperlink r:id="rId212">
        <w:r>
          <w:rPr>
            <w:rStyle w:val="Hyperlink"/>
          </w:rPr>
          <w:t>https://doi.org/10.1007/s40299-021-00620-7</w:t>
        </w:r>
      </w:hyperlink>
    </w:p>
    <w:p w14:paraId="2636537A" w14:textId="77777777" w:rsidR="0033629A" w:rsidRDefault="004409CB" w:rsidP="009E3272">
      <w:pPr>
        <w:pStyle w:val="Bibliography"/>
        <w:ind w:left="720" w:hanging="810"/>
      </w:pPr>
      <w:bookmarkStart w:id="285" w:name="ref-lambeir2008"/>
      <w:bookmarkEnd w:id="284"/>
      <w:r>
        <w:t xml:space="preserve">Lambeir, B., &amp; Ramaekers, S. (2008). Humanizing education and the educationalization of health. </w:t>
      </w:r>
      <w:r>
        <w:rPr>
          <w:i/>
          <w:iCs/>
        </w:rPr>
        <w:t>Educational Theory</w:t>
      </w:r>
      <w:r>
        <w:t xml:space="preserve">, </w:t>
      </w:r>
      <w:r>
        <w:rPr>
          <w:i/>
          <w:iCs/>
        </w:rPr>
        <w:t>58</w:t>
      </w:r>
      <w:r>
        <w:t xml:space="preserve">(4), 435–446. </w:t>
      </w:r>
      <w:hyperlink r:id="rId213">
        <w:r>
          <w:rPr>
            <w:rStyle w:val="Hyperlink"/>
          </w:rPr>
          <w:t>https://doi.org/10.1111/j.1741-5446.2008.00298.x</w:t>
        </w:r>
      </w:hyperlink>
    </w:p>
    <w:p w14:paraId="0D2D3D19" w14:textId="77777777" w:rsidR="0033629A" w:rsidRDefault="004409CB" w:rsidP="009E3272">
      <w:pPr>
        <w:pStyle w:val="Bibliography"/>
        <w:ind w:left="720" w:hanging="810"/>
      </w:pPr>
      <w:bookmarkStart w:id="286" w:name="ref-lasala2000"/>
      <w:bookmarkEnd w:id="285"/>
      <w:r>
        <w:t xml:space="preserve">LaSala, M. C. (2000). Lesbians, Gay Men, and Their Parents: Family Therapy for the Coming-Out Crisis*. </w:t>
      </w:r>
      <w:r>
        <w:rPr>
          <w:i/>
          <w:iCs/>
        </w:rPr>
        <w:t>Family Process</w:t>
      </w:r>
      <w:r>
        <w:t xml:space="preserve">, </w:t>
      </w:r>
      <w:r>
        <w:rPr>
          <w:i/>
          <w:iCs/>
        </w:rPr>
        <w:t>39</w:t>
      </w:r>
      <w:r>
        <w:t xml:space="preserve">(1), 67–81. </w:t>
      </w:r>
      <w:hyperlink r:id="rId214">
        <w:r>
          <w:rPr>
            <w:rStyle w:val="Hyperlink"/>
          </w:rPr>
          <w:t>https://doi.org/10.1111/j.1545-5300.2000.39108.x</w:t>
        </w:r>
      </w:hyperlink>
    </w:p>
    <w:p w14:paraId="1B8DB064" w14:textId="77777777" w:rsidR="0033629A" w:rsidRDefault="004409CB" w:rsidP="009E3272">
      <w:pPr>
        <w:pStyle w:val="Bibliography"/>
        <w:ind w:left="720" w:hanging="810"/>
      </w:pPr>
      <w:bookmarkStart w:id="287" w:name="ref-lawlor2011"/>
      <w:bookmarkEnd w:id="286"/>
      <w:r>
        <w:t xml:space="preserve">Lawlor, M.-A., &amp; Prothero, A. (2011). Pester </w:t>
      </w:r>
      <w:proofErr w:type="gramStart"/>
      <w:r>
        <w:t>power  A</w:t>
      </w:r>
      <w:proofErr w:type="gramEnd"/>
      <w:r>
        <w:t xml:space="preserve"> battle of wills between children and their parents. </w:t>
      </w:r>
      <w:r>
        <w:rPr>
          <w:i/>
          <w:iCs/>
        </w:rPr>
        <w:t>Journal of Marketing Management</w:t>
      </w:r>
      <w:r>
        <w:t xml:space="preserve">, </w:t>
      </w:r>
      <w:r>
        <w:rPr>
          <w:i/>
          <w:iCs/>
        </w:rPr>
        <w:t>27</w:t>
      </w:r>
      <w:r>
        <w:t xml:space="preserve">(5-6), 561–581. </w:t>
      </w:r>
      <w:hyperlink r:id="rId215">
        <w:r>
          <w:rPr>
            <w:rStyle w:val="Hyperlink"/>
          </w:rPr>
          <w:t>https://doi.org/10.1080/0267257X.2010.495281</w:t>
        </w:r>
      </w:hyperlink>
    </w:p>
    <w:p w14:paraId="25B4AAAC" w14:textId="77777777" w:rsidR="0033629A" w:rsidRDefault="004409CB" w:rsidP="009E3272">
      <w:pPr>
        <w:pStyle w:val="Bibliography"/>
        <w:ind w:left="720" w:hanging="810"/>
      </w:pPr>
      <w:bookmarkStart w:id="288" w:name="ref-lawson2019"/>
      <w:bookmarkEnd w:id="287"/>
      <w:r>
        <w:t xml:space="preserve">Lawson, D. F. (2019). Evaluating climate change behaviors and concern in the family context. </w:t>
      </w:r>
      <w:r>
        <w:rPr>
          <w:i/>
          <w:iCs/>
        </w:rPr>
        <w:t>Environmental Education Research</w:t>
      </w:r>
      <w:r>
        <w:t xml:space="preserve">, </w:t>
      </w:r>
      <w:r>
        <w:rPr>
          <w:i/>
          <w:iCs/>
        </w:rPr>
        <w:t>25</w:t>
      </w:r>
      <w:r>
        <w:t xml:space="preserve">(5). </w:t>
      </w:r>
      <w:hyperlink r:id="rId216">
        <w:r>
          <w:rPr>
            <w:rStyle w:val="Hyperlink"/>
          </w:rPr>
          <w:t>https://doi.org/10.1080/13504622.2018.1564248</w:t>
        </w:r>
      </w:hyperlink>
    </w:p>
    <w:p w14:paraId="1F0440C2" w14:textId="77777777" w:rsidR="0033629A" w:rsidRDefault="004409CB" w:rsidP="009E3272">
      <w:pPr>
        <w:pStyle w:val="Bibliography"/>
        <w:ind w:left="720" w:hanging="810"/>
      </w:pPr>
      <w:bookmarkStart w:id="289" w:name="ref-lawsonChildrenCanFoster2019"/>
      <w:bookmarkEnd w:id="288"/>
      <w:r>
        <w:t xml:space="preserve">Lawson, D. F., Stevenson, K. T., Peterson, M. N., Carrier, S. J., L. Strnad, R., &amp; Seekamp, E. (2019). Children can foster climate change concern among their parents. </w:t>
      </w:r>
      <w:r>
        <w:rPr>
          <w:i/>
          <w:iCs/>
        </w:rPr>
        <w:t>Nature Climate Change</w:t>
      </w:r>
      <w:r>
        <w:t xml:space="preserve">, </w:t>
      </w:r>
      <w:r>
        <w:rPr>
          <w:i/>
          <w:iCs/>
        </w:rPr>
        <w:t>9</w:t>
      </w:r>
      <w:r>
        <w:t xml:space="preserve">(6), 458–462. </w:t>
      </w:r>
      <w:hyperlink r:id="rId217">
        <w:r>
          <w:rPr>
            <w:rStyle w:val="Hyperlink"/>
          </w:rPr>
          <w:t>https://doi.org/10.1038/s41558-019-0463-3</w:t>
        </w:r>
      </w:hyperlink>
    </w:p>
    <w:p w14:paraId="013515C4" w14:textId="77777777" w:rsidR="0033629A" w:rsidRDefault="004409CB" w:rsidP="009E3272">
      <w:pPr>
        <w:pStyle w:val="Bibliography"/>
        <w:ind w:left="720" w:hanging="810"/>
      </w:pPr>
      <w:bookmarkStart w:id="290" w:name="ref-lawson2018"/>
      <w:bookmarkEnd w:id="289"/>
      <w:r>
        <w:t xml:space="preserve">Lawson, D. F., Stevenson, K. T., Peterson, M. N., Carrier, S. J., Strnad, R., &amp; Seekamp, E. (2018). Intergenerational learning: Are children key in spurring climate action? </w:t>
      </w:r>
      <w:r>
        <w:rPr>
          <w:i/>
          <w:iCs/>
        </w:rPr>
        <w:t>Global Environmental Change</w:t>
      </w:r>
      <w:r>
        <w:t xml:space="preserve">, </w:t>
      </w:r>
      <w:r>
        <w:rPr>
          <w:i/>
          <w:iCs/>
        </w:rPr>
        <w:t>53</w:t>
      </w:r>
      <w:r>
        <w:t xml:space="preserve">, 204–208. </w:t>
      </w:r>
      <w:hyperlink r:id="rId218">
        <w:r>
          <w:rPr>
            <w:rStyle w:val="Hyperlink"/>
          </w:rPr>
          <w:t>https://doi.org/10.1016/j.gloenvcha.2018.10.002</w:t>
        </w:r>
      </w:hyperlink>
    </w:p>
    <w:p w14:paraId="6C90B806" w14:textId="77777777" w:rsidR="0033629A" w:rsidRDefault="004409CB" w:rsidP="009E3272">
      <w:pPr>
        <w:pStyle w:val="Bibliography"/>
        <w:ind w:left="720" w:hanging="810"/>
      </w:pPr>
      <w:bookmarkStart w:id="291" w:name="ref-lee2020"/>
      <w:bookmarkEnd w:id="290"/>
      <w:r>
        <w:lastRenderedPageBreak/>
        <w:t xml:space="preserve">Lee, K., Gjersoe, N., O’Neill, S., &amp; Barnett, J. (2020). Youth perceptions of climate change: A narrative synthesis. </w:t>
      </w:r>
      <w:r>
        <w:rPr>
          <w:i/>
          <w:iCs/>
        </w:rPr>
        <w:t>WIREs Climate Change</w:t>
      </w:r>
      <w:r>
        <w:t xml:space="preserve">, </w:t>
      </w:r>
      <w:r>
        <w:rPr>
          <w:i/>
          <w:iCs/>
        </w:rPr>
        <w:t>11</w:t>
      </w:r>
      <w:r>
        <w:t xml:space="preserve">(3), 1–24. </w:t>
      </w:r>
      <w:hyperlink r:id="rId219">
        <w:r>
          <w:rPr>
            <w:rStyle w:val="Hyperlink"/>
          </w:rPr>
          <w:t>https://doi.org/10.1002/wcc.641</w:t>
        </w:r>
      </w:hyperlink>
    </w:p>
    <w:p w14:paraId="06F0A463" w14:textId="77777777" w:rsidR="0033629A" w:rsidRDefault="004409CB" w:rsidP="009E3272">
      <w:pPr>
        <w:pStyle w:val="Bibliography"/>
        <w:ind w:left="720" w:hanging="810"/>
      </w:pPr>
      <w:bookmarkStart w:id="292" w:name="ref-leiserowtz2021"/>
      <w:bookmarkEnd w:id="291"/>
      <w:r>
        <w:t xml:space="preserve">Leiserowtz, A., Maibach, E., Rosenthal, S., Kotcher, J., Carman, J., Wang, X., Marlon, J., Lacroix, K., &amp; Goldberg, M. (2021, March). </w:t>
      </w:r>
      <w:r>
        <w:rPr>
          <w:i/>
          <w:iCs/>
        </w:rPr>
        <w:t>Climate change in the American mind, March 2021</w:t>
      </w:r>
      <w:r>
        <w:t>. Yale University and George Mason University.</w:t>
      </w:r>
    </w:p>
    <w:p w14:paraId="58DF1FB0" w14:textId="77777777" w:rsidR="0033629A" w:rsidRDefault="004409CB" w:rsidP="009E3272">
      <w:pPr>
        <w:pStyle w:val="Bibliography"/>
        <w:ind w:left="720" w:hanging="810"/>
      </w:pPr>
      <w:bookmarkStart w:id="293" w:name="ref-lieberman2022"/>
      <w:bookmarkEnd w:id="292"/>
      <w:r>
        <w:t xml:space="preserve">Lieberman, M. (2022). What schools can do to tackle climate change (hint: More than you think). In </w:t>
      </w:r>
      <w:r>
        <w:rPr>
          <w:i/>
          <w:iCs/>
        </w:rPr>
        <w:t>EducationWeek</w:t>
      </w:r>
      <w:r>
        <w:t>. https://www.edweek.org/leadership/what-schools-can-do-to-tackle-climate-change-hint-more-than-you-think/2022/05.</w:t>
      </w:r>
    </w:p>
    <w:p w14:paraId="02CF85D9" w14:textId="77777777" w:rsidR="0033629A" w:rsidRDefault="004409CB" w:rsidP="009E3272">
      <w:pPr>
        <w:pStyle w:val="Bibliography"/>
        <w:ind w:left="720" w:hanging="810"/>
      </w:pPr>
      <w:bookmarkStart w:id="294" w:name="ref-lin2014"/>
      <w:bookmarkEnd w:id="293"/>
      <w:r>
        <w:t xml:space="preserve">Lin, E., &amp; Shi, Q. (2014). Exploring individual and school-related factors and environmental literacy: Comparing U.S. And Canada using PISA 2006. </w:t>
      </w:r>
      <w:r>
        <w:rPr>
          <w:i/>
          <w:iCs/>
        </w:rPr>
        <w:t>International Journal of Science and Mathematics Education</w:t>
      </w:r>
      <w:r>
        <w:t xml:space="preserve">, </w:t>
      </w:r>
      <w:r>
        <w:rPr>
          <w:i/>
          <w:iCs/>
        </w:rPr>
        <w:t>12</w:t>
      </w:r>
      <w:r>
        <w:t xml:space="preserve">(1), 73–97. </w:t>
      </w:r>
      <w:hyperlink r:id="rId220">
        <w:r>
          <w:rPr>
            <w:rStyle w:val="Hyperlink"/>
          </w:rPr>
          <w:t>https://doi.org/10.1007/s10763-012-9396-2</w:t>
        </w:r>
      </w:hyperlink>
    </w:p>
    <w:p w14:paraId="6E4E8050" w14:textId="77777777" w:rsidR="0033629A" w:rsidRDefault="004409CB" w:rsidP="009E3272">
      <w:pPr>
        <w:pStyle w:val="Bibliography"/>
        <w:ind w:left="720" w:hanging="810"/>
      </w:pPr>
      <w:bookmarkStart w:id="295" w:name="ref-liobikiene2018"/>
      <w:bookmarkEnd w:id="294"/>
      <w:r>
        <w:t xml:space="preserve">Liobikienė, G., &amp; Butkus, M. (2018). The challenges and opportunities of climate change policy under different stages of economic development. </w:t>
      </w:r>
      <w:r>
        <w:rPr>
          <w:i/>
          <w:iCs/>
        </w:rPr>
        <w:t>Science of The Total Environment</w:t>
      </w:r>
      <w:r>
        <w:t xml:space="preserve">, </w:t>
      </w:r>
      <w:r>
        <w:rPr>
          <w:i/>
          <w:iCs/>
        </w:rPr>
        <w:t>642</w:t>
      </w:r>
      <w:r>
        <w:t xml:space="preserve">, 999–1007. </w:t>
      </w:r>
      <w:hyperlink r:id="rId221">
        <w:r>
          <w:rPr>
            <w:rStyle w:val="Hyperlink"/>
          </w:rPr>
          <w:t>https://doi.org/10.1016/j.scitotenv.2018.06.140</w:t>
        </w:r>
      </w:hyperlink>
    </w:p>
    <w:p w14:paraId="549D7CE4" w14:textId="77777777" w:rsidR="0033629A" w:rsidRDefault="004409CB" w:rsidP="009E3272">
      <w:pPr>
        <w:pStyle w:val="Bibliography"/>
        <w:ind w:left="720" w:hanging="810"/>
      </w:pPr>
      <w:bookmarkStart w:id="296" w:name="ref-list2020"/>
      <w:bookmarkEnd w:id="295"/>
      <w:r>
        <w:t xml:space="preserve">List, M. K., Schmidt, F. T. C., Mundt, D., &amp; Föste-Eggers, D. (2020). Still green at fifteen? Investigating environmental awareness of the PISA 2015 population: Cross-national differences and correlates. </w:t>
      </w:r>
      <w:r>
        <w:rPr>
          <w:i/>
          <w:iCs/>
        </w:rPr>
        <w:t>Sustainability</w:t>
      </w:r>
      <w:r>
        <w:t xml:space="preserve">, </w:t>
      </w:r>
      <w:r>
        <w:rPr>
          <w:i/>
          <w:iCs/>
        </w:rPr>
        <w:t>12</w:t>
      </w:r>
      <w:r>
        <w:t xml:space="preserve">(7), 2985. </w:t>
      </w:r>
      <w:hyperlink r:id="rId222">
        <w:r>
          <w:rPr>
            <w:rStyle w:val="Hyperlink"/>
          </w:rPr>
          <w:t>https://doi.org/10.3390/su12072985</w:t>
        </w:r>
      </w:hyperlink>
    </w:p>
    <w:p w14:paraId="38CD231A" w14:textId="77777777" w:rsidR="0033629A" w:rsidRDefault="004409CB" w:rsidP="009E3272">
      <w:pPr>
        <w:pStyle w:val="Bibliography"/>
        <w:ind w:left="720" w:hanging="810"/>
      </w:pPr>
      <w:bookmarkStart w:id="297" w:name="ref-littledyke2008"/>
      <w:bookmarkEnd w:id="296"/>
      <w:r>
        <w:t xml:space="preserve">Littledyke, M. (2008). Science education for environmental awareness: Approaches to integrating cognitive and affective domains. </w:t>
      </w:r>
      <w:r>
        <w:rPr>
          <w:i/>
          <w:iCs/>
        </w:rPr>
        <w:t>Environmental Education Research</w:t>
      </w:r>
      <w:r>
        <w:t xml:space="preserve">, </w:t>
      </w:r>
      <w:r>
        <w:rPr>
          <w:i/>
          <w:iCs/>
        </w:rPr>
        <w:t>14</w:t>
      </w:r>
      <w:r>
        <w:t xml:space="preserve">(1), 1–17. </w:t>
      </w:r>
      <w:hyperlink r:id="rId223">
        <w:r>
          <w:rPr>
            <w:rStyle w:val="Hyperlink"/>
          </w:rPr>
          <w:t>https://doi.org/10.1080/13504620701843301</w:t>
        </w:r>
      </w:hyperlink>
    </w:p>
    <w:p w14:paraId="30C861FB" w14:textId="77777777" w:rsidR="0033629A" w:rsidRDefault="004409CB" w:rsidP="009E3272">
      <w:pPr>
        <w:pStyle w:val="Bibliography"/>
        <w:ind w:left="720" w:hanging="810"/>
      </w:pPr>
      <w:bookmarkStart w:id="298" w:name="ref-liu2020"/>
      <w:bookmarkEnd w:id="297"/>
      <w:r>
        <w:lastRenderedPageBreak/>
        <w:t xml:space="preserve">Liu, D. H., &amp; Raftery, A. E. (2020). How do education and family planning accelerate fertility decline? </w:t>
      </w:r>
      <w:r>
        <w:rPr>
          <w:i/>
          <w:iCs/>
        </w:rPr>
        <w:t>Population and Development Review</w:t>
      </w:r>
      <w:r>
        <w:t xml:space="preserve">, </w:t>
      </w:r>
      <w:r>
        <w:rPr>
          <w:i/>
          <w:iCs/>
        </w:rPr>
        <w:t>46</w:t>
      </w:r>
      <w:r>
        <w:t xml:space="preserve">(3), 409–441. </w:t>
      </w:r>
      <w:hyperlink r:id="rId224">
        <w:r>
          <w:rPr>
            <w:rStyle w:val="Hyperlink"/>
          </w:rPr>
          <w:t>https://doi.org/10.1111/padr.12347</w:t>
        </w:r>
      </w:hyperlink>
    </w:p>
    <w:p w14:paraId="1263A33E" w14:textId="77777777" w:rsidR="0033629A" w:rsidRDefault="004409CB" w:rsidP="009E3272">
      <w:pPr>
        <w:pStyle w:val="Bibliography"/>
        <w:ind w:left="720" w:hanging="810"/>
      </w:pPr>
      <w:bookmarkStart w:id="299" w:name="ref-llyodsregisterfoundation2019"/>
      <w:bookmarkEnd w:id="298"/>
      <w:r>
        <w:t xml:space="preserve">Llyod’s Register Foundation. (2019). </w:t>
      </w:r>
      <w:r>
        <w:rPr>
          <w:i/>
          <w:iCs/>
        </w:rPr>
        <w:t>The Llyod’s Register Foundation world risk poll: Full report and analysis o f the 2019 poll</w:t>
      </w:r>
      <w:r>
        <w:t>.</w:t>
      </w:r>
    </w:p>
    <w:p w14:paraId="137A38D3" w14:textId="77777777" w:rsidR="0033629A" w:rsidRDefault="004409CB" w:rsidP="009E3272">
      <w:pPr>
        <w:pStyle w:val="Bibliography"/>
        <w:ind w:left="720" w:hanging="810"/>
      </w:pPr>
      <w:bookmarkStart w:id="300" w:name="ref-lockheed2015"/>
      <w:bookmarkEnd w:id="299"/>
      <w:r>
        <w:t xml:space="preserve">Lockheed, M., Prokic-Bruer, T., &amp; Shadrova, A. (2015). </w:t>
      </w:r>
      <w:r>
        <w:rPr>
          <w:i/>
          <w:iCs/>
        </w:rPr>
        <w:t>The experience of middle-income countries participating in pisa 2000-2015</w:t>
      </w:r>
      <w:r>
        <w:t xml:space="preserve">. OECD. </w:t>
      </w:r>
      <w:hyperlink r:id="rId225">
        <w:r>
          <w:rPr>
            <w:rStyle w:val="Hyperlink"/>
          </w:rPr>
          <w:t>https://doi.org/10.1787/9789264246195-en</w:t>
        </w:r>
      </w:hyperlink>
    </w:p>
    <w:p w14:paraId="52E2AC13" w14:textId="77777777" w:rsidR="0033629A" w:rsidRDefault="004409CB" w:rsidP="009E3272">
      <w:pPr>
        <w:pStyle w:val="Bibliography"/>
        <w:ind w:left="720" w:hanging="810"/>
      </w:pPr>
      <w:bookmarkStart w:id="301" w:name="ref-loy2014"/>
      <w:bookmarkEnd w:id="300"/>
      <w:r>
        <w:t xml:space="preserve">Loy, A., &amp; Hofmann, H. (2014). HLMdiag: A suite of diagnostics for hierarchical linear models in R. </w:t>
      </w:r>
      <w:r>
        <w:rPr>
          <w:i/>
          <w:iCs/>
        </w:rPr>
        <w:t>Journal of Statistical Software</w:t>
      </w:r>
      <w:r>
        <w:t xml:space="preserve">, </w:t>
      </w:r>
      <w:r>
        <w:rPr>
          <w:i/>
          <w:iCs/>
        </w:rPr>
        <w:t>56</w:t>
      </w:r>
      <w:r>
        <w:t xml:space="preserve">, 1–28. </w:t>
      </w:r>
      <w:hyperlink r:id="rId226">
        <w:r>
          <w:rPr>
            <w:rStyle w:val="Hyperlink"/>
          </w:rPr>
          <w:t>https://doi.org/10.18637/jss.v056.i05</w:t>
        </w:r>
      </w:hyperlink>
    </w:p>
    <w:p w14:paraId="5CF0424C" w14:textId="77777777" w:rsidR="0033629A" w:rsidRDefault="004409CB" w:rsidP="009E3272">
      <w:pPr>
        <w:pStyle w:val="Bibliography"/>
        <w:ind w:left="720" w:hanging="810"/>
      </w:pPr>
      <w:bookmarkStart w:id="302" w:name="ref-ludecke2018"/>
      <w:bookmarkEnd w:id="301"/>
      <w:r>
        <w:t xml:space="preserve">Lüdecke, D. (2018). Ggeffects: Tidy data frames of marginal effects from regression models. </w:t>
      </w:r>
      <w:r>
        <w:rPr>
          <w:i/>
          <w:iCs/>
        </w:rPr>
        <w:t xml:space="preserve">Journal of </w:t>
      </w:r>
      <w:proofErr w:type="gramStart"/>
      <w:r>
        <w:rPr>
          <w:i/>
          <w:iCs/>
        </w:rPr>
        <w:t>Open Source</w:t>
      </w:r>
      <w:proofErr w:type="gramEnd"/>
      <w:r>
        <w:rPr>
          <w:i/>
          <w:iCs/>
        </w:rPr>
        <w:t xml:space="preserve"> Software</w:t>
      </w:r>
      <w:r>
        <w:t xml:space="preserve">, </w:t>
      </w:r>
      <w:r>
        <w:rPr>
          <w:i/>
          <w:iCs/>
        </w:rPr>
        <w:t>3</w:t>
      </w:r>
      <w:r>
        <w:t xml:space="preserve">(26), 772. </w:t>
      </w:r>
      <w:hyperlink r:id="rId227">
        <w:r>
          <w:rPr>
            <w:rStyle w:val="Hyperlink"/>
          </w:rPr>
          <w:t>https://doi.org/10.21105/joss.00772</w:t>
        </w:r>
      </w:hyperlink>
    </w:p>
    <w:p w14:paraId="082C3EF2" w14:textId="77777777" w:rsidR="0033629A" w:rsidRDefault="004409CB" w:rsidP="009E3272">
      <w:pPr>
        <w:pStyle w:val="Bibliography"/>
        <w:ind w:left="720" w:hanging="810"/>
      </w:pPr>
      <w:bookmarkStart w:id="303" w:name="ref-ludecke2021"/>
      <w:bookmarkEnd w:id="302"/>
      <w:r>
        <w:t xml:space="preserve">Lüdecke, D., Ben-Shachar, M. S., Patil, I., Waggoner, P., &amp; Makowski, D. (2021). Performance: An r package for assessment, </w:t>
      </w:r>
      <w:proofErr w:type="gramStart"/>
      <w:r>
        <w:t>comparison</w:t>
      </w:r>
      <w:proofErr w:type="gramEnd"/>
      <w:r>
        <w:t xml:space="preserve"> and testing of statistical models. </w:t>
      </w:r>
      <w:r>
        <w:rPr>
          <w:i/>
          <w:iCs/>
        </w:rPr>
        <w:t xml:space="preserve">Journal of </w:t>
      </w:r>
      <w:proofErr w:type="gramStart"/>
      <w:r>
        <w:rPr>
          <w:i/>
          <w:iCs/>
        </w:rPr>
        <w:t>Open Source</w:t>
      </w:r>
      <w:proofErr w:type="gramEnd"/>
      <w:r>
        <w:rPr>
          <w:i/>
          <w:iCs/>
        </w:rPr>
        <w:t xml:space="preserve"> Software</w:t>
      </w:r>
      <w:r>
        <w:t xml:space="preserve">, </w:t>
      </w:r>
      <w:r>
        <w:rPr>
          <w:i/>
          <w:iCs/>
        </w:rPr>
        <w:t>6</w:t>
      </w:r>
      <w:r>
        <w:t xml:space="preserve">(60), 3139. </w:t>
      </w:r>
      <w:hyperlink r:id="rId228">
        <w:r>
          <w:rPr>
            <w:rStyle w:val="Hyperlink"/>
          </w:rPr>
          <w:t>https://doi.org/10.21105/joss.03139</w:t>
        </w:r>
      </w:hyperlink>
    </w:p>
    <w:p w14:paraId="24777B85" w14:textId="77777777" w:rsidR="0033629A" w:rsidRDefault="004409CB" w:rsidP="009E3272">
      <w:pPr>
        <w:pStyle w:val="Bibliography"/>
        <w:ind w:left="720" w:hanging="810"/>
      </w:pPr>
      <w:bookmarkStart w:id="304" w:name="ref-lynas2021"/>
      <w:bookmarkEnd w:id="303"/>
      <w:r>
        <w:t xml:space="preserve">Lynas, M., Houlton, B. Z., &amp; Perry, S. (2021). </w:t>
      </w:r>
      <w:r>
        <w:rPr>
          <w:i/>
          <w:iCs/>
        </w:rPr>
        <w:t>Greater than 99% consensus on human caused climate change in the peer-reviewed scientific literature</w:t>
      </w:r>
      <w:r>
        <w:t xml:space="preserve">. </w:t>
      </w:r>
      <w:r>
        <w:rPr>
          <w:i/>
          <w:iCs/>
        </w:rPr>
        <w:t>16</w:t>
      </w:r>
      <w:r>
        <w:t xml:space="preserve">(11), 114005. </w:t>
      </w:r>
      <w:hyperlink r:id="rId229">
        <w:r>
          <w:rPr>
            <w:rStyle w:val="Hyperlink"/>
          </w:rPr>
          <w:t>https://doi.org/10.1088/1748-9326/ac2966</w:t>
        </w:r>
      </w:hyperlink>
    </w:p>
    <w:p w14:paraId="16CA5A3C" w14:textId="77777777" w:rsidR="0033629A" w:rsidRDefault="004409CB" w:rsidP="009E3272">
      <w:pPr>
        <w:pStyle w:val="Bibliography"/>
        <w:ind w:left="720" w:hanging="810"/>
      </w:pPr>
      <w:bookmarkStart w:id="305" w:name="ref-madden1992"/>
      <w:bookmarkEnd w:id="304"/>
      <w:r>
        <w:t xml:space="preserve">Madden, T. J., Ellen, P. S., &amp; Ajzen, I. (1992). A comparison of the theory of planned behavior and the theory of reasoned action. </w:t>
      </w:r>
      <w:r>
        <w:rPr>
          <w:i/>
          <w:iCs/>
        </w:rPr>
        <w:t>Personality and Social Psychology Bulletin</w:t>
      </w:r>
      <w:r>
        <w:t xml:space="preserve">, </w:t>
      </w:r>
      <w:r>
        <w:rPr>
          <w:i/>
          <w:iCs/>
        </w:rPr>
        <w:t>18</w:t>
      </w:r>
      <w:r>
        <w:t xml:space="preserve">(1), 3–9. </w:t>
      </w:r>
      <w:hyperlink r:id="rId230">
        <w:r>
          <w:rPr>
            <w:rStyle w:val="Hyperlink"/>
          </w:rPr>
          <w:t>https://doi.org/10.1177/0146167292181001</w:t>
        </w:r>
      </w:hyperlink>
    </w:p>
    <w:p w14:paraId="6BF47D1F" w14:textId="77777777" w:rsidR="0033629A" w:rsidRDefault="004409CB" w:rsidP="009E3272">
      <w:pPr>
        <w:pStyle w:val="Bibliography"/>
        <w:ind w:left="720" w:hanging="810"/>
      </w:pPr>
      <w:bookmarkStart w:id="306" w:name="ref-maddox2011"/>
      <w:bookmarkEnd w:id="305"/>
      <w:r>
        <w:lastRenderedPageBreak/>
        <w:t xml:space="preserve">Maddox, P., Doran, C., Williams, I. D., &amp; Kus, M. (2011). The role of intergenerational influence in waste education programmes: The THAW project. </w:t>
      </w:r>
      <w:r>
        <w:rPr>
          <w:i/>
          <w:iCs/>
        </w:rPr>
        <w:t>Waste Management</w:t>
      </w:r>
      <w:r>
        <w:t xml:space="preserve">, </w:t>
      </w:r>
      <w:r>
        <w:rPr>
          <w:i/>
          <w:iCs/>
        </w:rPr>
        <w:t>31</w:t>
      </w:r>
      <w:r>
        <w:t xml:space="preserve">(12), 2590–2600. </w:t>
      </w:r>
      <w:hyperlink r:id="rId231">
        <w:r>
          <w:rPr>
            <w:rStyle w:val="Hyperlink"/>
          </w:rPr>
          <w:t>https://doi.org/10.1016/j.wasman.2011.07.023</w:t>
        </w:r>
      </w:hyperlink>
    </w:p>
    <w:p w14:paraId="1D70F97D" w14:textId="77777777" w:rsidR="0033629A" w:rsidRDefault="004409CB" w:rsidP="009E3272">
      <w:pPr>
        <w:pStyle w:val="Bibliography"/>
        <w:ind w:left="720" w:hanging="810"/>
      </w:pPr>
      <w:bookmarkStart w:id="307" w:name="ref-mann2021"/>
      <w:bookmarkEnd w:id="306"/>
      <w:r>
        <w:t xml:space="preserve">Mann, M. E. (2021). </w:t>
      </w:r>
      <w:r>
        <w:rPr>
          <w:i/>
          <w:iCs/>
        </w:rPr>
        <w:t>The new climate war: The fight to take back our planet</w:t>
      </w:r>
      <w:r>
        <w:t xml:space="preserve"> (First edition). PublicAffairs.</w:t>
      </w:r>
    </w:p>
    <w:p w14:paraId="121FE131" w14:textId="77777777" w:rsidR="0033629A" w:rsidRDefault="004409CB" w:rsidP="009E3272">
      <w:pPr>
        <w:pStyle w:val="Bibliography"/>
        <w:ind w:left="720" w:hanging="810"/>
      </w:pPr>
      <w:bookmarkStart w:id="308" w:name="ref-marks2021"/>
      <w:bookmarkEnd w:id="307"/>
      <w:r>
        <w:t xml:space="preserve">Marks, E., Hickman, C., Pihkala, P., Clayton, S., Lewandowski, E. R., Mayall, E. E., Wray, B., Mellor, C., &amp; van Susteren, L. (2021). </w:t>
      </w:r>
      <w:r>
        <w:rPr>
          <w:i/>
          <w:iCs/>
        </w:rPr>
        <w:t>Young people’s voices on climate anxiety, government betrayal and moral injury: A global phenomenon</w:t>
      </w:r>
      <w:r>
        <w:t xml:space="preserve"> ({{SSRN Scholarly Paper}} No. 3918955). Social Science Research Network. </w:t>
      </w:r>
      <w:hyperlink r:id="rId232">
        <w:r>
          <w:rPr>
            <w:rStyle w:val="Hyperlink"/>
          </w:rPr>
          <w:t>https://doi.org/10.2139/ssrn.3918955</w:t>
        </w:r>
      </w:hyperlink>
    </w:p>
    <w:p w14:paraId="6C0ED1CA" w14:textId="77777777" w:rsidR="0033629A" w:rsidRDefault="004409CB" w:rsidP="009E3272">
      <w:pPr>
        <w:pStyle w:val="Bibliography"/>
        <w:ind w:left="720" w:hanging="810"/>
      </w:pPr>
      <w:bookmarkStart w:id="309" w:name="ref-martinezalier2012"/>
      <w:bookmarkEnd w:id="308"/>
      <w:r>
        <w:t xml:space="preserve">Martínez-Alier, J. (2012). Environmental Justice and Economic Degrowth: An Alliance between Two Movements. </w:t>
      </w:r>
      <w:r>
        <w:rPr>
          <w:i/>
          <w:iCs/>
        </w:rPr>
        <w:t>Capitalism Nature Socialism</w:t>
      </w:r>
      <w:r>
        <w:t xml:space="preserve">, </w:t>
      </w:r>
      <w:r>
        <w:rPr>
          <w:i/>
          <w:iCs/>
        </w:rPr>
        <w:t>23</w:t>
      </w:r>
      <w:r>
        <w:t xml:space="preserve">(1), 51–73. </w:t>
      </w:r>
      <w:hyperlink r:id="rId233">
        <w:r>
          <w:rPr>
            <w:rStyle w:val="Hyperlink"/>
          </w:rPr>
          <w:t>https://doi.org/10.1080/10455752.2011.648839</w:t>
        </w:r>
      </w:hyperlink>
    </w:p>
    <w:p w14:paraId="0F932D0B" w14:textId="77777777" w:rsidR="0033629A" w:rsidRDefault="004409CB" w:rsidP="009E3272">
      <w:pPr>
        <w:pStyle w:val="Bibliography"/>
        <w:ind w:left="720" w:hanging="810"/>
      </w:pPr>
      <w:bookmarkStart w:id="310" w:name="ref-mayer2013"/>
      <w:bookmarkEnd w:id="309"/>
      <w:r>
        <w:t xml:space="preserve">Mayer, A. (2013). Education and the environment: An international study. </w:t>
      </w:r>
      <w:r>
        <w:rPr>
          <w:i/>
          <w:iCs/>
        </w:rPr>
        <w:t>International Journal of Sustainable Development &amp; World Ecology</w:t>
      </w:r>
      <w:r>
        <w:t xml:space="preserve">, </w:t>
      </w:r>
      <w:r>
        <w:rPr>
          <w:i/>
          <w:iCs/>
        </w:rPr>
        <w:t>20</w:t>
      </w:r>
      <w:r>
        <w:t xml:space="preserve">(6), 512–519. </w:t>
      </w:r>
      <w:hyperlink r:id="rId234">
        <w:r>
          <w:rPr>
            <w:rStyle w:val="Hyperlink"/>
          </w:rPr>
          <w:t>https://doi.org/10.1080/13504509.2013.830994</w:t>
        </w:r>
      </w:hyperlink>
    </w:p>
    <w:p w14:paraId="1C33BFD0" w14:textId="77777777" w:rsidR="0033629A" w:rsidRDefault="004409CB" w:rsidP="009E3272">
      <w:pPr>
        <w:pStyle w:val="Bibliography"/>
        <w:ind w:left="720" w:hanging="810"/>
      </w:pPr>
      <w:bookmarkStart w:id="311" w:name="ref-mccaffrey2012"/>
      <w:bookmarkEnd w:id="310"/>
      <w:r>
        <w:t xml:space="preserve">McCaffrey, M., &amp; Rosenau, J. (2012). Science literacy still matters. </w:t>
      </w:r>
      <w:r>
        <w:rPr>
          <w:i/>
          <w:iCs/>
        </w:rPr>
        <w:t>Nature Climate Change</w:t>
      </w:r>
      <w:r>
        <w:t xml:space="preserve">, </w:t>
      </w:r>
      <w:r>
        <w:rPr>
          <w:i/>
          <w:iCs/>
        </w:rPr>
        <w:t>2</w:t>
      </w:r>
      <w:r>
        <w:t xml:space="preserve">(9), 636–636. </w:t>
      </w:r>
      <w:hyperlink r:id="rId235">
        <w:r>
          <w:rPr>
            <w:rStyle w:val="Hyperlink"/>
          </w:rPr>
          <w:t>https://doi.org/10.1038/nclimate1644</w:t>
        </w:r>
      </w:hyperlink>
    </w:p>
    <w:p w14:paraId="0852469D" w14:textId="77777777" w:rsidR="0033629A" w:rsidRDefault="004409CB" w:rsidP="009E3272">
      <w:pPr>
        <w:pStyle w:val="Bibliography"/>
        <w:ind w:left="720" w:hanging="810"/>
      </w:pPr>
      <w:bookmarkStart w:id="312" w:name="X0f625f3c7954e6cbffe4373b223aecc1a6d9d9d"/>
      <w:bookmarkEnd w:id="311"/>
      <w:r>
        <w:t xml:space="preserve">McCright, A. M. (2011). Political orientation moderates Americans’ beliefs and concern about climate change: An editorial comment. </w:t>
      </w:r>
      <w:r>
        <w:rPr>
          <w:i/>
          <w:iCs/>
        </w:rPr>
        <w:t>Climatic Change</w:t>
      </w:r>
      <w:r>
        <w:t xml:space="preserve">, </w:t>
      </w:r>
      <w:r>
        <w:rPr>
          <w:i/>
          <w:iCs/>
        </w:rPr>
        <w:t>104</w:t>
      </w:r>
      <w:r>
        <w:t xml:space="preserve">(2), 243–253. </w:t>
      </w:r>
      <w:hyperlink r:id="rId236">
        <w:r>
          <w:rPr>
            <w:rStyle w:val="Hyperlink"/>
          </w:rPr>
          <w:t>https://doi.org/10.1007/s10584-010-9946-y</w:t>
        </w:r>
      </w:hyperlink>
    </w:p>
    <w:p w14:paraId="576BA36A" w14:textId="77777777" w:rsidR="0033629A" w:rsidRDefault="004409CB" w:rsidP="009E3272">
      <w:pPr>
        <w:pStyle w:val="Bibliography"/>
        <w:ind w:left="720" w:hanging="810"/>
      </w:pPr>
      <w:bookmarkStart w:id="313" w:name="ref-mccright2010"/>
      <w:bookmarkEnd w:id="312"/>
      <w:r>
        <w:t xml:space="preserve">McCright, A. M., &amp; Dunlap, R. E. (2010). Anti-reflexivity. </w:t>
      </w:r>
      <w:r>
        <w:rPr>
          <w:i/>
          <w:iCs/>
        </w:rPr>
        <w:t>Theory, Culture &amp; Society</w:t>
      </w:r>
      <w:r>
        <w:t xml:space="preserve">, </w:t>
      </w:r>
      <w:r>
        <w:rPr>
          <w:i/>
          <w:iCs/>
        </w:rPr>
        <w:t>27</w:t>
      </w:r>
      <w:r>
        <w:t xml:space="preserve">(2-3), 100–133. </w:t>
      </w:r>
      <w:hyperlink r:id="rId237">
        <w:r>
          <w:rPr>
            <w:rStyle w:val="Hyperlink"/>
          </w:rPr>
          <w:t>https://doi.org/10.1177/0263276409356001</w:t>
        </w:r>
      </w:hyperlink>
    </w:p>
    <w:p w14:paraId="5769040E" w14:textId="77777777" w:rsidR="0033629A" w:rsidRDefault="004409CB" w:rsidP="009E3272">
      <w:pPr>
        <w:pStyle w:val="Bibliography"/>
        <w:ind w:left="720" w:hanging="810"/>
      </w:pPr>
      <w:bookmarkStart w:id="314" w:name="ref-mcgee2018"/>
      <w:bookmarkEnd w:id="313"/>
      <w:r>
        <w:lastRenderedPageBreak/>
        <w:t xml:space="preserve">McGee, J. A., &amp; Greiner, P. T. (2018). Can reducing income inequality decouple economic growth from CO2 emissions? </w:t>
      </w:r>
      <w:r>
        <w:rPr>
          <w:i/>
          <w:iCs/>
        </w:rPr>
        <w:t>Socius</w:t>
      </w:r>
      <w:r>
        <w:t xml:space="preserve">, </w:t>
      </w:r>
      <w:r>
        <w:rPr>
          <w:i/>
          <w:iCs/>
        </w:rPr>
        <w:t>4</w:t>
      </w:r>
      <w:r>
        <w:t xml:space="preserve">, 2378023118772716. </w:t>
      </w:r>
      <w:hyperlink r:id="rId238">
        <w:r>
          <w:rPr>
            <w:rStyle w:val="Hyperlink"/>
          </w:rPr>
          <w:t>https://doi.org/10.1177/2378023118772716</w:t>
        </w:r>
      </w:hyperlink>
    </w:p>
    <w:p w14:paraId="72CD7229" w14:textId="77777777" w:rsidR="0033629A" w:rsidRDefault="004409CB" w:rsidP="009E3272">
      <w:pPr>
        <w:pStyle w:val="Bibliography"/>
        <w:ind w:left="720" w:hanging="810"/>
      </w:pPr>
      <w:bookmarkStart w:id="315" w:name="ref-mcgee2020"/>
      <w:bookmarkEnd w:id="314"/>
      <w:r>
        <w:t xml:space="preserve">McGee, J. A., Greiner, P. T., Christensen, M., Ergas, C., &amp; Clement, M. T. (2020). Gender inequality, reproductive justice, and decoupling economic growth and emissions: A panel analysis of the moderating association of gender equality on the relationship between economic growth and CO2 emissions. </w:t>
      </w:r>
      <w:r>
        <w:rPr>
          <w:i/>
          <w:iCs/>
        </w:rPr>
        <w:t>Environmental Sociology</w:t>
      </w:r>
      <w:r>
        <w:t xml:space="preserve">, </w:t>
      </w:r>
      <w:r>
        <w:rPr>
          <w:i/>
          <w:iCs/>
        </w:rPr>
        <w:t>6</w:t>
      </w:r>
      <w:r>
        <w:t xml:space="preserve">(3), 254–267. </w:t>
      </w:r>
      <w:hyperlink r:id="rId239">
        <w:r>
          <w:rPr>
            <w:rStyle w:val="Hyperlink"/>
          </w:rPr>
          <w:t>https://doi.org/10.1080/23251042.2020.1736364</w:t>
        </w:r>
      </w:hyperlink>
    </w:p>
    <w:p w14:paraId="4EA1905F" w14:textId="77777777" w:rsidR="0033629A" w:rsidRDefault="004409CB" w:rsidP="009E3272">
      <w:pPr>
        <w:pStyle w:val="Bibliography"/>
        <w:ind w:left="720" w:hanging="810"/>
      </w:pPr>
      <w:bookmarkStart w:id="316" w:name="ref-mckinney2015"/>
      <w:bookmarkEnd w:id="315"/>
      <w:r>
        <w:t xml:space="preserve">McKinney, L. A., &amp; Fulkerson, G. M. (2015). Gender equality and climate justice: A cross-national analysis. </w:t>
      </w:r>
      <w:r>
        <w:rPr>
          <w:i/>
          <w:iCs/>
        </w:rPr>
        <w:t>Social Justice Research</w:t>
      </w:r>
      <w:r>
        <w:t xml:space="preserve">, </w:t>
      </w:r>
      <w:r>
        <w:rPr>
          <w:i/>
          <w:iCs/>
        </w:rPr>
        <w:t>28</w:t>
      </w:r>
      <w:r>
        <w:t xml:space="preserve">(3), 293–317. </w:t>
      </w:r>
      <w:hyperlink r:id="rId240">
        <w:r>
          <w:rPr>
            <w:rStyle w:val="Hyperlink"/>
          </w:rPr>
          <w:t>https://doi.org/10.1007/s11211-015-0241-y</w:t>
        </w:r>
      </w:hyperlink>
    </w:p>
    <w:p w14:paraId="272C618F" w14:textId="77777777" w:rsidR="0033629A" w:rsidRDefault="004409CB" w:rsidP="009E3272">
      <w:pPr>
        <w:pStyle w:val="Bibliography"/>
        <w:ind w:left="720" w:hanging="810"/>
      </w:pPr>
      <w:bookmarkStart w:id="317" w:name="ref-mead2012"/>
      <w:bookmarkEnd w:id="316"/>
      <w:r>
        <w:t xml:space="preserve">Mead, E., Roser-Renouf, C., Rimal, R. N., Flora, J. A., Maibach, E. W., &amp; Leiserowitz, A. (2012). Information seeking about global climate change among adolescents: The role of risk perceptions, efficacy beliefs, and parental influences. </w:t>
      </w:r>
      <w:r>
        <w:rPr>
          <w:i/>
          <w:iCs/>
        </w:rPr>
        <w:t>Atlantic Journal of Communication</w:t>
      </w:r>
      <w:r>
        <w:t xml:space="preserve">, </w:t>
      </w:r>
      <w:r>
        <w:rPr>
          <w:i/>
          <w:iCs/>
        </w:rPr>
        <w:t>20</w:t>
      </w:r>
      <w:r>
        <w:t xml:space="preserve">(1), 31–52. </w:t>
      </w:r>
      <w:hyperlink r:id="rId241">
        <w:r>
          <w:rPr>
            <w:rStyle w:val="Hyperlink"/>
          </w:rPr>
          <w:t>https://doi.org/10.1080/15456870.2012.637027</w:t>
        </w:r>
      </w:hyperlink>
    </w:p>
    <w:p w14:paraId="6CA764A4" w14:textId="77777777" w:rsidR="0033629A" w:rsidRDefault="004409CB" w:rsidP="009E3272">
      <w:pPr>
        <w:pStyle w:val="Bibliography"/>
        <w:ind w:left="720" w:hanging="810"/>
      </w:pPr>
      <w:bookmarkStart w:id="318" w:name="ref-meng1992"/>
      <w:bookmarkEnd w:id="317"/>
      <w:r>
        <w:t xml:space="preserve">Meng, X.-L., &amp; Rubin, D. B. (1992). </w:t>
      </w:r>
      <w:r>
        <w:rPr>
          <w:i/>
          <w:iCs/>
        </w:rPr>
        <w:t xml:space="preserve">Performing likelihood ratio tests with </w:t>
      </w:r>
      <w:proofErr w:type="gramStart"/>
      <w:r>
        <w:rPr>
          <w:i/>
          <w:iCs/>
        </w:rPr>
        <w:t>multiply-imputed</w:t>
      </w:r>
      <w:proofErr w:type="gramEnd"/>
      <w:r>
        <w:rPr>
          <w:i/>
          <w:iCs/>
        </w:rPr>
        <w:t xml:space="preserve"> data sets</w:t>
      </w:r>
      <w:r>
        <w:t>. 9.</w:t>
      </w:r>
    </w:p>
    <w:p w14:paraId="6CCCE288" w14:textId="77777777" w:rsidR="0033629A" w:rsidRDefault="004409CB" w:rsidP="009E3272">
      <w:pPr>
        <w:pStyle w:val="Bibliography"/>
        <w:ind w:left="720" w:hanging="810"/>
      </w:pPr>
      <w:bookmarkStart w:id="319" w:name="ref-mitchell2012"/>
      <w:bookmarkEnd w:id="318"/>
      <w:r>
        <w:t xml:space="preserve">Mitchell, R. B. (2012). Technology is not enough: Climate change, population, affluence, and consumption. </w:t>
      </w:r>
      <w:r>
        <w:rPr>
          <w:i/>
          <w:iCs/>
        </w:rPr>
        <w:t>The Journal of Environment &amp; Development</w:t>
      </w:r>
      <w:r>
        <w:t xml:space="preserve">, </w:t>
      </w:r>
      <w:r>
        <w:rPr>
          <w:i/>
          <w:iCs/>
        </w:rPr>
        <w:t>21</w:t>
      </w:r>
      <w:r>
        <w:t xml:space="preserve">(1), 24–27. </w:t>
      </w:r>
      <w:hyperlink r:id="rId242">
        <w:r>
          <w:rPr>
            <w:rStyle w:val="Hyperlink"/>
          </w:rPr>
          <w:t>https://doi.org/10.1177/1070496511435670</w:t>
        </w:r>
      </w:hyperlink>
    </w:p>
    <w:p w14:paraId="0B1B7E76" w14:textId="77777777" w:rsidR="0033629A" w:rsidRDefault="004409CB" w:rsidP="009E3272">
      <w:pPr>
        <w:pStyle w:val="Bibliography"/>
        <w:ind w:left="720" w:hanging="810"/>
      </w:pPr>
      <w:bookmarkStart w:id="320" w:name="ref-mitlin2013"/>
      <w:bookmarkEnd w:id="319"/>
      <w:r>
        <w:t xml:space="preserve">Mitlin, D., &amp; Satterthwaite, D. (2013). </w:t>
      </w:r>
      <w:r>
        <w:rPr>
          <w:i/>
          <w:iCs/>
        </w:rPr>
        <w:t>Urban poverty in the global south: Scale and nature</w:t>
      </w:r>
      <w:r>
        <w:t>. Routledge.</w:t>
      </w:r>
    </w:p>
    <w:p w14:paraId="38CF1C81" w14:textId="77777777" w:rsidR="0033629A" w:rsidRDefault="004409CB" w:rsidP="009E3272">
      <w:pPr>
        <w:pStyle w:val="Bibliography"/>
        <w:ind w:left="720" w:hanging="810"/>
      </w:pPr>
      <w:bookmarkStart w:id="321" w:name="ref-monroe2013"/>
      <w:bookmarkEnd w:id="320"/>
      <w:r>
        <w:lastRenderedPageBreak/>
        <w:t xml:space="preserve">Monroe, M. C., Oxarart, A., &amp; Plate, R. R. (2013). A role for environmental education in climate change for secondary science educators. </w:t>
      </w:r>
      <w:r>
        <w:rPr>
          <w:i/>
          <w:iCs/>
        </w:rPr>
        <w:t>Applied Environmental Education &amp; Communication</w:t>
      </w:r>
      <w:r>
        <w:t xml:space="preserve">, </w:t>
      </w:r>
      <w:r>
        <w:rPr>
          <w:i/>
          <w:iCs/>
        </w:rPr>
        <w:t>12</w:t>
      </w:r>
      <w:r>
        <w:t xml:space="preserve">(1), 4–18. </w:t>
      </w:r>
      <w:hyperlink r:id="rId243">
        <w:r>
          <w:rPr>
            <w:rStyle w:val="Hyperlink"/>
          </w:rPr>
          <w:t>https://doi.org/10.1080/1533015X.2013.795827</w:t>
        </w:r>
      </w:hyperlink>
    </w:p>
    <w:p w14:paraId="7C855E12" w14:textId="77777777" w:rsidR="0033629A" w:rsidRDefault="004409CB" w:rsidP="009E3272">
      <w:pPr>
        <w:pStyle w:val="Bibliography"/>
        <w:ind w:left="720" w:hanging="810"/>
      </w:pPr>
      <w:bookmarkStart w:id="322" w:name="ref-monroe2019"/>
      <w:bookmarkEnd w:id="321"/>
      <w:r>
        <w:t xml:space="preserve">Monroe, M. C., Plate, R. R., Oxarart, A., Bowers, A., &amp; Chaves, W. A. (2019). Identifying effective climate change education strategies: A systematic review of the research. </w:t>
      </w:r>
      <w:r>
        <w:rPr>
          <w:i/>
          <w:iCs/>
        </w:rPr>
        <w:t>Environmental Education Research</w:t>
      </w:r>
      <w:r>
        <w:t xml:space="preserve">, </w:t>
      </w:r>
      <w:r>
        <w:rPr>
          <w:i/>
          <w:iCs/>
        </w:rPr>
        <w:t>25</w:t>
      </w:r>
      <w:r>
        <w:t xml:space="preserve">(6), 791–812. </w:t>
      </w:r>
      <w:hyperlink r:id="rId244">
        <w:r>
          <w:rPr>
            <w:rStyle w:val="Hyperlink"/>
          </w:rPr>
          <w:t>https://doi.org/10.1080/13504622.2017.1360842</w:t>
        </w:r>
      </w:hyperlink>
    </w:p>
    <w:p w14:paraId="2376D73F" w14:textId="77777777" w:rsidR="0033629A" w:rsidRDefault="004409CB" w:rsidP="009E3272">
      <w:pPr>
        <w:pStyle w:val="Bibliography"/>
        <w:ind w:left="720" w:hanging="810"/>
      </w:pPr>
      <w:bookmarkStart w:id="323" w:name="ref-monslave2020"/>
      <w:bookmarkEnd w:id="322"/>
      <w:r>
        <w:t xml:space="preserve">Monslave, C., &amp; Watsa, K. (2020, May 12). </w:t>
      </w:r>
      <w:r>
        <w:rPr>
          <w:i/>
          <w:iCs/>
        </w:rPr>
        <w:t>Human capital and climate action: Outcomes that deliver for people and planet</w:t>
      </w:r>
      <w:r>
        <w:t>.</w:t>
      </w:r>
    </w:p>
    <w:p w14:paraId="212C455C" w14:textId="77777777" w:rsidR="0033629A" w:rsidRDefault="004409CB" w:rsidP="009E3272">
      <w:pPr>
        <w:pStyle w:val="Bibliography"/>
        <w:ind w:left="720" w:hanging="810"/>
      </w:pPr>
      <w:bookmarkStart w:id="324" w:name="ref-hadcrut2021"/>
      <w:bookmarkEnd w:id="323"/>
      <w:r>
        <w:t xml:space="preserve">Morice, C. P., Kennedy, J. J., Rayner, N. A., Winn, J. P., Hogan, E., Killick, R. E., Dunn, R. J. H., Osborn, T. J., Jones, P. D., &amp; Simpson, I. R. (2021). An updated assessment of near-surface temperature change from 1850: The HadCRUT5 data set. </w:t>
      </w:r>
      <w:r>
        <w:rPr>
          <w:i/>
          <w:iCs/>
        </w:rPr>
        <w:t>Journal of Geophysical Research: Atmospheres</w:t>
      </w:r>
      <w:r>
        <w:t xml:space="preserve">, </w:t>
      </w:r>
      <w:r>
        <w:rPr>
          <w:i/>
          <w:iCs/>
        </w:rPr>
        <w:t>126</w:t>
      </w:r>
      <w:r>
        <w:t xml:space="preserve">(3), e2019JD032361. </w:t>
      </w:r>
      <w:hyperlink r:id="rId245">
        <w:r>
          <w:rPr>
            <w:rStyle w:val="Hyperlink"/>
          </w:rPr>
          <w:t>https://doi.org/10.1029/2019JD032361</w:t>
        </w:r>
      </w:hyperlink>
    </w:p>
    <w:p w14:paraId="3A6D9A1D" w14:textId="77777777" w:rsidR="0033629A" w:rsidRDefault="004409CB" w:rsidP="009E3272">
      <w:pPr>
        <w:pStyle w:val="Bibliography"/>
        <w:ind w:left="720" w:hanging="810"/>
      </w:pPr>
      <w:bookmarkStart w:id="325" w:name="ref-nakagawa2017"/>
      <w:bookmarkEnd w:id="324"/>
      <w:r>
        <w:t xml:space="preserve">Nakagawa, S., Johnson, P. C. D., &amp; Schielzeth, H. (2017). The coefficient of determination R2 and intra-class correlation coefficient from generalized linear mixed-effects models revisited and expanded. </w:t>
      </w:r>
      <w:r>
        <w:rPr>
          <w:i/>
          <w:iCs/>
        </w:rPr>
        <w:t>Journal of the Royal Society Interface</w:t>
      </w:r>
      <w:r>
        <w:t>, 11.</w:t>
      </w:r>
    </w:p>
    <w:p w14:paraId="19BE0D26" w14:textId="77777777" w:rsidR="0033629A" w:rsidRDefault="004409CB" w:rsidP="009E3272">
      <w:pPr>
        <w:pStyle w:val="Bibliography"/>
        <w:ind w:left="720" w:hanging="810"/>
      </w:pPr>
      <w:bookmarkStart w:id="326" w:name="X4792cc562eea3c44d7acc8124d4be875b75da02"/>
      <w:bookmarkEnd w:id="325"/>
      <w:r>
        <w:t xml:space="preserve">National Center for Science Education, &amp; Texas Freedom Education Fund. (2020). </w:t>
      </w:r>
      <w:r>
        <w:rPr>
          <w:i/>
          <w:iCs/>
        </w:rPr>
        <w:t>Making the grade? How state public school science standards address climate change</w:t>
      </w:r>
      <w:r>
        <w:t>.</w:t>
      </w:r>
    </w:p>
    <w:p w14:paraId="2B0B30A4" w14:textId="77777777" w:rsidR="0033629A" w:rsidRDefault="004409CB" w:rsidP="009E3272">
      <w:pPr>
        <w:pStyle w:val="Bibliography"/>
        <w:ind w:left="720" w:hanging="810"/>
      </w:pPr>
      <w:bookmarkStart w:id="327" w:name="ref-nces"/>
      <w:bookmarkEnd w:id="326"/>
      <w:r>
        <w:t xml:space="preserve">NCES. (n.d.). </w:t>
      </w:r>
      <w:r>
        <w:rPr>
          <w:i/>
          <w:iCs/>
        </w:rPr>
        <w:t>PISA 2018 science literacy results</w:t>
      </w:r>
      <w:r>
        <w:t>. https://nces.ed.gov/surveys/pisa/pisa2018/index.asp#/science/trends; National Center for Education Statistics.</w:t>
      </w:r>
    </w:p>
    <w:p w14:paraId="6755C224" w14:textId="77777777" w:rsidR="0033629A" w:rsidRDefault="004409CB" w:rsidP="009E3272">
      <w:pPr>
        <w:pStyle w:val="Bibliography"/>
        <w:ind w:left="720" w:hanging="810"/>
      </w:pPr>
      <w:bookmarkStart w:id="328" w:name="ref-newman2016"/>
      <w:bookmarkEnd w:id="327"/>
      <w:r>
        <w:lastRenderedPageBreak/>
        <w:t xml:space="preserve">Newman, T. P., &amp; Fernandes, R. (2016). A re-assessment of factors associated with environmental concern and behavior using the 2010 General Social Survey. </w:t>
      </w:r>
      <w:r>
        <w:rPr>
          <w:i/>
          <w:iCs/>
        </w:rPr>
        <w:t>Environmental Education Research</w:t>
      </w:r>
      <w:r>
        <w:t xml:space="preserve">, </w:t>
      </w:r>
      <w:r>
        <w:rPr>
          <w:i/>
          <w:iCs/>
        </w:rPr>
        <w:t>22</w:t>
      </w:r>
      <w:r>
        <w:t xml:space="preserve">(2), 153–175. </w:t>
      </w:r>
      <w:hyperlink r:id="rId246">
        <w:r>
          <w:rPr>
            <w:rStyle w:val="Hyperlink"/>
          </w:rPr>
          <w:t>https://doi.org/10.1080/13504622.2014.999227</w:t>
        </w:r>
      </w:hyperlink>
    </w:p>
    <w:p w14:paraId="6005D29E" w14:textId="77777777" w:rsidR="0033629A" w:rsidRDefault="004409CB" w:rsidP="009E3272">
      <w:pPr>
        <w:pStyle w:val="Bibliography"/>
        <w:ind w:left="720" w:hanging="810"/>
      </w:pPr>
      <w:bookmarkStart w:id="329" w:name="ref-nicholas2021"/>
      <w:bookmarkEnd w:id="328"/>
      <w:r>
        <w:t xml:space="preserve">Nicholas, K. (2021). </w:t>
      </w:r>
      <w:r>
        <w:rPr>
          <w:i/>
          <w:iCs/>
        </w:rPr>
        <w:t>Under the sky we make: How to be human in a warming world</w:t>
      </w:r>
      <w:r>
        <w:t>. G.P. Putnam’s Sons.</w:t>
      </w:r>
    </w:p>
    <w:p w14:paraId="5A6DD4AF" w14:textId="77777777" w:rsidR="0033629A" w:rsidRDefault="004409CB" w:rsidP="009E3272">
      <w:pPr>
        <w:pStyle w:val="Bibliography"/>
        <w:ind w:left="720" w:hanging="810"/>
      </w:pPr>
      <w:bookmarkStart w:id="330" w:name="ref-nielsen2021"/>
      <w:bookmarkEnd w:id="329"/>
      <w:r>
        <w:t xml:space="preserve">Nielsen, K. S., Nicholas, K. A., Creutzig, F., Dietz, T., &amp; Stern, P. C. (2021). The role of high-socioeconomic-status people in locking in or rapidly reducing energy-driven greenhouse gas emissions. </w:t>
      </w:r>
      <w:r>
        <w:rPr>
          <w:i/>
          <w:iCs/>
        </w:rPr>
        <w:t>Nature Energy</w:t>
      </w:r>
      <w:r>
        <w:t xml:space="preserve">, 1–6. </w:t>
      </w:r>
      <w:hyperlink r:id="rId247">
        <w:r>
          <w:rPr>
            <w:rStyle w:val="Hyperlink"/>
          </w:rPr>
          <w:t>https://doi.org/10.1038/s41560-021-00900-y</w:t>
        </w:r>
      </w:hyperlink>
    </w:p>
    <w:p w14:paraId="42851CE2" w14:textId="77777777" w:rsidR="0033629A" w:rsidRDefault="004409CB" w:rsidP="009E3272">
      <w:pPr>
        <w:pStyle w:val="Bibliography"/>
        <w:ind w:left="720" w:hanging="810"/>
      </w:pPr>
      <w:bookmarkStart w:id="331" w:name="ref-nissen2021"/>
      <w:bookmarkEnd w:id="330"/>
      <w:r>
        <w:t xml:space="preserve">Nissen, S., Wong, J. H. K., &amp; Carlton, S. (2021). Children and young people’s climate crisis </w:t>
      </w:r>
      <w:proofErr w:type="gramStart"/>
      <w:r>
        <w:t>activism  a</w:t>
      </w:r>
      <w:proofErr w:type="gramEnd"/>
      <w:r>
        <w:t xml:space="preserve"> perspective on long-term effects. </w:t>
      </w:r>
      <w:r>
        <w:rPr>
          <w:i/>
          <w:iCs/>
        </w:rPr>
        <w:t>Children’s Geographies</w:t>
      </w:r>
      <w:r>
        <w:t xml:space="preserve">, </w:t>
      </w:r>
      <w:r>
        <w:rPr>
          <w:i/>
          <w:iCs/>
        </w:rPr>
        <w:t>19</w:t>
      </w:r>
      <w:r>
        <w:t xml:space="preserve">(3), 317–323. </w:t>
      </w:r>
      <w:hyperlink r:id="rId248">
        <w:r>
          <w:rPr>
            <w:rStyle w:val="Hyperlink"/>
          </w:rPr>
          <w:t>https://doi.org/10.1080/14733285.2020.1812535</w:t>
        </w:r>
      </w:hyperlink>
    </w:p>
    <w:p w14:paraId="07B1E5BE" w14:textId="77777777" w:rsidR="0033629A" w:rsidRDefault="004409CB" w:rsidP="009E3272">
      <w:pPr>
        <w:pStyle w:val="Bibliography"/>
        <w:ind w:left="720" w:hanging="810"/>
      </w:pPr>
      <w:bookmarkStart w:id="332" w:name="ref-noll2020"/>
      <w:bookmarkEnd w:id="331"/>
      <w:r>
        <w:t xml:space="preserve">Noll, B., Filatova, T., &amp; Need, A. (2020). How does private adaptation motivation to climate change vary across cultures? Evidence from a meta-analysis. </w:t>
      </w:r>
      <w:r>
        <w:rPr>
          <w:i/>
          <w:iCs/>
        </w:rPr>
        <w:t>International Journal of Disaster Risk Reduction</w:t>
      </w:r>
      <w:r>
        <w:t xml:space="preserve">, </w:t>
      </w:r>
      <w:r>
        <w:rPr>
          <w:i/>
          <w:iCs/>
        </w:rPr>
        <w:t>46</w:t>
      </w:r>
      <w:r>
        <w:t xml:space="preserve">, 101615. </w:t>
      </w:r>
      <w:hyperlink r:id="rId249">
        <w:r>
          <w:rPr>
            <w:rStyle w:val="Hyperlink"/>
          </w:rPr>
          <w:t>https://doi.org/10.1016/j.ijdrr.2020.101615</w:t>
        </w:r>
      </w:hyperlink>
    </w:p>
    <w:p w14:paraId="4EC7631E" w14:textId="77777777" w:rsidR="0033629A" w:rsidRDefault="004409CB" w:rsidP="009E3272">
      <w:pPr>
        <w:pStyle w:val="Bibliography"/>
        <w:ind w:left="720" w:hanging="810"/>
      </w:pPr>
      <w:bookmarkStart w:id="333" w:name="ref-norgaard2005"/>
      <w:bookmarkEnd w:id="332"/>
      <w:r>
        <w:t xml:space="preserve">Norgaard, K., &amp; York, R. (2005). Gender equality and state environmentalism. </w:t>
      </w:r>
      <w:r>
        <w:rPr>
          <w:i/>
          <w:iCs/>
        </w:rPr>
        <w:t>Gender &amp; Society</w:t>
      </w:r>
      <w:r>
        <w:t xml:space="preserve">, </w:t>
      </w:r>
      <w:r>
        <w:rPr>
          <w:i/>
          <w:iCs/>
        </w:rPr>
        <w:t>19</w:t>
      </w:r>
      <w:r>
        <w:t xml:space="preserve">(4), 506–522. </w:t>
      </w:r>
      <w:hyperlink r:id="rId250">
        <w:r>
          <w:rPr>
            <w:rStyle w:val="Hyperlink"/>
          </w:rPr>
          <w:t>https://doi.org/10.1177/0891243204273612</w:t>
        </w:r>
      </w:hyperlink>
    </w:p>
    <w:p w14:paraId="52325F79" w14:textId="77777777" w:rsidR="0033629A" w:rsidRDefault="004409CB" w:rsidP="009E3272">
      <w:pPr>
        <w:pStyle w:val="Bibliography"/>
        <w:ind w:left="720" w:hanging="810"/>
      </w:pPr>
      <w:bookmarkStart w:id="334" w:name="ref-oconnorRiskPerceptionsGeneral1999"/>
      <w:bookmarkEnd w:id="333"/>
      <w:r>
        <w:t xml:space="preserve">O’Connor, R. E., Bard, R. J., &amp; Fisher, A. (1999). Risk Perceptions, General Environmental Beliefs, and Willingness to Address Climate Change. </w:t>
      </w:r>
      <w:r>
        <w:rPr>
          <w:i/>
          <w:iCs/>
        </w:rPr>
        <w:t>Risk Analysis</w:t>
      </w:r>
      <w:r>
        <w:t xml:space="preserve">, </w:t>
      </w:r>
      <w:r>
        <w:rPr>
          <w:i/>
          <w:iCs/>
        </w:rPr>
        <w:t>19</w:t>
      </w:r>
      <w:r>
        <w:t xml:space="preserve">(3), 461–471. </w:t>
      </w:r>
      <w:hyperlink r:id="rId251">
        <w:r>
          <w:rPr>
            <w:rStyle w:val="Hyperlink"/>
          </w:rPr>
          <w:t>https://doi.org/10.1111/j.1539-6924.1999.tb00421.x</w:t>
        </w:r>
      </w:hyperlink>
    </w:p>
    <w:p w14:paraId="71857C2C" w14:textId="77777777" w:rsidR="0033629A" w:rsidRDefault="004409CB" w:rsidP="009E3272">
      <w:pPr>
        <w:pStyle w:val="Bibliography"/>
        <w:ind w:left="720" w:hanging="810"/>
      </w:pPr>
      <w:bookmarkStart w:id="335" w:name="ref-oecdlist"/>
      <w:bookmarkEnd w:id="334"/>
      <w:r>
        <w:t xml:space="preserve">OECD. (n.d.). </w:t>
      </w:r>
      <w:r>
        <w:rPr>
          <w:i/>
          <w:iCs/>
        </w:rPr>
        <w:t>List of OECD Member countries</w:t>
      </w:r>
      <w:r>
        <w:t>. https://www.oecd.org/about/document/ratification-oecd-convention.htm.</w:t>
      </w:r>
    </w:p>
    <w:p w14:paraId="28F98E4F" w14:textId="77777777" w:rsidR="0033629A" w:rsidRDefault="004409CB" w:rsidP="009E3272">
      <w:pPr>
        <w:pStyle w:val="Bibliography"/>
        <w:ind w:left="720" w:hanging="810"/>
      </w:pPr>
      <w:bookmarkStart w:id="336" w:name="ref-oecd2012"/>
      <w:bookmarkEnd w:id="335"/>
      <w:r>
        <w:lastRenderedPageBreak/>
        <w:t xml:space="preserve">OECD. (2012). </w:t>
      </w:r>
      <w:r>
        <w:rPr>
          <w:i/>
          <w:iCs/>
        </w:rPr>
        <w:t>PISA 2009 technical report</w:t>
      </w:r>
      <w:r>
        <w:t xml:space="preserve">. OECD. </w:t>
      </w:r>
      <w:hyperlink r:id="rId252">
        <w:r>
          <w:rPr>
            <w:rStyle w:val="Hyperlink"/>
          </w:rPr>
          <w:t>https://doi.org/10.1787/9789264167872-en</w:t>
        </w:r>
      </w:hyperlink>
    </w:p>
    <w:p w14:paraId="08D53CF3" w14:textId="77777777" w:rsidR="0033629A" w:rsidRDefault="004409CB" w:rsidP="009E3272">
      <w:pPr>
        <w:pStyle w:val="Bibliography"/>
        <w:ind w:left="720" w:hanging="810"/>
      </w:pPr>
      <w:bookmarkStart w:id="337" w:name="ref-oecd2019"/>
      <w:bookmarkEnd w:id="336"/>
      <w:r>
        <w:t xml:space="preserve">OECD. (2019a). </w:t>
      </w:r>
      <w:r>
        <w:rPr>
          <w:i/>
          <w:iCs/>
        </w:rPr>
        <w:t>PISA 2018 assessment and analytical framework</w:t>
      </w:r>
      <w:r>
        <w:t xml:space="preserve">. OECD. </w:t>
      </w:r>
      <w:hyperlink r:id="rId253">
        <w:r>
          <w:rPr>
            <w:rStyle w:val="Hyperlink"/>
          </w:rPr>
          <w:t>https://doi.org/10.1787/b25efab8-en</w:t>
        </w:r>
      </w:hyperlink>
    </w:p>
    <w:p w14:paraId="778FFE5B" w14:textId="77777777" w:rsidR="0033629A" w:rsidRDefault="004409CB" w:rsidP="009E3272">
      <w:pPr>
        <w:pStyle w:val="Bibliography"/>
        <w:ind w:left="720" w:hanging="810"/>
      </w:pPr>
      <w:bookmarkStart w:id="338" w:name="ref-oecd2017"/>
      <w:bookmarkEnd w:id="337"/>
      <w:r>
        <w:t xml:space="preserve">OECD. (2017a). </w:t>
      </w:r>
      <w:r>
        <w:rPr>
          <w:i/>
          <w:iCs/>
        </w:rPr>
        <w:t>PISA 2015 assessment and analytical framework: Science, reading, mathematic, financial literacy and collaborative problem solving</w:t>
      </w:r>
      <w:r>
        <w:t xml:space="preserve">. OECD. </w:t>
      </w:r>
      <w:hyperlink r:id="rId254">
        <w:r>
          <w:rPr>
            <w:rStyle w:val="Hyperlink"/>
          </w:rPr>
          <w:t>https://doi.org/10.1787/9789264281820-en</w:t>
        </w:r>
      </w:hyperlink>
    </w:p>
    <w:p w14:paraId="6A1DDF38" w14:textId="77777777" w:rsidR="0033629A" w:rsidRDefault="004409CB" w:rsidP="009E3272">
      <w:pPr>
        <w:pStyle w:val="Bibliography"/>
        <w:ind w:left="720" w:hanging="810"/>
      </w:pPr>
      <w:bookmarkStart w:id="339" w:name="ref-oecd2001a"/>
      <w:bookmarkEnd w:id="338"/>
      <w:r>
        <w:t xml:space="preserve">OECD. (2001). </w:t>
      </w:r>
      <w:r>
        <w:rPr>
          <w:i/>
          <w:iCs/>
        </w:rPr>
        <w:t>Knowledge and Skills for Life: First Results from PISA 2000</w:t>
      </w:r>
      <w:r>
        <w:t xml:space="preserve">. OECD. </w:t>
      </w:r>
      <w:hyperlink r:id="rId255">
        <w:r>
          <w:rPr>
            <w:rStyle w:val="Hyperlink"/>
          </w:rPr>
          <w:t>https://doi.org/10.1787/9789264195905-en</w:t>
        </w:r>
      </w:hyperlink>
    </w:p>
    <w:p w14:paraId="1709526B" w14:textId="77777777" w:rsidR="0033629A" w:rsidRDefault="004409CB" w:rsidP="009E3272">
      <w:pPr>
        <w:pStyle w:val="Bibliography"/>
        <w:ind w:left="720" w:hanging="810"/>
      </w:pPr>
      <w:bookmarkStart w:id="340" w:name="ref-oecd2019a"/>
      <w:bookmarkEnd w:id="339"/>
      <w:r>
        <w:t xml:space="preserve">OECD. (2019b). </w:t>
      </w:r>
      <w:r>
        <w:rPr>
          <w:i/>
          <w:iCs/>
        </w:rPr>
        <w:t>PISA 2018 Results (Volume I): What Students Know and Can Do</w:t>
      </w:r>
      <w:r>
        <w:t xml:space="preserve">. OECD. </w:t>
      </w:r>
      <w:hyperlink r:id="rId256">
        <w:r>
          <w:rPr>
            <w:rStyle w:val="Hyperlink"/>
          </w:rPr>
          <w:t>https://doi.org/10.1787/5f07c754-en</w:t>
        </w:r>
      </w:hyperlink>
    </w:p>
    <w:p w14:paraId="5BAB9C00" w14:textId="77777777" w:rsidR="0033629A" w:rsidRDefault="004409CB" w:rsidP="009E3272">
      <w:pPr>
        <w:pStyle w:val="Bibliography"/>
        <w:ind w:left="720" w:hanging="810"/>
      </w:pPr>
      <w:bookmarkStart w:id="341" w:name="ref-pisa2006"/>
      <w:bookmarkEnd w:id="340"/>
      <w:r>
        <w:t xml:space="preserve">OECD. (2006). </w:t>
      </w:r>
      <w:r>
        <w:rPr>
          <w:i/>
          <w:iCs/>
        </w:rPr>
        <w:t xml:space="preserve">Assessing scientific, </w:t>
      </w:r>
      <w:proofErr w:type="gramStart"/>
      <w:r>
        <w:rPr>
          <w:i/>
          <w:iCs/>
        </w:rPr>
        <w:t>reading</w:t>
      </w:r>
      <w:proofErr w:type="gramEnd"/>
      <w:r>
        <w:rPr>
          <w:i/>
          <w:iCs/>
        </w:rPr>
        <w:t xml:space="preserve"> and mathematical literacy: A framework for PISA 2006</w:t>
      </w:r>
      <w:r>
        <w:t>. OECD.</w:t>
      </w:r>
    </w:p>
    <w:p w14:paraId="618C90A1" w14:textId="77777777" w:rsidR="0033629A" w:rsidRDefault="004409CB" w:rsidP="009E3272">
      <w:pPr>
        <w:pStyle w:val="Bibliography"/>
        <w:ind w:left="720" w:hanging="810"/>
      </w:pPr>
      <w:bookmarkStart w:id="342" w:name="ref-oecd2009"/>
      <w:bookmarkEnd w:id="341"/>
      <w:r>
        <w:t xml:space="preserve">OECD (Ed.). (2009a). </w:t>
      </w:r>
      <w:r>
        <w:rPr>
          <w:i/>
          <w:iCs/>
        </w:rPr>
        <w:t>PISA 2006 Technical report</w:t>
      </w:r>
      <w:r>
        <w:t>. OECD.</w:t>
      </w:r>
    </w:p>
    <w:p w14:paraId="68954827" w14:textId="77777777" w:rsidR="0033629A" w:rsidRDefault="004409CB" w:rsidP="009E3272">
      <w:pPr>
        <w:pStyle w:val="Bibliography"/>
        <w:ind w:left="720" w:hanging="810"/>
      </w:pPr>
      <w:bookmarkStart w:id="343" w:name="ref-oecd2009a"/>
      <w:bookmarkEnd w:id="342"/>
      <w:r>
        <w:t xml:space="preserve">OECD. (2009b). </w:t>
      </w:r>
      <w:r>
        <w:rPr>
          <w:i/>
          <w:iCs/>
        </w:rPr>
        <w:t>PISA data analysis manual. SPSS</w:t>
      </w:r>
      <w:r>
        <w:t xml:space="preserve"> (2nd ed). OECD.</w:t>
      </w:r>
    </w:p>
    <w:p w14:paraId="41FDEDF0" w14:textId="77777777" w:rsidR="0033629A" w:rsidRDefault="004409CB" w:rsidP="009E3272">
      <w:pPr>
        <w:pStyle w:val="Bibliography"/>
        <w:ind w:left="720" w:hanging="810"/>
      </w:pPr>
      <w:bookmarkStart w:id="344" w:name="ref-oecd2015"/>
      <w:bookmarkEnd w:id="343"/>
      <w:r>
        <w:t xml:space="preserve">OECD. (2015). </w:t>
      </w:r>
      <w:r>
        <w:rPr>
          <w:i/>
          <w:iCs/>
        </w:rPr>
        <w:t>PISA 2012 technical report</w:t>
      </w:r>
      <w:r>
        <w:t>.</w:t>
      </w:r>
    </w:p>
    <w:p w14:paraId="459DEDFF" w14:textId="77777777" w:rsidR="0033629A" w:rsidRDefault="004409CB" w:rsidP="009E3272">
      <w:pPr>
        <w:pStyle w:val="Bibliography"/>
        <w:ind w:left="720" w:hanging="810"/>
      </w:pPr>
      <w:bookmarkStart w:id="345" w:name="ref-oecd2017a"/>
      <w:bookmarkEnd w:id="344"/>
      <w:r>
        <w:t xml:space="preserve">OECD. (2017b). </w:t>
      </w:r>
      <w:r>
        <w:rPr>
          <w:i/>
          <w:iCs/>
        </w:rPr>
        <w:t>PISA 2015 technical report</w:t>
      </w:r>
      <w:r>
        <w:t>. OECD.</w:t>
      </w:r>
    </w:p>
    <w:p w14:paraId="56C0395C" w14:textId="77777777" w:rsidR="0033629A" w:rsidRDefault="004409CB" w:rsidP="009E3272">
      <w:pPr>
        <w:pStyle w:val="Bibliography"/>
        <w:ind w:left="720" w:hanging="810"/>
      </w:pPr>
      <w:bookmarkStart w:id="346" w:name="ref-ojala2015"/>
      <w:bookmarkEnd w:id="345"/>
      <w:r>
        <w:t xml:space="preserve">Ojala, M. (2015). Climate change skepticism among adolescents. </w:t>
      </w:r>
      <w:r>
        <w:rPr>
          <w:i/>
          <w:iCs/>
        </w:rPr>
        <w:t>Journal of Youth Studies</w:t>
      </w:r>
      <w:r>
        <w:t xml:space="preserve">, </w:t>
      </w:r>
      <w:r>
        <w:rPr>
          <w:i/>
          <w:iCs/>
        </w:rPr>
        <w:t>18</w:t>
      </w:r>
      <w:r>
        <w:t xml:space="preserve">(9), 1135–1153. </w:t>
      </w:r>
      <w:hyperlink r:id="rId257">
        <w:r>
          <w:rPr>
            <w:rStyle w:val="Hyperlink"/>
          </w:rPr>
          <w:t>https://doi.org/10.1080/13676261.2015.1020927</w:t>
        </w:r>
      </w:hyperlink>
    </w:p>
    <w:p w14:paraId="27656394" w14:textId="77777777" w:rsidR="0033629A" w:rsidRDefault="004409CB" w:rsidP="009E3272">
      <w:pPr>
        <w:pStyle w:val="Bibliography"/>
        <w:ind w:left="720" w:hanging="810"/>
      </w:pPr>
      <w:bookmarkStart w:id="347" w:name="ref-oliver2020"/>
      <w:bookmarkEnd w:id="346"/>
      <w:r>
        <w:t xml:space="preserve">Oliver, M. C., &amp; Adkins, M. J. (2020). “Hot-headed” students? Scientific literacy, perceptions and awareness of climate change in </w:t>
      </w:r>
      <w:proofErr w:type="gramStart"/>
      <w:r>
        <w:t>15-year olds</w:t>
      </w:r>
      <w:proofErr w:type="gramEnd"/>
      <w:r>
        <w:t xml:space="preserve"> across 54 countries. </w:t>
      </w:r>
      <w:r>
        <w:rPr>
          <w:i/>
          <w:iCs/>
        </w:rPr>
        <w:t>Energy Research &amp; Social Science</w:t>
      </w:r>
      <w:r>
        <w:t xml:space="preserve">, </w:t>
      </w:r>
      <w:r>
        <w:rPr>
          <w:i/>
          <w:iCs/>
        </w:rPr>
        <w:t>70</w:t>
      </w:r>
      <w:r>
        <w:t xml:space="preserve">, 101641. </w:t>
      </w:r>
      <w:hyperlink r:id="rId258">
        <w:r>
          <w:rPr>
            <w:rStyle w:val="Hyperlink"/>
          </w:rPr>
          <w:t>https://doi.org/10.1016/j.erss.2020.101641</w:t>
        </w:r>
      </w:hyperlink>
    </w:p>
    <w:p w14:paraId="77A9E07B" w14:textId="77777777" w:rsidR="0033629A" w:rsidRDefault="004409CB" w:rsidP="009E3272">
      <w:pPr>
        <w:pStyle w:val="Bibliography"/>
        <w:ind w:left="720" w:hanging="810"/>
      </w:pPr>
      <w:bookmarkStart w:id="348" w:name="ref-oreskes2004"/>
      <w:bookmarkEnd w:id="347"/>
      <w:r>
        <w:lastRenderedPageBreak/>
        <w:t xml:space="preserve">Oreskes, N. (2004). The scientific consensus on climate change. </w:t>
      </w:r>
      <w:r>
        <w:rPr>
          <w:i/>
          <w:iCs/>
        </w:rPr>
        <w:t>Science (New York, N.Y.)</w:t>
      </w:r>
      <w:r>
        <w:t xml:space="preserve">, </w:t>
      </w:r>
      <w:r>
        <w:rPr>
          <w:i/>
          <w:iCs/>
        </w:rPr>
        <w:t>306</w:t>
      </w:r>
      <w:r>
        <w:t xml:space="preserve">(5702), 1686–1686. </w:t>
      </w:r>
      <w:hyperlink r:id="rId259">
        <w:r>
          <w:rPr>
            <w:rStyle w:val="Hyperlink"/>
          </w:rPr>
          <w:t>https://doi.org/10.1126/science.1103618</w:t>
        </w:r>
      </w:hyperlink>
    </w:p>
    <w:p w14:paraId="4B15C5F8" w14:textId="77777777" w:rsidR="0033629A" w:rsidRDefault="004409CB" w:rsidP="009E3272">
      <w:pPr>
        <w:pStyle w:val="Bibliography"/>
        <w:ind w:left="720" w:hanging="810"/>
      </w:pPr>
      <w:bookmarkStart w:id="349" w:name="X0c204b4e703cc2aa0ab9c8c72f9611653360ab8"/>
      <w:bookmarkEnd w:id="348"/>
      <w:r>
        <w:t xml:space="preserve">Organisation for Economic Co-operation and Development (Ed.). (2000). </w:t>
      </w:r>
      <w:r>
        <w:rPr>
          <w:i/>
          <w:iCs/>
        </w:rPr>
        <w:t>Measuring student knowledge and skills: The PISA 2000 assessment of reading, mathematical and scientific literacy</w:t>
      </w:r>
      <w:r>
        <w:t>. Organisation for Economic Co-operation and Development.</w:t>
      </w:r>
    </w:p>
    <w:p w14:paraId="1D589B87" w14:textId="77777777" w:rsidR="0033629A" w:rsidRDefault="004409CB" w:rsidP="009E3272">
      <w:pPr>
        <w:pStyle w:val="Bibliography"/>
        <w:ind w:left="720" w:hanging="810"/>
      </w:pPr>
      <w:bookmarkStart w:id="350" w:name="ref-parth2020"/>
      <w:bookmarkEnd w:id="349"/>
      <w:r>
        <w:t xml:space="preserve">Parth, S., Schickl, M., Keller, L., &amp; Stoetter, J. (2020). Quality childparent relationships and their impact on intergenerational learning and multiplier effects in climate change education. Are we bridging the knowledgeaction gap? </w:t>
      </w:r>
      <w:r>
        <w:rPr>
          <w:i/>
          <w:iCs/>
        </w:rPr>
        <w:t>Sustainability</w:t>
      </w:r>
      <w:r>
        <w:t xml:space="preserve">, </w:t>
      </w:r>
      <w:r>
        <w:rPr>
          <w:i/>
          <w:iCs/>
        </w:rPr>
        <w:t>12</w:t>
      </w:r>
      <w:r>
        <w:t xml:space="preserve">(17), 7030. </w:t>
      </w:r>
      <w:hyperlink r:id="rId260">
        <w:r>
          <w:rPr>
            <w:rStyle w:val="Hyperlink"/>
          </w:rPr>
          <w:t>https://doi.org/10.3390/su12177030</w:t>
        </w:r>
      </w:hyperlink>
    </w:p>
    <w:p w14:paraId="6B535B1D" w14:textId="77777777" w:rsidR="0033629A" w:rsidRDefault="004409CB" w:rsidP="009E3272">
      <w:pPr>
        <w:pStyle w:val="Bibliography"/>
        <w:ind w:left="720" w:hanging="810"/>
      </w:pPr>
      <w:bookmarkStart w:id="351" w:name="ref-pattison2014"/>
      <w:bookmarkEnd w:id="350"/>
      <w:r>
        <w:t xml:space="preserve">Pattison, A., Habans, R., &amp; Clement, M. T. (2014). Ecological modernization or aristocratic conservation? Exploring the impact of affluence on carbon emissions at the local level. </w:t>
      </w:r>
      <w:r>
        <w:rPr>
          <w:i/>
          <w:iCs/>
        </w:rPr>
        <w:t>Society &amp; Natural Resources</w:t>
      </w:r>
      <w:r>
        <w:t xml:space="preserve">, </w:t>
      </w:r>
      <w:r>
        <w:rPr>
          <w:i/>
          <w:iCs/>
        </w:rPr>
        <w:t>27</w:t>
      </w:r>
      <w:r>
        <w:t xml:space="preserve">(8), 850–866. </w:t>
      </w:r>
      <w:hyperlink r:id="rId261">
        <w:r>
          <w:rPr>
            <w:rStyle w:val="Hyperlink"/>
          </w:rPr>
          <w:t>https://doi.org/10.1080/08941920.2014.911996</w:t>
        </w:r>
      </w:hyperlink>
    </w:p>
    <w:p w14:paraId="77DB55E7" w14:textId="77777777" w:rsidR="0033629A" w:rsidRDefault="004409CB" w:rsidP="009E3272">
      <w:pPr>
        <w:pStyle w:val="Bibliography"/>
        <w:ind w:left="720" w:hanging="810"/>
      </w:pPr>
      <w:bookmarkStart w:id="352" w:name="ref-pelham2018"/>
      <w:bookmarkEnd w:id="351"/>
      <w:r>
        <w:t xml:space="preserve">Pelham, B. W. (2018). Not in my back yard: Egocentrism and climate change skepticism across the globe. </w:t>
      </w:r>
      <w:r>
        <w:rPr>
          <w:i/>
          <w:iCs/>
        </w:rPr>
        <w:t>Environmental Science &amp; Policy</w:t>
      </w:r>
      <w:r>
        <w:t xml:space="preserve">, </w:t>
      </w:r>
      <w:r>
        <w:rPr>
          <w:i/>
          <w:iCs/>
        </w:rPr>
        <w:t>89</w:t>
      </w:r>
      <w:r>
        <w:t xml:space="preserve">, 421–429. </w:t>
      </w:r>
      <w:hyperlink r:id="rId262">
        <w:r>
          <w:rPr>
            <w:rStyle w:val="Hyperlink"/>
          </w:rPr>
          <w:t>https://doi.org/10.1016/j.envsci.2018.09.004</w:t>
        </w:r>
      </w:hyperlink>
    </w:p>
    <w:p w14:paraId="347B6E30" w14:textId="77777777" w:rsidR="0033629A" w:rsidRDefault="004409CB" w:rsidP="009E3272">
      <w:pPr>
        <w:pStyle w:val="Bibliography"/>
        <w:ind w:left="720" w:hanging="810"/>
      </w:pPr>
      <w:bookmarkStart w:id="353" w:name="ref-mm2021"/>
      <w:bookmarkEnd w:id="352"/>
      <w:r>
        <w:t xml:space="preserve">Pemstein, D., Marquardt, K. L., Tzelgov, E., Wang, Y., Medzihorsky, J., Krusell, J., Miri, F., &amp; von Römer, J. (2021). The v-dem measurement model: Latent variable analysis for cross-national and cross-temporal expert-coded data. </w:t>
      </w:r>
      <w:r>
        <w:rPr>
          <w:i/>
          <w:iCs/>
        </w:rPr>
        <w:t>Varieties of Democracy Institute Working Paper</w:t>
      </w:r>
      <w:r>
        <w:t xml:space="preserve">, </w:t>
      </w:r>
      <w:r>
        <w:rPr>
          <w:i/>
          <w:iCs/>
        </w:rPr>
        <w:t>21</w:t>
      </w:r>
      <w:r>
        <w:t>(6th Ed).</w:t>
      </w:r>
    </w:p>
    <w:p w14:paraId="7E3EF73C" w14:textId="77777777" w:rsidR="0033629A" w:rsidRDefault="004409CB" w:rsidP="009E3272">
      <w:pPr>
        <w:pStyle w:val="Bibliography"/>
        <w:ind w:left="720" w:hanging="810"/>
      </w:pPr>
      <w:bookmarkStart w:id="354" w:name="ref-peterson2019"/>
      <w:bookmarkEnd w:id="353"/>
      <w:r>
        <w:t xml:space="preserve">Peterson, M. N., Stevenson, K. T., &amp; Lawson, D. F. (2019). Reviewing how intergenerational learning can help conservation biology face its greatest challenge. </w:t>
      </w:r>
      <w:r>
        <w:rPr>
          <w:i/>
          <w:iCs/>
        </w:rPr>
        <w:t>Biological Conservation</w:t>
      </w:r>
      <w:r>
        <w:t xml:space="preserve">, </w:t>
      </w:r>
      <w:r>
        <w:rPr>
          <w:i/>
          <w:iCs/>
        </w:rPr>
        <w:t>235</w:t>
      </w:r>
      <w:r>
        <w:t xml:space="preserve">, 290–294. </w:t>
      </w:r>
      <w:hyperlink r:id="rId263">
        <w:r>
          <w:rPr>
            <w:rStyle w:val="Hyperlink"/>
          </w:rPr>
          <w:t>https://doi.org/10.1016/j.biocon.2019.05.013</w:t>
        </w:r>
      </w:hyperlink>
    </w:p>
    <w:p w14:paraId="509FA3CB" w14:textId="77777777" w:rsidR="0033629A" w:rsidRDefault="004409CB" w:rsidP="009E3272">
      <w:pPr>
        <w:pStyle w:val="Bibliography"/>
        <w:ind w:left="720" w:hanging="810"/>
      </w:pPr>
      <w:bookmarkStart w:id="355" w:name="ref-peugh2010"/>
      <w:bookmarkEnd w:id="354"/>
      <w:r>
        <w:lastRenderedPageBreak/>
        <w:t xml:space="preserve">Peugh, J. L. (2010). A practical guide to multilevel modeling. </w:t>
      </w:r>
      <w:r>
        <w:rPr>
          <w:i/>
          <w:iCs/>
        </w:rPr>
        <w:t>Journal of School Psychology</w:t>
      </w:r>
      <w:r>
        <w:t xml:space="preserve">, </w:t>
      </w:r>
      <w:r>
        <w:rPr>
          <w:i/>
          <w:iCs/>
        </w:rPr>
        <w:t>48</w:t>
      </w:r>
      <w:r>
        <w:t xml:space="preserve">(1), 85–112. </w:t>
      </w:r>
      <w:hyperlink r:id="rId264">
        <w:r>
          <w:rPr>
            <w:rStyle w:val="Hyperlink"/>
          </w:rPr>
          <w:t>https://doi.org/10.1016/j.jsp.2009.09.002</w:t>
        </w:r>
      </w:hyperlink>
    </w:p>
    <w:p w14:paraId="175B8B46" w14:textId="77777777" w:rsidR="0033629A" w:rsidRDefault="004409CB" w:rsidP="009E3272">
      <w:pPr>
        <w:pStyle w:val="Bibliography"/>
        <w:ind w:left="720" w:hanging="810"/>
      </w:pPr>
      <w:bookmarkStart w:id="356" w:name="ref-piquero2016"/>
      <w:bookmarkEnd w:id="355"/>
      <w:r>
        <w:t xml:space="preserve">Piquero, A. R., Paternoster, R., Brame, R., Mazerolle, P., &amp; Piquero, A. (2016). </w:t>
      </w:r>
      <w:r>
        <w:rPr>
          <w:i/>
          <w:iCs/>
        </w:rPr>
        <w:t>Using the correct statistical test for the equality of regression coefficients</w:t>
      </w:r>
      <w:r>
        <w:t>.</w:t>
      </w:r>
    </w:p>
    <w:p w14:paraId="2DFABED1" w14:textId="77777777" w:rsidR="0033629A" w:rsidRDefault="004409CB" w:rsidP="009E3272">
      <w:pPr>
        <w:pStyle w:val="Bibliography"/>
        <w:ind w:left="720" w:hanging="810"/>
      </w:pPr>
      <w:bookmarkStart w:id="357" w:name="ref-povitkina2018"/>
      <w:bookmarkEnd w:id="356"/>
      <w:r>
        <w:t xml:space="preserve">Povitkina, M. (2018). The limits of democracy in tackling climate change. </w:t>
      </w:r>
      <w:r>
        <w:rPr>
          <w:i/>
          <w:iCs/>
        </w:rPr>
        <w:t>Environmental Politics</w:t>
      </w:r>
      <w:r>
        <w:t xml:space="preserve">, </w:t>
      </w:r>
      <w:r>
        <w:rPr>
          <w:i/>
          <w:iCs/>
        </w:rPr>
        <w:t>27</w:t>
      </w:r>
      <w:r>
        <w:t xml:space="preserve">(3), 411–432. </w:t>
      </w:r>
      <w:hyperlink r:id="rId265">
        <w:r>
          <w:rPr>
            <w:rStyle w:val="Hyperlink"/>
          </w:rPr>
          <w:t>https://doi.org/10.1080/09644016.2018.1444723</w:t>
        </w:r>
      </w:hyperlink>
    </w:p>
    <w:p w14:paraId="07772F39" w14:textId="0C5500E7" w:rsidR="0033629A" w:rsidRDefault="004409CB" w:rsidP="009E3272">
      <w:pPr>
        <w:pStyle w:val="Bibliography"/>
        <w:ind w:left="720" w:hanging="810"/>
      </w:pPr>
      <w:bookmarkStart w:id="358" w:name="ref-projectdrawdown2020"/>
      <w:bookmarkEnd w:id="357"/>
      <w:r>
        <w:t xml:space="preserve">Project Drawdown. (2020). Table of </w:t>
      </w:r>
      <w:r w:rsidR="001C6E7A">
        <w:t>s</w:t>
      </w:r>
      <w:r>
        <w:t xml:space="preserve">olutions. In </w:t>
      </w:r>
      <w:r>
        <w:rPr>
          <w:i/>
          <w:iCs/>
        </w:rPr>
        <w:t>Project Drawdown</w:t>
      </w:r>
      <w:r>
        <w:t>. https://drawdown.org/solutions/table-of-solutions.</w:t>
      </w:r>
    </w:p>
    <w:p w14:paraId="025B4247" w14:textId="77777777" w:rsidR="0033629A" w:rsidRDefault="004409CB" w:rsidP="009E3272">
      <w:pPr>
        <w:pStyle w:val="Bibliography"/>
        <w:ind w:left="720" w:hanging="810"/>
      </w:pPr>
      <w:bookmarkStart w:id="359" w:name="ref-pustejovsky2017"/>
      <w:bookmarkEnd w:id="358"/>
      <w:r>
        <w:t xml:space="preserve">Pustejovsky, J. E. (2017). Pooling clubSandwich results across multiple imputations. In </w:t>
      </w:r>
      <w:r>
        <w:rPr>
          <w:i/>
          <w:iCs/>
        </w:rPr>
        <w:t>James E. Pustejovsky</w:t>
      </w:r>
      <w:r>
        <w:t>.</w:t>
      </w:r>
    </w:p>
    <w:p w14:paraId="020A437C" w14:textId="77777777" w:rsidR="0033629A" w:rsidRDefault="004409CB" w:rsidP="009E3272">
      <w:pPr>
        <w:pStyle w:val="Bibliography"/>
        <w:ind w:left="720" w:hanging="810"/>
      </w:pPr>
      <w:bookmarkStart w:id="360" w:name="ref-ranney2016"/>
      <w:bookmarkEnd w:id="359"/>
      <w:r>
        <w:t xml:space="preserve">Ranney, M. A., &amp; Clark, D. (2016). Climate Change Conceptual Change: Scientific Information Can Transform Attitudes. </w:t>
      </w:r>
      <w:r>
        <w:rPr>
          <w:i/>
          <w:iCs/>
        </w:rPr>
        <w:t>Topics in Cognitive Science</w:t>
      </w:r>
      <w:r>
        <w:t xml:space="preserve">, </w:t>
      </w:r>
      <w:r>
        <w:rPr>
          <w:i/>
          <w:iCs/>
        </w:rPr>
        <w:t>8</w:t>
      </w:r>
      <w:r>
        <w:t xml:space="preserve">(1), 49–75. </w:t>
      </w:r>
      <w:hyperlink r:id="rId266">
        <w:r>
          <w:rPr>
            <w:rStyle w:val="Hyperlink"/>
          </w:rPr>
          <w:t>https://doi.org/10.1111/tops.12187</w:t>
        </w:r>
      </w:hyperlink>
    </w:p>
    <w:p w14:paraId="5ECBAD89" w14:textId="77777777" w:rsidR="0033629A" w:rsidRDefault="004409CB" w:rsidP="009E3272">
      <w:pPr>
        <w:pStyle w:val="Bibliography"/>
        <w:ind w:left="720" w:hanging="810"/>
      </w:pPr>
      <w:bookmarkStart w:id="361" w:name="ref-reid2019"/>
      <w:bookmarkEnd w:id="360"/>
      <w:r>
        <w:t xml:space="preserve">Reid, A. (2019). Climate change education and research: Possibilities and potentials versus problems and perils? </w:t>
      </w:r>
      <w:r>
        <w:rPr>
          <w:i/>
          <w:iCs/>
        </w:rPr>
        <w:t>Environmental Education Research</w:t>
      </w:r>
      <w:r>
        <w:t xml:space="preserve">, </w:t>
      </w:r>
      <w:r>
        <w:rPr>
          <w:i/>
          <w:iCs/>
        </w:rPr>
        <w:t>25</w:t>
      </w:r>
      <w:r>
        <w:t xml:space="preserve">(6), 767–790. </w:t>
      </w:r>
      <w:hyperlink r:id="rId267">
        <w:r>
          <w:rPr>
            <w:rStyle w:val="Hyperlink"/>
          </w:rPr>
          <w:t>https://doi.org/10.1080/13504622.2019.1664075</w:t>
        </w:r>
      </w:hyperlink>
    </w:p>
    <w:p w14:paraId="46CD482A" w14:textId="77777777" w:rsidR="0033629A" w:rsidRDefault="004409CB" w:rsidP="009E3272">
      <w:pPr>
        <w:pStyle w:val="Bibliography"/>
        <w:ind w:left="720" w:hanging="810"/>
      </w:pPr>
      <w:bookmarkStart w:id="362" w:name="ref-republicofchinataiwan"/>
      <w:bookmarkEnd w:id="361"/>
      <w:r>
        <w:t xml:space="preserve">Republic of China (Taiwan). (n.d.). </w:t>
      </w:r>
      <w:r>
        <w:rPr>
          <w:i/>
          <w:iCs/>
        </w:rPr>
        <w:t>National statistics</w:t>
      </w:r>
      <w:r>
        <w:t>. https://eng.stat.gov.tw/point.asp?index=1.</w:t>
      </w:r>
    </w:p>
    <w:p w14:paraId="4C565EEE" w14:textId="77777777" w:rsidR="0033629A" w:rsidRDefault="004409CB" w:rsidP="009E3272">
      <w:pPr>
        <w:pStyle w:val="Bibliography"/>
        <w:ind w:left="720" w:hanging="810"/>
      </w:pPr>
      <w:bookmarkStart w:id="363" w:name="ref-rise2019"/>
      <w:bookmarkEnd w:id="362"/>
      <w:r>
        <w:t xml:space="preserve">RISE. (2019, September 12). For better learning, Africa needs better data. In </w:t>
      </w:r>
      <w:r>
        <w:rPr>
          <w:i/>
          <w:iCs/>
        </w:rPr>
        <w:t>RISE Programme</w:t>
      </w:r>
      <w:r>
        <w:t>. https://riseprogramme.org/blog/better_learning_better_data.</w:t>
      </w:r>
    </w:p>
    <w:p w14:paraId="2884AAFA" w14:textId="77777777" w:rsidR="0033629A" w:rsidRDefault="004409CB" w:rsidP="009E3272">
      <w:pPr>
        <w:pStyle w:val="Bibliography"/>
        <w:ind w:left="720" w:hanging="810"/>
      </w:pPr>
      <w:bookmarkStart w:id="364" w:name="ref-ritchie2019"/>
      <w:bookmarkEnd w:id="363"/>
      <w:r>
        <w:t xml:space="preserve">Ritchie, H. (2019, October 1). </w:t>
      </w:r>
      <w:r>
        <w:rPr>
          <w:i/>
          <w:iCs/>
        </w:rPr>
        <w:t>Who has contributed most to global CO2 emissions?</w:t>
      </w:r>
    </w:p>
    <w:p w14:paraId="049FFC7C" w14:textId="77777777" w:rsidR="0033629A" w:rsidRDefault="004409CB" w:rsidP="009E3272">
      <w:pPr>
        <w:pStyle w:val="Bibliography"/>
        <w:ind w:left="720" w:hanging="810"/>
      </w:pPr>
      <w:bookmarkStart w:id="365" w:name="ref-robitzsch2019"/>
      <w:bookmarkEnd w:id="364"/>
      <w:r>
        <w:lastRenderedPageBreak/>
        <w:t xml:space="preserve">Robitzsch, A., &amp; Ludtke, O. (2019). Linking errors in international large-scale assessments: Calculation of standard errors for trend estimation. </w:t>
      </w:r>
      <w:r>
        <w:rPr>
          <w:i/>
          <w:iCs/>
        </w:rPr>
        <w:t>Assessment in Education: Principles, Policy &amp; Practice</w:t>
      </w:r>
      <w:r>
        <w:t xml:space="preserve">, </w:t>
      </w:r>
      <w:r>
        <w:rPr>
          <w:i/>
          <w:iCs/>
        </w:rPr>
        <w:t>26</w:t>
      </w:r>
      <w:r>
        <w:t xml:space="preserve">(4), 444–465. </w:t>
      </w:r>
      <w:hyperlink r:id="rId268">
        <w:r>
          <w:rPr>
            <w:rStyle w:val="Hyperlink"/>
          </w:rPr>
          <w:t>https://doi.org/10.1080/0969594X.2018.1433633</w:t>
        </w:r>
      </w:hyperlink>
    </w:p>
    <w:p w14:paraId="08A5D55A" w14:textId="77777777" w:rsidR="0033629A" w:rsidRDefault="004409CB" w:rsidP="009E3272">
      <w:pPr>
        <w:pStyle w:val="Bibliography"/>
        <w:ind w:left="720" w:hanging="810"/>
      </w:pPr>
      <w:bookmarkStart w:id="366" w:name="ref-robitzsch2020"/>
      <w:bookmarkEnd w:id="365"/>
      <w:r>
        <w:t xml:space="preserve">Robitzsch, A., Lüdtke, O., Goldhammer, F., Kroehne, U., &amp; Köller, O. (2020). Reanalysis of the German PISA data: A comparison of different approaches for trend estimation with a particular emphasis on mode effects. </w:t>
      </w:r>
      <w:r>
        <w:rPr>
          <w:i/>
          <w:iCs/>
        </w:rPr>
        <w:t>Frontiers in Psychology</w:t>
      </w:r>
      <w:r>
        <w:t xml:space="preserve">, </w:t>
      </w:r>
      <w:r>
        <w:rPr>
          <w:i/>
          <w:iCs/>
        </w:rPr>
        <w:t>11</w:t>
      </w:r>
      <w:r>
        <w:t xml:space="preserve">, 884. </w:t>
      </w:r>
      <w:hyperlink r:id="rId269">
        <w:r>
          <w:rPr>
            <w:rStyle w:val="Hyperlink"/>
          </w:rPr>
          <w:t>https://doi.org/10.3389/fpsyg.2020.00884</w:t>
        </w:r>
      </w:hyperlink>
    </w:p>
    <w:p w14:paraId="5CF688ED" w14:textId="77777777" w:rsidR="0033629A" w:rsidRDefault="004409CB" w:rsidP="009E3272">
      <w:pPr>
        <w:pStyle w:val="Bibliography"/>
        <w:ind w:left="720" w:hanging="810"/>
      </w:pPr>
      <w:bookmarkStart w:id="367" w:name="ref-rosa2015"/>
      <w:bookmarkEnd w:id="366"/>
      <w:r>
        <w:t xml:space="preserve">Rosa, E. A., Rudel, T. K., York, R., Jorgenson, A. K., &amp; Dietz, T. (2015). The human (anthropogenic) driving forces of global climate change. In R. E. Dunlap &amp; R. J. Brulle (Eds.), </w:t>
      </w:r>
      <w:r>
        <w:rPr>
          <w:i/>
          <w:iCs/>
        </w:rPr>
        <w:t>Climate change and society: Sociological perspectives</w:t>
      </w:r>
      <w:r>
        <w:t>. Oxford University Press.</w:t>
      </w:r>
    </w:p>
    <w:p w14:paraId="78EFE4E1" w14:textId="77777777" w:rsidR="0033629A" w:rsidRDefault="004409CB" w:rsidP="009E3272">
      <w:pPr>
        <w:pStyle w:val="Bibliography"/>
        <w:ind w:left="720" w:hanging="810"/>
      </w:pPr>
      <w:bookmarkStart w:id="368" w:name="ref-roth1992"/>
      <w:bookmarkEnd w:id="367"/>
      <w:r>
        <w:t xml:space="preserve">Roth, C. E. (1992). </w:t>
      </w:r>
      <w:r>
        <w:rPr>
          <w:i/>
          <w:iCs/>
        </w:rPr>
        <w:t xml:space="preserve">Environmental literacy: Its roots, </w:t>
      </w:r>
      <w:proofErr w:type="gramStart"/>
      <w:r>
        <w:rPr>
          <w:i/>
          <w:iCs/>
        </w:rPr>
        <w:t>evolution</w:t>
      </w:r>
      <w:proofErr w:type="gramEnd"/>
      <w:r>
        <w:rPr>
          <w:i/>
          <w:iCs/>
        </w:rPr>
        <w:t xml:space="preserve"> and directions in the 1990s</w:t>
      </w:r>
      <w:r>
        <w:t xml:space="preserve"> (p. 51). ERIC Clearinghouse for Science, Mathematics, and Environmental Education.</w:t>
      </w:r>
    </w:p>
    <w:p w14:paraId="262C8473" w14:textId="77777777" w:rsidR="0033629A" w:rsidRDefault="004409CB" w:rsidP="009E3272">
      <w:pPr>
        <w:pStyle w:val="Bibliography"/>
        <w:ind w:left="720" w:hanging="810"/>
      </w:pPr>
      <w:bookmarkStart w:id="369" w:name="ref-rowley2019a"/>
      <w:bookmarkEnd w:id="368"/>
      <w:r>
        <w:t xml:space="preserve">Rowley, K. J., McNeill, S. M., Dufur, M. J., Edmunds, C., &amp; Jarvis, J. A. (2019). Trends in international pisa scores over time: Which countries are </w:t>
      </w:r>
      <w:proofErr w:type="gramStart"/>
      <w:r>
        <w:t>actually improving</w:t>
      </w:r>
      <w:proofErr w:type="gramEnd"/>
      <w:r>
        <w:t xml:space="preserve">? </w:t>
      </w:r>
      <w:r>
        <w:rPr>
          <w:i/>
          <w:iCs/>
        </w:rPr>
        <w:t>Social Sciences</w:t>
      </w:r>
      <w:r>
        <w:t xml:space="preserve">, </w:t>
      </w:r>
      <w:r>
        <w:rPr>
          <w:i/>
          <w:iCs/>
        </w:rPr>
        <w:t>8</w:t>
      </w:r>
      <w:r>
        <w:t xml:space="preserve">(8), 231. </w:t>
      </w:r>
      <w:hyperlink r:id="rId270">
        <w:r>
          <w:rPr>
            <w:rStyle w:val="Hyperlink"/>
          </w:rPr>
          <w:t>https://doi.org/10.3390/socsci8080231</w:t>
        </w:r>
      </w:hyperlink>
    </w:p>
    <w:p w14:paraId="14E1FB3C" w14:textId="77777777" w:rsidR="0033629A" w:rsidRDefault="004409CB" w:rsidP="009E3272">
      <w:pPr>
        <w:pStyle w:val="Bibliography"/>
        <w:ind w:left="720" w:hanging="810"/>
      </w:pPr>
      <w:bookmarkStart w:id="370" w:name="ref-sabherwal2021"/>
      <w:bookmarkEnd w:id="369"/>
      <w:r>
        <w:t xml:space="preserve">Sabherwal, A., Ballew, M. T., Linden, S., Gustafson, A., Goldberg, M. H., Maibach, E. W., Kotcher, J. E., Swim, J. K., Rosenthal, S. A., &amp; Leiserowitz, A. (2021). The Greta Thunberg effect: Familiarity with Greta Thunberg predicts intentions to engage in climate activism in the United States. </w:t>
      </w:r>
      <w:r>
        <w:rPr>
          <w:i/>
          <w:iCs/>
        </w:rPr>
        <w:t>Journal of Applied Social Psychology</w:t>
      </w:r>
      <w:r>
        <w:t xml:space="preserve">, jasp.12737. </w:t>
      </w:r>
      <w:hyperlink r:id="rId271">
        <w:r>
          <w:rPr>
            <w:rStyle w:val="Hyperlink"/>
          </w:rPr>
          <w:t>https://doi.org/10.1111/jasp.12737</w:t>
        </w:r>
      </w:hyperlink>
    </w:p>
    <w:p w14:paraId="3C6FDCE7" w14:textId="77777777" w:rsidR="0033629A" w:rsidRDefault="004409CB" w:rsidP="009E3272">
      <w:pPr>
        <w:pStyle w:val="Bibliography"/>
        <w:ind w:left="720" w:hanging="810"/>
      </w:pPr>
      <w:bookmarkStart w:id="371" w:name="ref-satz1994"/>
      <w:bookmarkEnd w:id="370"/>
      <w:r>
        <w:lastRenderedPageBreak/>
        <w:t xml:space="preserve">Satz, D., &amp; Ferejohn, J. (1994). Rational choice and social theory. </w:t>
      </w:r>
      <w:r>
        <w:rPr>
          <w:i/>
          <w:iCs/>
        </w:rPr>
        <w:t>The Journal of Philosophy</w:t>
      </w:r>
      <w:r>
        <w:t xml:space="preserve">, </w:t>
      </w:r>
      <w:r>
        <w:rPr>
          <w:i/>
          <w:iCs/>
        </w:rPr>
        <w:t>91</w:t>
      </w:r>
      <w:r>
        <w:t xml:space="preserve">(2), 71–87. </w:t>
      </w:r>
      <w:hyperlink r:id="rId272">
        <w:r>
          <w:rPr>
            <w:rStyle w:val="Hyperlink"/>
          </w:rPr>
          <w:t>https://doi.org/10.2307/2940928</w:t>
        </w:r>
      </w:hyperlink>
    </w:p>
    <w:p w14:paraId="2A7A54EC" w14:textId="77777777" w:rsidR="0033629A" w:rsidRDefault="004409CB" w:rsidP="009E3272">
      <w:pPr>
        <w:pStyle w:val="Bibliography"/>
        <w:ind w:left="720" w:hanging="810"/>
      </w:pPr>
      <w:bookmarkStart w:id="372" w:name="ref-schafer2002"/>
      <w:bookmarkEnd w:id="371"/>
      <w:r>
        <w:t xml:space="preserve">Schafer, J. L., &amp; Graham, J. W. (2002). Missing data: Our view of the state of the art. </w:t>
      </w:r>
      <w:r>
        <w:rPr>
          <w:i/>
          <w:iCs/>
        </w:rPr>
        <w:t>Psychological Methods</w:t>
      </w:r>
      <w:r>
        <w:t xml:space="preserve">, </w:t>
      </w:r>
      <w:r>
        <w:rPr>
          <w:i/>
          <w:iCs/>
        </w:rPr>
        <w:t>7</w:t>
      </w:r>
      <w:r>
        <w:t xml:space="preserve">(2), 147–177. </w:t>
      </w:r>
      <w:hyperlink r:id="rId273">
        <w:r>
          <w:rPr>
            <w:rStyle w:val="Hyperlink"/>
          </w:rPr>
          <w:t>https://doi.org/10.1037/1082-989X.7.2.147</w:t>
        </w:r>
      </w:hyperlink>
    </w:p>
    <w:p w14:paraId="0F23107C" w14:textId="411B71C0" w:rsidR="003B7D0F" w:rsidRDefault="003B7D0F" w:rsidP="009E3272">
      <w:pPr>
        <w:pStyle w:val="Bibliography"/>
        <w:ind w:left="720" w:hanging="810"/>
      </w:pPr>
      <w:bookmarkStart w:id="373" w:name="ref-schmittner2018"/>
      <w:bookmarkEnd w:id="372"/>
      <w:r>
        <w:t xml:space="preserve">Schmidt, A., &amp; Rocconi, L. (2021). STARS and stripes: Political and institutional factors that affect higher education sustainability ratings. </w:t>
      </w:r>
      <w:r w:rsidR="005A468D">
        <w:t xml:space="preserve">EdArXiv. </w:t>
      </w:r>
      <w:hyperlink r:id="rId274" w:history="1">
        <w:r w:rsidR="005A468D" w:rsidRPr="00B6648B">
          <w:rPr>
            <w:rStyle w:val="Hyperlink"/>
            <w:noProof w:val="0"/>
          </w:rPr>
          <w:t>https://edarxiv.org/d5bku/</w:t>
        </w:r>
      </w:hyperlink>
      <w:r w:rsidR="005A468D">
        <w:t xml:space="preserve"> </w:t>
      </w:r>
    </w:p>
    <w:p w14:paraId="3218B4C2" w14:textId="53982728" w:rsidR="0033629A" w:rsidRDefault="004409CB" w:rsidP="009E3272">
      <w:pPr>
        <w:pStyle w:val="Bibliography"/>
        <w:ind w:left="720" w:hanging="810"/>
      </w:pPr>
      <w:r>
        <w:t xml:space="preserve">Schmittner, A. (2018). </w:t>
      </w:r>
      <w:r>
        <w:rPr>
          <w:i/>
          <w:iCs/>
        </w:rPr>
        <w:t>Introduction to climate science</w:t>
      </w:r>
      <w:r>
        <w:t>. Oregon State University.</w:t>
      </w:r>
    </w:p>
    <w:p w14:paraId="78DB33D7" w14:textId="77777777" w:rsidR="0033629A" w:rsidRDefault="004409CB" w:rsidP="009E3272">
      <w:pPr>
        <w:pStyle w:val="Bibliography"/>
        <w:ind w:left="720" w:hanging="810"/>
      </w:pPr>
      <w:bookmarkStart w:id="374" w:name="ref-schnaiberg2002a"/>
      <w:bookmarkEnd w:id="373"/>
      <w:r>
        <w:t xml:space="preserve">Schnaiberg, A., Pellow, D. N., &amp; Weinberg, A. (2002). The treadmill of production and the environmental state. In </w:t>
      </w:r>
      <w:r>
        <w:rPr>
          <w:i/>
          <w:iCs/>
        </w:rPr>
        <w:t>Research in Social Problems and Public Policy</w:t>
      </w:r>
      <w:r>
        <w:t xml:space="preserve"> (Vol. 10, pp. 15–32). Emerald (MCB </w:t>
      </w:r>
      <w:proofErr w:type="gramStart"/>
      <w:r>
        <w:t>UP )</w:t>
      </w:r>
      <w:proofErr w:type="gramEnd"/>
      <w:r>
        <w:t xml:space="preserve">. </w:t>
      </w:r>
      <w:hyperlink r:id="rId275">
        <w:r>
          <w:rPr>
            <w:rStyle w:val="Hyperlink"/>
          </w:rPr>
          <w:t>https://doi.org/10.1016/S0196-1152(02)80004-7</w:t>
        </w:r>
      </w:hyperlink>
    </w:p>
    <w:p w14:paraId="0C60B63F" w14:textId="77777777" w:rsidR="0033629A" w:rsidRDefault="004409CB" w:rsidP="009E3272">
      <w:pPr>
        <w:pStyle w:val="Bibliography"/>
        <w:ind w:left="720" w:hanging="810"/>
      </w:pPr>
      <w:bookmarkStart w:id="375" w:name="ref-schultz2018"/>
      <w:bookmarkEnd w:id="374"/>
      <w:r>
        <w:t xml:space="preserve">Schultz, M. (2018). The problem of underdetermination in model selection. </w:t>
      </w:r>
      <w:r>
        <w:rPr>
          <w:i/>
          <w:iCs/>
        </w:rPr>
        <w:t>Sociological Methodology</w:t>
      </w:r>
      <w:r>
        <w:t xml:space="preserve">, </w:t>
      </w:r>
      <w:r>
        <w:rPr>
          <w:i/>
          <w:iCs/>
        </w:rPr>
        <w:t>48</w:t>
      </w:r>
      <w:r>
        <w:t xml:space="preserve">(1), 52–87. </w:t>
      </w:r>
      <w:hyperlink r:id="rId276">
        <w:r>
          <w:rPr>
            <w:rStyle w:val="Hyperlink"/>
          </w:rPr>
          <w:t>https://doi.org/10.1177/0081175018786762</w:t>
        </w:r>
      </w:hyperlink>
    </w:p>
    <w:p w14:paraId="753C3B2B" w14:textId="77777777" w:rsidR="0033629A" w:rsidRDefault="004409CB" w:rsidP="009E3272">
      <w:pPr>
        <w:pStyle w:val="Bibliography"/>
        <w:ind w:left="720" w:hanging="810"/>
      </w:pPr>
      <w:bookmarkStart w:id="376" w:name="ref-shadish2002"/>
      <w:bookmarkEnd w:id="375"/>
      <w:r>
        <w:t xml:space="preserve">Shadish, W. R., Cook, T. D., &amp; Campbell, D. T. (2002). </w:t>
      </w:r>
      <w:r>
        <w:rPr>
          <w:i/>
          <w:iCs/>
        </w:rPr>
        <w:t>Experimental and quasi-experimental designs for generalized causal inference</w:t>
      </w:r>
      <w:r>
        <w:t>. Houghton Mifflin.</w:t>
      </w:r>
    </w:p>
    <w:p w14:paraId="22B6C7E0" w14:textId="77777777" w:rsidR="0033629A" w:rsidRDefault="004409CB" w:rsidP="009E3272">
      <w:pPr>
        <w:pStyle w:val="Bibliography"/>
        <w:ind w:left="720" w:hanging="810"/>
      </w:pPr>
      <w:bookmarkStart w:id="377" w:name="ref-sharma2012"/>
      <w:bookmarkEnd w:id="376"/>
      <w:r>
        <w:t xml:space="preserve">Sharma, A. (2012). Global climate change: What has science education got to do with it? </w:t>
      </w:r>
      <w:r>
        <w:rPr>
          <w:i/>
          <w:iCs/>
        </w:rPr>
        <w:t>Science &amp; Education</w:t>
      </w:r>
      <w:r>
        <w:t xml:space="preserve">, </w:t>
      </w:r>
      <w:r>
        <w:rPr>
          <w:i/>
          <w:iCs/>
        </w:rPr>
        <w:t>21</w:t>
      </w:r>
      <w:r>
        <w:t xml:space="preserve">(1), 33–53. </w:t>
      </w:r>
      <w:hyperlink r:id="rId277">
        <w:r>
          <w:rPr>
            <w:rStyle w:val="Hyperlink"/>
          </w:rPr>
          <w:t>https://doi.org/10.1007/s11191-011-9372-1</w:t>
        </w:r>
      </w:hyperlink>
    </w:p>
    <w:p w14:paraId="591E9B8A" w14:textId="77777777" w:rsidR="0033629A" w:rsidRDefault="004409CB" w:rsidP="009E3272">
      <w:pPr>
        <w:pStyle w:val="Bibliography"/>
        <w:ind w:left="720" w:hanging="810"/>
      </w:pPr>
      <w:bookmarkStart w:id="378" w:name="ref-sharma2021"/>
      <w:bookmarkEnd w:id="377"/>
      <w:r>
        <w:t xml:space="preserve">Sharma, R., Sinha, A., &amp; Kautish, P. (2021). Does renewable energy consumption reduce ecological footprint? Evidence from eight developing countries of Asia. </w:t>
      </w:r>
      <w:r>
        <w:rPr>
          <w:i/>
          <w:iCs/>
        </w:rPr>
        <w:t>Journal of Cleaner Production</w:t>
      </w:r>
      <w:r>
        <w:t xml:space="preserve">, </w:t>
      </w:r>
      <w:r>
        <w:rPr>
          <w:i/>
          <w:iCs/>
        </w:rPr>
        <w:t>285</w:t>
      </w:r>
      <w:r>
        <w:t xml:space="preserve">, 124867. </w:t>
      </w:r>
      <w:hyperlink r:id="rId278">
        <w:r>
          <w:rPr>
            <w:rStyle w:val="Hyperlink"/>
          </w:rPr>
          <w:t>https://doi.org/10.1016/j.jclepro.2020.124867</w:t>
        </w:r>
      </w:hyperlink>
    </w:p>
    <w:p w14:paraId="0641DBB2" w14:textId="77777777" w:rsidR="0033629A" w:rsidRDefault="004409CB" w:rsidP="009E3272">
      <w:pPr>
        <w:pStyle w:val="Bibliography"/>
        <w:ind w:left="720" w:hanging="810"/>
      </w:pPr>
      <w:bookmarkStart w:id="379" w:name="ref-shi2015"/>
      <w:bookmarkEnd w:id="378"/>
      <w:r>
        <w:t xml:space="preserve">Shi, J., Visschers, V. H. M., &amp; Siegrist, M. (2015). Public perception of climate change: The importance of knowledge and cultural worldviews: The importance of knowledge and </w:t>
      </w:r>
      <w:r>
        <w:lastRenderedPageBreak/>
        <w:t xml:space="preserve">cultural worldviews in climate change perception. </w:t>
      </w:r>
      <w:r>
        <w:rPr>
          <w:i/>
          <w:iCs/>
        </w:rPr>
        <w:t>Risk Analysis</w:t>
      </w:r>
      <w:r>
        <w:t xml:space="preserve">, </w:t>
      </w:r>
      <w:r>
        <w:rPr>
          <w:i/>
          <w:iCs/>
        </w:rPr>
        <w:t>35</w:t>
      </w:r>
      <w:r>
        <w:t xml:space="preserve">(12), 2183–2201. </w:t>
      </w:r>
      <w:hyperlink r:id="rId279">
        <w:r>
          <w:rPr>
            <w:rStyle w:val="Hyperlink"/>
          </w:rPr>
          <w:t>https://doi.org/10.1111/risa.12406</w:t>
        </w:r>
      </w:hyperlink>
    </w:p>
    <w:p w14:paraId="2795F7FC" w14:textId="77777777" w:rsidR="0033629A" w:rsidRDefault="004409CB" w:rsidP="009E3272">
      <w:pPr>
        <w:pStyle w:val="Bibliography"/>
        <w:ind w:left="720" w:hanging="810"/>
      </w:pPr>
      <w:bookmarkStart w:id="380" w:name="ref-siemensstiftung"/>
      <w:bookmarkEnd w:id="379"/>
      <w:r>
        <w:t xml:space="preserve">Siemens Stiftung. (n.d.). </w:t>
      </w:r>
      <w:r>
        <w:rPr>
          <w:i/>
          <w:iCs/>
        </w:rPr>
        <w:t>Climate change education in Latin America</w:t>
      </w:r>
      <w:r>
        <w:t>.</w:t>
      </w:r>
    </w:p>
    <w:p w14:paraId="3F573A7D" w14:textId="77777777" w:rsidR="0033629A" w:rsidRDefault="004409CB" w:rsidP="009E3272">
      <w:pPr>
        <w:pStyle w:val="Bibliography"/>
        <w:ind w:left="720" w:hanging="810"/>
      </w:pPr>
      <w:bookmarkStart w:id="381" w:name="ref-simmons2015"/>
      <w:bookmarkEnd w:id="380"/>
      <w:r>
        <w:t xml:space="preserve">Simmons, B. (2015). </w:t>
      </w:r>
      <w:r>
        <w:rPr>
          <w:i/>
          <w:iCs/>
        </w:rPr>
        <w:t>Linking environmental literacy and the Next Generation Science Standards: A tool for mapping an integrated curriculum</w:t>
      </w:r>
      <w:r>
        <w:t>. North American Association for Environmental Education.</w:t>
      </w:r>
    </w:p>
    <w:p w14:paraId="106BB33E" w14:textId="77777777" w:rsidR="0033629A" w:rsidRDefault="004409CB" w:rsidP="009E3272">
      <w:pPr>
        <w:pStyle w:val="Bibliography"/>
        <w:ind w:left="720" w:hanging="810"/>
      </w:pPr>
      <w:bookmarkStart w:id="382" w:name="ref-singer2018"/>
      <w:bookmarkEnd w:id="381"/>
      <w:r>
        <w:t xml:space="preserve">Singer, J., Braun, H., &amp; Chudowsky, N. (2018). </w:t>
      </w:r>
      <w:r>
        <w:rPr>
          <w:i/>
          <w:iCs/>
        </w:rPr>
        <w:t>International education assessments: Cautions, conundrums, and common sense</w:t>
      </w:r>
      <w:r>
        <w:t xml:space="preserve">. National Academy of Education. </w:t>
      </w:r>
      <w:hyperlink r:id="rId280">
        <w:r>
          <w:rPr>
            <w:rStyle w:val="Hyperlink"/>
          </w:rPr>
          <w:t>https://doi.org/10.31094/2018/1</w:t>
        </w:r>
      </w:hyperlink>
    </w:p>
    <w:p w14:paraId="0EC7FF3C" w14:textId="77777777" w:rsidR="0033629A" w:rsidRDefault="004409CB" w:rsidP="009E3272">
      <w:pPr>
        <w:pStyle w:val="Bibliography"/>
        <w:ind w:left="720" w:hanging="810"/>
      </w:pPr>
      <w:bookmarkStart w:id="383" w:name="ref-sinnes2016"/>
      <w:bookmarkEnd w:id="382"/>
      <w:r>
        <w:t xml:space="preserve">Sinnes, A. T., &amp; Eriksen, C. C. (2016). Education for sustainable development and international student assessments: Governing education in times of climate change. </w:t>
      </w:r>
      <w:r>
        <w:rPr>
          <w:i/>
          <w:iCs/>
        </w:rPr>
        <w:t>Global Policy</w:t>
      </w:r>
      <w:r>
        <w:t xml:space="preserve">, </w:t>
      </w:r>
      <w:r>
        <w:rPr>
          <w:i/>
          <w:iCs/>
        </w:rPr>
        <w:t>7</w:t>
      </w:r>
      <w:r>
        <w:t xml:space="preserve">(1), 46–55. </w:t>
      </w:r>
      <w:hyperlink r:id="rId281">
        <w:r>
          <w:rPr>
            <w:rStyle w:val="Hyperlink"/>
          </w:rPr>
          <w:t>https://doi.org/10.1111/1758-5899.12256</w:t>
        </w:r>
      </w:hyperlink>
    </w:p>
    <w:p w14:paraId="29974CA2" w14:textId="77777777" w:rsidR="0033629A" w:rsidRDefault="004409CB" w:rsidP="009E3272">
      <w:pPr>
        <w:pStyle w:val="Bibliography"/>
        <w:ind w:left="720" w:hanging="810"/>
      </w:pPr>
      <w:bookmarkStart w:id="384" w:name="ref-skamp2013"/>
      <w:bookmarkEnd w:id="383"/>
      <w:r>
        <w:t xml:space="preserve">Skamp, K., Boyes, E., &amp; Stanisstreet, M. (2013). Beliefs and willingness to act about global warming: Where to focus science pedagogy? </w:t>
      </w:r>
      <w:r>
        <w:rPr>
          <w:i/>
          <w:iCs/>
        </w:rPr>
        <w:t>Science Education</w:t>
      </w:r>
      <w:r>
        <w:t xml:space="preserve">, </w:t>
      </w:r>
      <w:r>
        <w:rPr>
          <w:i/>
          <w:iCs/>
        </w:rPr>
        <w:t>97</w:t>
      </w:r>
      <w:r>
        <w:t xml:space="preserve">(2), 191–217. </w:t>
      </w:r>
      <w:hyperlink r:id="rId282">
        <w:r>
          <w:rPr>
            <w:rStyle w:val="Hyperlink"/>
          </w:rPr>
          <w:t>https://doi.org/10.1002/sce.21050</w:t>
        </w:r>
      </w:hyperlink>
    </w:p>
    <w:p w14:paraId="2C63A04B" w14:textId="77777777" w:rsidR="0033629A" w:rsidRDefault="004409CB" w:rsidP="009E3272">
      <w:pPr>
        <w:pStyle w:val="Bibliography"/>
        <w:ind w:left="720" w:hanging="810"/>
      </w:pPr>
      <w:bookmarkStart w:id="385" w:name="ref-solt2020"/>
      <w:bookmarkEnd w:id="384"/>
      <w:r>
        <w:t xml:space="preserve">Solt, F. (2020). Measuring income inequality across countries and over time: The Standardized World Income Inequality Database. </w:t>
      </w:r>
      <w:r>
        <w:rPr>
          <w:i/>
          <w:iCs/>
        </w:rPr>
        <w:t>Social Science Quarterly</w:t>
      </w:r>
      <w:r>
        <w:t xml:space="preserve">, </w:t>
      </w:r>
      <w:r>
        <w:rPr>
          <w:i/>
          <w:iCs/>
        </w:rPr>
        <w:t>101</w:t>
      </w:r>
      <w:r>
        <w:t xml:space="preserve">(3), 1183–1199. </w:t>
      </w:r>
      <w:hyperlink r:id="rId283">
        <w:r>
          <w:rPr>
            <w:rStyle w:val="Hyperlink"/>
          </w:rPr>
          <w:t>https://doi.org/10.1111/ssqu.12795</w:t>
        </w:r>
      </w:hyperlink>
    </w:p>
    <w:p w14:paraId="050934FE" w14:textId="77777777" w:rsidR="0033629A" w:rsidRDefault="004409CB" w:rsidP="009E3272">
      <w:pPr>
        <w:pStyle w:val="Bibliography"/>
        <w:ind w:left="720" w:hanging="810"/>
      </w:pPr>
      <w:bookmarkStart w:id="386" w:name="ref-sovacool2021"/>
      <w:bookmarkEnd w:id="385"/>
      <w:r>
        <w:t xml:space="preserve">Sovacool, B. K. (2021). Reckless or righteous? Reviewing the sociotechnical benefits and risks of climate change geoengineering. </w:t>
      </w:r>
      <w:r>
        <w:rPr>
          <w:i/>
          <w:iCs/>
        </w:rPr>
        <w:t>Energy Strategy Reviews</w:t>
      </w:r>
      <w:r>
        <w:t xml:space="preserve">, </w:t>
      </w:r>
      <w:r>
        <w:rPr>
          <w:i/>
          <w:iCs/>
        </w:rPr>
        <w:t>35</w:t>
      </w:r>
      <w:r>
        <w:t xml:space="preserve">, 100656. </w:t>
      </w:r>
      <w:hyperlink r:id="rId284">
        <w:r>
          <w:rPr>
            <w:rStyle w:val="Hyperlink"/>
          </w:rPr>
          <w:t>https://doi.org/10.1016/j.esr.2021.100656</w:t>
        </w:r>
      </w:hyperlink>
    </w:p>
    <w:p w14:paraId="4D429C49" w14:textId="77777777" w:rsidR="0033629A" w:rsidRDefault="004409CB" w:rsidP="009E3272">
      <w:pPr>
        <w:pStyle w:val="Bibliography"/>
        <w:ind w:left="720" w:hanging="810"/>
      </w:pPr>
      <w:bookmarkStart w:id="387" w:name="ref-sparkman2021"/>
      <w:bookmarkEnd w:id="386"/>
      <w:r>
        <w:t xml:space="preserve">Sparkman, G., Attari, S. Z., &amp; Weber, E. U. (2021). Moderating spillover: Focusing on personal sustainable behavior rarely hinders and can boost climate policy support. </w:t>
      </w:r>
      <w:r>
        <w:rPr>
          <w:i/>
          <w:iCs/>
        </w:rPr>
        <w:lastRenderedPageBreak/>
        <w:t>Energy Research &amp; Social Science</w:t>
      </w:r>
      <w:r>
        <w:t xml:space="preserve">, </w:t>
      </w:r>
      <w:r>
        <w:rPr>
          <w:i/>
          <w:iCs/>
        </w:rPr>
        <w:t>78</w:t>
      </w:r>
      <w:r>
        <w:t xml:space="preserve">, 102150. </w:t>
      </w:r>
      <w:hyperlink r:id="rId285">
        <w:r>
          <w:rPr>
            <w:rStyle w:val="Hyperlink"/>
          </w:rPr>
          <w:t>https://doi.org/10.1016/j.erss.2021.102150</w:t>
        </w:r>
      </w:hyperlink>
    </w:p>
    <w:p w14:paraId="0F727636" w14:textId="77777777" w:rsidR="0033629A" w:rsidRDefault="004409CB" w:rsidP="009E3272">
      <w:pPr>
        <w:pStyle w:val="Bibliography"/>
        <w:ind w:left="720" w:hanging="810"/>
      </w:pPr>
      <w:bookmarkStart w:id="388" w:name="ref-spiteri2020"/>
      <w:bookmarkEnd w:id="387"/>
      <w:r>
        <w:t xml:space="preserve">Spiteri, J. (2020). Too young to </w:t>
      </w:r>
      <w:proofErr w:type="gramStart"/>
      <w:r>
        <w:t>know?</w:t>
      </w:r>
      <w:proofErr w:type="gramEnd"/>
      <w:r>
        <w:t xml:space="preserve"> A multiple case study of child-to-parent intergenerational learning in relation to environmental sustainability. </w:t>
      </w:r>
      <w:r>
        <w:rPr>
          <w:i/>
          <w:iCs/>
        </w:rPr>
        <w:t>Journal of Education for Sustainable Development</w:t>
      </w:r>
      <w:r>
        <w:t xml:space="preserve">, </w:t>
      </w:r>
      <w:r>
        <w:rPr>
          <w:i/>
          <w:iCs/>
        </w:rPr>
        <w:t>14</w:t>
      </w:r>
      <w:r>
        <w:t xml:space="preserve">(1), 61–77. </w:t>
      </w:r>
      <w:hyperlink r:id="rId286">
        <w:r>
          <w:rPr>
            <w:rStyle w:val="Hyperlink"/>
          </w:rPr>
          <w:t>https://doi.org/10.1177/0973408220934649</w:t>
        </w:r>
      </w:hyperlink>
    </w:p>
    <w:p w14:paraId="352DB95A" w14:textId="77777777" w:rsidR="0033629A" w:rsidRDefault="004409CB" w:rsidP="009E3272">
      <w:pPr>
        <w:pStyle w:val="Bibliography"/>
        <w:ind w:left="720" w:hanging="810"/>
      </w:pPr>
      <w:bookmarkStart w:id="389" w:name="ref-stanford2021"/>
      <w:bookmarkEnd w:id="388"/>
      <w:r>
        <w:t xml:space="preserve">Stanford, K. (2021). Underdetermination of scientific theory. In E. N. Zalta (Ed.), </w:t>
      </w:r>
      <w:r>
        <w:rPr>
          <w:i/>
          <w:iCs/>
        </w:rPr>
        <w:t>The Stanford Encyclopedia of Philosophy</w:t>
      </w:r>
      <w:r>
        <w:t xml:space="preserve"> (Winter 2021 Edition). Metaphysics Research Lab, Stanford University.</w:t>
      </w:r>
    </w:p>
    <w:p w14:paraId="362C9354" w14:textId="77777777" w:rsidR="0033629A" w:rsidRDefault="004409CB" w:rsidP="009E3272">
      <w:pPr>
        <w:pStyle w:val="Bibliography"/>
        <w:ind w:left="720" w:hanging="810"/>
      </w:pPr>
      <w:bookmarkStart w:id="390" w:name="ref-steinberger2022"/>
      <w:bookmarkEnd w:id="389"/>
      <w:r>
        <w:t xml:space="preserve">Steinberger, J. (2022). The kids are not ok. In </w:t>
      </w:r>
      <w:r>
        <w:rPr>
          <w:i/>
          <w:iCs/>
        </w:rPr>
        <w:t>Julia Steinberger</w:t>
      </w:r>
      <w:r>
        <w:t>. https://jksteinberger.medium.com/the-kids-are-not-ok-c518fffb475.</w:t>
      </w:r>
    </w:p>
    <w:p w14:paraId="671CCAFD" w14:textId="77777777" w:rsidR="0033629A" w:rsidRDefault="004409CB" w:rsidP="009E3272">
      <w:pPr>
        <w:pStyle w:val="Bibliography"/>
        <w:ind w:left="720" w:hanging="810"/>
      </w:pPr>
      <w:bookmarkStart w:id="391" w:name="ref-stern2004"/>
      <w:bookmarkEnd w:id="390"/>
      <w:r>
        <w:t xml:space="preserve">Stern, D. I. (2004). The rise and fall of the environmental kuznets curve. </w:t>
      </w:r>
      <w:r>
        <w:rPr>
          <w:i/>
          <w:iCs/>
        </w:rPr>
        <w:t>World Development</w:t>
      </w:r>
      <w:r>
        <w:t xml:space="preserve">, </w:t>
      </w:r>
      <w:r>
        <w:rPr>
          <w:i/>
          <w:iCs/>
        </w:rPr>
        <w:t>32</w:t>
      </w:r>
      <w:r>
        <w:t xml:space="preserve">(8), 1419–1439. </w:t>
      </w:r>
      <w:hyperlink r:id="rId287">
        <w:r>
          <w:rPr>
            <w:rStyle w:val="Hyperlink"/>
          </w:rPr>
          <w:t>https://doi.org/10.1016/j.worlddev.2004.03.004</w:t>
        </w:r>
      </w:hyperlink>
    </w:p>
    <w:p w14:paraId="56A44511" w14:textId="77777777" w:rsidR="0033629A" w:rsidRDefault="004409CB" w:rsidP="009E3272">
      <w:pPr>
        <w:pStyle w:val="Bibliography"/>
        <w:ind w:left="720" w:hanging="810"/>
      </w:pPr>
      <w:bookmarkStart w:id="392" w:name="ref-stern1999"/>
      <w:bookmarkEnd w:id="391"/>
      <w:r>
        <w:t xml:space="preserve">Stern, P. C., Dietz, T., Abel, T., Guagnano, G. A., &amp; Kalof, L. (1999). A value-belief-norm theory of support for social movements: The case of environmentalism. </w:t>
      </w:r>
      <w:r>
        <w:rPr>
          <w:i/>
          <w:iCs/>
        </w:rPr>
        <w:t>Human Ecology Review</w:t>
      </w:r>
      <w:r>
        <w:t xml:space="preserve">, </w:t>
      </w:r>
      <w:r>
        <w:rPr>
          <w:i/>
          <w:iCs/>
        </w:rPr>
        <w:t>6</w:t>
      </w:r>
      <w:r>
        <w:t>(2), 81–97.</w:t>
      </w:r>
    </w:p>
    <w:p w14:paraId="76FA925C" w14:textId="77777777" w:rsidR="0033629A" w:rsidRDefault="004409CB" w:rsidP="009E3272">
      <w:pPr>
        <w:pStyle w:val="Bibliography"/>
        <w:ind w:left="720" w:hanging="810"/>
      </w:pPr>
      <w:bookmarkStart w:id="393" w:name="ref-stevenson2018"/>
      <w:bookmarkEnd w:id="392"/>
      <w:r>
        <w:t xml:space="preserve">Stevenson, K. T., Nils Peterson, M., &amp; Bondell, H. D. (2018). Developing a model of climate change behavior among adolescents. </w:t>
      </w:r>
      <w:r>
        <w:rPr>
          <w:i/>
          <w:iCs/>
        </w:rPr>
        <w:t>Climatic Change</w:t>
      </w:r>
      <w:r>
        <w:t xml:space="preserve">, </w:t>
      </w:r>
      <w:r>
        <w:rPr>
          <w:i/>
          <w:iCs/>
        </w:rPr>
        <w:t>151</w:t>
      </w:r>
      <w:r>
        <w:t xml:space="preserve">(3-4), 589–603. </w:t>
      </w:r>
      <w:hyperlink r:id="rId288">
        <w:r>
          <w:rPr>
            <w:rStyle w:val="Hyperlink"/>
          </w:rPr>
          <w:t>https://doi.org/10.1007/s10584-018-2313-0</w:t>
        </w:r>
      </w:hyperlink>
    </w:p>
    <w:p w14:paraId="05CDD6ED" w14:textId="77777777" w:rsidR="0033629A" w:rsidRDefault="004409CB" w:rsidP="009E3272">
      <w:pPr>
        <w:pStyle w:val="Bibliography"/>
        <w:ind w:left="720" w:hanging="810"/>
      </w:pPr>
      <w:bookmarkStart w:id="394" w:name="ref-stevenson2019"/>
      <w:bookmarkEnd w:id="393"/>
      <w:r>
        <w:t xml:space="preserve">Stevenson, K. T., Peterson, M. N., &amp; Bondell, H. D. (2019). The influence of personal beliefs, friends, and family in building climate change concern among adolescents. </w:t>
      </w:r>
      <w:r>
        <w:rPr>
          <w:i/>
          <w:iCs/>
        </w:rPr>
        <w:t>Environmental Education Research</w:t>
      </w:r>
      <w:r>
        <w:t xml:space="preserve">, </w:t>
      </w:r>
      <w:r>
        <w:rPr>
          <w:i/>
          <w:iCs/>
        </w:rPr>
        <w:t>25</w:t>
      </w:r>
      <w:r>
        <w:t xml:space="preserve">(6), 832–845. </w:t>
      </w:r>
      <w:hyperlink r:id="rId289">
        <w:r>
          <w:rPr>
            <w:rStyle w:val="Hyperlink"/>
          </w:rPr>
          <w:t>https://doi.org/10.1080/13504622.2016.1177712</w:t>
        </w:r>
      </w:hyperlink>
    </w:p>
    <w:p w14:paraId="44BAED2E" w14:textId="77777777" w:rsidR="0033629A" w:rsidRDefault="004409CB" w:rsidP="009E3272">
      <w:pPr>
        <w:pStyle w:val="Bibliography"/>
        <w:ind w:left="720" w:hanging="810"/>
      </w:pPr>
      <w:bookmarkStart w:id="395" w:name="ref-stevenson2014"/>
      <w:bookmarkEnd w:id="394"/>
      <w:r>
        <w:lastRenderedPageBreak/>
        <w:t xml:space="preserve">Stevenson, K. T., Peterson, M. N., Bondell, H. D., Moore, S. E., &amp; Carrier, S. J. (2014). Overcoming skepticism with education: Interacting influences of worldview and climate change knowledge on perceived climate change risk among adolescents. </w:t>
      </w:r>
      <w:r>
        <w:rPr>
          <w:i/>
          <w:iCs/>
        </w:rPr>
        <w:t>Climatic Change</w:t>
      </w:r>
      <w:r>
        <w:t xml:space="preserve">, </w:t>
      </w:r>
      <w:r>
        <w:rPr>
          <w:i/>
          <w:iCs/>
        </w:rPr>
        <w:t>126</w:t>
      </w:r>
      <w:r>
        <w:t xml:space="preserve">(3), 293–304. </w:t>
      </w:r>
      <w:hyperlink r:id="rId290">
        <w:r>
          <w:rPr>
            <w:rStyle w:val="Hyperlink"/>
          </w:rPr>
          <w:t>https://doi.org/10.1007/s10584-014-1228-7</w:t>
        </w:r>
      </w:hyperlink>
    </w:p>
    <w:p w14:paraId="5229E88F" w14:textId="77777777" w:rsidR="0033629A" w:rsidRDefault="004409CB" w:rsidP="009E3272">
      <w:pPr>
        <w:pStyle w:val="Bibliography"/>
        <w:ind w:left="720" w:hanging="810"/>
      </w:pPr>
      <w:bookmarkStart w:id="396" w:name="ref-stevenson2017"/>
      <w:bookmarkEnd w:id="395"/>
      <w:r>
        <w:t xml:space="preserve">Stevenson, R., Nicholls, J., &amp; Whitehouse, H. (2017). What is climate change education? </w:t>
      </w:r>
      <w:r>
        <w:rPr>
          <w:i/>
          <w:iCs/>
        </w:rPr>
        <w:t>Curriculum Perspectives</w:t>
      </w:r>
      <w:r>
        <w:t xml:space="preserve">, </w:t>
      </w:r>
      <w:r>
        <w:rPr>
          <w:i/>
          <w:iCs/>
        </w:rPr>
        <w:t>37</w:t>
      </w:r>
      <w:r>
        <w:t xml:space="preserve">. </w:t>
      </w:r>
      <w:hyperlink r:id="rId291">
        <w:r>
          <w:rPr>
            <w:rStyle w:val="Hyperlink"/>
          </w:rPr>
          <w:t>https://doi.org/10.1007/s41297-017-0015-9</w:t>
        </w:r>
      </w:hyperlink>
    </w:p>
    <w:p w14:paraId="2CCB908A" w14:textId="77777777" w:rsidR="0033629A" w:rsidRDefault="004409CB" w:rsidP="009E3272">
      <w:pPr>
        <w:pStyle w:val="Bibliography"/>
        <w:ind w:left="720" w:hanging="810"/>
      </w:pPr>
      <w:bookmarkStart w:id="397" w:name="ref-suldovsky2017"/>
      <w:bookmarkEnd w:id="396"/>
      <w:r>
        <w:t xml:space="preserve">Suldovsky, B. (2017). </w:t>
      </w:r>
      <w:r>
        <w:rPr>
          <w:i/>
          <w:iCs/>
        </w:rPr>
        <w:t>The information deficit model and climate change communication</w:t>
      </w:r>
      <w:r>
        <w:t xml:space="preserve">. </w:t>
      </w:r>
      <w:hyperlink r:id="rId292">
        <w:r>
          <w:rPr>
            <w:rStyle w:val="Hyperlink"/>
          </w:rPr>
          <w:t>https://doi.org/10.1093/acrefore/9780190228620.013.301</w:t>
        </w:r>
      </w:hyperlink>
    </w:p>
    <w:p w14:paraId="1874C8C4" w14:textId="77777777" w:rsidR="0033629A" w:rsidRDefault="004409CB" w:rsidP="009E3272">
      <w:pPr>
        <w:pStyle w:val="Bibliography"/>
        <w:ind w:left="720" w:hanging="810"/>
      </w:pPr>
      <w:bookmarkStart w:id="398" w:name="ref-thunberg2018"/>
      <w:bookmarkEnd w:id="397"/>
      <w:r>
        <w:t xml:space="preserve">Thunberg, G. (2018, November). </w:t>
      </w:r>
      <w:r>
        <w:rPr>
          <w:i/>
          <w:iCs/>
        </w:rPr>
        <w:t>The disarming case to act right now on climate change</w:t>
      </w:r>
      <w:r>
        <w:t>.</w:t>
      </w:r>
    </w:p>
    <w:p w14:paraId="5346B762" w14:textId="77777777" w:rsidR="0033629A" w:rsidRDefault="004409CB" w:rsidP="009E3272">
      <w:pPr>
        <w:pStyle w:val="Bibliography"/>
        <w:ind w:left="720" w:hanging="810"/>
      </w:pPr>
      <w:bookmarkStart w:id="399" w:name="ref-tranter2014"/>
      <w:bookmarkEnd w:id="398"/>
      <w:r>
        <w:t xml:space="preserve">Tranter, B., &amp; Skrbis, Z. (2014). Political and social divisions over climate change among young queenslanders. </w:t>
      </w:r>
      <w:r>
        <w:rPr>
          <w:i/>
          <w:iCs/>
        </w:rPr>
        <w:t>Environment and Planning A: Economy and Space</w:t>
      </w:r>
      <w:r>
        <w:t xml:space="preserve">, </w:t>
      </w:r>
      <w:r>
        <w:rPr>
          <w:i/>
          <w:iCs/>
        </w:rPr>
        <w:t>46</w:t>
      </w:r>
      <w:r>
        <w:t xml:space="preserve">(7), 1638–1651. </w:t>
      </w:r>
      <w:hyperlink r:id="rId293">
        <w:r>
          <w:rPr>
            <w:rStyle w:val="Hyperlink"/>
          </w:rPr>
          <w:t>https://doi.org/10.1068/a46285</w:t>
        </w:r>
      </w:hyperlink>
    </w:p>
    <w:p w14:paraId="5AF5FC92" w14:textId="77777777" w:rsidR="0033629A" w:rsidRDefault="004409CB" w:rsidP="009E3272">
      <w:pPr>
        <w:pStyle w:val="Bibliography"/>
        <w:ind w:left="720" w:hanging="810"/>
      </w:pPr>
      <w:bookmarkStart w:id="400" w:name="ref-unregions"/>
      <w:bookmarkEnd w:id="399"/>
      <w:r>
        <w:t xml:space="preserve">UN. (n.d.). </w:t>
      </w:r>
      <w:r>
        <w:rPr>
          <w:i/>
          <w:iCs/>
        </w:rPr>
        <w:t>Regional groupings used in report and statistical annex</w:t>
      </w:r>
      <w:r>
        <w:t>. https://unstats.un.org/sdgs/indicators/regional-groups/.</w:t>
      </w:r>
    </w:p>
    <w:p w14:paraId="29E7624E" w14:textId="77777777" w:rsidR="0033629A" w:rsidRDefault="004409CB" w:rsidP="009E3272">
      <w:pPr>
        <w:pStyle w:val="Bibliography"/>
        <w:ind w:left="720" w:hanging="810"/>
      </w:pPr>
      <w:bookmarkStart w:id="401" w:name="ref-un2015"/>
      <w:bookmarkEnd w:id="400"/>
      <w:r>
        <w:t xml:space="preserve">UN. (2015, May). Climate change: An ’existential threat’ to humanity, UN chief warns global summit | | UN News. </w:t>
      </w:r>
      <w:r>
        <w:rPr>
          <w:i/>
          <w:iCs/>
        </w:rPr>
        <w:t>United Nations</w:t>
      </w:r>
      <w:r>
        <w:t>.</w:t>
      </w:r>
    </w:p>
    <w:p w14:paraId="2CB30814" w14:textId="77777777" w:rsidR="0033629A" w:rsidRDefault="004409CB" w:rsidP="009E3272">
      <w:pPr>
        <w:pStyle w:val="Bibliography"/>
        <w:ind w:left="720" w:hanging="810"/>
      </w:pPr>
      <w:bookmarkStart w:id="402" w:name="ref-unesco2015"/>
      <w:bookmarkEnd w:id="401"/>
      <w:r>
        <w:t xml:space="preserve">UNESCO. (2015). </w:t>
      </w:r>
      <w:r>
        <w:rPr>
          <w:i/>
          <w:iCs/>
        </w:rPr>
        <w:t>UNESCO, climate change education and COP21</w:t>
      </w:r>
      <w:r>
        <w:t>.</w:t>
      </w:r>
    </w:p>
    <w:p w14:paraId="6B49B484" w14:textId="77777777" w:rsidR="0033629A" w:rsidRDefault="004409CB" w:rsidP="009E3272">
      <w:pPr>
        <w:pStyle w:val="Bibliography"/>
        <w:ind w:left="720" w:hanging="810"/>
      </w:pPr>
      <w:bookmarkStart w:id="403" w:name="ref-unesco2021"/>
      <w:bookmarkEnd w:id="402"/>
      <w:r>
        <w:t xml:space="preserve">UNESCO. (2021). </w:t>
      </w:r>
      <w:r>
        <w:rPr>
          <w:i/>
          <w:iCs/>
        </w:rPr>
        <w:t>Getting every school climate-ready: How countries are integrating climate change issues in education</w:t>
      </w:r>
      <w:r>
        <w:t>.</w:t>
      </w:r>
    </w:p>
    <w:p w14:paraId="059F1036" w14:textId="77777777" w:rsidR="0033629A" w:rsidRDefault="004409CB" w:rsidP="009E3272">
      <w:pPr>
        <w:pStyle w:val="Bibliography"/>
        <w:ind w:left="720" w:hanging="810"/>
      </w:pPr>
      <w:bookmarkStart w:id="404" w:name="ref-unitednations2014"/>
      <w:bookmarkEnd w:id="403"/>
      <w:r>
        <w:t xml:space="preserve">United Nations. (2014). </w:t>
      </w:r>
      <w:r>
        <w:rPr>
          <w:i/>
          <w:iCs/>
        </w:rPr>
        <w:t xml:space="preserve">Shaping the </w:t>
      </w:r>
      <w:proofErr w:type="gramStart"/>
      <w:r>
        <w:rPr>
          <w:i/>
          <w:iCs/>
        </w:rPr>
        <w:t>future</w:t>
      </w:r>
      <w:proofErr w:type="gramEnd"/>
      <w:r>
        <w:rPr>
          <w:i/>
          <w:iCs/>
        </w:rPr>
        <w:t xml:space="preserve"> we want: UN decade of education for sustainable development; final report</w:t>
      </w:r>
      <w:r>
        <w:t>.</w:t>
      </w:r>
    </w:p>
    <w:p w14:paraId="423D9C97" w14:textId="77777777" w:rsidR="0033629A" w:rsidRDefault="004409CB" w:rsidP="009E3272">
      <w:pPr>
        <w:pStyle w:val="Bibliography"/>
        <w:ind w:left="720" w:hanging="810"/>
      </w:pPr>
      <w:bookmarkStart w:id="405" w:name="X81cc3ecac12a22ffafe5a6c86cf380f61016181"/>
      <w:bookmarkEnd w:id="404"/>
      <w:r>
        <w:t xml:space="preserve">United Nations Environment Programme. (2020). </w:t>
      </w:r>
      <w:r>
        <w:rPr>
          <w:i/>
          <w:iCs/>
        </w:rPr>
        <w:t>The emissions gap report 2020</w:t>
      </w:r>
      <w:r>
        <w:t>.</w:t>
      </w:r>
    </w:p>
    <w:p w14:paraId="50AD36CE" w14:textId="77777777" w:rsidR="0033629A" w:rsidRDefault="004409CB" w:rsidP="009E3272">
      <w:pPr>
        <w:pStyle w:val="Bibliography"/>
        <w:ind w:left="720" w:hanging="810"/>
      </w:pPr>
      <w:bookmarkStart w:id="406" w:name="ref-climateliteracy2009"/>
      <w:bookmarkEnd w:id="405"/>
      <w:r>
        <w:lastRenderedPageBreak/>
        <w:t xml:space="preserve">U.S. Global Change Research Program. (2009). </w:t>
      </w:r>
      <w:r>
        <w:rPr>
          <w:i/>
          <w:iCs/>
        </w:rPr>
        <w:t>Climate literacy: The essential principles of climate science</w:t>
      </w:r>
      <w:r>
        <w:t>.</w:t>
      </w:r>
    </w:p>
    <w:p w14:paraId="201C5088" w14:textId="77777777" w:rsidR="0033629A" w:rsidRDefault="004409CB" w:rsidP="009E3272">
      <w:pPr>
        <w:pStyle w:val="Bibliography"/>
        <w:ind w:left="720" w:hanging="810"/>
      </w:pPr>
      <w:bookmarkStart w:id="407" w:name="ref-vainio2011"/>
      <w:bookmarkEnd w:id="406"/>
      <w:r>
        <w:t xml:space="preserve">Vainio, A., &amp; Paloniemi, R. (2011). Does belief matter in climate change action? </w:t>
      </w:r>
      <w:r>
        <w:rPr>
          <w:i/>
          <w:iCs/>
        </w:rPr>
        <w:t>Public Understanding of Science</w:t>
      </w:r>
      <w:r>
        <w:t xml:space="preserve">, </w:t>
      </w:r>
      <w:r>
        <w:rPr>
          <w:i/>
          <w:iCs/>
        </w:rPr>
        <w:t>22</w:t>
      </w:r>
      <w:r>
        <w:t xml:space="preserve">(4), 382–395. </w:t>
      </w:r>
      <w:hyperlink r:id="rId294">
        <w:r>
          <w:rPr>
            <w:rStyle w:val="Hyperlink"/>
          </w:rPr>
          <w:t>https://doi.org/10.1177/0963662511410268</w:t>
        </w:r>
      </w:hyperlink>
    </w:p>
    <w:p w14:paraId="794A471F" w14:textId="77777777" w:rsidR="0033629A" w:rsidRDefault="004409CB" w:rsidP="009E3272">
      <w:pPr>
        <w:pStyle w:val="Bibliography"/>
        <w:ind w:left="720" w:hanging="810"/>
      </w:pPr>
      <w:bookmarkStart w:id="408" w:name="ref-vanbuuren2018"/>
      <w:bookmarkEnd w:id="407"/>
      <w:r>
        <w:t xml:space="preserve">van Buuren, S. (2018). </w:t>
      </w:r>
      <w:r>
        <w:rPr>
          <w:i/>
          <w:iCs/>
        </w:rPr>
        <w:t>Flexible imputation of missing data</w:t>
      </w:r>
      <w:r>
        <w:t>.</w:t>
      </w:r>
    </w:p>
    <w:p w14:paraId="319768AC" w14:textId="77777777" w:rsidR="0033629A" w:rsidRDefault="004409CB" w:rsidP="009E3272">
      <w:pPr>
        <w:pStyle w:val="Bibliography"/>
        <w:ind w:left="720" w:hanging="810"/>
      </w:pPr>
      <w:bookmarkStart w:id="409" w:name="ref-buuren2011"/>
      <w:bookmarkEnd w:id="408"/>
      <w:r>
        <w:t xml:space="preserve">van Buuren, S., &amp; Groothuis-Oudshoorn, K. (2011). Mice: Multivariate imputation by chained equations in R. </w:t>
      </w:r>
      <w:r>
        <w:rPr>
          <w:i/>
          <w:iCs/>
        </w:rPr>
        <w:t>Journal of Statistical Software</w:t>
      </w:r>
      <w:r>
        <w:t xml:space="preserve">, </w:t>
      </w:r>
      <w:r>
        <w:rPr>
          <w:i/>
          <w:iCs/>
        </w:rPr>
        <w:t>45</w:t>
      </w:r>
      <w:r>
        <w:t xml:space="preserve">, 1–67. </w:t>
      </w:r>
      <w:hyperlink r:id="rId295">
        <w:r>
          <w:rPr>
            <w:rStyle w:val="Hyperlink"/>
          </w:rPr>
          <w:t>https://doi.org/10.18637/jss.v045.i03</w:t>
        </w:r>
      </w:hyperlink>
    </w:p>
    <w:p w14:paraId="1897646E" w14:textId="77777777" w:rsidR="0033629A" w:rsidRDefault="004409CB" w:rsidP="009E3272">
      <w:pPr>
        <w:pStyle w:val="Bibliography"/>
        <w:ind w:left="720" w:hanging="810"/>
      </w:pPr>
      <w:bookmarkStart w:id="410" w:name="ref-vanderlinden2018"/>
      <w:bookmarkEnd w:id="409"/>
      <w:r>
        <w:t xml:space="preserve">van der Linden, S., Leiserowitz, A., &amp; Maibach, E. (2018). Scientific norms can neutralize the politicization of facts. </w:t>
      </w:r>
      <w:r>
        <w:rPr>
          <w:i/>
          <w:iCs/>
        </w:rPr>
        <w:t>Nature Human Behaviour</w:t>
      </w:r>
      <w:r>
        <w:t xml:space="preserve">, </w:t>
      </w:r>
      <w:r>
        <w:rPr>
          <w:i/>
          <w:iCs/>
        </w:rPr>
        <w:t>2</w:t>
      </w:r>
      <w:r>
        <w:t>, 2–3.</w:t>
      </w:r>
    </w:p>
    <w:p w14:paraId="02F4908E" w14:textId="77777777" w:rsidR="0033629A" w:rsidRDefault="004409CB" w:rsidP="009E3272">
      <w:pPr>
        <w:pStyle w:val="Bibliography"/>
        <w:ind w:left="720" w:hanging="810"/>
      </w:pPr>
      <w:bookmarkStart w:id="411" w:name="ref-vogel2021a"/>
      <w:bookmarkEnd w:id="410"/>
      <w:r>
        <w:t xml:space="preserve">Vogel, J., Steinberger, J. K., O’Neill, D. W., Lamb, W. F., &amp; Krishnakumar, J. (2021). Socio-economic conditions for satisfying human needs at low energy use: An international analysis of social provisioning. </w:t>
      </w:r>
      <w:r>
        <w:rPr>
          <w:i/>
          <w:iCs/>
        </w:rPr>
        <w:t>Global Environmental Change</w:t>
      </w:r>
      <w:r>
        <w:t xml:space="preserve">, 102287. </w:t>
      </w:r>
      <w:hyperlink r:id="rId296">
        <w:r>
          <w:rPr>
            <w:rStyle w:val="Hyperlink"/>
          </w:rPr>
          <w:t>https://doi.org/10.1016/j.gloenvcha.2021.102287</w:t>
        </w:r>
      </w:hyperlink>
    </w:p>
    <w:p w14:paraId="7B5A3AB9" w14:textId="77777777" w:rsidR="0033629A" w:rsidRDefault="004409CB" w:rsidP="009E3272">
      <w:pPr>
        <w:pStyle w:val="Bibliography"/>
        <w:ind w:left="720" w:hanging="810"/>
      </w:pPr>
      <w:bookmarkStart w:id="412" w:name="ref-vollebergh2001"/>
      <w:bookmarkEnd w:id="411"/>
      <w:r>
        <w:t xml:space="preserve">Vollebergh, W. A. M., Iedema, J., &amp; Raaijmakers, Q. A. W. (2001). Intergenerational transmission and the formation of cultural orientations in adolescence and young adulthood. </w:t>
      </w:r>
      <w:r>
        <w:rPr>
          <w:i/>
          <w:iCs/>
        </w:rPr>
        <w:t>Journal of Marriage and Family</w:t>
      </w:r>
      <w:r>
        <w:t xml:space="preserve">, </w:t>
      </w:r>
      <w:r>
        <w:rPr>
          <w:i/>
          <w:iCs/>
        </w:rPr>
        <w:t>63</w:t>
      </w:r>
      <w:r>
        <w:t xml:space="preserve">(4), 1185–1198. </w:t>
      </w:r>
      <w:hyperlink r:id="rId297">
        <w:r>
          <w:rPr>
            <w:rStyle w:val="Hyperlink"/>
          </w:rPr>
          <w:t>https://doi.org/10.1111/j.1741-3737.2001.01185.x</w:t>
        </w:r>
      </w:hyperlink>
    </w:p>
    <w:p w14:paraId="4F8BD2AE" w14:textId="77777777" w:rsidR="0033629A" w:rsidRDefault="004409CB" w:rsidP="009E3272">
      <w:pPr>
        <w:pStyle w:val="Bibliography"/>
        <w:ind w:left="720" w:hanging="810"/>
      </w:pPr>
      <w:bookmarkStart w:id="413" w:name="ref-wals2014"/>
      <w:bookmarkEnd w:id="412"/>
      <w:r>
        <w:t xml:space="preserve">Wals, A. E. J., Brody, M., Dillon, J., &amp; Stevenson, R. B. (2014). Convergence between science and environmental education. </w:t>
      </w:r>
      <w:r>
        <w:rPr>
          <w:i/>
          <w:iCs/>
        </w:rPr>
        <w:t>Science (New York, N.Y.)</w:t>
      </w:r>
      <w:r>
        <w:t xml:space="preserve">, </w:t>
      </w:r>
      <w:r>
        <w:rPr>
          <w:i/>
          <w:iCs/>
        </w:rPr>
        <w:t>344</w:t>
      </w:r>
      <w:r>
        <w:t xml:space="preserve">(6184), 583–584. </w:t>
      </w:r>
      <w:hyperlink r:id="rId298">
        <w:r>
          <w:rPr>
            <w:rStyle w:val="Hyperlink"/>
          </w:rPr>
          <w:t>https://doi.org/10.1126/science.1250515</w:t>
        </w:r>
      </w:hyperlink>
    </w:p>
    <w:p w14:paraId="421E375A" w14:textId="77777777" w:rsidR="0033629A" w:rsidRDefault="004409CB" w:rsidP="009E3272">
      <w:pPr>
        <w:pStyle w:val="Bibliography"/>
        <w:ind w:left="720" w:hanging="810"/>
      </w:pPr>
      <w:bookmarkStart w:id="414" w:name="ref-wheeler2011"/>
      <w:bookmarkEnd w:id="413"/>
      <w:r>
        <w:lastRenderedPageBreak/>
        <w:t xml:space="preserve">Wheeler, D., &amp; Hammer, D. (2011). </w:t>
      </w:r>
      <w:r>
        <w:rPr>
          <w:i/>
          <w:iCs/>
        </w:rPr>
        <w:t>The economics of population policy for carbon emissions reduction in developing countries</w:t>
      </w:r>
      <w:r>
        <w:t xml:space="preserve"> (Working Paper No. 229).</w:t>
      </w:r>
    </w:p>
    <w:p w14:paraId="1C3E3EE1" w14:textId="77777777" w:rsidR="0033629A" w:rsidRDefault="004409CB" w:rsidP="009E3272">
      <w:pPr>
        <w:pStyle w:val="Bibliography"/>
        <w:ind w:left="720" w:hanging="810"/>
      </w:pPr>
      <w:bookmarkStart w:id="415" w:name="ref-wolskePeerInfluenceHousehold2020"/>
      <w:bookmarkEnd w:id="414"/>
      <w:r>
        <w:t xml:space="preserve">Wolske, K. S., Gillingham, K. T., &amp; Schultz, P. W. (2020). Peer influence on household energy behaviours. </w:t>
      </w:r>
      <w:r>
        <w:rPr>
          <w:i/>
          <w:iCs/>
        </w:rPr>
        <w:t>Nature Energy</w:t>
      </w:r>
      <w:r>
        <w:t xml:space="preserve">, </w:t>
      </w:r>
      <w:r>
        <w:rPr>
          <w:i/>
          <w:iCs/>
        </w:rPr>
        <w:t>5</w:t>
      </w:r>
      <w:r>
        <w:t xml:space="preserve">(3), 202–212. </w:t>
      </w:r>
      <w:hyperlink r:id="rId299">
        <w:r>
          <w:rPr>
            <w:rStyle w:val="Hyperlink"/>
          </w:rPr>
          <w:t>https://doi.org/10.1038/s41560-019-0541-9</w:t>
        </w:r>
      </w:hyperlink>
    </w:p>
    <w:p w14:paraId="1AFF06A5" w14:textId="77777777" w:rsidR="0033629A" w:rsidRDefault="004409CB" w:rsidP="009E3272">
      <w:pPr>
        <w:pStyle w:val="Bibliography"/>
        <w:ind w:left="720" w:hanging="810"/>
      </w:pPr>
      <w:bookmarkStart w:id="416" w:name="ref-worldbank2021"/>
      <w:bookmarkEnd w:id="415"/>
      <w:r>
        <w:t xml:space="preserve">World Bank. (2021). </w:t>
      </w:r>
      <w:r>
        <w:rPr>
          <w:i/>
          <w:iCs/>
        </w:rPr>
        <w:t>Education statistics: Education Attainment</w:t>
      </w:r>
      <w:r>
        <w:t>.</w:t>
      </w:r>
    </w:p>
    <w:p w14:paraId="44AEB7AA" w14:textId="77777777" w:rsidR="0033629A" w:rsidRDefault="004409CB" w:rsidP="009E3272">
      <w:pPr>
        <w:pStyle w:val="Bibliography"/>
        <w:ind w:left="720" w:hanging="810"/>
      </w:pPr>
      <w:bookmarkStart w:id="417" w:name="ref-worth2021"/>
      <w:bookmarkEnd w:id="416"/>
      <w:r>
        <w:t xml:space="preserve">Worth, K. (2021). </w:t>
      </w:r>
      <w:r>
        <w:rPr>
          <w:i/>
          <w:iCs/>
        </w:rPr>
        <w:t>Miseducation: How climate change is taught in America</w:t>
      </w:r>
      <w:r>
        <w:t>. Columbia Global Reports.</w:t>
      </w:r>
    </w:p>
    <w:p w14:paraId="7DC8D8C9" w14:textId="77777777" w:rsidR="0033629A" w:rsidRDefault="004409CB" w:rsidP="009E3272">
      <w:pPr>
        <w:pStyle w:val="Bibliography"/>
        <w:ind w:left="720" w:hanging="810"/>
      </w:pPr>
      <w:bookmarkStart w:id="418" w:name="ref-wynes2021"/>
      <w:bookmarkEnd w:id="417"/>
      <w:r>
        <w:t xml:space="preserve">Wynes, S., Motta, M., &amp; Donner, S. D. (2021). Understanding the climate responsibility associated with elections. </w:t>
      </w:r>
      <w:r>
        <w:rPr>
          <w:i/>
          <w:iCs/>
        </w:rPr>
        <w:t>One Earth (Cambridge, Mass.)</w:t>
      </w:r>
      <w:r>
        <w:t xml:space="preserve">, </w:t>
      </w:r>
      <w:r>
        <w:rPr>
          <w:i/>
          <w:iCs/>
        </w:rPr>
        <w:t>4</w:t>
      </w:r>
      <w:r>
        <w:t xml:space="preserve">(3), 363–371. </w:t>
      </w:r>
      <w:hyperlink r:id="rId300">
        <w:r>
          <w:rPr>
            <w:rStyle w:val="Hyperlink"/>
          </w:rPr>
          <w:t>https://doi.org/10.1016/j.oneear.2021.02.008</w:t>
        </w:r>
      </w:hyperlink>
    </w:p>
    <w:p w14:paraId="1D3183AB" w14:textId="77777777" w:rsidR="0033629A" w:rsidRDefault="004409CB" w:rsidP="009E3272">
      <w:pPr>
        <w:pStyle w:val="Bibliography"/>
        <w:ind w:left="720" w:hanging="810"/>
      </w:pPr>
      <w:bookmarkStart w:id="419" w:name="ref-wynes2017"/>
      <w:bookmarkEnd w:id="418"/>
      <w:r>
        <w:t xml:space="preserve">Wynes, S., &amp; Nicholas, K. A. (2017). The climate mitigation gap: Education and government recommendations miss the most effective individual actions. </w:t>
      </w:r>
      <w:r>
        <w:rPr>
          <w:i/>
          <w:iCs/>
        </w:rPr>
        <w:t>Environmental Research Letters</w:t>
      </w:r>
      <w:r>
        <w:t xml:space="preserve">, </w:t>
      </w:r>
      <w:r>
        <w:rPr>
          <w:i/>
          <w:iCs/>
        </w:rPr>
        <w:t>12</w:t>
      </w:r>
      <w:r>
        <w:t xml:space="preserve">(7), 074024. </w:t>
      </w:r>
      <w:hyperlink r:id="rId301">
        <w:r>
          <w:rPr>
            <w:rStyle w:val="Hyperlink"/>
          </w:rPr>
          <w:t>https://doi.org/10.1088/1748-9326/aa7541</w:t>
        </w:r>
      </w:hyperlink>
    </w:p>
    <w:p w14:paraId="0F94F949" w14:textId="77777777" w:rsidR="0033629A" w:rsidRDefault="004409CB" w:rsidP="009E3272">
      <w:pPr>
        <w:pStyle w:val="Bibliography"/>
        <w:ind w:left="720" w:hanging="810"/>
      </w:pPr>
      <w:bookmarkStart w:id="420" w:name="ref-wynes2019"/>
      <w:bookmarkEnd w:id="419"/>
      <w:r>
        <w:t xml:space="preserve">Wynes, S., &amp; Nicholas, K. A. (2019). Climate science curricula in Canadian secondary schools focus on human warming, not scientific consensus, </w:t>
      </w:r>
      <w:proofErr w:type="gramStart"/>
      <w:r>
        <w:t>impacts</w:t>
      </w:r>
      <w:proofErr w:type="gramEnd"/>
      <w:r>
        <w:t xml:space="preserve"> or solutions. </w:t>
      </w:r>
      <w:r>
        <w:rPr>
          <w:i/>
          <w:iCs/>
        </w:rPr>
        <w:t>PLOS ONE</w:t>
      </w:r>
      <w:r>
        <w:t xml:space="preserve">, </w:t>
      </w:r>
      <w:r>
        <w:rPr>
          <w:i/>
          <w:iCs/>
        </w:rPr>
        <w:t>14</w:t>
      </w:r>
      <w:r>
        <w:t xml:space="preserve">(7), e0218305. </w:t>
      </w:r>
      <w:hyperlink r:id="rId302">
        <w:r>
          <w:rPr>
            <w:rStyle w:val="Hyperlink"/>
          </w:rPr>
          <w:t>https://doi.org/10.1371/journal.pone.0218305</w:t>
        </w:r>
      </w:hyperlink>
    </w:p>
    <w:p w14:paraId="612C27E8" w14:textId="77777777" w:rsidR="0033629A" w:rsidRDefault="004409CB" w:rsidP="009E3272">
      <w:pPr>
        <w:pStyle w:val="Bibliography"/>
        <w:ind w:left="720" w:hanging="810"/>
      </w:pPr>
      <w:bookmarkStart w:id="421" w:name="ref-wynes2018"/>
      <w:bookmarkEnd w:id="420"/>
      <w:r>
        <w:t xml:space="preserve">Wynes, S., Nicholas, K. A., Zhao, J., &amp; Donner, S. D. (2018). Measuring what works: Quantifying greenhouse gas emission reductions of behavioural interventions to reduce driving, meat consumption, and household energy use. </w:t>
      </w:r>
      <w:r>
        <w:rPr>
          <w:i/>
          <w:iCs/>
        </w:rPr>
        <w:t>Environmental Research Letters</w:t>
      </w:r>
      <w:r>
        <w:t xml:space="preserve">, </w:t>
      </w:r>
      <w:r>
        <w:rPr>
          <w:i/>
          <w:iCs/>
        </w:rPr>
        <w:t>13</w:t>
      </w:r>
      <w:r>
        <w:t xml:space="preserve">(11), 113002. </w:t>
      </w:r>
      <w:hyperlink r:id="rId303">
        <w:r>
          <w:rPr>
            <w:rStyle w:val="Hyperlink"/>
          </w:rPr>
          <w:t>https://doi.org/10.1088/1748-9326/aae5d7</w:t>
        </w:r>
      </w:hyperlink>
    </w:p>
    <w:p w14:paraId="7603C692" w14:textId="77777777" w:rsidR="0033629A" w:rsidRDefault="004409CB" w:rsidP="009E3272">
      <w:pPr>
        <w:pStyle w:val="Bibliography"/>
        <w:ind w:left="720" w:hanging="810"/>
      </w:pPr>
      <w:bookmarkStart w:id="422" w:name="ref-wynes2020"/>
      <w:bookmarkEnd w:id="421"/>
      <w:r>
        <w:lastRenderedPageBreak/>
        <w:t xml:space="preserve">Wynes, S., Zhao, J., &amp; Donner, S. D. (2020). How well do people understand the climate impact of individual actions? </w:t>
      </w:r>
      <w:r>
        <w:rPr>
          <w:i/>
          <w:iCs/>
        </w:rPr>
        <w:t>Climatic Change</w:t>
      </w:r>
      <w:r>
        <w:t xml:space="preserve">, </w:t>
      </w:r>
      <w:r>
        <w:rPr>
          <w:i/>
          <w:iCs/>
        </w:rPr>
        <w:t>162</w:t>
      </w:r>
      <w:r>
        <w:t xml:space="preserve">(3), 1521–1534. </w:t>
      </w:r>
      <w:hyperlink r:id="rId304">
        <w:r>
          <w:rPr>
            <w:rStyle w:val="Hyperlink"/>
          </w:rPr>
          <w:t>https://doi.org/10.1007/s10584-020-02811-5</w:t>
        </w:r>
      </w:hyperlink>
    </w:p>
    <w:p w14:paraId="09E5C056" w14:textId="77777777" w:rsidR="0033629A" w:rsidRDefault="004409CB" w:rsidP="009E3272">
      <w:pPr>
        <w:pStyle w:val="Bibliography"/>
        <w:ind w:left="720" w:hanging="810"/>
      </w:pPr>
      <w:bookmarkStart w:id="423" w:name="ref-yao2020"/>
      <w:bookmarkEnd w:id="422"/>
      <w:r>
        <w:t xml:space="preserve">Yao, Y., Ivanovski, K., Inekwe, J., &amp; Smyth, R. (2020). Human capital and CO2 emissions in the long run. </w:t>
      </w:r>
      <w:r>
        <w:rPr>
          <w:i/>
          <w:iCs/>
        </w:rPr>
        <w:t>Energy Economics</w:t>
      </w:r>
      <w:r>
        <w:t xml:space="preserve">, </w:t>
      </w:r>
      <w:r>
        <w:rPr>
          <w:i/>
          <w:iCs/>
        </w:rPr>
        <w:t>91</w:t>
      </w:r>
      <w:r>
        <w:t xml:space="preserve">, 104907. </w:t>
      </w:r>
      <w:hyperlink r:id="rId305">
        <w:r>
          <w:rPr>
            <w:rStyle w:val="Hyperlink"/>
          </w:rPr>
          <w:t>https://doi.org/10.1016/j.eneco.2020.104907</w:t>
        </w:r>
      </w:hyperlink>
    </w:p>
    <w:p w14:paraId="4E1048EE" w14:textId="77777777" w:rsidR="0033629A" w:rsidRDefault="004409CB" w:rsidP="009E3272">
      <w:pPr>
        <w:pStyle w:val="Bibliography"/>
        <w:ind w:left="720" w:hanging="810"/>
      </w:pPr>
      <w:bookmarkStart w:id="424" w:name="ref-yorkSTIRPATIPATImPACT2003"/>
      <w:bookmarkEnd w:id="423"/>
      <w:r>
        <w:t xml:space="preserve">York, R., Rosa, E. A., &amp; Dietz, T. (2003). STIRPAT, IPAT and ImPACT: Analytic tools for unpacking the driving forces of environmental impacts. </w:t>
      </w:r>
      <w:r>
        <w:rPr>
          <w:i/>
          <w:iCs/>
        </w:rPr>
        <w:t>Ecological Economics</w:t>
      </w:r>
      <w:r>
        <w:t xml:space="preserve">, </w:t>
      </w:r>
      <w:r>
        <w:rPr>
          <w:i/>
          <w:iCs/>
        </w:rPr>
        <w:t>46</w:t>
      </w:r>
      <w:r>
        <w:t xml:space="preserve">(3), 351–365. </w:t>
      </w:r>
      <w:hyperlink r:id="rId306">
        <w:r>
          <w:rPr>
            <w:rStyle w:val="Hyperlink"/>
          </w:rPr>
          <w:t>https://doi.org/10.1016/S0921-8009(03)00188-5</w:t>
        </w:r>
      </w:hyperlink>
    </w:p>
    <w:p w14:paraId="61CABA4F" w14:textId="77777777" w:rsidR="0033629A" w:rsidRDefault="004409CB" w:rsidP="009E3272">
      <w:pPr>
        <w:pStyle w:val="Bibliography"/>
        <w:ind w:left="720" w:hanging="810"/>
      </w:pPr>
      <w:bookmarkStart w:id="425" w:name="ref-yuriev2020"/>
      <w:bookmarkEnd w:id="424"/>
      <w:r>
        <w:t xml:space="preserve">Yuriev, A., Dahmen, M., Paill’e, P., Boiral, O., &amp; Guillaumie, L. (2020). Pro-environmental behaviors through the lens of the theory of planned behavior: A scoping review. </w:t>
      </w:r>
      <w:r>
        <w:rPr>
          <w:i/>
          <w:iCs/>
        </w:rPr>
        <w:t>Resources, Conservation and Recycling</w:t>
      </w:r>
      <w:r>
        <w:t xml:space="preserve">, </w:t>
      </w:r>
      <w:r>
        <w:rPr>
          <w:i/>
          <w:iCs/>
        </w:rPr>
        <w:t>155</w:t>
      </w:r>
      <w:r>
        <w:t xml:space="preserve">, 104660. </w:t>
      </w:r>
      <w:hyperlink r:id="rId307">
        <w:r>
          <w:rPr>
            <w:rStyle w:val="Hyperlink"/>
          </w:rPr>
          <w:t>https://doi.org/10.1016/j.resconrec.2019.104660</w:t>
        </w:r>
      </w:hyperlink>
    </w:p>
    <w:p w14:paraId="395A5F76" w14:textId="77777777" w:rsidR="0033629A" w:rsidRDefault="004409CB" w:rsidP="009E3272">
      <w:pPr>
        <w:pStyle w:val="Bibliography"/>
        <w:ind w:left="720" w:hanging="810"/>
      </w:pPr>
      <w:bookmarkStart w:id="426" w:name="ref-zuell2019"/>
      <w:bookmarkEnd w:id="425"/>
      <w:r>
        <w:t xml:space="preserve">Zuell, C., &amp; Scholz, E. (2019). Construct equivalence of left-right scale placement in a cross-national perspective. </w:t>
      </w:r>
      <w:r>
        <w:rPr>
          <w:i/>
          <w:iCs/>
        </w:rPr>
        <w:t>International Journal of Sociology</w:t>
      </w:r>
      <w:r>
        <w:t xml:space="preserve">, </w:t>
      </w:r>
      <w:r>
        <w:rPr>
          <w:i/>
          <w:iCs/>
        </w:rPr>
        <w:t>49</w:t>
      </w:r>
      <w:r>
        <w:t xml:space="preserve">(1). </w:t>
      </w:r>
      <w:hyperlink r:id="rId308">
        <w:r>
          <w:rPr>
            <w:rStyle w:val="Hyperlink"/>
          </w:rPr>
          <w:t>https://doi.org/10.1080/00207659.2018.1560982</w:t>
        </w:r>
      </w:hyperlink>
    </w:p>
    <w:p w14:paraId="6E0F60E0" w14:textId="77777777" w:rsidR="00AB0842" w:rsidRDefault="004409CB" w:rsidP="009E3272">
      <w:pPr>
        <w:pStyle w:val="Bibliography"/>
        <w:ind w:left="720" w:hanging="810"/>
        <w:rPr>
          <w:rStyle w:val="Hyperlink"/>
        </w:rPr>
        <w:sectPr w:rsidR="00AB0842" w:rsidSect="00D52E9A">
          <w:pgSz w:w="11906" w:h="16838"/>
          <w:pgMar w:top="1440" w:right="1440" w:bottom="1440" w:left="1440" w:header="720" w:footer="720" w:gutter="0"/>
          <w:cols w:space="720"/>
          <w:docGrid w:linePitch="326"/>
        </w:sectPr>
      </w:pPr>
      <w:bookmarkStart w:id="427" w:name="ref-zummo2021"/>
      <w:bookmarkEnd w:id="426"/>
      <w:r>
        <w:t xml:space="preserve">Zummo, L., Donovan, B., &amp; Busch, K. C. (2021). Complex influences of mechanistic knowledge, worldview, and quantitative reasoning on climate change discourse: Evidence for ideologically motivated reasoning among youth. </w:t>
      </w:r>
      <w:r>
        <w:rPr>
          <w:i/>
          <w:iCs/>
        </w:rPr>
        <w:t>Journal of Research in Science Teaching</w:t>
      </w:r>
      <w:r>
        <w:t xml:space="preserve">, </w:t>
      </w:r>
      <w:r>
        <w:rPr>
          <w:i/>
          <w:iCs/>
        </w:rPr>
        <w:t>58</w:t>
      </w:r>
      <w:r>
        <w:t xml:space="preserve">(1), 95–127. </w:t>
      </w:r>
      <w:hyperlink r:id="rId309">
        <w:r>
          <w:rPr>
            <w:rStyle w:val="Hyperlink"/>
          </w:rPr>
          <w:t>https://doi.org/10.1002/tea.21648</w:t>
        </w:r>
      </w:hyperlink>
    </w:p>
    <w:p w14:paraId="6A041EDB" w14:textId="6B807EE9" w:rsidR="00EE0A55" w:rsidRDefault="00EE0A55" w:rsidP="00C12CAA">
      <w:pPr>
        <w:pStyle w:val="Heading1"/>
      </w:pPr>
      <w:bookmarkStart w:id="428" w:name="_Toc107939132"/>
      <w:bookmarkStart w:id="429" w:name="appendix-a"/>
      <w:bookmarkStart w:id="430" w:name="appendix"/>
      <w:bookmarkEnd w:id="147"/>
      <w:bookmarkEnd w:id="149"/>
      <w:bookmarkEnd w:id="427"/>
      <w:r>
        <w:lastRenderedPageBreak/>
        <w:t>Appendices</w:t>
      </w:r>
      <w:bookmarkEnd w:id="428"/>
    </w:p>
    <w:p w14:paraId="3AAF6358" w14:textId="62DD3C30" w:rsidR="0033629A" w:rsidRDefault="004409CB" w:rsidP="00EE0A55">
      <w:pPr>
        <w:pStyle w:val="Heading2"/>
      </w:pPr>
      <w:bookmarkStart w:id="431" w:name="_Toc107939133"/>
      <w:r>
        <w:t>Appendix A</w:t>
      </w:r>
      <w:bookmarkEnd w:id="431"/>
    </w:p>
    <w:p w14:paraId="648DF57F" w14:textId="23B13298" w:rsidR="00133A77" w:rsidRDefault="00133A77" w:rsidP="00133A77">
      <w:pPr>
        <w:pStyle w:val="BodyText"/>
        <w:rPr>
          <w:i/>
          <w:sz w:val="20"/>
        </w:rPr>
      </w:pPr>
      <w:bookmarkStart w:id="432" w:name="_Toc103968344"/>
      <w:r w:rsidRPr="005E3BFA">
        <w:rPr>
          <w:b/>
          <w:i/>
          <w:sz w:val="20"/>
        </w:rPr>
        <w:t xml:space="preserve">Table </w:t>
      </w:r>
      <w:bookmarkStart w:id="433" w:name="sltable"/>
      <w:r w:rsidRPr="005E3BFA">
        <w:rPr>
          <w:b/>
          <w:i/>
          <w:sz w:val="20"/>
        </w:rPr>
        <w:fldChar w:fldCharType="begin"/>
      </w:r>
      <w:r w:rsidRPr="005E3BFA">
        <w:rPr>
          <w:b/>
          <w:i/>
          <w:sz w:val="20"/>
        </w:rPr>
        <w:instrText>SEQ tab \* Arabic</w:instrText>
      </w:r>
      <w:r w:rsidRPr="005E3BFA">
        <w:rPr>
          <w:b/>
          <w:i/>
          <w:sz w:val="20"/>
        </w:rPr>
        <w:fldChar w:fldCharType="separate"/>
      </w:r>
      <w:r w:rsidR="00766923">
        <w:rPr>
          <w:b/>
          <w:i/>
          <w:noProof/>
          <w:sz w:val="20"/>
        </w:rPr>
        <w:t>8</w:t>
      </w:r>
      <w:r w:rsidRPr="005E3BFA">
        <w:rPr>
          <w:b/>
          <w:i/>
          <w:sz w:val="20"/>
        </w:rPr>
        <w:fldChar w:fldCharType="end"/>
      </w:r>
      <w:bookmarkEnd w:id="433"/>
      <w:r w:rsidRPr="005E3BFA">
        <w:rPr>
          <w:i/>
          <w:sz w:val="20"/>
        </w:rPr>
        <w:t>: Number of Students and Mean Scientific Literacy Score by Country and PISA Assessment Year</w:t>
      </w:r>
      <w:bookmarkEnd w:id="432"/>
    </w:p>
    <w:tbl>
      <w:tblPr>
        <w:tblpPr w:leftFromText="180" w:rightFromText="180" w:vertAnchor="text" w:tblpXSpec="center" w:tblpY="1"/>
        <w:tblOverlap w:val="never"/>
        <w:tblW w:w="12420" w:type="dxa"/>
        <w:tblLayout w:type="fixed"/>
        <w:tblLook w:val="0420" w:firstRow="1" w:lastRow="0" w:firstColumn="0" w:lastColumn="0" w:noHBand="0" w:noVBand="1"/>
      </w:tblPr>
      <w:tblGrid>
        <w:gridCol w:w="1530"/>
        <w:gridCol w:w="1620"/>
        <w:gridCol w:w="1260"/>
        <w:gridCol w:w="990"/>
        <w:gridCol w:w="1404"/>
        <w:gridCol w:w="1404"/>
        <w:gridCol w:w="1404"/>
        <w:gridCol w:w="1404"/>
        <w:gridCol w:w="1404"/>
      </w:tblGrid>
      <w:tr w:rsidR="000E50F7" w:rsidRPr="00470330" w14:paraId="186AAEF0" w14:textId="77777777" w:rsidTr="00A12A24">
        <w:trPr>
          <w:cantSplit/>
          <w:tblHeader/>
        </w:trPr>
        <w:tc>
          <w:tcPr>
            <w:tcW w:w="153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296614A5" w14:textId="7C4B4B22" w:rsidR="00133A77" w:rsidRPr="00470330" w:rsidRDefault="00133A77" w:rsidP="00D4405D">
            <w:pPr>
              <w:keepNext/>
              <w:spacing w:before="100" w:after="0" w:line="240" w:lineRule="auto"/>
              <w:ind w:left="100" w:right="100" w:firstLine="0"/>
              <w:jc w:val="center"/>
              <w:rPr>
                <w:sz w:val="20"/>
                <w:szCs w:val="20"/>
              </w:rPr>
            </w:pPr>
          </w:p>
        </w:tc>
        <w:tc>
          <w:tcPr>
            <w:tcW w:w="162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4C32C413" w14:textId="77777777" w:rsidR="00133A77" w:rsidRPr="00470330" w:rsidRDefault="00133A77" w:rsidP="00D4405D">
            <w:pPr>
              <w:keepNext/>
              <w:spacing w:before="100" w:after="0" w:line="240" w:lineRule="auto"/>
              <w:ind w:left="100" w:right="100" w:firstLine="0"/>
              <w:jc w:val="center"/>
              <w:rPr>
                <w:sz w:val="20"/>
                <w:szCs w:val="20"/>
              </w:rPr>
            </w:pPr>
          </w:p>
        </w:tc>
        <w:tc>
          <w:tcPr>
            <w:tcW w:w="126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5298E757" w14:textId="77777777" w:rsidR="00133A77" w:rsidRPr="00470330" w:rsidRDefault="00133A77" w:rsidP="00D4405D">
            <w:pPr>
              <w:keepNext/>
              <w:spacing w:before="100" w:after="0" w:line="240" w:lineRule="auto"/>
              <w:ind w:left="100" w:right="100" w:firstLine="0"/>
              <w:jc w:val="center"/>
              <w:rPr>
                <w:sz w:val="20"/>
                <w:szCs w:val="20"/>
              </w:rPr>
            </w:pPr>
          </w:p>
        </w:tc>
        <w:tc>
          <w:tcPr>
            <w:tcW w:w="99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4EEFD7A9" w14:textId="77777777" w:rsidR="00133A77" w:rsidRPr="00470330" w:rsidRDefault="00133A77" w:rsidP="00D4405D">
            <w:pPr>
              <w:keepNext/>
              <w:spacing w:before="100" w:after="0" w:line="240" w:lineRule="auto"/>
              <w:ind w:left="100" w:right="100" w:firstLine="0"/>
              <w:jc w:val="center"/>
              <w:rPr>
                <w:sz w:val="20"/>
                <w:szCs w:val="20"/>
              </w:rPr>
            </w:pPr>
          </w:p>
        </w:tc>
        <w:tc>
          <w:tcPr>
            <w:tcW w:w="7020" w:type="dxa"/>
            <w:gridSpan w:val="5"/>
            <w:tcBorders>
              <w:top w:val="single" w:sz="12" w:space="0" w:color="auto"/>
              <w:bottom w:val="single" w:sz="12" w:space="0" w:color="auto"/>
            </w:tcBorders>
            <w:shd w:val="clear" w:color="auto" w:fill="FFFFFF"/>
            <w:tcMar>
              <w:top w:w="0" w:type="dxa"/>
              <w:left w:w="0" w:type="dxa"/>
              <w:bottom w:w="0" w:type="dxa"/>
              <w:right w:w="0" w:type="dxa"/>
            </w:tcMar>
            <w:vAlign w:val="center"/>
          </w:tcPr>
          <w:p w14:paraId="62314D2D" w14:textId="77777777" w:rsidR="00133A77" w:rsidRPr="00470330" w:rsidRDefault="00133A77" w:rsidP="00977EA8">
            <w:pPr>
              <w:keepNext/>
              <w:spacing w:before="0" w:after="0" w:line="240" w:lineRule="auto"/>
              <w:ind w:left="100" w:right="100" w:firstLine="0"/>
              <w:jc w:val="center"/>
              <w:rPr>
                <w:sz w:val="20"/>
                <w:szCs w:val="20"/>
              </w:rPr>
            </w:pPr>
            <w:r w:rsidRPr="00470330">
              <w:rPr>
                <w:rFonts w:eastAsia="Arial"/>
                <w:color w:val="000000"/>
                <w:sz w:val="20"/>
                <w:szCs w:val="20"/>
              </w:rPr>
              <w:t>Students / Scientific Literacy Score</w:t>
            </w:r>
          </w:p>
        </w:tc>
      </w:tr>
      <w:tr w:rsidR="000E50F7" w:rsidRPr="00470330" w14:paraId="52620EFD" w14:textId="77777777" w:rsidTr="00A12A24">
        <w:trPr>
          <w:cantSplit/>
          <w:tblHeader/>
        </w:trPr>
        <w:tc>
          <w:tcPr>
            <w:tcW w:w="153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4FC5DCC4" w14:textId="77777777" w:rsidR="00133A77" w:rsidRPr="00470330" w:rsidRDefault="00133A77" w:rsidP="00977EA8">
            <w:pPr>
              <w:keepNext/>
              <w:spacing w:before="0" w:after="0" w:line="240" w:lineRule="auto"/>
              <w:ind w:left="100" w:right="100" w:firstLine="0"/>
              <w:rPr>
                <w:b/>
                <w:bCs/>
                <w:sz w:val="20"/>
                <w:szCs w:val="20"/>
              </w:rPr>
            </w:pPr>
            <w:r w:rsidRPr="00470330">
              <w:rPr>
                <w:rFonts w:eastAsia="Arial"/>
                <w:b/>
                <w:bCs/>
                <w:color w:val="000000"/>
                <w:sz w:val="20"/>
                <w:szCs w:val="20"/>
              </w:rPr>
              <w:t>Country</w:t>
            </w:r>
          </w:p>
        </w:tc>
        <w:tc>
          <w:tcPr>
            <w:tcW w:w="162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74B33227" w14:textId="77777777" w:rsidR="00133A77" w:rsidRPr="00470330" w:rsidRDefault="00133A77" w:rsidP="00977EA8">
            <w:pPr>
              <w:keepNext/>
              <w:spacing w:before="0" w:after="0" w:line="240" w:lineRule="auto"/>
              <w:ind w:left="100" w:right="100" w:firstLine="0"/>
              <w:rPr>
                <w:b/>
                <w:bCs/>
                <w:sz w:val="20"/>
                <w:szCs w:val="20"/>
              </w:rPr>
            </w:pPr>
            <w:r w:rsidRPr="00470330">
              <w:rPr>
                <w:rFonts w:eastAsia="Arial"/>
                <w:b/>
                <w:bCs/>
                <w:color w:val="000000"/>
                <w:sz w:val="20"/>
                <w:szCs w:val="20"/>
              </w:rPr>
              <w:t>Region</w:t>
            </w:r>
            <w:r w:rsidRPr="00470330">
              <w:rPr>
                <w:rFonts w:eastAsia="Arial"/>
                <w:b/>
                <w:bCs/>
                <w:color w:val="000000"/>
                <w:sz w:val="20"/>
                <w:szCs w:val="20"/>
                <w:vertAlign w:val="superscript"/>
              </w:rPr>
              <w:t>a</w:t>
            </w:r>
          </w:p>
        </w:tc>
        <w:tc>
          <w:tcPr>
            <w:tcW w:w="126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1997F20A" w14:textId="77777777" w:rsidR="00133A77" w:rsidRPr="00470330" w:rsidRDefault="00133A77" w:rsidP="00977EA8">
            <w:pPr>
              <w:keepNext/>
              <w:spacing w:before="0" w:after="0" w:line="240" w:lineRule="auto"/>
              <w:ind w:left="100" w:right="100" w:firstLine="0"/>
              <w:rPr>
                <w:b/>
                <w:bCs/>
                <w:sz w:val="20"/>
                <w:szCs w:val="20"/>
              </w:rPr>
            </w:pPr>
            <w:r w:rsidRPr="00470330">
              <w:rPr>
                <w:rFonts w:eastAsia="Arial"/>
                <w:b/>
                <w:bCs/>
                <w:color w:val="000000"/>
                <w:sz w:val="20"/>
                <w:szCs w:val="20"/>
              </w:rPr>
              <w:t>OECD Status</w:t>
            </w:r>
          </w:p>
        </w:tc>
        <w:tc>
          <w:tcPr>
            <w:tcW w:w="99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752D2473" w14:textId="3185DE39" w:rsidR="00133A77" w:rsidRPr="00470330" w:rsidRDefault="00133A77" w:rsidP="00977EA8">
            <w:pPr>
              <w:keepNext/>
              <w:spacing w:before="0" w:after="0" w:line="240" w:lineRule="auto"/>
              <w:ind w:left="100" w:right="100" w:firstLine="0"/>
              <w:rPr>
                <w:b/>
                <w:bCs/>
                <w:sz w:val="20"/>
                <w:szCs w:val="20"/>
              </w:rPr>
            </w:pPr>
            <w:r w:rsidRPr="00470330">
              <w:rPr>
                <w:rFonts w:eastAsia="Arial"/>
                <w:b/>
                <w:bCs/>
                <w:color w:val="000000"/>
                <w:sz w:val="20"/>
                <w:szCs w:val="20"/>
              </w:rPr>
              <w:t xml:space="preserve"> </w:t>
            </w:r>
            <w:r w:rsidR="00470330" w:rsidRPr="00470330">
              <w:rPr>
                <w:rFonts w:eastAsia="Arial"/>
                <w:b/>
                <w:bCs/>
                <w:color w:val="000000"/>
                <w:sz w:val="20"/>
                <w:szCs w:val="20"/>
              </w:rPr>
              <w:t>Group</w:t>
            </w:r>
          </w:p>
        </w:tc>
        <w:tc>
          <w:tcPr>
            <w:tcW w:w="1404"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5FDC402B" w14:textId="77777777" w:rsidR="00133A77" w:rsidRPr="00470330" w:rsidRDefault="00133A77" w:rsidP="00977EA8">
            <w:pPr>
              <w:keepNext/>
              <w:spacing w:before="0" w:after="0" w:line="240" w:lineRule="auto"/>
              <w:ind w:left="100" w:right="100" w:firstLine="0"/>
              <w:jc w:val="center"/>
              <w:rPr>
                <w:b/>
                <w:bCs/>
                <w:sz w:val="20"/>
                <w:szCs w:val="20"/>
              </w:rPr>
            </w:pPr>
            <w:r w:rsidRPr="00470330">
              <w:rPr>
                <w:rFonts w:eastAsia="Arial"/>
                <w:b/>
                <w:bCs/>
                <w:color w:val="000000"/>
                <w:sz w:val="20"/>
                <w:szCs w:val="20"/>
              </w:rPr>
              <w:t>2006</w:t>
            </w:r>
          </w:p>
        </w:tc>
        <w:tc>
          <w:tcPr>
            <w:tcW w:w="1404"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1F969D25" w14:textId="77777777" w:rsidR="00133A77" w:rsidRPr="00470330" w:rsidRDefault="00133A77" w:rsidP="00977EA8">
            <w:pPr>
              <w:keepNext/>
              <w:spacing w:before="0" w:after="0" w:line="240" w:lineRule="auto"/>
              <w:ind w:left="100" w:right="100" w:firstLine="0"/>
              <w:jc w:val="center"/>
              <w:rPr>
                <w:b/>
                <w:bCs/>
                <w:sz w:val="20"/>
                <w:szCs w:val="20"/>
              </w:rPr>
            </w:pPr>
            <w:r w:rsidRPr="00470330">
              <w:rPr>
                <w:rFonts w:eastAsia="Arial"/>
                <w:b/>
                <w:bCs/>
                <w:color w:val="000000"/>
                <w:sz w:val="20"/>
                <w:szCs w:val="20"/>
              </w:rPr>
              <w:t>2009</w:t>
            </w:r>
          </w:p>
        </w:tc>
        <w:tc>
          <w:tcPr>
            <w:tcW w:w="1404"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70176104" w14:textId="77777777" w:rsidR="00133A77" w:rsidRPr="00470330" w:rsidRDefault="00133A77" w:rsidP="00977EA8">
            <w:pPr>
              <w:keepNext/>
              <w:spacing w:before="0" w:after="0" w:line="240" w:lineRule="auto"/>
              <w:ind w:left="100" w:right="100" w:firstLine="0"/>
              <w:jc w:val="center"/>
              <w:rPr>
                <w:b/>
                <w:bCs/>
                <w:sz w:val="20"/>
                <w:szCs w:val="20"/>
              </w:rPr>
            </w:pPr>
            <w:r w:rsidRPr="00470330">
              <w:rPr>
                <w:rFonts w:eastAsia="Arial"/>
                <w:b/>
                <w:bCs/>
                <w:color w:val="000000"/>
                <w:sz w:val="20"/>
                <w:szCs w:val="20"/>
              </w:rPr>
              <w:t>2012</w:t>
            </w:r>
          </w:p>
        </w:tc>
        <w:tc>
          <w:tcPr>
            <w:tcW w:w="1404"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4BF1C8B8" w14:textId="77777777" w:rsidR="00133A77" w:rsidRPr="00470330" w:rsidRDefault="00133A77" w:rsidP="00977EA8">
            <w:pPr>
              <w:keepNext/>
              <w:spacing w:before="0" w:after="0" w:line="240" w:lineRule="auto"/>
              <w:ind w:left="100" w:right="100" w:firstLine="0"/>
              <w:jc w:val="center"/>
              <w:rPr>
                <w:b/>
                <w:bCs/>
                <w:sz w:val="20"/>
                <w:szCs w:val="20"/>
              </w:rPr>
            </w:pPr>
            <w:r w:rsidRPr="00470330">
              <w:rPr>
                <w:rFonts w:eastAsia="Arial"/>
                <w:b/>
                <w:bCs/>
                <w:color w:val="000000"/>
                <w:sz w:val="20"/>
                <w:szCs w:val="20"/>
              </w:rPr>
              <w:t>2015</w:t>
            </w:r>
          </w:p>
        </w:tc>
        <w:tc>
          <w:tcPr>
            <w:tcW w:w="1404"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15AE14D6" w14:textId="77777777" w:rsidR="00133A77" w:rsidRPr="00470330" w:rsidRDefault="00133A77" w:rsidP="00977EA8">
            <w:pPr>
              <w:keepNext/>
              <w:spacing w:before="0" w:after="0" w:line="240" w:lineRule="auto"/>
              <w:ind w:left="100" w:right="100" w:firstLine="0"/>
              <w:jc w:val="center"/>
              <w:rPr>
                <w:b/>
                <w:bCs/>
                <w:sz w:val="20"/>
                <w:szCs w:val="20"/>
              </w:rPr>
            </w:pPr>
            <w:r w:rsidRPr="00470330">
              <w:rPr>
                <w:rFonts w:eastAsia="Arial"/>
                <w:b/>
                <w:bCs/>
                <w:color w:val="000000"/>
                <w:sz w:val="20"/>
                <w:szCs w:val="20"/>
              </w:rPr>
              <w:t>2018</w:t>
            </w:r>
          </w:p>
        </w:tc>
      </w:tr>
      <w:tr w:rsidR="000E50F7" w:rsidRPr="00470330" w14:paraId="014B0048" w14:textId="77777777" w:rsidTr="00A12A24">
        <w:trPr>
          <w:cantSplit/>
        </w:trPr>
        <w:tc>
          <w:tcPr>
            <w:tcW w:w="1530" w:type="dxa"/>
            <w:tcBorders>
              <w:top w:val="single" w:sz="12" w:space="0" w:color="auto"/>
            </w:tcBorders>
            <w:shd w:val="clear" w:color="auto" w:fill="FFFFFF"/>
            <w:tcMar>
              <w:top w:w="0" w:type="dxa"/>
              <w:left w:w="0" w:type="dxa"/>
              <w:bottom w:w="0" w:type="dxa"/>
              <w:right w:w="0" w:type="dxa"/>
            </w:tcMar>
            <w:vAlign w:val="center"/>
          </w:tcPr>
          <w:p w14:paraId="16E5D10F"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Albania</w:t>
            </w:r>
          </w:p>
        </w:tc>
        <w:tc>
          <w:tcPr>
            <w:tcW w:w="1620" w:type="dxa"/>
            <w:tcBorders>
              <w:top w:val="single" w:sz="12" w:space="0" w:color="auto"/>
            </w:tcBorders>
            <w:shd w:val="clear" w:color="auto" w:fill="FFFFFF"/>
            <w:tcMar>
              <w:top w:w="0" w:type="dxa"/>
              <w:left w:w="0" w:type="dxa"/>
              <w:bottom w:w="0" w:type="dxa"/>
              <w:right w:w="0" w:type="dxa"/>
            </w:tcMar>
            <w:vAlign w:val="center"/>
          </w:tcPr>
          <w:p w14:paraId="0991FB6D"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Southern Europe</w:t>
            </w:r>
          </w:p>
        </w:tc>
        <w:tc>
          <w:tcPr>
            <w:tcW w:w="1260" w:type="dxa"/>
            <w:tcBorders>
              <w:top w:val="single" w:sz="12" w:space="0" w:color="auto"/>
            </w:tcBorders>
            <w:shd w:val="clear" w:color="auto" w:fill="FFFFFF"/>
            <w:tcMar>
              <w:top w:w="0" w:type="dxa"/>
              <w:left w:w="0" w:type="dxa"/>
              <w:bottom w:w="0" w:type="dxa"/>
              <w:right w:w="0" w:type="dxa"/>
            </w:tcMar>
            <w:vAlign w:val="center"/>
          </w:tcPr>
          <w:p w14:paraId="4067494F"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12" w:space="0" w:color="auto"/>
              <w:right w:val="single" w:sz="8" w:space="0" w:color="666666"/>
            </w:tcBorders>
            <w:shd w:val="clear" w:color="auto" w:fill="FFFFFF"/>
            <w:tcMar>
              <w:top w:w="0" w:type="dxa"/>
              <w:left w:w="0" w:type="dxa"/>
              <w:bottom w:w="0" w:type="dxa"/>
              <w:right w:w="0" w:type="dxa"/>
            </w:tcMar>
            <w:vAlign w:val="center"/>
          </w:tcPr>
          <w:p w14:paraId="557424D4"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12" w:space="0" w:color="auto"/>
              <w:left w:val="single" w:sz="8" w:space="0" w:color="666666"/>
              <w:right w:val="single" w:sz="8" w:space="0" w:color="666666"/>
            </w:tcBorders>
            <w:shd w:val="clear" w:color="auto" w:fill="FFFFFF"/>
            <w:tcMar>
              <w:top w:w="0" w:type="dxa"/>
              <w:left w:w="0" w:type="dxa"/>
              <w:bottom w:w="0" w:type="dxa"/>
              <w:right w:w="0" w:type="dxa"/>
            </w:tcMar>
            <w:vAlign w:val="center"/>
          </w:tcPr>
          <w:p w14:paraId="63B5BDA4" w14:textId="77777777" w:rsidR="00133A77" w:rsidRPr="00470330" w:rsidRDefault="00133A77" w:rsidP="00977EA8">
            <w:pPr>
              <w:keepNext/>
              <w:spacing w:before="0" w:after="0" w:line="240" w:lineRule="auto"/>
              <w:ind w:left="100" w:right="100" w:firstLine="0"/>
              <w:rPr>
                <w:sz w:val="20"/>
                <w:szCs w:val="20"/>
              </w:rPr>
            </w:pPr>
          </w:p>
        </w:tc>
        <w:tc>
          <w:tcPr>
            <w:tcW w:w="1404" w:type="dxa"/>
            <w:tcBorders>
              <w:top w:val="single" w:sz="12" w:space="0" w:color="auto"/>
              <w:left w:val="single" w:sz="8" w:space="0" w:color="666666"/>
              <w:right w:val="single" w:sz="8" w:space="0" w:color="666666"/>
            </w:tcBorders>
            <w:shd w:val="clear" w:color="auto" w:fill="FFFFFF"/>
            <w:tcMar>
              <w:top w:w="0" w:type="dxa"/>
              <w:left w:w="0" w:type="dxa"/>
              <w:bottom w:w="0" w:type="dxa"/>
              <w:right w:w="0" w:type="dxa"/>
            </w:tcMar>
            <w:vAlign w:val="center"/>
          </w:tcPr>
          <w:p w14:paraId="4E393A9B"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4,596 / 391</w:t>
            </w:r>
          </w:p>
        </w:tc>
        <w:tc>
          <w:tcPr>
            <w:tcW w:w="1404" w:type="dxa"/>
            <w:tcBorders>
              <w:top w:val="single" w:sz="12" w:space="0" w:color="auto"/>
              <w:left w:val="single" w:sz="8" w:space="0" w:color="666666"/>
              <w:right w:val="single" w:sz="8" w:space="0" w:color="666666"/>
            </w:tcBorders>
            <w:shd w:val="clear" w:color="auto" w:fill="FFFFFF"/>
            <w:tcMar>
              <w:top w:w="0" w:type="dxa"/>
              <w:left w:w="0" w:type="dxa"/>
              <w:bottom w:w="0" w:type="dxa"/>
              <w:right w:w="0" w:type="dxa"/>
            </w:tcMar>
            <w:vAlign w:val="center"/>
          </w:tcPr>
          <w:p w14:paraId="048A3A15"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4,743 / 397</w:t>
            </w:r>
          </w:p>
        </w:tc>
        <w:tc>
          <w:tcPr>
            <w:tcW w:w="1404" w:type="dxa"/>
            <w:tcBorders>
              <w:top w:val="single" w:sz="12" w:space="0" w:color="auto"/>
              <w:left w:val="single" w:sz="8" w:space="0" w:color="666666"/>
              <w:right w:val="single" w:sz="8" w:space="0" w:color="666666"/>
            </w:tcBorders>
            <w:shd w:val="clear" w:color="auto" w:fill="FFFFFF"/>
            <w:tcMar>
              <w:top w:w="0" w:type="dxa"/>
              <w:left w:w="0" w:type="dxa"/>
              <w:bottom w:w="0" w:type="dxa"/>
              <w:right w:w="0" w:type="dxa"/>
            </w:tcMar>
            <w:vAlign w:val="center"/>
          </w:tcPr>
          <w:p w14:paraId="45E2EF13"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5,215 / 427</w:t>
            </w:r>
          </w:p>
        </w:tc>
        <w:tc>
          <w:tcPr>
            <w:tcW w:w="1404" w:type="dxa"/>
            <w:tcBorders>
              <w:top w:val="single" w:sz="12" w:space="0" w:color="auto"/>
              <w:left w:val="single" w:sz="8" w:space="0" w:color="666666"/>
              <w:right w:val="single" w:sz="8" w:space="0" w:color="666666"/>
            </w:tcBorders>
            <w:shd w:val="clear" w:color="auto" w:fill="FFFFFF"/>
            <w:tcMar>
              <w:top w:w="0" w:type="dxa"/>
              <w:left w:w="0" w:type="dxa"/>
              <w:bottom w:w="0" w:type="dxa"/>
              <w:right w:w="0" w:type="dxa"/>
            </w:tcMar>
            <w:vAlign w:val="center"/>
          </w:tcPr>
          <w:p w14:paraId="2DFA95A1"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6,359 / 417</w:t>
            </w:r>
          </w:p>
        </w:tc>
      </w:tr>
      <w:tr w:rsidR="000E50F7" w:rsidRPr="00470330" w14:paraId="2D4A48D9" w14:textId="77777777" w:rsidTr="001C782B">
        <w:trPr>
          <w:cantSplit/>
        </w:trPr>
        <w:tc>
          <w:tcPr>
            <w:tcW w:w="1530" w:type="dxa"/>
            <w:shd w:val="clear" w:color="auto" w:fill="FFFFFF"/>
            <w:tcMar>
              <w:top w:w="0" w:type="dxa"/>
              <w:left w:w="0" w:type="dxa"/>
              <w:bottom w:w="0" w:type="dxa"/>
              <w:right w:w="0" w:type="dxa"/>
            </w:tcMar>
            <w:vAlign w:val="center"/>
          </w:tcPr>
          <w:p w14:paraId="355685E0" w14:textId="77777777" w:rsidR="00133A77" w:rsidRPr="00470330" w:rsidRDefault="00133A77" w:rsidP="00977EA8">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535AB34C" w14:textId="77777777" w:rsidR="00133A77" w:rsidRPr="00470330" w:rsidRDefault="00133A77" w:rsidP="00977EA8">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599D568B" w14:textId="77777777" w:rsidR="00133A77" w:rsidRPr="00470330" w:rsidRDefault="00133A77" w:rsidP="00977EA8">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040DF242"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61386B3" w14:textId="77777777" w:rsidR="00133A77" w:rsidRPr="00470330" w:rsidRDefault="00133A77" w:rsidP="00977EA8">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62347C2"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2,275 / 406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284C94D"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2,416 / 401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B2B510F"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2,691 / 439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7D18E3C"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3,167 / 425</w:t>
            </w:r>
          </w:p>
        </w:tc>
      </w:tr>
      <w:tr w:rsidR="000E50F7" w:rsidRPr="00470330" w14:paraId="0B26A5D4" w14:textId="77777777" w:rsidTr="001C782B">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15D97763" w14:textId="77777777" w:rsidR="00133A77" w:rsidRPr="00470330" w:rsidRDefault="00133A77" w:rsidP="00977EA8">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52C5E08A" w14:textId="77777777" w:rsidR="00133A77" w:rsidRPr="00470330" w:rsidRDefault="00133A77" w:rsidP="00977EA8">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0C43E43B" w14:textId="77777777" w:rsidR="00133A77" w:rsidRPr="00470330" w:rsidRDefault="00133A77" w:rsidP="00977EA8">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23975399"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6ED5D7" w14:textId="77777777" w:rsidR="00133A77" w:rsidRPr="00470330" w:rsidRDefault="00133A77" w:rsidP="00977EA8">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A0EA153"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2,321 / 377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E4FCFAE"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2,327 / 394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6DF40F1"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2,524 / 415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DCB4BC5" w14:textId="77777777" w:rsidR="00133A77" w:rsidRPr="00470330" w:rsidRDefault="00133A77" w:rsidP="00977EA8">
            <w:pPr>
              <w:keepNext/>
              <w:spacing w:before="0" w:after="0" w:line="240" w:lineRule="auto"/>
              <w:ind w:left="100" w:right="100" w:firstLine="0"/>
              <w:rPr>
                <w:sz w:val="20"/>
                <w:szCs w:val="20"/>
              </w:rPr>
            </w:pPr>
            <w:r w:rsidRPr="00470330">
              <w:rPr>
                <w:rFonts w:eastAsia="Arial"/>
                <w:color w:val="000000"/>
                <w:sz w:val="20"/>
                <w:szCs w:val="20"/>
              </w:rPr>
              <w:t>3,192 / 409</w:t>
            </w:r>
          </w:p>
        </w:tc>
      </w:tr>
      <w:tr w:rsidR="000C4931" w:rsidRPr="00470330" w14:paraId="69ED6A29" w14:textId="77777777" w:rsidTr="001C782B">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4B460A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Algeria</w:t>
            </w:r>
          </w:p>
        </w:tc>
        <w:tc>
          <w:tcPr>
            <w:tcW w:w="1620" w:type="dxa"/>
            <w:tcBorders>
              <w:top w:val="single" w:sz="8" w:space="0" w:color="666666"/>
            </w:tcBorders>
            <w:shd w:val="clear" w:color="auto" w:fill="FFFFFF"/>
            <w:tcMar>
              <w:top w:w="0" w:type="dxa"/>
              <w:left w:w="0" w:type="dxa"/>
              <w:bottom w:w="0" w:type="dxa"/>
              <w:right w:w="0" w:type="dxa"/>
            </w:tcMar>
            <w:vAlign w:val="center"/>
          </w:tcPr>
          <w:p w14:paraId="76ECA7B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MENA</w:t>
            </w:r>
          </w:p>
        </w:tc>
        <w:tc>
          <w:tcPr>
            <w:tcW w:w="1260" w:type="dxa"/>
            <w:tcBorders>
              <w:top w:val="single" w:sz="8" w:space="0" w:color="666666"/>
            </w:tcBorders>
            <w:shd w:val="clear" w:color="auto" w:fill="FFFFFF"/>
            <w:tcMar>
              <w:top w:w="0" w:type="dxa"/>
              <w:left w:w="0" w:type="dxa"/>
              <w:bottom w:w="0" w:type="dxa"/>
              <w:right w:w="0" w:type="dxa"/>
            </w:tcMar>
            <w:vAlign w:val="center"/>
          </w:tcPr>
          <w:p w14:paraId="6FEA97B4" w14:textId="18599824"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15CAC33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EAFBAF9"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6A49974"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39FDD6C"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6FE296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5,519 / 376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F869ACB" w14:textId="77777777" w:rsidR="000C4931" w:rsidRPr="00470330" w:rsidRDefault="000C4931" w:rsidP="000C4931">
            <w:pPr>
              <w:keepNext/>
              <w:spacing w:before="0" w:after="0" w:line="240" w:lineRule="auto"/>
              <w:ind w:left="100" w:right="100" w:firstLine="0"/>
              <w:rPr>
                <w:sz w:val="20"/>
                <w:szCs w:val="20"/>
              </w:rPr>
            </w:pPr>
          </w:p>
        </w:tc>
      </w:tr>
      <w:tr w:rsidR="000C4931" w:rsidRPr="00470330" w14:paraId="607C219A" w14:textId="77777777" w:rsidTr="001C782B">
        <w:trPr>
          <w:cantSplit/>
        </w:trPr>
        <w:tc>
          <w:tcPr>
            <w:tcW w:w="1530" w:type="dxa"/>
            <w:shd w:val="clear" w:color="auto" w:fill="FFFFFF"/>
            <w:tcMar>
              <w:top w:w="0" w:type="dxa"/>
              <w:left w:w="0" w:type="dxa"/>
              <w:bottom w:w="0" w:type="dxa"/>
              <w:right w:w="0" w:type="dxa"/>
            </w:tcMar>
            <w:vAlign w:val="center"/>
          </w:tcPr>
          <w:p w14:paraId="540E9005"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4DB7E396"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22A2CE2E"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5ACC88A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3A2AB74"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29883F7"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00B7A43"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35E4CE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2,670 / 383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3B84D59" w14:textId="77777777" w:rsidR="000C4931" w:rsidRPr="00470330" w:rsidRDefault="000C4931" w:rsidP="000C4931">
            <w:pPr>
              <w:keepNext/>
              <w:spacing w:before="0" w:after="0" w:line="240" w:lineRule="auto"/>
              <w:ind w:left="100" w:right="100" w:firstLine="0"/>
              <w:rPr>
                <w:sz w:val="20"/>
                <w:szCs w:val="20"/>
              </w:rPr>
            </w:pPr>
          </w:p>
        </w:tc>
      </w:tr>
      <w:tr w:rsidR="000C4931" w:rsidRPr="00470330" w14:paraId="50EDBA4C" w14:textId="77777777" w:rsidTr="001C782B">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1521FBB9"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53C29576"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6AECC4FA"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184DA75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619FD56"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18BDAF"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631BCB6"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D217FA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2,849 / 369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2B65D0" w14:textId="77777777" w:rsidR="000C4931" w:rsidRPr="00470330" w:rsidRDefault="000C4931" w:rsidP="000C4931">
            <w:pPr>
              <w:keepNext/>
              <w:spacing w:before="0" w:after="0" w:line="240" w:lineRule="auto"/>
              <w:ind w:left="100" w:right="100" w:firstLine="0"/>
              <w:rPr>
                <w:sz w:val="20"/>
                <w:szCs w:val="20"/>
              </w:rPr>
            </w:pPr>
          </w:p>
        </w:tc>
      </w:tr>
      <w:tr w:rsidR="000C4931" w:rsidRPr="00470330" w14:paraId="5F43374F" w14:textId="77777777" w:rsidTr="001C782B">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4B10D85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Argentina</w:t>
            </w:r>
          </w:p>
        </w:tc>
        <w:tc>
          <w:tcPr>
            <w:tcW w:w="1620" w:type="dxa"/>
            <w:tcBorders>
              <w:top w:val="single" w:sz="8" w:space="0" w:color="666666"/>
            </w:tcBorders>
            <w:shd w:val="clear" w:color="auto" w:fill="FFFFFF"/>
            <w:tcMar>
              <w:top w:w="0" w:type="dxa"/>
              <w:left w:w="0" w:type="dxa"/>
              <w:bottom w:w="0" w:type="dxa"/>
              <w:right w:w="0" w:type="dxa"/>
            </w:tcMar>
            <w:vAlign w:val="center"/>
          </w:tcPr>
          <w:p w14:paraId="6049510F" w14:textId="2E1F3E51" w:rsidR="000C4931" w:rsidRPr="00470330" w:rsidRDefault="000C4931" w:rsidP="000C4931">
            <w:pPr>
              <w:keepNext/>
              <w:spacing w:before="0" w:after="0" w:line="240" w:lineRule="auto"/>
              <w:ind w:left="100" w:right="100" w:firstLine="0"/>
              <w:rPr>
                <w:sz w:val="20"/>
                <w:szCs w:val="20"/>
              </w:rPr>
            </w:pPr>
            <w:r>
              <w:rPr>
                <w:rFonts w:eastAsia="Arial"/>
                <w:color w:val="000000"/>
                <w:sz w:val="20"/>
                <w:szCs w:val="20"/>
              </w:rPr>
              <w:t>Latin America/ Caribbean/ Other</w:t>
            </w:r>
          </w:p>
        </w:tc>
        <w:tc>
          <w:tcPr>
            <w:tcW w:w="1260" w:type="dxa"/>
            <w:tcBorders>
              <w:top w:val="single" w:sz="8" w:space="0" w:color="666666"/>
            </w:tcBorders>
            <w:shd w:val="clear" w:color="auto" w:fill="FFFFFF"/>
            <w:tcMar>
              <w:top w:w="0" w:type="dxa"/>
              <w:left w:w="0" w:type="dxa"/>
              <w:bottom w:w="0" w:type="dxa"/>
              <w:right w:w="0" w:type="dxa"/>
            </w:tcMar>
            <w:vAlign w:val="center"/>
          </w:tcPr>
          <w:p w14:paraId="77B78E27" w14:textId="3F00EFB4"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57D568F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1290D9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4,339 / 391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EFA703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4,774 / 401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8AF76B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5,908 / 406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E6B60E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1,657 / 475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870ED0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11,975 / 404</w:t>
            </w:r>
          </w:p>
        </w:tc>
      </w:tr>
      <w:tr w:rsidR="000C4931" w:rsidRPr="00470330" w14:paraId="4D1BFA69" w14:textId="77777777" w:rsidTr="001C782B">
        <w:trPr>
          <w:cantSplit/>
        </w:trPr>
        <w:tc>
          <w:tcPr>
            <w:tcW w:w="1530" w:type="dxa"/>
            <w:shd w:val="clear" w:color="auto" w:fill="FFFFFF"/>
            <w:tcMar>
              <w:top w:w="0" w:type="dxa"/>
              <w:left w:w="0" w:type="dxa"/>
              <w:bottom w:w="0" w:type="dxa"/>
              <w:right w:w="0" w:type="dxa"/>
            </w:tcMar>
            <w:vAlign w:val="center"/>
          </w:tcPr>
          <w:p w14:paraId="30ADA9E4"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115B61A7"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79BE04A1"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09C480D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28F5E6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2,358 / 397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1251B8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2,591 / 404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79F391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3,113 / 409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25E99D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870 / 468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240056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6,232 / 399</w:t>
            </w:r>
          </w:p>
        </w:tc>
      </w:tr>
      <w:tr w:rsidR="000C4931" w:rsidRPr="00470330" w14:paraId="6361410F" w14:textId="77777777" w:rsidTr="001C782B">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45627E9D"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6EA01929"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0EF228B8"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7B10C0D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C288B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1,981 / 384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04A11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2,183 / 397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2A4AE7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2,795 / 402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2C5230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787 / 483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DCC43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5,743 / 409</w:t>
            </w:r>
          </w:p>
        </w:tc>
      </w:tr>
      <w:tr w:rsidR="000C4931" w:rsidRPr="00470330" w14:paraId="22B232B8" w14:textId="77777777" w:rsidTr="001C782B">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2509C1A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Australia</w:t>
            </w:r>
          </w:p>
        </w:tc>
        <w:tc>
          <w:tcPr>
            <w:tcW w:w="1620" w:type="dxa"/>
            <w:tcBorders>
              <w:top w:val="single" w:sz="8" w:space="0" w:color="666666"/>
            </w:tcBorders>
            <w:shd w:val="clear" w:color="auto" w:fill="FFFFFF"/>
            <w:tcMar>
              <w:top w:w="0" w:type="dxa"/>
              <w:left w:w="0" w:type="dxa"/>
              <w:bottom w:w="0" w:type="dxa"/>
              <w:right w:w="0" w:type="dxa"/>
            </w:tcMar>
            <w:vAlign w:val="center"/>
          </w:tcPr>
          <w:p w14:paraId="0257F2E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Western Nations</w:t>
            </w:r>
          </w:p>
        </w:tc>
        <w:tc>
          <w:tcPr>
            <w:tcW w:w="1260" w:type="dxa"/>
            <w:tcBorders>
              <w:top w:val="single" w:sz="8" w:space="0" w:color="666666"/>
            </w:tcBorders>
            <w:shd w:val="clear" w:color="auto" w:fill="FFFFFF"/>
            <w:tcMar>
              <w:top w:w="0" w:type="dxa"/>
              <w:left w:w="0" w:type="dxa"/>
              <w:bottom w:w="0" w:type="dxa"/>
              <w:right w:w="0" w:type="dxa"/>
            </w:tcMar>
            <w:vAlign w:val="center"/>
          </w:tcPr>
          <w:p w14:paraId="030E2E5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521539D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359DE3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14,170 / 527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9AE139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14,251 / 527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63218C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14,481 / 521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AEDD95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14,530 / 510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1B6F3C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14,273 / 503</w:t>
            </w:r>
          </w:p>
        </w:tc>
      </w:tr>
      <w:tr w:rsidR="000C4931" w:rsidRPr="00470330" w14:paraId="63F051F4" w14:textId="77777777" w:rsidTr="001C782B">
        <w:trPr>
          <w:cantSplit/>
        </w:trPr>
        <w:tc>
          <w:tcPr>
            <w:tcW w:w="1530" w:type="dxa"/>
            <w:shd w:val="clear" w:color="auto" w:fill="FFFFFF"/>
            <w:tcMar>
              <w:top w:w="0" w:type="dxa"/>
              <w:left w:w="0" w:type="dxa"/>
              <w:bottom w:w="0" w:type="dxa"/>
              <w:right w:w="0" w:type="dxa"/>
            </w:tcMar>
            <w:vAlign w:val="center"/>
          </w:tcPr>
          <w:p w14:paraId="29507D22"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0FDD5559"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9200290"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1C0F0FE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8E0DBB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6,978 / 527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55AD9E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7,231 / 528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966FAA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7,075 / 519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EAB33F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7,163 / 509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8F6178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7,075 / 502</w:t>
            </w:r>
          </w:p>
        </w:tc>
      </w:tr>
      <w:tr w:rsidR="000C4931" w:rsidRPr="00470330" w14:paraId="31F3454D" w14:textId="77777777" w:rsidTr="001C782B">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1584F049"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2802D08D"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0F077543"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2C2A3C1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B512E4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7,192 / 527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46847E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7,020 / 527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9B767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7,406 / 524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1C44E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7,367 / 511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8C99C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7,198 / 504</w:t>
            </w:r>
          </w:p>
        </w:tc>
      </w:tr>
      <w:tr w:rsidR="000C4931" w:rsidRPr="00470330" w14:paraId="04B1BA25" w14:textId="77777777" w:rsidTr="001C782B">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5CB659B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Austria</w:t>
            </w:r>
          </w:p>
        </w:tc>
        <w:tc>
          <w:tcPr>
            <w:tcW w:w="1620" w:type="dxa"/>
            <w:tcBorders>
              <w:top w:val="single" w:sz="8" w:space="0" w:color="666666"/>
            </w:tcBorders>
            <w:shd w:val="clear" w:color="auto" w:fill="FFFFFF"/>
            <w:tcMar>
              <w:top w:w="0" w:type="dxa"/>
              <w:left w:w="0" w:type="dxa"/>
              <w:bottom w:w="0" w:type="dxa"/>
              <w:right w:w="0" w:type="dxa"/>
            </w:tcMar>
            <w:vAlign w:val="center"/>
          </w:tcPr>
          <w:p w14:paraId="5A9B900D" w14:textId="77777777" w:rsidR="000C4931" w:rsidRPr="00470330" w:rsidRDefault="000C4931" w:rsidP="000C4931">
            <w:pPr>
              <w:keepNext/>
              <w:spacing w:before="0" w:after="0" w:line="240" w:lineRule="auto"/>
              <w:ind w:left="100" w:right="100" w:firstLine="0"/>
              <w:rPr>
                <w:sz w:val="20"/>
                <w:szCs w:val="20"/>
              </w:rPr>
            </w:pPr>
          </w:p>
        </w:tc>
        <w:tc>
          <w:tcPr>
            <w:tcW w:w="1260" w:type="dxa"/>
            <w:tcBorders>
              <w:top w:val="single" w:sz="8" w:space="0" w:color="666666"/>
            </w:tcBorders>
            <w:shd w:val="clear" w:color="auto" w:fill="FFFFFF"/>
            <w:tcMar>
              <w:top w:w="0" w:type="dxa"/>
              <w:left w:w="0" w:type="dxa"/>
              <w:bottom w:w="0" w:type="dxa"/>
              <w:right w:w="0" w:type="dxa"/>
            </w:tcMar>
            <w:vAlign w:val="center"/>
          </w:tcPr>
          <w:p w14:paraId="1CF217C5" w14:textId="0B087263" w:rsidR="000C4931" w:rsidRPr="00470330" w:rsidRDefault="000C4931" w:rsidP="000C4931">
            <w:pPr>
              <w:keepNext/>
              <w:spacing w:before="0" w:after="0" w:line="240" w:lineRule="auto"/>
              <w:ind w:left="100" w:right="100" w:firstLine="0"/>
              <w:rPr>
                <w:sz w:val="20"/>
                <w:szCs w:val="20"/>
              </w:rPr>
            </w:pPr>
            <w:r>
              <w:rPr>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0E869A4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CD8D0E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4,927 / 511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4D43D7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6,590 / 494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D45B8A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4,755 / 506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6C96C4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7,007 / 495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84CC86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6,802 / 490</w:t>
            </w:r>
          </w:p>
        </w:tc>
      </w:tr>
      <w:tr w:rsidR="000C4931" w:rsidRPr="00470330" w14:paraId="34270660" w14:textId="77777777" w:rsidTr="001C782B">
        <w:trPr>
          <w:cantSplit/>
        </w:trPr>
        <w:tc>
          <w:tcPr>
            <w:tcW w:w="1530" w:type="dxa"/>
            <w:shd w:val="clear" w:color="auto" w:fill="FFFFFF"/>
            <w:tcMar>
              <w:top w:w="0" w:type="dxa"/>
              <w:left w:w="0" w:type="dxa"/>
              <w:bottom w:w="0" w:type="dxa"/>
              <w:right w:w="0" w:type="dxa"/>
            </w:tcMar>
            <w:vAlign w:val="center"/>
          </w:tcPr>
          <w:p w14:paraId="313EC7ED"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5088A890"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25B77182"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098A4FD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A26774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2,447 / 507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0BA95C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3,338 / 490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1114CA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2,357 / 501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FB6C6E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3,443 / 486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1F9B87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3,321 / 489</w:t>
            </w:r>
          </w:p>
        </w:tc>
      </w:tr>
      <w:tr w:rsidR="000C4931" w:rsidRPr="00470330" w14:paraId="7B64E68B" w14:textId="77777777" w:rsidTr="001C782B">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582C537C"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378BA83F"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03C23775"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CD62A5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2242B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2,480 / 515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661F6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3,252 / 498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8D0743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2,398 / 510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008015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3,564 / 504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E27E40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3,481 / 491</w:t>
            </w:r>
          </w:p>
        </w:tc>
      </w:tr>
      <w:tr w:rsidR="000C4931" w:rsidRPr="00470330" w14:paraId="06B854DB" w14:textId="77777777" w:rsidTr="00977EA8">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8ED4D3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Azerbaijan</w:t>
            </w:r>
          </w:p>
        </w:tc>
        <w:tc>
          <w:tcPr>
            <w:tcW w:w="1620" w:type="dxa"/>
            <w:tcBorders>
              <w:top w:val="single" w:sz="8" w:space="0" w:color="666666"/>
            </w:tcBorders>
            <w:shd w:val="clear" w:color="auto" w:fill="FFFFFF"/>
            <w:tcMar>
              <w:top w:w="0" w:type="dxa"/>
              <w:left w:w="0" w:type="dxa"/>
              <w:bottom w:w="0" w:type="dxa"/>
              <w:right w:w="0" w:type="dxa"/>
            </w:tcMar>
            <w:vAlign w:val="center"/>
          </w:tcPr>
          <w:p w14:paraId="72B743D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MENA</w:t>
            </w:r>
          </w:p>
        </w:tc>
        <w:tc>
          <w:tcPr>
            <w:tcW w:w="1260" w:type="dxa"/>
            <w:tcBorders>
              <w:top w:val="single" w:sz="8" w:space="0" w:color="666666"/>
            </w:tcBorders>
            <w:shd w:val="clear" w:color="auto" w:fill="FFFFFF"/>
            <w:tcMar>
              <w:top w:w="0" w:type="dxa"/>
              <w:left w:w="0" w:type="dxa"/>
              <w:bottom w:w="0" w:type="dxa"/>
              <w:right w:w="0" w:type="dxa"/>
            </w:tcMar>
            <w:vAlign w:val="center"/>
          </w:tcPr>
          <w:p w14:paraId="7BB17BC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62E7170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66C34B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5,184 / 382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0307A3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4,691 / 373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ECDB9B2"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559A51A"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B1F9C3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6,827 / 398</w:t>
            </w:r>
          </w:p>
        </w:tc>
      </w:tr>
      <w:tr w:rsidR="000C4931" w:rsidRPr="00470330" w14:paraId="2F800B62" w14:textId="77777777" w:rsidTr="00977EA8">
        <w:trPr>
          <w:cantSplit/>
        </w:trPr>
        <w:tc>
          <w:tcPr>
            <w:tcW w:w="1530" w:type="dxa"/>
            <w:shd w:val="clear" w:color="auto" w:fill="FFFFFF"/>
            <w:tcMar>
              <w:top w:w="0" w:type="dxa"/>
              <w:left w:w="0" w:type="dxa"/>
              <w:bottom w:w="0" w:type="dxa"/>
              <w:right w:w="0" w:type="dxa"/>
            </w:tcMar>
            <w:vAlign w:val="center"/>
          </w:tcPr>
          <w:p w14:paraId="4CC677A3" w14:textId="77777777" w:rsidR="000C4931" w:rsidRPr="00470330" w:rsidRDefault="000C4931" w:rsidP="000C4931">
            <w:pPr>
              <w:keepNext/>
              <w:spacing w:before="0" w:after="0" w:line="240" w:lineRule="auto"/>
              <w:ind w:left="100" w:right="100" w:firstLine="0"/>
              <w:rPr>
                <w:rFonts w:eastAsia="Arial"/>
                <w:color w:val="000000"/>
                <w:sz w:val="20"/>
                <w:szCs w:val="20"/>
              </w:rPr>
            </w:pPr>
          </w:p>
        </w:tc>
        <w:tc>
          <w:tcPr>
            <w:tcW w:w="1620" w:type="dxa"/>
            <w:shd w:val="clear" w:color="auto" w:fill="FFFFFF"/>
            <w:tcMar>
              <w:top w:w="0" w:type="dxa"/>
              <w:left w:w="0" w:type="dxa"/>
              <w:bottom w:w="0" w:type="dxa"/>
              <w:right w:w="0" w:type="dxa"/>
            </w:tcMar>
            <w:vAlign w:val="center"/>
          </w:tcPr>
          <w:p w14:paraId="74E87B15" w14:textId="77777777" w:rsidR="000C4931" w:rsidRPr="00470330" w:rsidRDefault="000C4931" w:rsidP="000C4931">
            <w:pPr>
              <w:keepNext/>
              <w:spacing w:before="0" w:after="0" w:line="240" w:lineRule="auto"/>
              <w:ind w:left="100" w:right="100" w:firstLine="0"/>
              <w:rPr>
                <w:rFonts w:eastAsia="Arial"/>
                <w:color w:val="000000"/>
                <w:sz w:val="20"/>
                <w:szCs w:val="20"/>
              </w:rPr>
            </w:pPr>
          </w:p>
        </w:tc>
        <w:tc>
          <w:tcPr>
            <w:tcW w:w="1260" w:type="dxa"/>
            <w:shd w:val="clear" w:color="auto" w:fill="FFFFFF"/>
            <w:tcMar>
              <w:top w:w="0" w:type="dxa"/>
              <w:left w:w="0" w:type="dxa"/>
              <w:bottom w:w="0" w:type="dxa"/>
              <w:right w:w="0" w:type="dxa"/>
            </w:tcMar>
            <w:vAlign w:val="center"/>
          </w:tcPr>
          <w:p w14:paraId="15C6D0CA" w14:textId="77777777" w:rsidR="000C4931" w:rsidRPr="00470330" w:rsidRDefault="000C4931" w:rsidP="000C4931">
            <w:pPr>
              <w:keepNext/>
              <w:spacing w:before="0" w:after="0" w:line="240" w:lineRule="auto"/>
              <w:ind w:left="100" w:right="100" w:firstLine="0"/>
              <w:rPr>
                <w:rFonts w:eastAsia="Arial"/>
                <w:color w:val="000000"/>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0744881D" w14:textId="29C38B00" w:rsidR="000C4931" w:rsidRPr="00470330" w:rsidRDefault="000C4931" w:rsidP="000C4931">
            <w:pPr>
              <w:keepNext/>
              <w:spacing w:before="0" w:after="0" w:line="240" w:lineRule="auto"/>
              <w:ind w:left="100" w:right="100" w:firstLine="0"/>
              <w:rPr>
                <w:rFonts w:eastAsia="Arial"/>
                <w:color w:val="000000"/>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B2672E2" w14:textId="4DB847AE" w:rsidR="000C4931" w:rsidRPr="00470330" w:rsidRDefault="000C4931" w:rsidP="000C4931">
            <w:pPr>
              <w:keepNext/>
              <w:spacing w:before="0" w:after="0" w:line="240" w:lineRule="auto"/>
              <w:ind w:left="100" w:right="100" w:firstLine="0"/>
              <w:rPr>
                <w:rFonts w:eastAsia="Arial"/>
                <w:color w:val="000000"/>
                <w:sz w:val="20"/>
                <w:szCs w:val="20"/>
              </w:rPr>
            </w:pPr>
            <w:r w:rsidRPr="00470330">
              <w:rPr>
                <w:rFonts w:eastAsia="Arial"/>
                <w:color w:val="000000"/>
                <w:sz w:val="20"/>
                <w:szCs w:val="20"/>
              </w:rPr>
              <w:t>2,499 / 386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D124AB4" w14:textId="31A2BF65" w:rsidR="000C4931" w:rsidRPr="00470330" w:rsidRDefault="000C4931" w:rsidP="000C4931">
            <w:pPr>
              <w:keepNext/>
              <w:spacing w:before="0" w:after="0" w:line="240" w:lineRule="auto"/>
              <w:ind w:left="100" w:right="100" w:firstLine="0"/>
              <w:rPr>
                <w:rFonts w:eastAsia="Arial"/>
                <w:color w:val="000000"/>
                <w:sz w:val="20"/>
                <w:szCs w:val="20"/>
              </w:rPr>
            </w:pPr>
            <w:r w:rsidRPr="00470330">
              <w:rPr>
                <w:rFonts w:eastAsia="Arial"/>
                <w:color w:val="000000"/>
                <w:sz w:val="20"/>
                <w:szCs w:val="20"/>
              </w:rPr>
              <w:t>2,248 / 377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1C8A5F3"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993047E"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8200581" w14:textId="4B954FB8" w:rsidR="000C4931" w:rsidRPr="00470330" w:rsidRDefault="000C4931" w:rsidP="000C4931">
            <w:pPr>
              <w:keepNext/>
              <w:spacing w:before="0" w:after="0" w:line="240" w:lineRule="auto"/>
              <w:ind w:left="100" w:right="100" w:firstLine="0"/>
              <w:rPr>
                <w:rFonts w:eastAsia="Arial"/>
                <w:color w:val="000000"/>
                <w:sz w:val="20"/>
                <w:szCs w:val="20"/>
              </w:rPr>
            </w:pPr>
            <w:r w:rsidRPr="00470330">
              <w:rPr>
                <w:rFonts w:eastAsia="Arial"/>
                <w:color w:val="000000"/>
                <w:sz w:val="20"/>
                <w:szCs w:val="20"/>
              </w:rPr>
              <w:t>3,262 / 400</w:t>
            </w:r>
          </w:p>
        </w:tc>
      </w:tr>
      <w:tr w:rsidR="000C4931" w:rsidRPr="00470330" w14:paraId="63FE3490" w14:textId="77777777" w:rsidTr="00977EA8">
        <w:trPr>
          <w:cantSplit/>
        </w:trPr>
        <w:tc>
          <w:tcPr>
            <w:tcW w:w="1530" w:type="dxa"/>
            <w:shd w:val="clear" w:color="auto" w:fill="FFFFFF"/>
            <w:tcMar>
              <w:top w:w="0" w:type="dxa"/>
              <w:left w:w="0" w:type="dxa"/>
              <w:bottom w:w="0" w:type="dxa"/>
              <w:right w:w="0" w:type="dxa"/>
            </w:tcMar>
            <w:vAlign w:val="center"/>
          </w:tcPr>
          <w:p w14:paraId="7B8C4AF9" w14:textId="77777777" w:rsidR="000C4931" w:rsidRPr="00470330" w:rsidRDefault="000C4931" w:rsidP="000C4931">
            <w:pPr>
              <w:keepNext/>
              <w:spacing w:before="0" w:after="0" w:line="240" w:lineRule="auto"/>
              <w:ind w:left="100" w:right="100" w:firstLine="0"/>
              <w:rPr>
                <w:rFonts w:eastAsia="Arial"/>
                <w:color w:val="000000"/>
                <w:sz w:val="20"/>
                <w:szCs w:val="20"/>
              </w:rPr>
            </w:pPr>
          </w:p>
        </w:tc>
        <w:tc>
          <w:tcPr>
            <w:tcW w:w="1620" w:type="dxa"/>
            <w:shd w:val="clear" w:color="auto" w:fill="FFFFFF"/>
            <w:tcMar>
              <w:top w:w="0" w:type="dxa"/>
              <w:left w:w="0" w:type="dxa"/>
              <w:bottom w:w="0" w:type="dxa"/>
              <w:right w:w="0" w:type="dxa"/>
            </w:tcMar>
            <w:vAlign w:val="center"/>
          </w:tcPr>
          <w:p w14:paraId="50253BF3" w14:textId="77777777" w:rsidR="000C4931" w:rsidRPr="00470330" w:rsidRDefault="000C4931" w:rsidP="000C4931">
            <w:pPr>
              <w:keepNext/>
              <w:spacing w:before="0" w:after="0" w:line="240" w:lineRule="auto"/>
              <w:ind w:left="100" w:right="100" w:firstLine="0"/>
              <w:rPr>
                <w:rFonts w:eastAsia="Arial"/>
                <w:color w:val="000000"/>
                <w:sz w:val="20"/>
                <w:szCs w:val="20"/>
              </w:rPr>
            </w:pPr>
          </w:p>
        </w:tc>
        <w:tc>
          <w:tcPr>
            <w:tcW w:w="1260" w:type="dxa"/>
            <w:shd w:val="clear" w:color="auto" w:fill="FFFFFF"/>
            <w:tcMar>
              <w:top w:w="0" w:type="dxa"/>
              <w:left w:w="0" w:type="dxa"/>
              <w:bottom w:w="0" w:type="dxa"/>
              <w:right w:w="0" w:type="dxa"/>
            </w:tcMar>
            <w:vAlign w:val="center"/>
          </w:tcPr>
          <w:p w14:paraId="3F79BF1B" w14:textId="77777777" w:rsidR="000C4931" w:rsidRPr="00470330" w:rsidRDefault="000C4931" w:rsidP="000C4931">
            <w:pPr>
              <w:keepNext/>
              <w:spacing w:before="0" w:after="0" w:line="240" w:lineRule="auto"/>
              <w:ind w:left="100" w:right="100" w:firstLine="0"/>
              <w:rPr>
                <w:rFonts w:eastAsia="Arial"/>
                <w:color w:val="000000"/>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3CA542E1" w14:textId="6BFF8FE9" w:rsidR="000C4931" w:rsidRPr="00470330" w:rsidRDefault="000C4931" w:rsidP="000C4931">
            <w:pPr>
              <w:keepNext/>
              <w:spacing w:before="0" w:after="0" w:line="240" w:lineRule="auto"/>
              <w:ind w:left="100" w:right="100" w:firstLine="0"/>
              <w:rPr>
                <w:rFonts w:eastAsia="Arial"/>
                <w:color w:val="000000"/>
                <w:sz w:val="20"/>
                <w:szCs w:val="20"/>
              </w:rPr>
            </w:pPr>
            <w:r w:rsidRPr="00470330">
              <w:rPr>
                <w:rFonts w:eastAsia="Arial"/>
                <w:color w:val="000000"/>
                <w:sz w:val="20"/>
                <w:szCs w:val="20"/>
              </w:rPr>
              <w:t>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B0383F0" w14:textId="4640D561" w:rsidR="000C4931" w:rsidRPr="00470330" w:rsidRDefault="000C4931" w:rsidP="000C4931">
            <w:pPr>
              <w:keepNext/>
              <w:spacing w:before="0" w:after="0" w:line="240" w:lineRule="auto"/>
              <w:ind w:left="100" w:right="100" w:firstLine="0"/>
              <w:rPr>
                <w:rFonts w:eastAsia="Arial"/>
                <w:color w:val="000000"/>
                <w:sz w:val="20"/>
                <w:szCs w:val="20"/>
              </w:rPr>
            </w:pPr>
            <w:r w:rsidRPr="00470330">
              <w:rPr>
                <w:rFonts w:eastAsia="Arial"/>
                <w:color w:val="000000"/>
                <w:sz w:val="20"/>
                <w:szCs w:val="20"/>
              </w:rPr>
              <w:t>2,685 / 379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0E94BA1" w14:textId="4046CE45" w:rsidR="000C4931" w:rsidRPr="00470330" w:rsidRDefault="000C4931" w:rsidP="000C4931">
            <w:pPr>
              <w:keepNext/>
              <w:spacing w:before="0" w:after="0" w:line="240" w:lineRule="auto"/>
              <w:ind w:left="100" w:right="100" w:firstLine="0"/>
              <w:rPr>
                <w:rFonts w:eastAsia="Arial"/>
                <w:color w:val="000000"/>
                <w:sz w:val="20"/>
                <w:szCs w:val="20"/>
              </w:rPr>
            </w:pPr>
            <w:r w:rsidRPr="00470330">
              <w:rPr>
                <w:rFonts w:eastAsia="Arial"/>
                <w:color w:val="000000"/>
                <w:sz w:val="20"/>
                <w:szCs w:val="20"/>
              </w:rPr>
              <w:t>2,443 / 370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107373B"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CDEA0D0"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3CBFEE4" w14:textId="7763F359" w:rsidR="000C4931" w:rsidRPr="00470330" w:rsidRDefault="000C4931" w:rsidP="000C4931">
            <w:pPr>
              <w:keepNext/>
              <w:spacing w:before="0" w:after="0" w:line="240" w:lineRule="auto"/>
              <w:ind w:left="100" w:right="100" w:firstLine="0"/>
              <w:rPr>
                <w:rFonts w:eastAsia="Arial"/>
                <w:color w:val="000000"/>
                <w:sz w:val="20"/>
                <w:szCs w:val="20"/>
              </w:rPr>
            </w:pPr>
            <w:r w:rsidRPr="00470330">
              <w:rPr>
                <w:rFonts w:eastAsia="Arial"/>
                <w:color w:val="000000"/>
                <w:sz w:val="20"/>
                <w:szCs w:val="20"/>
              </w:rPr>
              <w:t>3,565 / 395</w:t>
            </w:r>
          </w:p>
        </w:tc>
      </w:tr>
    </w:tbl>
    <w:p w14:paraId="569E835A" w14:textId="1A21F82D" w:rsidR="00133A77" w:rsidRPr="00133A77" w:rsidRDefault="00133A77" w:rsidP="00753BF0">
      <w:pPr>
        <w:ind w:firstLine="0"/>
      </w:pPr>
    </w:p>
    <w:p w14:paraId="62A96411" w14:textId="1770D118" w:rsidR="00133A77" w:rsidRPr="00133A77" w:rsidRDefault="00133A77" w:rsidP="00D4405D">
      <w:pPr>
        <w:ind w:firstLine="0"/>
      </w:pPr>
    </w:p>
    <w:p w14:paraId="5E12554B" w14:textId="005EF458" w:rsidR="00133A77" w:rsidRPr="00133A77" w:rsidRDefault="00133A77" w:rsidP="004E17BE">
      <w:pPr>
        <w:spacing w:before="0" w:after="0" w:line="240" w:lineRule="auto"/>
      </w:pPr>
    </w:p>
    <w:tbl>
      <w:tblPr>
        <w:tblpPr w:leftFromText="180" w:rightFromText="180" w:vertAnchor="text" w:tblpXSpec="center" w:tblpY="1"/>
        <w:tblOverlap w:val="never"/>
        <w:tblW w:w="12420" w:type="dxa"/>
        <w:tblLayout w:type="fixed"/>
        <w:tblLook w:val="0420" w:firstRow="1" w:lastRow="0" w:firstColumn="0" w:lastColumn="0" w:noHBand="0" w:noVBand="1"/>
      </w:tblPr>
      <w:tblGrid>
        <w:gridCol w:w="1530"/>
        <w:gridCol w:w="1620"/>
        <w:gridCol w:w="1260"/>
        <w:gridCol w:w="990"/>
        <w:gridCol w:w="1404"/>
        <w:gridCol w:w="1404"/>
        <w:gridCol w:w="1404"/>
        <w:gridCol w:w="1404"/>
        <w:gridCol w:w="1404"/>
      </w:tblGrid>
      <w:tr w:rsidR="003172DE" w:rsidRPr="00470330" w14:paraId="2482C581" w14:textId="77777777" w:rsidTr="00766923">
        <w:trPr>
          <w:cantSplit/>
          <w:tblHeader/>
        </w:trPr>
        <w:tc>
          <w:tcPr>
            <w:tcW w:w="12420" w:type="dxa"/>
            <w:gridSpan w:val="9"/>
            <w:tcBorders>
              <w:bottom w:val="single" w:sz="12" w:space="0" w:color="auto"/>
            </w:tcBorders>
            <w:shd w:val="clear" w:color="auto" w:fill="FFFFFF"/>
            <w:tcMar>
              <w:top w:w="0" w:type="dxa"/>
              <w:left w:w="0" w:type="dxa"/>
              <w:bottom w:w="0" w:type="dxa"/>
              <w:right w:w="0" w:type="dxa"/>
            </w:tcMar>
            <w:vAlign w:val="center"/>
          </w:tcPr>
          <w:p w14:paraId="14EB5E06" w14:textId="2768F363" w:rsidR="003172DE" w:rsidRPr="00470330" w:rsidRDefault="003172DE" w:rsidP="00977EA8">
            <w:pPr>
              <w:keepNext/>
              <w:spacing w:before="100" w:line="240" w:lineRule="auto"/>
              <w:ind w:left="100" w:right="100" w:firstLine="0"/>
              <w:rPr>
                <w:rFonts w:eastAsia="Arial"/>
                <w:color w:val="000000"/>
                <w:sz w:val="20"/>
                <w:szCs w:val="20"/>
              </w:rPr>
            </w:pPr>
            <w:r w:rsidRPr="00EE0A55">
              <w:rPr>
                <w:rFonts w:eastAsia="Arial"/>
                <w:b/>
                <w:bCs/>
                <w:i/>
                <w:iCs/>
                <w:color w:val="000000"/>
                <w:sz w:val="20"/>
                <w:szCs w:val="20"/>
              </w:rPr>
              <w:lastRenderedPageBreak/>
              <w:t>Table 8</w:t>
            </w:r>
            <w:r w:rsidRPr="00CF734C">
              <w:rPr>
                <w:rFonts w:eastAsia="Arial"/>
                <w:i/>
                <w:iCs/>
                <w:color w:val="000000"/>
                <w:sz w:val="20"/>
                <w:szCs w:val="20"/>
              </w:rPr>
              <w:t xml:space="preserve"> </w:t>
            </w:r>
            <w:r>
              <w:rPr>
                <w:rFonts w:eastAsia="Arial"/>
                <w:i/>
                <w:iCs/>
                <w:color w:val="000000"/>
                <w:sz w:val="20"/>
                <w:szCs w:val="20"/>
              </w:rPr>
              <w:t>c</w:t>
            </w:r>
            <w:r w:rsidRPr="00CF734C">
              <w:rPr>
                <w:rFonts w:eastAsia="Arial"/>
                <w:i/>
                <w:iCs/>
                <w:color w:val="000000"/>
                <w:sz w:val="20"/>
                <w:szCs w:val="20"/>
              </w:rPr>
              <w:t>ontinued</w:t>
            </w:r>
          </w:p>
        </w:tc>
      </w:tr>
      <w:tr w:rsidR="003172DE" w:rsidRPr="00470330" w14:paraId="07844ABA" w14:textId="77777777" w:rsidTr="00977EA8">
        <w:trPr>
          <w:cantSplit/>
          <w:tblHeader/>
        </w:trPr>
        <w:tc>
          <w:tcPr>
            <w:tcW w:w="153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53F11150" w14:textId="77777777" w:rsidR="003172DE" w:rsidRPr="00470330" w:rsidRDefault="003172DE" w:rsidP="003172DE">
            <w:pPr>
              <w:keepNext/>
              <w:spacing w:before="100" w:after="0" w:line="240" w:lineRule="auto"/>
              <w:ind w:left="100" w:right="100" w:firstLine="0"/>
              <w:rPr>
                <w:sz w:val="20"/>
                <w:szCs w:val="20"/>
              </w:rPr>
            </w:pPr>
          </w:p>
        </w:tc>
        <w:tc>
          <w:tcPr>
            <w:tcW w:w="162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6231FBB7" w14:textId="77777777" w:rsidR="003172DE" w:rsidRPr="00470330" w:rsidRDefault="003172DE" w:rsidP="003172DE">
            <w:pPr>
              <w:keepNext/>
              <w:spacing w:before="100" w:after="0" w:line="240" w:lineRule="auto"/>
              <w:ind w:left="100" w:right="100" w:firstLine="0"/>
              <w:rPr>
                <w:sz w:val="20"/>
                <w:szCs w:val="20"/>
              </w:rPr>
            </w:pPr>
          </w:p>
        </w:tc>
        <w:tc>
          <w:tcPr>
            <w:tcW w:w="126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32927CBD" w14:textId="77777777" w:rsidR="003172DE" w:rsidRPr="00470330" w:rsidRDefault="003172DE" w:rsidP="003172DE">
            <w:pPr>
              <w:keepNext/>
              <w:spacing w:before="100" w:after="0" w:line="240" w:lineRule="auto"/>
              <w:ind w:left="100" w:right="100" w:firstLine="0"/>
              <w:rPr>
                <w:sz w:val="20"/>
                <w:szCs w:val="20"/>
              </w:rPr>
            </w:pPr>
          </w:p>
        </w:tc>
        <w:tc>
          <w:tcPr>
            <w:tcW w:w="99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38C82FA9" w14:textId="77777777" w:rsidR="003172DE" w:rsidRPr="00470330" w:rsidRDefault="003172DE" w:rsidP="003172DE">
            <w:pPr>
              <w:keepNext/>
              <w:spacing w:before="100" w:after="0" w:line="240" w:lineRule="auto"/>
              <w:ind w:left="100" w:right="100" w:firstLine="0"/>
              <w:rPr>
                <w:rFonts w:eastAsia="Arial"/>
                <w:color w:val="000000"/>
                <w:sz w:val="20"/>
                <w:szCs w:val="20"/>
              </w:rPr>
            </w:pPr>
          </w:p>
        </w:tc>
        <w:tc>
          <w:tcPr>
            <w:tcW w:w="7020" w:type="dxa"/>
            <w:gridSpan w:val="5"/>
            <w:tcBorders>
              <w:top w:val="single" w:sz="12" w:space="0" w:color="auto"/>
              <w:left w:val="nil"/>
              <w:bottom w:val="single" w:sz="12" w:space="0" w:color="auto"/>
            </w:tcBorders>
            <w:shd w:val="clear" w:color="auto" w:fill="FFFFFF"/>
            <w:tcMar>
              <w:top w:w="0" w:type="dxa"/>
              <w:left w:w="0" w:type="dxa"/>
              <w:bottom w:w="0" w:type="dxa"/>
              <w:right w:w="0" w:type="dxa"/>
            </w:tcMar>
            <w:vAlign w:val="center"/>
          </w:tcPr>
          <w:p w14:paraId="6E59D66F" w14:textId="1C705160" w:rsidR="003172DE" w:rsidRPr="00470330" w:rsidRDefault="003172DE" w:rsidP="00977EA8">
            <w:pPr>
              <w:keepNext/>
              <w:spacing w:before="0" w:after="0" w:line="240" w:lineRule="auto"/>
              <w:ind w:left="100" w:right="100" w:firstLine="0"/>
              <w:jc w:val="center"/>
              <w:rPr>
                <w:rFonts w:eastAsia="Arial"/>
                <w:color w:val="000000"/>
                <w:sz w:val="20"/>
                <w:szCs w:val="20"/>
              </w:rPr>
            </w:pPr>
            <w:r w:rsidRPr="00470330">
              <w:rPr>
                <w:rFonts w:eastAsia="Arial"/>
                <w:color w:val="000000"/>
                <w:sz w:val="20"/>
                <w:szCs w:val="20"/>
              </w:rPr>
              <w:t>Students / Scientific Literacy Score</w:t>
            </w:r>
          </w:p>
        </w:tc>
      </w:tr>
      <w:tr w:rsidR="003172DE" w:rsidRPr="00470330" w14:paraId="3F7D1D8B" w14:textId="77777777" w:rsidTr="00977EA8">
        <w:trPr>
          <w:cantSplit/>
          <w:tblHeader/>
        </w:trPr>
        <w:tc>
          <w:tcPr>
            <w:tcW w:w="153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76146768" w14:textId="4092B5F5" w:rsidR="003172DE" w:rsidRPr="00470330" w:rsidRDefault="003172DE" w:rsidP="00977EA8">
            <w:pPr>
              <w:keepNext/>
              <w:spacing w:before="0" w:after="0" w:line="240" w:lineRule="auto"/>
              <w:ind w:left="100" w:right="100" w:firstLine="0"/>
              <w:jc w:val="center"/>
              <w:rPr>
                <w:sz w:val="20"/>
                <w:szCs w:val="20"/>
              </w:rPr>
            </w:pPr>
            <w:r w:rsidRPr="00470330">
              <w:rPr>
                <w:rFonts w:eastAsia="Arial"/>
                <w:b/>
                <w:bCs/>
                <w:color w:val="000000"/>
                <w:sz w:val="20"/>
                <w:szCs w:val="20"/>
              </w:rPr>
              <w:t>Country</w:t>
            </w:r>
          </w:p>
        </w:tc>
        <w:tc>
          <w:tcPr>
            <w:tcW w:w="162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07CFEE2E" w14:textId="575B5A15" w:rsidR="003172DE" w:rsidRPr="00470330" w:rsidRDefault="003172DE" w:rsidP="00977EA8">
            <w:pPr>
              <w:keepNext/>
              <w:spacing w:before="0" w:after="0" w:line="240" w:lineRule="auto"/>
              <w:ind w:left="100" w:right="100" w:firstLine="0"/>
              <w:jc w:val="center"/>
              <w:rPr>
                <w:sz w:val="20"/>
                <w:szCs w:val="20"/>
              </w:rPr>
            </w:pPr>
            <w:r w:rsidRPr="00470330">
              <w:rPr>
                <w:rFonts w:eastAsia="Arial"/>
                <w:b/>
                <w:bCs/>
                <w:color w:val="000000"/>
                <w:sz w:val="20"/>
                <w:szCs w:val="20"/>
              </w:rPr>
              <w:t>Region</w:t>
            </w:r>
            <w:r w:rsidRPr="00470330">
              <w:rPr>
                <w:rFonts w:eastAsia="Arial"/>
                <w:b/>
                <w:bCs/>
                <w:color w:val="000000"/>
                <w:sz w:val="20"/>
                <w:szCs w:val="20"/>
                <w:vertAlign w:val="superscript"/>
              </w:rPr>
              <w:t>a</w:t>
            </w:r>
          </w:p>
        </w:tc>
        <w:tc>
          <w:tcPr>
            <w:tcW w:w="126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4EF115AE" w14:textId="669BCEEA" w:rsidR="003172DE" w:rsidRPr="00470330" w:rsidRDefault="003172DE" w:rsidP="00977EA8">
            <w:pPr>
              <w:keepNext/>
              <w:spacing w:before="0" w:after="0" w:line="240" w:lineRule="auto"/>
              <w:ind w:left="100" w:right="100" w:firstLine="0"/>
              <w:jc w:val="center"/>
              <w:rPr>
                <w:sz w:val="20"/>
                <w:szCs w:val="20"/>
              </w:rPr>
            </w:pPr>
            <w:r w:rsidRPr="00470330">
              <w:rPr>
                <w:rFonts w:eastAsia="Arial"/>
                <w:b/>
                <w:bCs/>
                <w:color w:val="000000"/>
                <w:sz w:val="20"/>
                <w:szCs w:val="20"/>
              </w:rPr>
              <w:t>OECD Status</w:t>
            </w:r>
          </w:p>
        </w:tc>
        <w:tc>
          <w:tcPr>
            <w:tcW w:w="990" w:type="dxa"/>
            <w:tcBorders>
              <w:top w:val="single" w:sz="12" w:space="0" w:color="auto"/>
              <w:bottom w:val="single" w:sz="12" w:space="0" w:color="auto"/>
            </w:tcBorders>
            <w:shd w:val="clear" w:color="auto" w:fill="FFFFFF"/>
            <w:tcMar>
              <w:top w:w="0" w:type="dxa"/>
              <w:left w:w="0" w:type="dxa"/>
              <w:bottom w:w="0" w:type="dxa"/>
              <w:right w:w="0" w:type="dxa"/>
            </w:tcMar>
            <w:vAlign w:val="center"/>
          </w:tcPr>
          <w:p w14:paraId="11D98C2E" w14:textId="02D11236" w:rsidR="003172DE" w:rsidRPr="00470330" w:rsidRDefault="003172DE" w:rsidP="00977EA8">
            <w:pPr>
              <w:keepNext/>
              <w:spacing w:before="0" w:after="0" w:line="240" w:lineRule="auto"/>
              <w:ind w:left="100" w:right="100" w:firstLine="0"/>
              <w:jc w:val="center"/>
              <w:rPr>
                <w:rFonts w:eastAsia="Arial"/>
                <w:color w:val="000000"/>
                <w:sz w:val="20"/>
                <w:szCs w:val="20"/>
              </w:rPr>
            </w:pPr>
            <w:r w:rsidRPr="00470330">
              <w:rPr>
                <w:rFonts w:eastAsia="Arial"/>
                <w:b/>
                <w:bCs/>
                <w:color w:val="000000"/>
                <w:sz w:val="20"/>
                <w:szCs w:val="20"/>
              </w:rPr>
              <w:t>Group</w:t>
            </w:r>
          </w:p>
        </w:tc>
        <w:tc>
          <w:tcPr>
            <w:tcW w:w="1404" w:type="dxa"/>
            <w:tcBorders>
              <w:top w:val="single" w:sz="12" w:space="0" w:color="auto"/>
              <w:left w:val="nil"/>
              <w:bottom w:val="single" w:sz="12" w:space="0" w:color="auto"/>
            </w:tcBorders>
            <w:shd w:val="clear" w:color="auto" w:fill="FFFFFF"/>
            <w:tcMar>
              <w:top w:w="0" w:type="dxa"/>
              <w:left w:w="0" w:type="dxa"/>
              <w:bottom w:w="0" w:type="dxa"/>
              <w:right w:w="0" w:type="dxa"/>
            </w:tcMar>
            <w:vAlign w:val="center"/>
          </w:tcPr>
          <w:p w14:paraId="61E37DA0" w14:textId="62B90B1F" w:rsidR="003172DE" w:rsidRPr="00470330" w:rsidRDefault="003172DE" w:rsidP="00977EA8">
            <w:pPr>
              <w:keepNext/>
              <w:spacing w:before="0" w:after="0" w:line="240" w:lineRule="auto"/>
              <w:ind w:left="100" w:right="100" w:firstLine="0"/>
              <w:jc w:val="center"/>
              <w:rPr>
                <w:rFonts w:eastAsia="Arial"/>
                <w:color w:val="000000"/>
                <w:sz w:val="20"/>
                <w:szCs w:val="20"/>
              </w:rPr>
            </w:pPr>
            <w:r w:rsidRPr="00470330">
              <w:rPr>
                <w:rFonts w:eastAsia="Arial"/>
                <w:b/>
                <w:bCs/>
                <w:color w:val="000000"/>
                <w:sz w:val="20"/>
                <w:szCs w:val="20"/>
              </w:rPr>
              <w:t>2006</w:t>
            </w:r>
          </w:p>
        </w:tc>
        <w:tc>
          <w:tcPr>
            <w:tcW w:w="1404" w:type="dxa"/>
            <w:tcBorders>
              <w:top w:val="single" w:sz="12" w:space="0" w:color="auto"/>
              <w:left w:val="nil"/>
              <w:bottom w:val="single" w:sz="12" w:space="0" w:color="auto"/>
            </w:tcBorders>
            <w:shd w:val="clear" w:color="auto" w:fill="FFFFFF"/>
            <w:tcMar>
              <w:top w:w="0" w:type="dxa"/>
              <w:left w:w="0" w:type="dxa"/>
              <w:bottom w:w="0" w:type="dxa"/>
              <w:right w:w="0" w:type="dxa"/>
            </w:tcMar>
            <w:vAlign w:val="center"/>
          </w:tcPr>
          <w:p w14:paraId="6F5756D0" w14:textId="6FEC92A1" w:rsidR="003172DE" w:rsidRPr="00470330" w:rsidRDefault="003172DE" w:rsidP="00977EA8">
            <w:pPr>
              <w:keepNext/>
              <w:spacing w:before="0" w:after="0" w:line="240" w:lineRule="auto"/>
              <w:ind w:left="100" w:right="100" w:firstLine="0"/>
              <w:jc w:val="center"/>
              <w:rPr>
                <w:rFonts w:eastAsia="Arial"/>
                <w:color w:val="000000"/>
                <w:sz w:val="20"/>
                <w:szCs w:val="20"/>
              </w:rPr>
            </w:pPr>
            <w:r w:rsidRPr="00470330">
              <w:rPr>
                <w:rFonts w:eastAsia="Arial"/>
                <w:b/>
                <w:bCs/>
                <w:color w:val="000000"/>
                <w:sz w:val="20"/>
                <w:szCs w:val="20"/>
              </w:rPr>
              <w:t>2009</w:t>
            </w:r>
          </w:p>
        </w:tc>
        <w:tc>
          <w:tcPr>
            <w:tcW w:w="1404" w:type="dxa"/>
            <w:tcBorders>
              <w:top w:val="single" w:sz="12" w:space="0" w:color="auto"/>
              <w:left w:val="nil"/>
              <w:bottom w:val="single" w:sz="12" w:space="0" w:color="auto"/>
            </w:tcBorders>
            <w:shd w:val="clear" w:color="auto" w:fill="FFFFFF"/>
            <w:tcMar>
              <w:top w:w="0" w:type="dxa"/>
              <w:left w:w="0" w:type="dxa"/>
              <w:bottom w:w="0" w:type="dxa"/>
              <w:right w:w="0" w:type="dxa"/>
            </w:tcMar>
            <w:vAlign w:val="center"/>
          </w:tcPr>
          <w:p w14:paraId="04AA54CA" w14:textId="61C230AF" w:rsidR="003172DE" w:rsidRPr="00470330" w:rsidRDefault="003172DE" w:rsidP="00977EA8">
            <w:pPr>
              <w:keepNext/>
              <w:spacing w:before="0" w:after="0" w:line="240" w:lineRule="auto"/>
              <w:ind w:left="100" w:right="100" w:firstLine="0"/>
              <w:jc w:val="center"/>
              <w:rPr>
                <w:sz w:val="20"/>
                <w:szCs w:val="20"/>
              </w:rPr>
            </w:pPr>
            <w:r w:rsidRPr="00470330">
              <w:rPr>
                <w:rFonts w:eastAsia="Arial"/>
                <w:b/>
                <w:bCs/>
                <w:color w:val="000000"/>
                <w:sz w:val="20"/>
                <w:szCs w:val="20"/>
              </w:rPr>
              <w:t>2012</w:t>
            </w:r>
          </w:p>
        </w:tc>
        <w:tc>
          <w:tcPr>
            <w:tcW w:w="1404" w:type="dxa"/>
            <w:tcBorders>
              <w:top w:val="single" w:sz="12" w:space="0" w:color="auto"/>
              <w:left w:val="nil"/>
              <w:bottom w:val="single" w:sz="12" w:space="0" w:color="auto"/>
            </w:tcBorders>
            <w:shd w:val="clear" w:color="auto" w:fill="FFFFFF"/>
            <w:tcMar>
              <w:top w:w="0" w:type="dxa"/>
              <w:left w:w="0" w:type="dxa"/>
              <w:bottom w:w="0" w:type="dxa"/>
              <w:right w:w="0" w:type="dxa"/>
            </w:tcMar>
            <w:vAlign w:val="center"/>
          </w:tcPr>
          <w:p w14:paraId="15837A2A" w14:textId="71D28FB3" w:rsidR="003172DE" w:rsidRPr="00470330" w:rsidRDefault="003172DE" w:rsidP="00977EA8">
            <w:pPr>
              <w:keepNext/>
              <w:spacing w:before="0" w:after="0" w:line="240" w:lineRule="auto"/>
              <w:ind w:left="100" w:right="100" w:firstLine="0"/>
              <w:jc w:val="center"/>
              <w:rPr>
                <w:sz w:val="20"/>
                <w:szCs w:val="20"/>
              </w:rPr>
            </w:pPr>
            <w:r w:rsidRPr="00470330">
              <w:rPr>
                <w:rFonts w:eastAsia="Arial"/>
                <w:b/>
                <w:bCs/>
                <w:color w:val="000000"/>
                <w:sz w:val="20"/>
                <w:szCs w:val="20"/>
              </w:rPr>
              <w:t>2015</w:t>
            </w:r>
          </w:p>
        </w:tc>
        <w:tc>
          <w:tcPr>
            <w:tcW w:w="1404" w:type="dxa"/>
            <w:tcBorders>
              <w:top w:val="single" w:sz="12" w:space="0" w:color="auto"/>
              <w:left w:val="nil"/>
              <w:bottom w:val="single" w:sz="12" w:space="0" w:color="auto"/>
            </w:tcBorders>
            <w:shd w:val="clear" w:color="auto" w:fill="FFFFFF"/>
            <w:tcMar>
              <w:top w:w="0" w:type="dxa"/>
              <w:left w:w="0" w:type="dxa"/>
              <w:bottom w:w="0" w:type="dxa"/>
              <w:right w:w="0" w:type="dxa"/>
            </w:tcMar>
            <w:vAlign w:val="center"/>
          </w:tcPr>
          <w:p w14:paraId="6FF25A3F" w14:textId="35DFB5F9" w:rsidR="003172DE" w:rsidRPr="00470330" w:rsidRDefault="003172DE" w:rsidP="00977EA8">
            <w:pPr>
              <w:keepNext/>
              <w:spacing w:before="0" w:after="0" w:line="240" w:lineRule="auto"/>
              <w:ind w:left="100" w:right="100" w:firstLine="0"/>
              <w:jc w:val="center"/>
              <w:rPr>
                <w:rFonts w:eastAsia="Arial"/>
                <w:color w:val="000000"/>
                <w:sz w:val="20"/>
                <w:szCs w:val="20"/>
              </w:rPr>
            </w:pPr>
            <w:r w:rsidRPr="00470330">
              <w:rPr>
                <w:rFonts w:eastAsia="Arial"/>
                <w:b/>
                <w:bCs/>
                <w:color w:val="000000"/>
                <w:sz w:val="20"/>
                <w:szCs w:val="20"/>
              </w:rPr>
              <w:t>2018</w:t>
            </w:r>
          </w:p>
        </w:tc>
      </w:tr>
      <w:tr w:rsidR="000C4931" w:rsidRPr="00470330" w14:paraId="212B00D0"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68B0DE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Belarus</w:t>
            </w:r>
          </w:p>
        </w:tc>
        <w:tc>
          <w:tcPr>
            <w:tcW w:w="1620" w:type="dxa"/>
            <w:tcBorders>
              <w:top w:val="single" w:sz="8" w:space="0" w:color="666666"/>
            </w:tcBorders>
            <w:shd w:val="clear" w:color="auto" w:fill="FFFFFF"/>
            <w:tcMar>
              <w:top w:w="0" w:type="dxa"/>
              <w:left w:w="0" w:type="dxa"/>
              <w:bottom w:w="0" w:type="dxa"/>
              <w:right w:w="0" w:type="dxa"/>
            </w:tcMar>
            <w:vAlign w:val="center"/>
          </w:tcPr>
          <w:p w14:paraId="7FA0C4D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Eastern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55AD0E60" w14:textId="5FCC2DA0"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6B0D6CC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D135B25"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A9C8BA8"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2A6978E"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C10EF2A"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0B3EA2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5,803 / 471</w:t>
            </w:r>
          </w:p>
        </w:tc>
      </w:tr>
      <w:tr w:rsidR="000C4931" w:rsidRPr="00470330" w14:paraId="36AEAB62" w14:textId="77777777" w:rsidTr="004E17BE">
        <w:trPr>
          <w:cantSplit/>
        </w:trPr>
        <w:tc>
          <w:tcPr>
            <w:tcW w:w="1530" w:type="dxa"/>
            <w:shd w:val="clear" w:color="auto" w:fill="FFFFFF"/>
            <w:tcMar>
              <w:top w:w="0" w:type="dxa"/>
              <w:left w:w="0" w:type="dxa"/>
              <w:bottom w:w="0" w:type="dxa"/>
              <w:right w:w="0" w:type="dxa"/>
            </w:tcMar>
            <w:vAlign w:val="center"/>
          </w:tcPr>
          <w:p w14:paraId="09CADDD8"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46AD5660"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02D76F7B"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1DDC638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AE3F5F6"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65FB1C4"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033660D"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EDEBCE3"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2014B3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2,772 / 470</w:t>
            </w:r>
          </w:p>
        </w:tc>
      </w:tr>
      <w:tr w:rsidR="000C4931" w:rsidRPr="00470330" w14:paraId="2D978B78"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65F1AFEE"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03F73BCB"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3EBD97AA"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0A70221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AD86ADB"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B880443"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C185ABB"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D5D69FC"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B7CF4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3,031 / 473</w:t>
            </w:r>
          </w:p>
        </w:tc>
      </w:tr>
      <w:tr w:rsidR="000C4931" w:rsidRPr="00470330" w14:paraId="4738103C"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29CE48A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Belgium</w:t>
            </w:r>
          </w:p>
        </w:tc>
        <w:tc>
          <w:tcPr>
            <w:tcW w:w="1620" w:type="dxa"/>
            <w:tcBorders>
              <w:top w:val="single" w:sz="8" w:space="0" w:color="666666"/>
            </w:tcBorders>
            <w:shd w:val="clear" w:color="auto" w:fill="FFFFFF"/>
            <w:tcMar>
              <w:top w:w="0" w:type="dxa"/>
              <w:left w:w="0" w:type="dxa"/>
              <w:bottom w:w="0" w:type="dxa"/>
              <w:right w:w="0" w:type="dxa"/>
            </w:tcMar>
            <w:vAlign w:val="center"/>
          </w:tcPr>
          <w:p w14:paraId="69C6AC4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Western Nations</w:t>
            </w:r>
          </w:p>
        </w:tc>
        <w:tc>
          <w:tcPr>
            <w:tcW w:w="1260" w:type="dxa"/>
            <w:tcBorders>
              <w:top w:val="single" w:sz="8" w:space="0" w:color="666666"/>
            </w:tcBorders>
            <w:shd w:val="clear" w:color="auto" w:fill="FFFFFF"/>
            <w:tcMar>
              <w:top w:w="0" w:type="dxa"/>
              <w:left w:w="0" w:type="dxa"/>
              <w:bottom w:w="0" w:type="dxa"/>
              <w:right w:w="0" w:type="dxa"/>
            </w:tcMar>
            <w:vAlign w:val="center"/>
          </w:tcPr>
          <w:p w14:paraId="05CCDA3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1EDB69F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27BD16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8,857 / 510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31C9B7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8,501 / 507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B849ED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8,597 / 505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9CE4E9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9,651 / 502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AA997F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8,475 / 499</w:t>
            </w:r>
          </w:p>
        </w:tc>
      </w:tr>
      <w:tr w:rsidR="000C4931" w:rsidRPr="00470330" w14:paraId="0A36DE5E" w14:textId="77777777" w:rsidTr="004E17BE">
        <w:trPr>
          <w:cantSplit/>
        </w:trPr>
        <w:tc>
          <w:tcPr>
            <w:tcW w:w="1530" w:type="dxa"/>
            <w:shd w:val="clear" w:color="auto" w:fill="FFFFFF"/>
            <w:tcMar>
              <w:top w:w="0" w:type="dxa"/>
              <w:left w:w="0" w:type="dxa"/>
              <w:bottom w:w="0" w:type="dxa"/>
              <w:right w:w="0" w:type="dxa"/>
            </w:tcMar>
            <w:vAlign w:val="center"/>
          </w:tcPr>
          <w:p w14:paraId="4CD3B366"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70963594"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4D9273B0"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066D09C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01C947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4,231 / 510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377B70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4,156 / 503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2B44FD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4,287 / 503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A66F67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4,752 / 496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B092E0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4,271 / 496</w:t>
            </w:r>
          </w:p>
        </w:tc>
      </w:tr>
      <w:tr w:rsidR="000C4931" w:rsidRPr="00470330" w14:paraId="23BFD446"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75FD753E"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1787B51A"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4C3B5760"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1B93C8C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F8B52E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4,626 / 511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EF7B65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4,345 / 510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01A11D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4,310 / 507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32AA1B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4,899 / 508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58BEAE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4,204 / 501</w:t>
            </w:r>
          </w:p>
        </w:tc>
      </w:tr>
      <w:tr w:rsidR="000C4931" w:rsidRPr="00470330" w14:paraId="3A3B60D4"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113F3CE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Bosnia and Herzegovina</w:t>
            </w:r>
          </w:p>
        </w:tc>
        <w:tc>
          <w:tcPr>
            <w:tcW w:w="1620" w:type="dxa"/>
            <w:tcBorders>
              <w:top w:val="single" w:sz="8" w:space="0" w:color="666666"/>
            </w:tcBorders>
            <w:shd w:val="clear" w:color="auto" w:fill="FFFFFF"/>
            <w:tcMar>
              <w:top w:w="0" w:type="dxa"/>
              <w:left w:w="0" w:type="dxa"/>
              <w:bottom w:w="0" w:type="dxa"/>
              <w:right w:w="0" w:type="dxa"/>
            </w:tcMar>
            <w:vAlign w:val="center"/>
          </w:tcPr>
          <w:p w14:paraId="42110C1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Southern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230AA15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69DC09D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971DC96"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02846C6"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430036F"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1006336"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6EAD6B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6,480 / 398</w:t>
            </w:r>
          </w:p>
        </w:tc>
      </w:tr>
      <w:tr w:rsidR="000C4931" w:rsidRPr="00470330" w14:paraId="46624311" w14:textId="77777777" w:rsidTr="004E17BE">
        <w:trPr>
          <w:cantSplit/>
        </w:trPr>
        <w:tc>
          <w:tcPr>
            <w:tcW w:w="1530" w:type="dxa"/>
            <w:shd w:val="clear" w:color="auto" w:fill="FFFFFF"/>
            <w:tcMar>
              <w:top w:w="0" w:type="dxa"/>
              <w:left w:w="0" w:type="dxa"/>
              <w:bottom w:w="0" w:type="dxa"/>
              <w:right w:w="0" w:type="dxa"/>
            </w:tcMar>
            <w:vAlign w:val="center"/>
          </w:tcPr>
          <w:p w14:paraId="12FE69A7"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4527EDD4"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27DBC6C4"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3565247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435E712"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2EE433B"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995EFEC"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8220121"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B924B5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3,148 / 399</w:t>
            </w:r>
          </w:p>
        </w:tc>
      </w:tr>
      <w:tr w:rsidR="000C4931" w:rsidRPr="00470330" w14:paraId="00E2282A"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42B3CEEC"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07161538"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7538C4E1"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1DE5ED2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8C74C3B"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0C43838"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2AD8C70"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6F1AB90"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04F64F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3,332 / 398</w:t>
            </w:r>
          </w:p>
        </w:tc>
      </w:tr>
      <w:tr w:rsidR="000C4931" w:rsidRPr="00470330" w14:paraId="2BE7C122"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7F2B761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Brazil</w:t>
            </w:r>
          </w:p>
        </w:tc>
        <w:tc>
          <w:tcPr>
            <w:tcW w:w="1620" w:type="dxa"/>
            <w:tcBorders>
              <w:top w:val="single" w:sz="8" w:space="0" w:color="666666"/>
            </w:tcBorders>
            <w:shd w:val="clear" w:color="auto" w:fill="FFFFFF"/>
            <w:tcMar>
              <w:top w:w="0" w:type="dxa"/>
              <w:left w:w="0" w:type="dxa"/>
              <w:bottom w:w="0" w:type="dxa"/>
              <w:right w:w="0" w:type="dxa"/>
            </w:tcMar>
            <w:vAlign w:val="center"/>
          </w:tcPr>
          <w:p w14:paraId="415E970D" w14:textId="77777777" w:rsidR="000C4931" w:rsidRPr="00470330" w:rsidRDefault="000C4931" w:rsidP="000C4931">
            <w:pPr>
              <w:keepNext/>
              <w:spacing w:before="0" w:after="0" w:line="240" w:lineRule="auto"/>
              <w:ind w:left="100" w:right="100" w:firstLine="0"/>
              <w:rPr>
                <w:sz w:val="20"/>
                <w:szCs w:val="20"/>
              </w:rPr>
            </w:pPr>
            <w:r>
              <w:rPr>
                <w:rFonts w:eastAsia="Arial"/>
                <w:color w:val="000000"/>
                <w:sz w:val="20"/>
                <w:szCs w:val="20"/>
              </w:rPr>
              <w:t>Latin America/ Caribbean/ Other</w:t>
            </w:r>
          </w:p>
        </w:tc>
        <w:tc>
          <w:tcPr>
            <w:tcW w:w="1260" w:type="dxa"/>
            <w:tcBorders>
              <w:top w:val="single" w:sz="8" w:space="0" w:color="666666"/>
            </w:tcBorders>
            <w:shd w:val="clear" w:color="auto" w:fill="FFFFFF"/>
            <w:tcMar>
              <w:top w:w="0" w:type="dxa"/>
              <w:left w:w="0" w:type="dxa"/>
              <w:bottom w:w="0" w:type="dxa"/>
              <w:right w:w="0" w:type="dxa"/>
            </w:tcMar>
            <w:vAlign w:val="center"/>
          </w:tcPr>
          <w:p w14:paraId="64D5B798" w14:textId="068C67A2"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75F1354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196F18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9,295 / 390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6BD0CE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20,127 / 405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DA3F41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19,204 / 402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5D82D3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23,141 / 401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14A569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10,691 / 404</w:t>
            </w:r>
          </w:p>
        </w:tc>
      </w:tr>
      <w:tr w:rsidR="000C4931" w:rsidRPr="00470330" w14:paraId="0A72F27B" w14:textId="77777777" w:rsidTr="004E17BE">
        <w:trPr>
          <w:cantSplit/>
        </w:trPr>
        <w:tc>
          <w:tcPr>
            <w:tcW w:w="1530" w:type="dxa"/>
            <w:shd w:val="clear" w:color="auto" w:fill="FFFFFF"/>
            <w:tcMar>
              <w:top w:w="0" w:type="dxa"/>
              <w:left w:w="0" w:type="dxa"/>
              <w:bottom w:w="0" w:type="dxa"/>
              <w:right w:w="0" w:type="dxa"/>
            </w:tcMar>
            <w:vAlign w:val="center"/>
          </w:tcPr>
          <w:p w14:paraId="74E901A0"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29F053E2"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03CEC937"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2F09FAB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CE490C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5,037 / 386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794038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11,026 / 404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4574F7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10,175 / 401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48F8B4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12,073 / 399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1DDF0F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5,478 / 404</w:t>
            </w:r>
          </w:p>
        </w:tc>
      </w:tr>
      <w:tr w:rsidR="000C4931" w:rsidRPr="00470330" w14:paraId="22BF9B7C"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76CD009E"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319DA67C"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0808AAE8"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F91412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27E2C5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4,258 / 395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78136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9,101 / 407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28BF07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9,029 / 402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D94CD9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11,068 / 403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0A0C55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5,213 / 403</w:t>
            </w:r>
          </w:p>
        </w:tc>
      </w:tr>
      <w:tr w:rsidR="000C4931" w:rsidRPr="00470330" w14:paraId="3CF727F3"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2BBCA7B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Brunei Darussalam</w:t>
            </w:r>
          </w:p>
        </w:tc>
        <w:tc>
          <w:tcPr>
            <w:tcW w:w="1620" w:type="dxa"/>
            <w:tcBorders>
              <w:top w:val="single" w:sz="8" w:space="0" w:color="666666"/>
            </w:tcBorders>
            <w:shd w:val="clear" w:color="auto" w:fill="FFFFFF"/>
            <w:tcMar>
              <w:top w:w="0" w:type="dxa"/>
              <w:left w:w="0" w:type="dxa"/>
              <w:bottom w:w="0" w:type="dxa"/>
              <w:right w:w="0" w:type="dxa"/>
            </w:tcMar>
            <w:vAlign w:val="center"/>
          </w:tcPr>
          <w:p w14:paraId="7F7AA56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South-Eastern Asia</w:t>
            </w:r>
          </w:p>
        </w:tc>
        <w:tc>
          <w:tcPr>
            <w:tcW w:w="1260" w:type="dxa"/>
            <w:tcBorders>
              <w:top w:val="single" w:sz="8" w:space="0" w:color="666666"/>
            </w:tcBorders>
            <w:shd w:val="clear" w:color="auto" w:fill="FFFFFF"/>
            <w:tcMar>
              <w:top w:w="0" w:type="dxa"/>
              <w:left w:w="0" w:type="dxa"/>
              <w:bottom w:w="0" w:type="dxa"/>
              <w:right w:w="0" w:type="dxa"/>
            </w:tcMar>
            <w:vAlign w:val="center"/>
          </w:tcPr>
          <w:p w14:paraId="1F28CB78" w14:textId="32AFD544"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7B128D1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1BB84AC"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1DD81BD"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9C725E7"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805B428"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DDD46E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6,828 / 431</w:t>
            </w:r>
          </w:p>
        </w:tc>
      </w:tr>
      <w:tr w:rsidR="000C4931" w:rsidRPr="00470330" w14:paraId="23F1439D" w14:textId="77777777" w:rsidTr="004E17BE">
        <w:trPr>
          <w:cantSplit/>
        </w:trPr>
        <w:tc>
          <w:tcPr>
            <w:tcW w:w="1530" w:type="dxa"/>
            <w:shd w:val="clear" w:color="auto" w:fill="FFFFFF"/>
            <w:tcMar>
              <w:top w:w="0" w:type="dxa"/>
              <w:left w:w="0" w:type="dxa"/>
              <w:bottom w:w="0" w:type="dxa"/>
              <w:right w:w="0" w:type="dxa"/>
            </w:tcMar>
            <w:vAlign w:val="center"/>
          </w:tcPr>
          <w:p w14:paraId="70C4690B"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39FECE0C"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7F33705B"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736A56A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18A5D31"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42600A2"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0F32CE8"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C0E82E5"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3C0510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3,383 / 435</w:t>
            </w:r>
          </w:p>
        </w:tc>
      </w:tr>
      <w:tr w:rsidR="000C4931" w:rsidRPr="00470330" w14:paraId="38742EFE"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79BB937E"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2C164CD6"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6E8E79F1"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6AE9085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8F1B9C4"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7044AF"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A07B50E"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B9BEDD"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4DC09E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3,445 / 427</w:t>
            </w:r>
          </w:p>
        </w:tc>
      </w:tr>
      <w:tr w:rsidR="000C4931" w:rsidRPr="00470330" w14:paraId="7C53996A"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5C3BA4E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Bulgaria</w:t>
            </w:r>
          </w:p>
        </w:tc>
        <w:tc>
          <w:tcPr>
            <w:tcW w:w="1620" w:type="dxa"/>
            <w:tcBorders>
              <w:top w:val="single" w:sz="8" w:space="0" w:color="666666"/>
            </w:tcBorders>
            <w:shd w:val="clear" w:color="auto" w:fill="FFFFFF"/>
            <w:tcMar>
              <w:top w:w="0" w:type="dxa"/>
              <w:left w:w="0" w:type="dxa"/>
              <w:bottom w:w="0" w:type="dxa"/>
              <w:right w:w="0" w:type="dxa"/>
            </w:tcMar>
            <w:vAlign w:val="center"/>
          </w:tcPr>
          <w:p w14:paraId="773241E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Eastern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5E1825A5" w14:textId="08C3CDDE"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5F69113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CC668D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4,498 / 434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2B19FC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4,507 / 439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34A952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5,282 / 446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F49553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5,928 / 446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B57A4A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5,294 / 424</w:t>
            </w:r>
          </w:p>
        </w:tc>
      </w:tr>
      <w:tr w:rsidR="000C4931" w:rsidRPr="00470330" w14:paraId="134BA7CC" w14:textId="77777777" w:rsidTr="004E17BE">
        <w:trPr>
          <w:cantSplit/>
        </w:trPr>
        <w:tc>
          <w:tcPr>
            <w:tcW w:w="1530" w:type="dxa"/>
            <w:shd w:val="clear" w:color="auto" w:fill="FFFFFF"/>
            <w:tcMar>
              <w:top w:w="0" w:type="dxa"/>
              <w:left w:w="0" w:type="dxa"/>
              <w:bottom w:w="0" w:type="dxa"/>
              <w:right w:w="0" w:type="dxa"/>
            </w:tcMar>
            <w:vAlign w:val="center"/>
          </w:tcPr>
          <w:p w14:paraId="2E316B0C"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38E488CC"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260C0FE"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4D8A3A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60BB75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2,178 / 443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A84F40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2,276 / 450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99344B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2,578 / 457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1C081A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2,823 / 454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13A43E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2,533 / 432</w:t>
            </w:r>
          </w:p>
        </w:tc>
      </w:tr>
      <w:tr w:rsidR="000C4931" w:rsidRPr="00470330" w14:paraId="5F82AF7D"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5870FD66"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01B6060E"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3F12EBF3"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53F2B13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85064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2,320 / 426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A4E012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2,231 / 430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8FBDB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2,704 / 437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6EE3C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3,105 / 438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F26687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2,761 / 417</w:t>
            </w:r>
          </w:p>
        </w:tc>
      </w:tr>
      <w:tr w:rsidR="000C4931" w:rsidRPr="00470330" w14:paraId="3EE504D8"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33933DD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Canada</w:t>
            </w:r>
          </w:p>
        </w:tc>
        <w:tc>
          <w:tcPr>
            <w:tcW w:w="1620" w:type="dxa"/>
            <w:tcBorders>
              <w:top w:val="single" w:sz="8" w:space="0" w:color="666666"/>
            </w:tcBorders>
            <w:shd w:val="clear" w:color="auto" w:fill="FFFFFF"/>
            <w:tcMar>
              <w:top w:w="0" w:type="dxa"/>
              <w:left w:w="0" w:type="dxa"/>
              <w:bottom w:w="0" w:type="dxa"/>
              <w:right w:w="0" w:type="dxa"/>
            </w:tcMar>
            <w:vAlign w:val="center"/>
          </w:tcPr>
          <w:p w14:paraId="32B7CBA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Western Nations</w:t>
            </w:r>
          </w:p>
        </w:tc>
        <w:tc>
          <w:tcPr>
            <w:tcW w:w="1260" w:type="dxa"/>
            <w:tcBorders>
              <w:top w:val="single" w:sz="8" w:space="0" w:color="666666"/>
            </w:tcBorders>
            <w:shd w:val="clear" w:color="auto" w:fill="FFFFFF"/>
            <w:tcMar>
              <w:top w:w="0" w:type="dxa"/>
              <w:left w:w="0" w:type="dxa"/>
              <w:bottom w:w="0" w:type="dxa"/>
              <w:right w:w="0" w:type="dxa"/>
            </w:tcMar>
            <w:vAlign w:val="center"/>
          </w:tcPr>
          <w:p w14:paraId="500D87A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32193F3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D9C353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22,646 / 534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CB27D4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23,207 / 529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67E22F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21,544 / 525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010C48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20,058 / 528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E4F9A7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22,653 / 518</w:t>
            </w:r>
          </w:p>
        </w:tc>
      </w:tr>
      <w:tr w:rsidR="000C4931" w:rsidRPr="00470330" w14:paraId="4A7BD140" w14:textId="77777777" w:rsidTr="004E17BE">
        <w:trPr>
          <w:cantSplit/>
        </w:trPr>
        <w:tc>
          <w:tcPr>
            <w:tcW w:w="1530" w:type="dxa"/>
            <w:shd w:val="clear" w:color="auto" w:fill="FFFFFF"/>
            <w:tcMar>
              <w:top w:w="0" w:type="dxa"/>
              <w:left w:w="0" w:type="dxa"/>
              <w:bottom w:w="0" w:type="dxa"/>
              <w:right w:w="0" w:type="dxa"/>
            </w:tcMar>
            <w:vAlign w:val="center"/>
          </w:tcPr>
          <w:p w14:paraId="72F7AEDA"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22FBDFFA"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3CC3A2F"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3CE0F80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D985EB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11,542 / 532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97760F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11,776 / 526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3CF913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10,943 / 524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D02A85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10,022 / 527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A012F2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11,307 / 520</w:t>
            </w:r>
          </w:p>
        </w:tc>
      </w:tr>
      <w:tr w:rsidR="000C4931" w:rsidRPr="00470330" w14:paraId="0B3FB0A6"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0B17606A"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1ADA8605"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4C543A8B"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5656C05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91D74E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11,104 / 536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A1B0E6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11,431 / 531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B042D4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10,601 / 527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A49EEE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10,036 / 528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15F2CA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11,344 / 516</w:t>
            </w:r>
          </w:p>
        </w:tc>
      </w:tr>
      <w:tr w:rsidR="000C4931" w:rsidRPr="00470330" w14:paraId="0F885E02"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25687E7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Chile</w:t>
            </w:r>
          </w:p>
        </w:tc>
        <w:tc>
          <w:tcPr>
            <w:tcW w:w="1620" w:type="dxa"/>
            <w:tcBorders>
              <w:top w:val="single" w:sz="8" w:space="0" w:color="666666"/>
            </w:tcBorders>
            <w:shd w:val="clear" w:color="auto" w:fill="FFFFFF"/>
            <w:tcMar>
              <w:top w:w="0" w:type="dxa"/>
              <w:left w:w="0" w:type="dxa"/>
              <w:bottom w:w="0" w:type="dxa"/>
              <w:right w:w="0" w:type="dxa"/>
            </w:tcMar>
            <w:vAlign w:val="center"/>
          </w:tcPr>
          <w:p w14:paraId="34C84A83" w14:textId="77777777" w:rsidR="000C4931" w:rsidRPr="00470330" w:rsidRDefault="000C4931" w:rsidP="000C4931">
            <w:pPr>
              <w:keepNext/>
              <w:spacing w:before="0" w:after="0" w:line="240" w:lineRule="auto"/>
              <w:ind w:left="100" w:right="100" w:firstLine="0"/>
              <w:rPr>
                <w:sz w:val="20"/>
                <w:szCs w:val="20"/>
              </w:rPr>
            </w:pPr>
            <w:r>
              <w:rPr>
                <w:rFonts w:eastAsia="Arial"/>
                <w:color w:val="000000"/>
                <w:sz w:val="20"/>
                <w:szCs w:val="20"/>
              </w:rPr>
              <w:t>Latin America/ Caribbean/ Other</w:t>
            </w:r>
          </w:p>
        </w:tc>
        <w:tc>
          <w:tcPr>
            <w:tcW w:w="1260" w:type="dxa"/>
            <w:tcBorders>
              <w:top w:val="single" w:sz="8" w:space="0" w:color="666666"/>
            </w:tcBorders>
            <w:shd w:val="clear" w:color="auto" w:fill="FFFFFF"/>
            <w:tcMar>
              <w:top w:w="0" w:type="dxa"/>
              <w:left w:w="0" w:type="dxa"/>
              <w:bottom w:w="0" w:type="dxa"/>
              <w:right w:w="0" w:type="dxa"/>
            </w:tcMar>
            <w:vAlign w:val="center"/>
          </w:tcPr>
          <w:p w14:paraId="02DF4EA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Both</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4BD9D01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E11A1C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5,233 / 438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5785DC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5,669 / 447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5B3944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6,856 / 445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54B7B7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7,053 / 447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BCBABB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7,621 / 444</w:t>
            </w:r>
          </w:p>
        </w:tc>
      </w:tr>
      <w:tr w:rsidR="000C4931" w:rsidRPr="00470330" w14:paraId="29D4EC47" w14:textId="77777777" w:rsidTr="004E17BE">
        <w:trPr>
          <w:cantSplit/>
        </w:trPr>
        <w:tc>
          <w:tcPr>
            <w:tcW w:w="1530" w:type="dxa"/>
            <w:shd w:val="clear" w:color="auto" w:fill="FFFFFF"/>
            <w:tcMar>
              <w:top w:w="0" w:type="dxa"/>
              <w:left w:w="0" w:type="dxa"/>
              <w:bottom w:w="0" w:type="dxa"/>
              <w:right w:w="0" w:type="dxa"/>
            </w:tcMar>
            <w:vAlign w:val="center"/>
          </w:tcPr>
          <w:p w14:paraId="7D8B3F3A"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62057F5E"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07F41730"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3A2A3E5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1A6686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2,403 / 426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7FFCDE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2,799 / 443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B8AB6E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3,512 / 442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398037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3,500 / 440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9C947D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3,814 / 442</w:t>
            </w:r>
          </w:p>
        </w:tc>
      </w:tr>
      <w:tr w:rsidR="000C4931" w:rsidRPr="00470330" w14:paraId="68C58F1A"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687920FA"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09F31813"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4DEF510A"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7104D90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207C18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2,830 / 448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994BE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2,870 / 452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A0215F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3,344 / 448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D127DC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3,553 / 454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70003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3,807 / 445</w:t>
            </w:r>
          </w:p>
        </w:tc>
      </w:tr>
      <w:tr w:rsidR="000C4931" w:rsidRPr="00470330" w14:paraId="402794AC"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7E0FD71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China</w:t>
            </w:r>
            <w:r w:rsidRPr="00470330">
              <w:rPr>
                <w:rFonts w:eastAsia="Arial"/>
                <w:color w:val="000000"/>
                <w:sz w:val="20"/>
                <w:szCs w:val="20"/>
                <w:vertAlign w:val="superscript"/>
              </w:rPr>
              <w:t>b</w:t>
            </w:r>
          </w:p>
        </w:tc>
        <w:tc>
          <w:tcPr>
            <w:tcW w:w="1620" w:type="dxa"/>
            <w:tcBorders>
              <w:top w:val="single" w:sz="8" w:space="0" w:color="666666"/>
            </w:tcBorders>
            <w:shd w:val="clear" w:color="auto" w:fill="FFFFFF"/>
            <w:tcMar>
              <w:top w:w="0" w:type="dxa"/>
              <w:left w:w="0" w:type="dxa"/>
              <w:bottom w:w="0" w:type="dxa"/>
              <w:right w:w="0" w:type="dxa"/>
            </w:tcMar>
            <w:vAlign w:val="center"/>
          </w:tcPr>
          <w:p w14:paraId="40BACCB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Eastern Asia</w:t>
            </w:r>
          </w:p>
        </w:tc>
        <w:tc>
          <w:tcPr>
            <w:tcW w:w="1260" w:type="dxa"/>
            <w:tcBorders>
              <w:top w:val="single" w:sz="8" w:space="0" w:color="666666"/>
            </w:tcBorders>
            <w:shd w:val="clear" w:color="auto" w:fill="FFFFFF"/>
            <w:tcMar>
              <w:top w:w="0" w:type="dxa"/>
              <w:left w:w="0" w:type="dxa"/>
              <w:bottom w:w="0" w:type="dxa"/>
              <w:right w:w="0" w:type="dxa"/>
            </w:tcMar>
            <w:vAlign w:val="center"/>
          </w:tcPr>
          <w:p w14:paraId="594B859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4150727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643B75D"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EDE41D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5,115 / 575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F91249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5,177 / 580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E35408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9,841 / 518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BF9FB3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12,058 / 590</w:t>
            </w:r>
          </w:p>
        </w:tc>
      </w:tr>
      <w:tr w:rsidR="000C4931" w:rsidRPr="00470330" w14:paraId="075F23C9" w14:textId="77777777" w:rsidTr="004E17BE">
        <w:trPr>
          <w:cantSplit/>
        </w:trPr>
        <w:tc>
          <w:tcPr>
            <w:tcW w:w="1530" w:type="dxa"/>
            <w:shd w:val="clear" w:color="auto" w:fill="FFFFFF"/>
            <w:tcMar>
              <w:top w:w="0" w:type="dxa"/>
              <w:left w:w="0" w:type="dxa"/>
              <w:bottom w:w="0" w:type="dxa"/>
              <w:right w:w="0" w:type="dxa"/>
            </w:tcMar>
            <w:vAlign w:val="center"/>
          </w:tcPr>
          <w:p w14:paraId="497F51BE"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346FB5E6"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CA20428"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2E8656F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2C1F7F2"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651F90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2,587 / 575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1CC1E3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2,637 / 578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EAF400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4,682 / 513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4381A8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5,775 / 584</w:t>
            </w:r>
          </w:p>
        </w:tc>
      </w:tr>
      <w:tr w:rsidR="000C4931" w:rsidRPr="00470330" w14:paraId="5CCCAEB3"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67EC8EF7"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7935755D"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12E4769C"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61A7020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F05D20F"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D586B8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2,528 / 574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422115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2,540 / 583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9FFA3F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5,159 / 522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F41725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6,283 / 596</w:t>
            </w:r>
          </w:p>
        </w:tc>
      </w:tr>
      <w:tr w:rsidR="000C4931" w:rsidRPr="00470330" w14:paraId="1947DED9"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3356F83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lastRenderedPageBreak/>
              <w:t>Colombia</w:t>
            </w:r>
          </w:p>
        </w:tc>
        <w:tc>
          <w:tcPr>
            <w:tcW w:w="1620" w:type="dxa"/>
            <w:tcBorders>
              <w:top w:val="single" w:sz="8" w:space="0" w:color="666666"/>
            </w:tcBorders>
            <w:shd w:val="clear" w:color="auto" w:fill="FFFFFF"/>
            <w:tcMar>
              <w:top w:w="0" w:type="dxa"/>
              <w:left w:w="0" w:type="dxa"/>
              <w:bottom w:w="0" w:type="dxa"/>
              <w:right w:w="0" w:type="dxa"/>
            </w:tcMar>
            <w:vAlign w:val="center"/>
          </w:tcPr>
          <w:p w14:paraId="2A7D6B77" w14:textId="77777777" w:rsidR="000C4931" w:rsidRPr="00470330" w:rsidRDefault="000C4931" w:rsidP="000C4931">
            <w:pPr>
              <w:keepNext/>
              <w:spacing w:before="0" w:after="0" w:line="240" w:lineRule="auto"/>
              <w:ind w:left="100" w:right="100" w:firstLine="0"/>
              <w:rPr>
                <w:sz w:val="20"/>
                <w:szCs w:val="20"/>
              </w:rPr>
            </w:pPr>
            <w:r>
              <w:rPr>
                <w:rFonts w:eastAsia="Arial"/>
                <w:color w:val="000000"/>
                <w:sz w:val="20"/>
                <w:szCs w:val="20"/>
              </w:rPr>
              <w:t>Latin America/ Caribbean/ Other</w:t>
            </w:r>
          </w:p>
        </w:tc>
        <w:tc>
          <w:tcPr>
            <w:tcW w:w="1260" w:type="dxa"/>
            <w:tcBorders>
              <w:top w:val="single" w:sz="8" w:space="0" w:color="666666"/>
            </w:tcBorders>
            <w:shd w:val="clear" w:color="auto" w:fill="FFFFFF"/>
            <w:tcMar>
              <w:top w:w="0" w:type="dxa"/>
              <w:left w:w="0" w:type="dxa"/>
              <w:bottom w:w="0" w:type="dxa"/>
              <w:right w:w="0" w:type="dxa"/>
            </w:tcMar>
            <w:vAlign w:val="center"/>
          </w:tcPr>
          <w:p w14:paraId="28907605" w14:textId="50FCF06F" w:rsidR="000C4931" w:rsidRPr="00470330" w:rsidRDefault="000C4931" w:rsidP="000C4931">
            <w:pPr>
              <w:keepNext/>
              <w:spacing w:before="0" w:after="0" w:line="240" w:lineRule="auto"/>
              <w:ind w:left="100" w:right="100" w:firstLine="0"/>
              <w:rPr>
                <w:sz w:val="20"/>
                <w:szCs w:val="20"/>
              </w:rPr>
            </w:pPr>
            <w:r>
              <w:rPr>
                <w:sz w:val="20"/>
                <w:szCs w:val="20"/>
              </w:rPr>
              <w:t>Both</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490C63B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B5A9C1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4,478 / 388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E2380D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7,921 / 402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3137C0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9,073 / 399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D89AE9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11,795 / 416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5FB005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7,522 / 413</w:t>
            </w:r>
          </w:p>
        </w:tc>
      </w:tr>
      <w:tr w:rsidR="000C4931" w:rsidRPr="00470330" w14:paraId="2C923C3C" w14:textId="77777777" w:rsidTr="004E17BE">
        <w:trPr>
          <w:cantSplit/>
        </w:trPr>
        <w:tc>
          <w:tcPr>
            <w:tcW w:w="1530" w:type="dxa"/>
            <w:shd w:val="clear" w:color="auto" w:fill="FFFFFF"/>
            <w:tcMar>
              <w:top w:w="0" w:type="dxa"/>
              <w:left w:w="0" w:type="dxa"/>
              <w:bottom w:w="0" w:type="dxa"/>
              <w:right w:w="0" w:type="dxa"/>
            </w:tcMar>
            <w:vAlign w:val="center"/>
          </w:tcPr>
          <w:p w14:paraId="753CDFE1"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3B65ABA8"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46771BAE"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626DBF4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74FAAD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2,435 / 384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659956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4,210 / 392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5C4889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4,807 / 390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FB83D2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6,158 / 411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A0FD60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3,857 / 407</w:t>
            </w:r>
          </w:p>
        </w:tc>
      </w:tr>
      <w:tr w:rsidR="000C4931" w:rsidRPr="00470330" w14:paraId="4D0B8B2E"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011D890A"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651F03CC"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71E187AB"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741E994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EAA02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2,043 / 393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80E683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3,711 / 413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BC09F0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4,266 / 408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7A0DCD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5,637 / 421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144876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3,665 / 420</w:t>
            </w:r>
          </w:p>
        </w:tc>
      </w:tr>
      <w:tr w:rsidR="000C4931" w:rsidRPr="00470330" w14:paraId="2A79597C"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4EE73AD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Costa Rica</w:t>
            </w:r>
          </w:p>
        </w:tc>
        <w:tc>
          <w:tcPr>
            <w:tcW w:w="1620" w:type="dxa"/>
            <w:tcBorders>
              <w:top w:val="single" w:sz="8" w:space="0" w:color="666666"/>
            </w:tcBorders>
            <w:shd w:val="clear" w:color="auto" w:fill="FFFFFF"/>
            <w:tcMar>
              <w:top w:w="0" w:type="dxa"/>
              <w:left w:w="0" w:type="dxa"/>
              <w:bottom w:w="0" w:type="dxa"/>
              <w:right w:w="0" w:type="dxa"/>
            </w:tcMar>
            <w:vAlign w:val="center"/>
          </w:tcPr>
          <w:p w14:paraId="17C9A08E" w14:textId="77777777" w:rsidR="000C4931" w:rsidRPr="00470330" w:rsidRDefault="000C4931" w:rsidP="000C4931">
            <w:pPr>
              <w:keepNext/>
              <w:spacing w:before="0" w:after="0" w:line="240" w:lineRule="auto"/>
              <w:ind w:left="100" w:right="100" w:firstLine="0"/>
              <w:rPr>
                <w:sz w:val="20"/>
                <w:szCs w:val="20"/>
              </w:rPr>
            </w:pPr>
          </w:p>
        </w:tc>
        <w:tc>
          <w:tcPr>
            <w:tcW w:w="1260" w:type="dxa"/>
            <w:tcBorders>
              <w:top w:val="single" w:sz="8" w:space="0" w:color="666666"/>
            </w:tcBorders>
            <w:shd w:val="clear" w:color="auto" w:fill="FFFFFF"/>
            <w:tcMar>
              <w:top w:w="0" w:type="dxa"/>
              <w:left w:w="0" w:type="dxa"/>
              <w:bottom w:w="0" w:type="dxa"/>
              <w:right w:w="0" w:type="dxa"/>
            </w:tcMar>
            <w:vAlign w:val="center"/>
          </w:tcPr>
          <w:p w14:paraId="2D211585" w14:textId="2DF93C63"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6943500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6630087"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F1813E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4,578 / 430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9C0957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4,602 / 429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C326BB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6,866 / 420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55C216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7,221 / 416</w:t>
            </w:r>
          </w:p>
        </w:tc>
      </w:tr>
      <w:tr w:rsidR="000C4931" w:rsidRPr="00470330" w14:paraId="1384C34D" w14:textId="77777777" w:rsidTr="004E17BE">
        <w:trPr>
          <w:cantSplit/>
        </w:trPr>
        <w:tc>
          <w:tcPr>
            <w:tcW w:w="1530" w:type="dxa"/>
            <w:shd w:val="clear" w:color="auto" w:fill="FFFFFF"/>
            <w:tcMar>
              <w:top w:w="0" w:type="dxa"/>
              <w:left w:w="0" w:type="dxa"/>
              <w:bottom w:w="0" w:type="dxa"/>
              <w:right w:w="0" w:type="dxa"/>
            </w:tcMar>
            <w:vAlign w:val="center"/>
          </w:tcPr>
          <w:p w14:paraId="0C6ABC52"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75C75A32"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7BDC2A25"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849C28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0B997D4"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B027C7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2,436 / 423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96E33B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2,460 / 424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3C2631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3,494 / 411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35F8BD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3,618 / 411</w:t>
            </w:r>
          </w:p>
        </w:tc>
      </w:tr>
      <w:tr w:rsidR="000C4931" w:rsidRPr="00470330" w14:paraId="28121839"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67450EAD"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5F50FB68"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40C9A896"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13555A3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737E2C"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5BC37A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2,142 / 439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B0AB9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2,142 / 436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4B354C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3,372 / 429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C78A5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3,603 / 420</w:t>
            </w:r>
          </w:p>
        </w:tc>
      </w:tr>
      <w:tr w:rsidR="000C4931" w:rsidRPr="00470330" w14:paraId="4744FB26"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5938118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Croatia</w:t>
            </w:r>
          </w:p>
        </w:tc>
        <w:tc>
          <w:tcPr>
            <w:tcW w:w="1620" w:type="dxa"/>
            <w:tcBorders>
              <w:top w:val="single" w:sz="8" w:space="0" w:color="666666"/>
            </w:tcBorders>
            <w:shd w:val="clear" w:color="auto" w:fill="FFFFFF"/>
            <w:tcMar>
              <w:top w:w="0" w:type="dxa"/>
              <w:left w:w="0" w:type="dxa"/>
              <w:bottom w:w="0" w:type="dxa"/>
              <w:right w:w="0" w:type="dxa"/>
            </w:tcMar>
            <w:vAlign w:val="center"/>
          </w:tcPr>
          <w:p w14:paraId="57056B8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Southern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05FB84DF" w14:textId="079BDA78"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1D251C8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3C445C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5,213 / 493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BB4C75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4,994 / 486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1513B3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5,008 / 491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4596D3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5,809 / 475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5BEE43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6,609 / 472</w:t>
            </w:r>
          </w:p>
        </w:tc>
      </w:tr>
      <w:tr w:rsidR="000C4931" w:rsidRPr="00470330" w14:paraId="41989A64" w14:textId="77777777" w:rsidTr="004E17BE">
        <w:trPr>
          <w:cantSplit/>
        </w:trPr>
        <w:tc>
          <w:tcPr>
            <w:tcW w:w="1530" w:type="dxa"/>
            <w:shd w:val="clear" w:color="auto" w:fill="FFFFFF"/>
            <w:tcMar>
              <w:top w:w="0" w:type="dxa"/>
              <w:left w:w="0" w:type="dxa"/>
              <w:bottom w:w="0" w:type="dxa"/>
              <w:right w:w="0" w:type="dxa"/>
            </w:tcMar>
            <w:vAlign w:val="center"/>
          </w:tcPr>
          <w:p w14:paraId="3C63C85B"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5B0A25F2"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2F5E9B6B"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5B7D1DE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9F206E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2,600 / 494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500BFA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2,341 / 491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8C4AEA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2,480 / 493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C6C04D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3,013 / 473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703A33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3,311 / 474</w:t>
            </w:r>
          </w:p>
        </w:tc>
      </w:tr>
      <w:tr w:rsidR="000C4931" w:rsidRPr="00470330" w14:paraId="074A6CEC"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1667D761"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28BE710B"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2D036D71"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778A559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102CEB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2,613 / 492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C0E6F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2,653 / 482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A69A38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2,528 / 490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1B3D11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2,796 / 478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A69C8D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3,298 / 470</w:t>
            </w:r>
          </w:p>
        </w:tc>
      </w:tr>
      <w:tr w:rsidR="000C4931" w:rsidRPr="00470330" w14:paraId="518A8985"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4D414F8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Czech Republic</w:t>
            </w:r>
          </w:p>
        </w:tc>
        <w:tc>
          <w:tcPr>
            <w:tcW w:w="1620" w:type="dxa"/>
            <w:tcBorders>
              <w:top w:val="single" w:sz="8" w:space="0" w:color="666666"/>
            </w:tcBorders>
            <w:shd w:val="clear" w:color="auto" w:fill="FFFFFF"/>
            <w:tcMar>
              <w:top w:w="0" w:type="dxa"/>
              <w:left w:w="0" w:type="dxa"/>
              <w:bottom w:w="0" w:type="dxa"/>
              <w:right w:w="0" w:type="dxa"/>
            </w:tcMar>
            <w:vAlign w:val="center"/>
          </w:tcPr>
          <w:p w14:paraId="5D94FE4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Eastern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37EBDCE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6E85A3F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7EF263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5,932 / 513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C9A323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6,064 / 500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286770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5,327 / 508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B91F13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6,894 / 493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8E0578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7,019 / 497</w:t>
            </w:r>
          </w:p>
        </w:tc>
      </w:tr>
      <w:tr w:rsidR="000C4931" w:rsidRPr="00470330" w14:paraId="2CD2BDDD" w14:textId="77777777" w:rsidTr="004E17BE">
        <w:trPr>
          <w:cantSplit/>
        </w:trPr>
        <w:tc>
          <w:tcPr>
            <w:tcW w:w="1530" w:type="dxa"/>
            <w:shd w:val="clear" w:color="auto" w:fill="FFFFFF"/>
            <w:tcMar>
              <w:top w:w="0" w:type="dxa"/>
              <w:left w:w="0" w:type="dxa"/>
              <w:bottom w:w="0" w:type="dxa"/>
              <w:right w:w="0" w:type="dxa"/>
            </w:tcMar>
            <w:vAlign w:val="center"/>
          </w:tcPr>
          <w:p w14:paraId="4ACA8510"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565F972B"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2C373D17"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5E2F677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BA1C88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2,786 / 510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895C92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2,949 / 503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552407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2,680 / 508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F8025F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3,422 / 488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23E586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3,518 / 498</w:t>
            </w:r>
          </w:p>
        </w:tc>
      </w:tr>
      <w:tr w:rsidR="000C4931" w:rsidRPr="00470330" w14:paraId="1DF87A0E"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2BCA9B95"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16BF7ADF"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4AD98B63"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16C52EA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59BA6C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3,146 / 515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F598ED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3,115 / 498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9C9753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2,647 / 509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0A2B82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3,472 / 497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D7F0BE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3,501 / 496</w:t>
            </w:r>
          </w:p>
        </w:tc>
      </w:tr>
      <w:tr w:rsidR="000C4931" w:rsidRPr="00470330" w14:paraId="5FDC2CC5"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06F3C7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Denmark</w:t>
            </w:r>
          </w:p>
        </w:tc>
        <w:tc>
          <w:tcPr>
            <w:tcW w:w="1620" w:type="dxa"/>
            <w:tcBorders>
              <w:top w:val="single" w:sz="8" w:space="0" w:color="666666"/>
            </w:tcBorders>
            <w:shd w:val="clear" w:color="auto" w:fill="FFFFFF"/>
            <w:tcMar>
              <w:top w:w="0" w:type="dxa"/>
              <w:left w:w="0" w:type="dxa"/>
              <w:bottom w:w="0" w:type="dxa"/>
              <w:right w:w="0" w:type="dxa"/>
            </w:tcMar>
            <w:vAlign w:val="center"/>
          </w:tcPr>
          <w:p w14:paraId="266F386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Western Nations</w:t>
            </w:r>
          </w:p>
        </w:tc>
        <w:tc>
          <w:tcPr>
            <w:tcW w:w="1260" w:type="dxa"/>
            <w:tcBorders>
              <w:top w:val="single" w:sz="8" w:space="0" w:color="666666"/>
            </w:tcBorders>
            <w:shd w:val="clear" w:color="auto" w:fill="FFFFFF"/>
            <w:tcMar>
              <w:top w:w="0" w:type="dxa"/>
              <w:left w:w="0" w:type="dxa"/>
              <w:bottom w:w="0" w:type="dxa"/>
              <w:right w:w="0" w:type="dxa"/>
            </w:tcMar>
            <w:vAlign w:val="center"/>
          </w:tcPr>
          <w:p w14:paraId="13D2E650" w14:textId="45106EAA" w:rsidR="000C4931" w:rsidRPr="00470330" w:rsidRDefault="000C4931" w:rsidP="000C4931">
            <w:pPr>
              <w:keepNext/>
              <w:spacing w:before="0" w:after="0" w:line="240" w:lineRule="auto"/>
              <w:ind w:left="100" w:right="100" w:firstLine="0"/>
              <w:rPr>
                <w:sz w:val="20"/>
                <w:szCs w:val="20"/>
              </w:rPr>
            </w:pPr>
            <w:r>
              <w:rPr>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1CDA555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F07DE7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4,532 / 496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BEF47F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5,924 / 499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5A9820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7,481 / 498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2ED837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7,161 / 502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CD9F01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7,657 / 493</w:t>
            </w:r>
          </w:p>
        </w:tc>
      </w:tr>
      <w:tr w:rsidR="000C4931" w:rsidRPr="00470330" w14:paraId="304AD593" w14:textId="77777777" w:rsidTr="004E17BE">
        <w:trPr>
          <w:cantSplit/>
        </w:trPr>
        <w:tc>
          <w:tcPr>
            <w:tcW w:w="1530" w:type="dxa"/>
            <w:shd w:val="clear" w:color="auto" w:fill="FFFFFF"/>
            <w:tcMar>
              <w:top w:w="0" w:type="dxa"/>
              <w:left w:w="0" w:type="dxa"/>
              <w:bottom w:w="0" w:type="dxa"/>
              <w:right w:w="0" w:type="dxa"/>
            </w:tcMar>
            <w:vAlign w:val="center"/>
          </w:tcPr>
          <w:p w14:paraId="1CAE64EC"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69628607"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03BCA1A6"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76920E6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C3E9E7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2,331 / 491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952258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3,038 / 494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F7788C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3,777 / 493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7C661F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3,602 / 499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0A8A19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3,816 / 494</w:t>
            </w:r>
          </w:p>
        </w:tc>
      </w:tr>
      <w:tr w:rsidR="000C4931" w:rsidRPr="00470330" w14:paraId="2EF7A111"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41F02E16"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3624D8FC"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3EA510F7"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5D88B04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FDF070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2,201 / 500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A1E829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2,886 / 505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83F6C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3,704 / 504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49E0A2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3,559 / 505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F945C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3,841 / 492</w:t>
            </w:r>
          </w:p>
        </w:tc>
      </w:tr>
      <w:tr w:rsidR="000C4931" w:rsidRPr="00470330" w14:paraId="0AC57564"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CEAC99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Dominican Republic</w:t>
            </w:r>
          </w:p>
        </w:tc>
        <w:tc>
          <w:tcPr>
            <w:tcW w:w="1620" w:type="dxa"/>
            <w:tcBorders>
              <w:top w:val="single" w:sz="8" w:space="0" w:color="666666"/>
            </w:tcBorders>
            <w:shd w:val="clear" w:color="auto" w:fill="FFFFFF"/>
            <w:tcMar>
              <w:top w:w="0" w:type="dxa"/>
              <w:left w:w="0" w:type="dxa"/>
              <w:bottom w:w="0" w:type="dxa"/>
              <w:right w:w="0" w:type="dxa"/>
            </w:tcMar>
            <w:vAlign w:val="center"/>
          </w:tcPr>
          <w:p w14:paraId="06456DF8" w14:textId="77777777" w:rsidR="000C4931" w:rsidRPr="00470330" w:rsidRDefault="000C4931" w:rsidP="000C4931">
            <w:pPr>
              <w:keepNext/>
              <w:spacing w:before="0" w:after="0" w:line="240" w:lineRule="auto"/>
              <w:ind w:left="100" w:right="100" w:firstLine="0"/>
              <w:rPr>
                <w:sz w:val="20"/>
                <w:szCs w:val="20"/>
              </w:rPr>
            </w:pPr>
            <w:r>
              <w:rPr>
                <w:rFonts w:eastAsia="Arial"/>
                <w:color w:val="000000"/>
                <w:sz w:val="20"/>
                <w:szCs w:val="20"/>
              </w:rPr>
              <w:t>Latin America/ Caribbean/ Other</w:t>
            </w:r>
          </w:p>
        </w:tc>
        <w:tc>
          <w:tcPr>
            <w:tcW w:w="1260" w:type="dxa"/>
            <w:tcBorders>
              <w:top w:val="single" w:sz="8" w:space="0" w:color="666666"/>
            </w:tcBorders>
            <w:shd w:val="clear" w:color="auto" w:fill="FFFFFF"/>
            <w:tcMar>
              <w:top w:w="0" w:type="dxa"/>
              <w:left w:w="0" w:type="dxa"/>
              <w:bottom w:w="0" w:type="dxa"/>
              <w:right w:w="0" w:type="dxa"/>
            </w:tcMar>
            <w:vAlign w:val="center"/>
          </w:tcPr>
          <w:p w14:paraId="3098862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665F75C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73778C3"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620C6A1"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270D6A5"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DE74EB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4,740 / 332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DC35CA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5,674 / 336</w:t>
            </w:r>
          </w:p>
        </w:tc>
      </w:tr>
      <w:tr w:rsidR="000C4931" w:rsidRPr="00470330" w14:paraId="3CECE186" w14:textId="77777777" w:rsidTr="004E17BE">
        <w:trPr>
          <w:cantSplit/>
        </w:trPr>
        <w:tc>
          <w:tcPr>
            <w:tcW w:w="1530" w:type="dxa"/>
            <w:shd w:val="clear" w:color="auto" w:fill="FFFFFF"/>
            <w:tcMar>
              <w:top w:w="0" w:type="dxa"/>
              <w:left w:w="0" w:type="dxa"/>
              <w:bottom w:w="0" w:type="dxa"/>
              <w:right w:w="0" w:type="dxa"/>
            </w:tcMar>
            <w:vAlign w:val="center"/>
          </w:tcPr>
          <w:p w14:paraId="54353C31"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19530CDA"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2220D400"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6071BE7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6A3E8F8"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92D257E"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40443D7"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2AB6C9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2,474 / 331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572B74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2,890 / 340</w:t>
            </w:r>
          </w:p>
        </w:tc>
      </w:tr>
      <w:tr w:rsidR="000C4931" w:rsidRPr="00470330" w14:paraId="08C4F278"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6694B243"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71879359"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792CA375"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087AF8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0657070"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E973A7A"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AAB203A"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2003CF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2,266 / 332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E2FBF2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2,784 / 331</w:t>
            </w:r>
          </w:p>
        </w:tc>
      </w:tr>
      <w:tr w:rsidR="000C4931" w:rsidRPr="00470330" w14:paraId="267B02B0"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06969B2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Estonia</w:t>
            </w:r>
          </w:p>
        </w:tc>
        <w:tc>
          <w:tcPr>
            <w:tcW w:w="1620" w:type="dxa"/>
            <w:tcBorders>
              <w:top w:val="single" w:sz="8" w:space="0" w:color="666666"/>
            </w:tcBorders>
            <w:shd w:val="clear" w:color="auto" w:fill="FFFFFF"/>
            <w:tcMar>
              <w:top w:w="0" w:type="dxa"/>
              <w:left w:w="0" w:type="dxa"/>
              <w:bottom w:w="0" w:type="dxa"/>
              <w:right w:w="0" w:type="dxa"/>
            </w:tcMar>
            <w:vAlign w:val="center"/>
          </w:tcPr>
          <w:p w14:paraId="5ACB959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Western Nations</w:t>
            </w:r>
          </w:p>
        </w:tc>
        <w:tc>
          <w:tcPr>
            <w:tcW w:w="1260" w:type="dxa"/>
            <w:tcBorders>
              <w:top w:val="single" w:sz="8" w:space="0" w:color="666666"/>
            </w:tcBorders>
            <w:shd w:val="clear" w:color="auto" w:fill="FFFFFF"/>
            <w:tcMar>
              <w:top w:w="0" w:type="dxa"/>
              <w:left w:w="0" w:type="dxa"/>
              <w:bottom w:w="0" w:type="dxa"/>
              <w:right w:w="0" w:type="dxa"/>
            </w:tcMar>
            <w:vAlign w:val="center"/>
          </w:tcPr>
          <w:p w14:paraId="4F369AF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Both</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7CE30EA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DB512B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4,865 / 531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69C342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4,727 / 528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1887F3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4,779 / 541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C849D9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5,587 / 534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69FAB4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5,316 / 530</w:t>
            </w:r>
          </w:p>
        </w:tc>
      </w:tr>
      <w:tr w:rsidR="000C4931" w:rsidRPr="00470330" w14:paraId="64FDB984" w14:textId="77777777" w:rsidTr="004E17BE">
        <w:trPr>
          <w:cantSplit/>
        </w:trPr>
        <w:tc>
          <w:tcPr>
            <w:tcW w:w="1530" w:type="dxa"/>
            <w:shd w:val="clear" w:color="auto" w:fill="FFFFFF"/>
            <w:tcMar>
              <w:top w:w="0" w:type="dxa"/>
              <w:left w:w="0" w:type="dxa"/>
              <w:bottom w:w="0" w:type="dxa"/>
              <w:right w:w="0" w:type="dxa"/>
            </w:tcMar>
            <w:vAlign w:val="center"/>
          </w:tcPr>
          <w:p w14:paraId="5822D461"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4B3A8127"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1E798EEF"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386D318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011E58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2,386 / 533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9A0466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2,297 / 528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4BB05F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2,409 / 543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5E08EF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2,788 / 533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2D8DF5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2,651 / 533</w:t>
            </w:r>
          </w:p>
        </w:tc>
      </w:tr>
      <w:tr w:rsidR="000C4931" w:rsidRPr="00470330" w14:paraId="650DA42B"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74C2E8C6"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7468DC60"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75DB572B"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7AABF60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20AF3B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2,479 / 530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93486B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2,430 / 527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F215FD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2,370 / 540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66A5E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2,799 / 536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2F67C5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2,665 / 528</w:t>
            </w:r>
          </w:p>
        </w:tc>
      </w:tr>
      <w:tr w:rsidR="000C4931" w:rsidRPr="00470330" w14:paraId="17B55190"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5760022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Finland</w:t>
            </w:r>
          </w:p>
        </w:tc>
        <w:tc>
          <w:tcPr>
            <w:tcW w:w="1620" w:type="dxa"/>
            <w:tcBorders>
              <w:top w:val="single" w:sz="8" w:space="0" w:color="666666"/>
            </w:tcBorders>
            <w:shd w:val="clear" w:color="auto" w:fill="FFFFFF"/>
            <w:tcMar>
              <w:top w:w="0" w:type="dxa"/>
              <w:left w:w="0" w:type="dxa"/>
              <w:bottom w:w="0" w:type="dxa"/>
              <w:right w:w="0" w:type="dxa"/>
            </w:tcMar>
            <w:vAlign w:val="center"/>
          </w:tcPr>
          <w:p w14:paraId="193F67AA" w14:textId="77777777" w:rsidR="000C4931" w:rsidRPr="00470330" w:rsidRDefault="000C4931" w:rsidP="000C4931">
            <w:pPr>
              <w:keepNext/>
              <w:spacing w:before="0" w:after="0" w:line="240" w:lineRule="auto"/>
              <w:ind w:left="100" w:right="100" w:firstLine="0"/>
              <w:rPr>
                <w:sz w:val="20"/>
                <w:szCs w:val="20"/>
              </w:rPr>
            </w:pPr>
          </w:p>
        </w:tc>
        <w:tc>
          <w:tcPr>
            <w:tcW w:w="1260" w:type="dxa"/>
            <w:tcBorders>
              <w:top w:val="single" w:sz="8" w:space="0" w:color="666666"/>
            </w:tcBorders>
            <w:shd w:val="clear" w:color="auto" w:fill="FFFFFF"/>
            <w:tcMar>
              <w:top w:w="0" w:type="dxa"/>
              <w:left w:w="0" w:type="dxa"/>
              <w:bottom w:w="0" w:type="dxa"/>
              <w:right w:w="0" w:type="dxa"/>
            </w:tcMar>
            <w:vAlign w:val="center"/>
          </w:tcPr>
          <w:p w14:paraId="3078A1E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1EE7D6C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F27BBE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4,714 / 563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25F7EE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5,810 / 554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495424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8,829 / 545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D1CAB7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5,882 / 531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FEB7A0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5,649 / 522</w:t>
            </w:r>
          </w:p>
        </w:tc>
      </w:tr>
      <w:tr w:rsidR="000C4931" w:rsidRPr="00470330" w14:paraId="16114319" w14:textId="77777777" w:rsidTr="004E17BE">
        <w:trPr>
          <w:cantSplit/>
        </w:trPr>
        <w:tc>
          <w:tcPr>
            <w:tcW w:w="1530" w:type="dxa"/>
            <w:shd w:val="clear" w:color="auto" w:fill="FFFFFF"/>
            <w:tcMar>
              <w:top w:w="0" w:type="dxa"/>
              <w:left w:w="0" w:type="dxa"/>
              <w:bottom w:w="0" w:type="dxa"/>
              <w:right w:w="0" w:type="dxa"/>
            </w:tcMar>
            <w:vAlign w:val="center"/>
          </w:tcPr>
          <w:p w14:paraId="2206ADD2"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75472714"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45B329A5"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055170B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05CF04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2,385 / 565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87B5DB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2,954 / 562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FC7019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4,370 / 554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095862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2,863 / 541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3476C4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2,772 / 534</w:t>
            </w:r>
          </w:p>
        </w:tc>
      </w:tr>
      <w:tr w:rsidR="000C4931" w:rsidRPr="00470330" w14:paraId="22EDB933"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2F47DA31"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728A67E8"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42C134E1"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0916707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E6093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2,329 / 562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FFD018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2,856 / 546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82FD9B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4,459 / 537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EBFA37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3,019 / 521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8EDB96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2,877 / 510</w:t>
            </w:r>
          </w:p>
        </w:tc>
      </w:tr>
      <w:tr w:rsidR="000C4931" w:rsidRPr="00470330" w14:paraId="7422D40F"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14E68FC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France</w:t>
            </w:r>
          </w:p>
        </w:tc>
        <w:tc>
          <w:tcPr>
            <w:tcW w:w="1620" w:type="dxa"/>
            <w:tcBorders>
              <w:top w:val="single" w:sz="8" w:space="0" w:color="666666"/>
            </w:tcBorders>
            <w:shd w:val="clear" w:color="auto" w:fill="FFFFFF"/>
            <w:tcMar>
              <w:top w:w="0" w:type="dxa"/>
              <w:left w:w="0" w:type="dxa"/>
              <w:bottom w:w="0" w:type="dxa"/>
              <w:right w:w="0" w:type="dxa"/>
            </w:tcMar>
            <w:vAlign w:val="center"/>
          </w:tcPr>
          <w:p w14:paraId="6C268C3F" w14:textId="77777777" w:rsidR="000C4931" w:rsidRPr="00470330" w:rsidRDefault="000C4931" w:rsidP="000C4931">
            <w:pPr>
              <w:keepNext/>
              <w:spacing w:before="0" w:after="0" w:line="240" w:lineRule="auto"/>
              <w:ind w:left="100" w:right="100" w:firstLine="0"/>
              <w:rPr>
                <w:sz w:val="20"/>
                <w:szCs w:val="20"/>
              </w:rPr>
            </w:pPr>
          </w:p>
        </w:tc>
        <w:tc>
          <w:tcPr>
            <w:tcW w:w="1260" w:type="dxa"/>
            <w:tcBorders>
              <w:top w:val="single" w:sz="8" w:space="0" w:color="666666"/>
            </w:tcBorders>
            <w:shd w:val="clear" w:color="auto" w:fill="FFFFFF"/>
            <w:tcMar>
              <w:top w:w="0" w:type="dxa"/>
              <w:left w:w="0" w:type="dxa"/>
              <w:bottom w:w="0" w:type="dxa"/>
              <w:right w:w="0" w:type="dxa"/>
            </w:tcMar>
            <w:vAlign w:val="center"/>
          </w:tcPr>
          <w:p w14:paraId="1DDF4D9E" w14:textId="49D99B32" w:rsidR="000C4931" w:rsidRPr="00470330" w:rsidRDefault="000C4931" w:rsidP="000C4931">
            <w:pPr>
              <w:keepNext/>
              <w:spacing w:before="0" w:after="0" w:line="240" w:lineRule="auto"/>
              <w:ind w:left="100" w:right="100" w:firstLine="0"/>
              <w:rPr>
                <w:sz w:val="20"/>
                <w:szCs w:val="20"/>
              </w:rPr>
            </w:pPr>
            <w:r>
              <w:rPr>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1AB15C4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12DB3E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4,716 / 495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15BBA3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4,298 / 498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705037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4,613 / 499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662BA6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6,108 / 495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495066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6,308 / 493</w:t>
            </w:r>
          </w:p>
        </w:tc>
      </w:tr>
      <w:tr w:rsidR="000C4931" w:rsidRPr="00470330" w14:paraId="6ECD0831" w14:textId="77777777" w:rsidTr="004E17BE">
        <w:trPr>
          <w:cantSplit/>
        </w:trPr>
        <w:tc>
          <w:tcPr>
            <w:tcW w:w="1530" w:type="dxa"/>
            <w:shd w:val="clear" w:color="auto" w:fill="FFFFFF"/>
            <w:tcMar>
              <w:top w:w="0" w:type="dxa"/>
              <w:left w:w="0" w:type="dxa"/>
              <w:bottom w:w="0" w:type="dxa"/>
              <w:right w:w="0" w:type="dxa"/>
            </w:tcMar>
            <w:vAlign w:val="center"/>
          </w:tcPr>
          <w:p w14:paraId="772E4A51"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45E603D4"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242DC657"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0B1EC7C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6E304C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2,424 / 494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E3ACD7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2,211 / 497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0E9F8A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2,375 / 500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AF5A42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3,111 / 494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CA7DCC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3,078 / 493</w:t>
            </w:r>
          </w:p>
        </w:tc>
      </w:tr>
      <w:tr w:rsidR="000C4931" w:rsidRPr="00470330" w14:paraId="089FD7A8"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4AC03A75"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4B8F81AE"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5B6ECE9F"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4F97E8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277056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2,292 / 497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17723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2,087 / 500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D85CFD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2,238 / 498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182805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2,997 / 496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6821D0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3,230 / 493</w:t>
            </w:r>
          </w:p>
        </w:tc>
      </w:tr>
      <w:tr w:rsidR="000C4931" w:rsidRPr="00470330" w14:paraId="4B2FF298"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7720FA2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Georgia</w:t>
            </w:r>
          </w:p>
        </w:tc>
        <w:tc>
          <w:tcPr>
            <w:tcW w:w="1620" w:type="dxa"/>
            <w:tcBorders>
              <w:top w:val="single" w:sz="8" w:space="0" w:color="666666"/>
            </w:tcBorders>
            <w:shd w:val="clear" w:color="auto" w:fill="FFFFFF"/>
            <w:tcMar>
              <w:top w:w="0" w:type="dxa"/>
              <w:left w:w="0" w:type="dxa"/>
              <w:bottom w:w="0" w:type="dxa"/>
              <w:right w:w="0" w:type="dxa"/>
            </w:tcMar>
            <w:vAlign w:val="center"/>
          </w:tcPr>
          <w:p w14:paraId="4729BE3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MENA</w:t>
            </w:r>
          </w:p>
        </w:tc>
        <w:tc>
          <w:tcPr>
            <w:tcW w:w="1260" w:type="dxa"/>
            <w:tcBorders>
              <w:top w:val="single" w:sz="8" w:space="0" w:color="666666"/>
            </w:tcBorders>
            <w:shd w:val="clear" w:color="auto" w:fill="FFFFFF"/>
            <w:tcMar>
              <w:top w:w="0" w:type="dxa"/>
              <w:left w:w="0" w:type="dxa"/>
              <w:bottom w:w="0" w:type="dxa"/>
              <w:right w:w="0" w:type="dxa"/>
            </w:tcMar>
            <w:vAlign w:val="center"/>
          </w:tcPr>
          <w:p w14:paraId="27738DE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1718117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163CD31"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CC3900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4,646 / 373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579B529" w14:textId="77777777" w:rsidR="000C4931" w:rsidRPr="00470330" w:rsidRDefault="000C4931" w:rsidP="000C4931">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927C47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5,316 / 411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5A878D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5,572 / 383</w:t>
            </w:r>
          </w:p>
        </w:tc>
      </w:tr>
      <w:tr w:rsidR="000C4931" w:rsidRPr="00470330" w14:paraId="16C9EF12" w14:textId="77777777" w:rsidTr="004E17BE">
        <w:trPr>
          <w:cantSplit/>
        </w:trPr>
        <w:tc>
          <w:tcPr>
            <w:tcW w:w="1530" w:type="dxa"/>
            <w:shd w:val="clear" w:color="auto" w:fill="FFFFFF"/>
            <w:tcMar>
              <w:top w:w="0" w:type="dxa"/>
              <w:left w:w="0" w:type="dxa"/>
              <w:bottom w:w="0" w:type="dxa"/>
              <w:right w:w="0" w:type="dxa"/>
            </w:tcMar>
            <w:vAlign w:val="center"/>
          </w:tcPr>
          <w:p w14:paraId="097A970D"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3F017B6E"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6E8FD28"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2344CB5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13979FC"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50986E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2,351 / 383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989E56C"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A334A5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2,557 / 420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CB7808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2,682 / 390</w:t>
            </w:r>
          </w:p>
        </w:tc>
      </w:tr>
      <w:tr w:rsidR="000C4931" w:rsidRPr="00470330" w14:paraId="5A916D4F"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5BE531F8"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02BAEC49"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5807634A"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2E79059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3D97947"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90E94C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2,295 / 363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F6F47A0" w14:textId="77777777" w:rsidR="000C4931" w:rsidRPr="00470330" w:rsidRDefault="000C4931" w:rsidP="000C4931">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B1BA62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2,759 / 404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C22EF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2,890 / 376</w:t>
            </w:r>
          </w:p>
        </w:tc>
      </w:tr>
      <w:tr w:rsidR="000C4931" w:rsidRPr="00470330" w14:paraId="762386DB"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181B61E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lastRenderedPageBreak/>
              <w:t>Germany</w:t>
            </w:r>
          </w:p>
        </w:tc>
        <w:tc>
          <w:tcPr>
            <w:tcW w:w="1620" w:type="dxa"/>
            <w:tcBorders>
              <w:top w:val="single" w:sz="8" w:space="0" w:color="666666"/>
            </w:tcBorders>
            <w:shd w:val="clear" w:color="auto" w:fill="FFFFFF"/>
            <w:tcMar>
              <w:top w:w="0" w:type="dxa"/>
              <w:left w:w="0" w:type="dxa"/>
              <w:bottom w:w="0" w:type="dxa"/>
              <w:right w:w="0" w:type="dxa"/>
            </w:tcMar>
            <w:vAlign w:val="center"/>
          </w:tcPr>
          <w:p w14:paraId="6D873AC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Western Nations</w:t>
            </w:r>
          </w:p>
        </w:tc>
        <w:tc>
          <w:tcPr>
            <w:tcW w:w="1260" w:type="dxa"/>
            <w:tcBorders>
              <w:top w:val="single" w:sz="8" w:space="0" w:color="666666"/>
            </w:tcBorders>
            <w:shd w:val="clear" w:color="auto" w:fill="FFFFFF"/>
            <w:tcMar>
              <w:top w:w="0" w:type="dxa"/>
              <w:left w:w="0" w:type="dxa"/>
              <w:bottom w:w="0" w:type="dxa"/>
              <w:right w:w="0" w:type="dxa"/>
            </w:tcMar>
            <w:vAlign w:val="center"/>
          </w:tcPr>
          <w:p w14:paraId="77E69AB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64C94D5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9A9091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4,891 / 516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4CF060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4,979 / 520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526533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5,001 / 524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A5352A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6,504 / 509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9978DB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5,451 / 503</w:t>
            </w:r>
          </w:p>
        </w:tc>
      </w:tr>
      <w:tr w:rsidR="000C4931" w:rsidRPr="00470330" w14:paraId="18C33CB4" w14:textId="77777777" w:rsidTr="004E17BE">
        <w:trPr>
          <w:cantSplit/>
        </w:trPr>
        <w:tc>
          <w:tcPr>
            <w:tcW w:w="1530" w:type="dxa"/>
            <w:shd w:val="clear" w:color="auto" w:fill="FFFFFF"/>
            <w:tcMar>
              <w:top w:w="0" w:type="dxa"/>
              <w:left w:w="0" w:type="dxa"/>
              <w:bottom w:w="0" w:type="dxa"/>
              <w:right w:w="0" w:type="dxa"/>
            </w:tcMar>
            <w:vAlign w:val="center"/>
          </w:tcPr>
          <w:p w14:paraId="4BF96B4E"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3A9670F8"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878A792"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07C15ED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060069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2,400 / 512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EE8C5D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2,434 / 518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2F98DE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2,462 / 524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AC6EDB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3,197 / 504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C99F11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2,525 / 504</w:t>
            </w:r>
          </w:p>
        </w:tc>
      </w:tr>
      <w:tr w:rsidR="000C4931" w:rsidRPr="00470330" w14:paraId="06C96E60"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14FC7918"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34BE4DEF"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03C096DB"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0E67F88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5B6D40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2,491 / 519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1F1AB4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2,545 / 523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F43766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2,539 / 524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A21A06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3,307 / 514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712C98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2,926 / 502</w:t>
            </w:r>
          </w:p>
        </w:tc>
      </w:tr>
      <w:tr w:rsidR="000C4931" w:rsidRPr="00470330" w14:paraId="662A9779"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789C0CC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Greece</w:t>
            </w:r>
          </w:p>
        </w:tc>
        <w:tc>
          <w:tcPr>
            <w:tcW w:w="1620" w:type="dxa"/>
            <w:tcBorders>
              <w:top w:val="single" w:sz="8" w:space="0" w:color="666666"/>
            </w:tcBorders>
            <w:shd w:val="clear" w:color="auto" w:fill="FFFFFF"/>
            <w:tcMar>
              <w:top w:w="0" w:type="dxa"/>
              <w:left w:w="0" w:type="dxa"/>
              <w:bottom w:w="0" w:type="dxa"/>
              <w:right w:w="0" w:type="dxa"/>
            </w:tcMar>
            <w:vAlign w:val="center"/>
          </w:tcPr>
          <w:p w14:paraId="15A3E99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Southern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4C452CE2" w14:textId="3EF0E9D4" w:rsidR="000C4931" w:rsidRPr="00470330" w:rsidRDefault="00A96279" w:rsidP="000C4931">
            <w:pPr>
              <w:keepNext/>
              <w:spacing w:before="0" w:after="0" w:line="240" w:lineRule="auto"/>
              <w:ind w:left="100" w:right="100" w:firstLine="0"/>
              <w:rPr>
                <w:sz w:val="20"/>
                <w:szCs w:val="20"/>
              </w:rPr>
            </w:pPr>
            <w:r>
              <w:rPr>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14D7AA9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0B7A66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4,873 / 473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0770DC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4,969 / 470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257DDF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5,125 / 467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FEB045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5,532 / 455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611DBD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6,403 / 452</w:t>
            </w:r>
          </w:p>
        </w:tc>
      </w:tr>
      <w:tr w:rsidR="000C4931" w:rsidRPr="00470330" w14:paraId="34592F56" w14:textId="77777777" w:rsidTr="004E17BE">
        <w:trPr>
          <w:cantSplit/>
        </w:trPr>
        <w:tc>
          <w:tcPr>
            <w:tcW w:w="1530" w:type="dxa"/>
            <w:shd w:val="clear" w:color="auto" w:fill="FFFFFF"/>
            <w:tcMar>
              <w:top w:w="0" w:type="dxa"/>
              <w:left w:w="0" w:type="dxa"/>
              <w:bottom w:w="0" w:type="dxa"/>
              <w:right w:w="0" w:type="dxa"/>
            </w:tcMar>
            <w:vAlign w:val="center"/>
          </w:tcPr>
          <w:p w14:paraId="0B01DFCA"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61F31243"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451071ED"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22EF65E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525B38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2,441 / 479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264FCA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2,557 / 475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73CD4B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2,576 / 473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3B8CEE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2,706 / 459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3E6B27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3,178 / 457</w:t>
            </w:r>
          </w:p>
        </w:tc>
      </w:tr>
      <w:tr w:rsidR="000C4931" w:rsidRPr="00470330" w14:paraId="1ACC40CD"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5C79C13E"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45F760E8"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3E4D8803"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3F67ABD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7390FC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2,432 / 468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1F44F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2,412 / 465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1A5CBB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2,549 / 460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084FB5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2,826 / 451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8AB9DA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3,225 / 446</w:t>
            </w:r>
          </w:p>
        </w:tc>
      </w:tr>
      <w:tr w:rsidR="000C4931" w:rsidRPr="00470330" w14:paraId="4F0EED34"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28DEBB3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Hong Kong</w:t>
            </w:r>
          </w:p>
        </w:tc>
        <w:tc>
          <w:tcPr>
            <w:tcW w:w="1620" w:type="dxa"/>
            <w:tcBorders>
              <w:top w:val="single" w:sz="8" w:space="0" w:color="666666"/>
            </w:tcBorders>
            <w:shd w:val="clear" w:color="auto" w:fill="FFFFFF"/>
            <w:tcMar>
              <w:top w:w="0" w:type="dxa"/>
              <w:left w:w="0" w:type="dxa"/>
              <w:bottom w:w="0" w:type="dxa"/>
              <w:right w:w="0" w:type="dxa"/>
            </w:tcMar>
            <w:vAlign w:val="center"/>
          </w:tcPr>
          <w:p w14:paraId="03C1C09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Eastern Asia</w:t>
            </w:r>
          </w:p>
        </w:tc>
        <w:tc>
          <w:tcPr>
            <w:tcW w:w="1260" w:type="dxa"/>
            <w:tcBorders>
              <w:top w:val="single" w:sz="8" w:space="0" w:color="666666"/>
            </w:tcBorders>
            <w:shd w:val="clear" w:color="auto" w:fill="FFFFFF"/>
            <w:tcMar>
              <w:top w:w="0" w:type="dxa"/>
              <w:left w:w="0" w:type="dxa"/>
              <w:bottom w:w="0" w:type="dxa"/>
              <w:right w:w="0" w:type="dxa"/>
            </w:tcMar>
            <w:vAlign w:val="center"/>
          </w:tcPr>
          <w:p w14:paraId="3B05575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56F558B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D59145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4,645 / 542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D6EE9E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4,837 / 549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30F627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4,670 / 555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04211B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5,359 / 523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1AEEEE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6,037 / 517</w:t>
            </w:r>
          </w:p>
        </w:tc>
      </w:tr>
      <w:tr w:rsidR="000C4931" w:rsidRPr="00470330" w14:paraId="73448060" w14:textId="77777777" w:rsidTr="004E17BE">
        <w:trPr>
          <w:cantSplit/>
        </w:trPr>
        <w:tc>
          <w:tcPr>
            <w:tcW w:w="1530" w:type="dxa"/>
            <w:shd w:val="clear" w:color="auto" w:fill="FFFFFF"/>
            <w:tcMar>
              <w:top w:w="0" w:type="dxa"/>
              <w:left w:w="0" w:type="dxa"/>
              <w:bottom w:w="0" w:type="dxa"/>
              <w:right w:w="0" w:type="dxa"/>
            </w:tcMar>
            <w:vAlign w:val="center"/>
          </w:tcPr>
          <w:p w14:paraId="0AAEB7F7"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6BD42A90"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4571BA1E"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36FDE8A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5D2A9F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2,351 / 539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DCECF5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2,280 / 548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1F4B39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2,161 / 551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39B6FA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2,675 / 524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D17C09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2,955 / 521</w:t>
            </w:r>
          </w:p>
        </w:tc>
      </w:tr>
      <w:tr w:rsidR="000C4931" w:rsidRPr="00470330" w14:paraId="678FAB8E"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25FDD811"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1656BAF4"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184ECDA7"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22343D3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1C12C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2,294 / 546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509734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2,557 / 550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6981E7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2,509 / 558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4D6AE5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2,684 / 523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AEB7FB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3,082 / 512</w:t>
            </w:r>
          </w:p>
        </w:tc>
      </w:tr>
      <w:tr w:rsidR="000C4931" w:rsidRPr="00470330" w14:paraId="1DAA89BC"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0DB54E3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Hungary</w:t>
            </w:r>
          </w:p>
        </w:tc>
        <w:tc>
          <w:tcPr>
            <w:tcW w:w="1620" w:type="dxa"/>
            <w:tcBorders>
              <w:top w:val="single" w:sz="8" w:space="0" w:color="666666"/>
            </w:tcBorders>
            <w:shd w:val="clear" w:color="auto" w:fill="FFFFFF"/>
            <w:tcMar>
              <w:top w:w="0" w:type="dxa"/>
              <w:left w:w="0" w:type="dxa"/>
              <w:bottom w:w="0" w:type="dxa"/>
              <w:right w:w="0" w:type="dxa"/>
            </w:tcMar>
            <w:vAlign w:val="center"/>
          </w:tcPr>
          <w:p w14:paraId="7F864F7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Eastern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5EA3B75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49BD4B1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DF76E7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4,490 / 504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855269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4,605 / 503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5B64F9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4,810 / 494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E181A7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5,658 / 477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DBB189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5,132 / 481</w:t>
            </w:r>
          </w:p>
        </w:tc>
      </w:tr>
      <w:tr w:rsidR="000C4931" w:rsidRPr="00470330" w14:paraId="11BE175B" w14:textId="77777777" w:rsidTr="004E17BE">
        <w:trPr>
          <w:cantSplit/>
        </w:trPr>
        <w:tc>
          <w:tcPr>
            <w:tcW w:w="1530" w:type="dxa"/>
            <w:shd w:val="clear" w:color="auto" w:fill="FFFFFF"/>
            <w:tcMar>
              <w:top w:w="0" w:type="dxa"/>
              <w:left w:w="0" w:type="dxa"/>
              <w:bottom w:w="0" w:type="dxa"/>
              <w:right w:w="0" w:type="dxa"/>
            </w:tcMar>
            <w:vAlign w:val="center"/>
          </w:tcPr>
          <w:p w14:paraId="3272ABF8"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743C052F"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D9FCFD7"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36F5370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84C21A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2,204 / 501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BB3693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2,311 / 503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CD85EB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2,529 / 493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3B55B8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2,850 / 475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F844E5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2,605 / 478</w:t>
            </w:r>
          </w:p>
        </w:tc>
      </w:tr>
      <w:tr w:rsidR="000C4931" w:rsidRPr="00470330" w14:paraId="283DB62C"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4492B6EE"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4B809D21"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2018DE92"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751F49D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61F11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2,286 / 507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6BBE2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2,294 / 503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46B999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2,281 / 496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EF110F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2,808 / 478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125F53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2,527 / 484</w:t>
            </w:r>
          </w:p>
        </w:tc>
      </w:tr>
      <w:tr w:rsidR="000C4931" w:rsidRPr="00470330" w14:paraId="4963904B"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282726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Iceland</w:t>
            </w:r>
          </w:p>
        </w:tc>
        <w:tc>
          <w:tcPr>
            <w:tcW w:w="1620" w:type="dxa"/>
            <w:tcBorders>
              <w:top w:val="single" w:sz="8" w:space="0" w:color="666666"/>
            </w:tcBorders>
            <w:shd w:val="clear" w:color="auto" w:fill="FFFFFF"/>
            <w:tcMar>
              <w:top w:w="0" w:type="dxa"/>
              <w:left w:w="0" w:type="dxa"/>
              <w:bottom w:w="0" w:type="dxa"/>
              <w:right w:w="0" w:type="dxa"/>
            </w:tcMar>
            <w:vAlign w:val="center"/>
          </w:tcPr>
          <w:p w14:paraId="416AC1A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Western Nations</w:t>
            </w:r>
          </w:p>
        </w:tc>
        <w:tc>
          <w:tcPr>
            <w:tcW w:w="1260" w:type="dxa"/>
            <w:tcBorders>
              <w:top w:val="single" w:sz="8" w:space="0" w:color="666666"/>
            </w:tcBorders>
            <w:shd w:val="clear" w:color="auto" w:fill="FFFFFF"/>
            <w:tcMar>
              <w:top w:w="0" w:type="dxa"/>
              <w:left w:w="0" w:type="dxa"/>
              <w:bottom w:w="0" w:type="dxa"/>
              <w:right w:w="0" w:type="dxa"/>
            </w:tcMar>
            <w:vAlign w:val="center"/>
          </w:tcPr>
          <w:p w14:paraId="3793EDB3" w14:textId="73B6D90D" w:rsidR="000C4931" w:rsidRPr="00470330" w:rsidRDefault="00A96279" w:rsidP="000C4931">
            <w:pPr>
              <w:keepNext/>
              <w:spacing w:before="0" w:after="0" w:line="240" w:lineRule="auto"/>
              <w:ind w:left="100" w:right="100" w:firstLine="0"/>
              <w:rPr>
                <w:sz w:val="20"/>
                <w:szCs w:val="20"/>
              </w:rPr>
            </w:pPr>
            <w:r>
              <w:rPr>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4112B13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5244B0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3,789 / 491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C5EA45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3,646 / 496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5D410F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3,508 / 478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39BF91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3,371 / 473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1B0095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3,296 / 475</w:t>
            </w:r>
          </w:p>
        </w:tc>
      </w:tr>
      <w:tr w:rsidR="000C4931" w:rsidRPr="00470330" w14:paraId="5362FA1B" w14:textId="77777777" w:rsidTr="004E17BE">
        <w:trPr>
          <w:cantSplit/>
        </w:trPr>
        <w:tc>
          <w:tcPr>
            <w:tcW w:w="1530" w:type="dxa"/>
            <w:shd w:val="clear" w:color="auto" w:fill="FFFFFF"/>
            <w:tcMar>
              <w:top w:w="0" w:type="dxa"/>
              <w:left w:w="0" w:type="dxa"/>
              <w:bottom w:w="0" w:type="dxa"/>
              <w:right w:w="0" w:type="dxa"/>
            </w:tcMar>
            <w:vAlign w:val="center"/>
          </w:tcPr>
          <w:p w14:paraId="0BA37BD8"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19D2C4D8"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45D64EDC"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99C373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8FE5AE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1,912 / 494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0F0F17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1,854 / 495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66BE42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1,739 / 480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41D87E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1,741 / 475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BF3CF4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1,656 / 479</w:t>
            </w:r>
          </w:p>
        </w:tc>
      </w:tr>
      <w:tr w:rsidR="000C4931" w:rsidRPr="00470330" w14:paraId="7EA15CDE"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1721C3A4"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055B184A"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12BF7AB8"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56D3A24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005A24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1,877 / 488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32EB2B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1,792 / 496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18AF02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1,769 / 477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A2C8BB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1,630 / 472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9F8F37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1,640 / 471</w:t>
            </w:r>
          </w:p>
        </w:tc>
      </w:tr>
      <w:tr w:rsidR="000C4931" w:rsidRPr="00470330" w14:paraId="56D61E3E"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0F74B0C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Indonesia</w:t>
            </w:r>
          </w:p>
        </w:tc>
        <w:tc>
          <w:tcPr>
            <w:tcW w:w="1620" w:type="dxa"/>
            <w:tcBorders>
              <w:top w:val="single" w:sz="8" w:space="0" w:color="666666"/>
            </w:tcBorders>
            <w:shd w:val="clear" w:color="auto" w:fill="FFFFFF"/>
            <w:tcMar>
              <w:top w:w="0" w:type="dxa"/>
              <w:left w:w="0" w:type="dxa"/>
              <w:bottom w:w="0" w:type="dxa"/>
              <w:right w:w="0" w:type="dxa"/>
            </w:tcMar>
            <w:vAlign w:val="center"/>
          </w:tcPr>
          <w:p w14:paraId="0AAE8D2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South-Eastern Asia</w:t>
            </w:r>
          </w:p>
        </w:tc>
        <w:tc>
          <w:tcPr>
            <w:tcW w:w="1260" w:type="dxa"/>
            <w:tcBorders>
              <w:top w:val="single" w:sz="8" w:space="0" w:color="666666"/>
            </w:tcBorders>
            <w:shd w:val="clear" w:color="auto" w:fill="FFFFFF"/>
            <w:tcMar>
              <w:top w:w="0" w:type="dxa"/>
              <w:left w:w="0" w:type="dxa"/>
              <w:bottom w:w="0" w:type="dxa"/>
              <w:right w:w="0" w:type="dxa"/>
            </w:tcMar>
            <w:vAlign w:val="center"/>
          </w:tcPr>
          <w:p w14:paraId="6569AFE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228D837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9F82FB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10,647 / 393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14B32A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5,136 / 383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CE3333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5,622 / 382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32FC8A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6,513 / 403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B32619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12,098 / 396</w:t>
            </w:r>
          </w:p>
        </w:tc>
      </w:tr>
      <w:tr w:rsidR="000C4931" w:rsidRPr="00470330" w14:paraId="39F5B297" w14:textId="77777777" w:rsidTr="004E17BE">
        <w:trPr>
          <w:cantSplit/>
        </w:trPr>
        <w:tc>
          <w:tcPr>
            <w:tcW w:w="1530" w:type="dxa"/>
            <w:shd w:val="clear" w:color="auto" w:fill="FFFFFF"/>
            <w:tcMar>
              <w:top w:w="0" w:type="dxa"/>
              <w:left w:w="0" w:type="dxa"/>
              <w:bottom w:w="0" w:type="dxa"/>
              <w:right w:w="0" w:type="dxa"/>
            </w:tcMar>
            <w:vAlign w:val="center"/>
          </w:tcPr>
          <w:p w14:paraId="6F530245"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5E8AF16C"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135CACDB"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6560014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F1D278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5,356 / 387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C833F9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2,602 / 387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22C396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2,860 / 383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5A24C2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3,343 / 405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E504F0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6,240 / 399</w:t>
            </w:r>
          </w:p>
        </w:tc>
      </w:tr>
      <w:tr w:rsidR="000C4931" w:rsidRPr="00470330" w14:paraId="62FD1524"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21D110EA"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6C82B47A"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6D52937E"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13F14DA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B3BA88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5,291 / 399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ABDF04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2,534 / 378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3B6CEF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2,762 / 380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72DF1E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3,170 / 401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8A5280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5,858 / 393</w:t>
            </w:r>
          </w:p>
        </w:tc>
      </w:tr>
      <w:tr w:rsidR="000C4931" w:rsidRPr="00470330" w14:paraId="3EA980B8"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2220F14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Ireland</w:t>
            </w:r>
          </w:p>
        </w:tc>
        <w:tc>
          <w:tcPr>
            <w:tcW w:w="1620" w:type="dxa"/>
            <w:tcBorders>
              <w:top w:val="single" w:sz="8" w:space="0" w:color="666666"/>
            </w:tcBorders>
            <w:shd w:val="clear" w:color="auto" w:fill="FFFFFF"/>
            <w:tcMar>
              <w:top w:w="0" w:type="dxa"/>
              <w:left w:w="0" w:type="dxa"/>
              <w:bottom w:w="0" w:type="dxa"/>
              <w:right w:w="0" w:type="dxa"/>
            </w:tcMar>
            <w:vAlign w:val="center"/>
          </w:tcPr>
          <w:p w14:paraId="64D5EE0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Western Nations</w:t>
            </w:r>
          </w:p>
        </w:tc>
        <w:tc>
          <w:tcPr>
            <w:tcW w:w="1260" w:type="dxa"/>
            <w:tcBorders>
              <w:top w:val="single" w:sz="8" w:space="0" w:color="666666"/>
            </w:tcBorders>
            <w:shd w:val="clear" w:color="auto" w:fill="FFFFFF"/>
            <w:tcMar>
              <w:top w:w="0" w:type="dxa"/>
              <w:left w:w="0" w:type="dxa"/>
              <w:bottom w:w="0" w:type="dxa"/>
              <w:right w:w="0" w:type="dxa"/>
            </w:tcMar>
            <w:vAlign w:val="center"/>
          </w:tcPr>
          <w:p w14:paraId="7E19D20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3F9AE23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3E5D82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4,585 / 508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3A277D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3,937 / 508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ADCFA0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5,016 / 522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A70C6D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5,741 / 503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389205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5,577 / 496</w:t>
            </w:r>
          </w:p>
        </w:tc>
      </w:tr>
      <w:tr w:rsidR="000C4931" w:rsidRPr="00470330" w14:paraId="463D71B4" w14:textId="77777777" w:rsidTr="004E17BE">
        <w:trPr>
          <w:cantSplit/>
        </w:trPr>
        <w:tc>
          <w:tcPr>
            <w:tcW w:w="1530" w:type="dxa"/>
            <w:shd w:val="clear" w:color="auto" w:fill="FFFFFF"/>
            <w:tcMar>
              <w:top w:w="0" w:type="dxa"/>
              <w:left w:w="0" w:type="dxa"/>
              <w:bottom w:w="0" w:type="dxa"/>
              <w:right w:w="0" w:type="dxa"/>
            </w:tcMar>
            <w:vAlign w:val="center"/>
          </w:tcPr>
          <w:p w14:paraId="07BBDCA7"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4D0CA2EC"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78D310AC"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543387A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7E6E9C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2,321 / 509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0A268C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1,964 / 509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19A881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2,545 / 520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062ABA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2,833 / 497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45EDC7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2,777 / 497</w:t>
            </w:r>
          </w:p>
        </w:tc>
      </w:tr>
      <w:tr w:rsidR="000C4931" w:rsidRPr="00470330" w14:paraId="519CDC36"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3E3FD0C2"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313873DA"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5DC12FB6"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575037D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B7A8A4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2,264 / 508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717532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1,973 / 507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4DCFF9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2,471 / 524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D452AB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2,908 / 508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1840AB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2,800 / 495</w:t>
            </w:r>
          </w:p>
        </w:tc>
      </w:tr>
      <w:tr w:rsidR="000C4931" w:rsidRPr="00470330" w14:paraId="6078A346"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09B8DE8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Israel</w:t>
            </w:r>
          </w:p>
        </w:tc>
        <w:tc>
          <w:tcPr>
            <w:tcW w:w="1620" w:type="dxa"/>
            <w:tcBorders>
              <w:top w:val="single" w:sz="8" w:space="0" w:color="666666"/>
            </w:tcBorders>
            <w:shd w:val="clear" w:color="auto" w:fill="FFFFFF"/>
            <w:tcMar>
              <w:top w:w="0" w:type="dxa"/>
              <w:left w:w="0" w:type="dxa"/>
              <w:bottom w:w="0" w:type="dxa"/>
              <w:right w:w="0" w:type="dxa"/>
            </w:tcMar>
            <w:vAlign w:val="center"/>
          </w:tcPr>
          <w:p w14:paraId="143CE15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MENA</w:t>
            </w:r>
          </w:p>
        </w:tc>
        <w:tc>
          <w:tcPr>
            <w:tcW w:w="1260" w:type="dxa"/>
            <w:tcBorders>
              <w:top w:val="single" w:sz="8" w:space="0" w:color="666666"/>
            </w:tcBorders>
            <w:shd w:val="clear" w:color="auto" w:fill="FFFFFF"/>
            <w:tcMar>
              <w:top w:w="0" w:type="dxa"/>
              <w:left w:w="0" w:type="dxa"/>
              <w:bottom w:w="0" w:type="dxa"/>
              <w:right w:w="0" w:type="dxa"/>
            </w:tcMar>
            <w:vAlign w:val="center"/>
          </w:tcPr>
          <w:p w14:paraId="7E9E993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Both</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256859B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F46F58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4,584 / 454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0464EC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5,761 / 455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4480E9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5,055 / 470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B65885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6,598 / 467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12C02E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6,623 / 462</w:t>
            </w:r>
          </w:p>
        </w:tc>
      </w:tr>
      <w:tr w:rsidR="000C4931" w:rsidRPr="00470330" w14:paraId="3B3A95C9" w14:textId="77777777" w:rsidTr="004E17BE">
        <w:trPr>
          <w:cantSplit/>
        </w:trPr>
        <w:tc>
          <w:tcPr>
            <w:tcW w:w="1530" w:type="dxa"/>
            <w:shd w:val="clear" w:color="auto" w:fill="FFFFFF"/>
            <w:tcMar>
              <w:top w:w="0" w:type="dxa"/>
              <w:left w:w="0" w:type="dxa"/>
              <w:bottom w:w="0" w:type="dxa"/>
              <w:right w:w="0" w:type="dxa"/>
            </w:tcMar>
            <w:vAlign w:val="center"/>
          </w:tcPr>
          <w:p w14:paraId="0F1C8D39"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5562808C"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EEA6795"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194881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A3670D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2,380 / 452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594AE3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3,113 / 456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3EB7AD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2,825 / 470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BD3AF2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3,667 / 464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2F2E4A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3,544 / 471</w:t>
            </w:r>
          </w:p>
        </w:tc>
      </w:tr>
      <w:tr w:rsidR="000C4931" w:rsidRPr="00470330" w14:paraId="29DAD503"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519125EC"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4868C0C6"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75B8574D"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3BFA09F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25D8FF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2,204 / 456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A68CFE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2,648 / 453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1FC63E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2,230 / 470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A90777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2,931 / 469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34504E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3,079 / 452</w:t>
            </w:r>
          </w:p>
        </w:tc>
      </w:tr>
      <w:tr w:rsidR="000C4931" w:rsidRPr="00470330" w14:paraId="3A637787"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4B2A908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Italy</w:t>
            </w:r>
          </w:p>
        </w:tc>
        <w:tc>
          <w:tcPr>
            <w:tcW w:w="1620" w:type="dxa"/>
            <w:tcBorders>
              <w:top w:val="single" w:sz="8" w:space="0" w:color="666666"/>
            </w:tcBorders>
            <w:shd w:val="clear" w:color="auto" w:fill="FFFFFF"/>
            <w:tcMar>
              <w:top w:w="0" w:type="dxa"/>
              <w:left w:w="0" w:type="dxa"/>
              <w:bottom w:w="0" w:type="dxa"/>
              <w:right w:w="0" w:type="dxa"/>
            </w:tcMar>
            <w:vAlign w:val="center"/>
          </w:tcPr>
          <w:p w14:paraId="3AF887D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Southern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6B7FAD9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1C33C1C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89D475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21,773 / 475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4C74F0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30,905 / 489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D2F27F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31,073 / 494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51C1A1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11,583 / 481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221165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11,785 / 468</w:t>
            </w:r>
          </w:p>
        </w:tc>
      </w:tr>
      <w:tr w:rsidR="000C4931" w:rsidRPr="00470330" w14:paraId="36B9FFEC" w14:textId="77777777" w:rsidTr="004E17BE">
        <w:trPr>
          <w:cantSplit/>
        </w:trPr>
        <w:tc>
          <w:tcPr>
            <w:tcW w:w="1530" w:type="dxa"/>
            <w:shd w:val="clear" w:color="auto" w:fill="FFFFFF"/>
            <w:tcMar>
              <w:top w:w="0" w:type="dxa"/>
              <w:left w:w="0" w:type="dxa"/>
              <w:bottom w:w="0" w:type="dxa"/>
              <w:right w:w="0" w:type="dxa"/>
            </w:tcMar>
            <w:vAlign w:val="center"/>
          </w:tcPr>
          <w:p w14:paraId="14ED410D"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6CE53C61"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14A38F8"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077852F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E12C10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10,839 / 474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0838BA6"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15,209 / 490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19126E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15,243 / 492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88F918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5,792 / 472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6CF389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5,680 / 466</w:t>
            </w:r>
          </w:p>
        </w:tc>
      </w:tr>
      <w:tr w:rsidR="000C4931" w:rsidRPr="00470330" w14:paraId="3DB9A591"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189BD422"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2D25D633"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1F971EB2"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0381670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65A8BF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10,934 / 477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AB8C92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15,696 / 488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E09435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15,830 / 495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468611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5,791 / 489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361104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6,105 / 470</w:t>
            </w:r>
          </w:p>
        </w:tc>
      </w:tr>
      <w:tr w:rsidR="000C4931" w:rsidRPr="00470330" w14:paraId="75091B01"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1611939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Japan</w:t>
            </w:r>
          </w:p>
        </w:tc>
        <w:tc>
          <w:tcPr>
            <w:tcW w:w="1620" w:type="dxa"/>
            <w:tcBorders>
              <w:top w:val="single" w:sz="8" w:space="0" w:color="666666"/>
            </w:tcBorders>
            <w:shd w:val="clear" w:color="auto" w:fill="FFFFFF"/>
            <w:tcMar>
              <w:top w:w="0" w:type="dxa"/>
              <w:left w:w="0" w:type="dxa"/>
              <w:bottom w:w="0" w:type="dxa"/>
              <w:right w:w="0" w:type="dxa"/>
            </w:tcMar>
            <w:vAlign w:val="center"/>
          </w:tcPr>
          <w:p w14:paraId="3B58525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Eastern Asia</w:t>
            </w:r>
          </w:p>
        </w:tc>
        <w:tc>
          <w:tcPr>
            <w:tcW w:w="1260" w:type="dxa"/>
            <w:tcBorders>
              <w:top w:val="single" w:sz="8" w:space="0" w:color="666666"/>
            </w:tcBorders>
            <w:shd w:val="clear" w:color="auto" w:fill="FFFFFF"/>
            <w:tcMar>
              <w:top w:w="0" w:type="dxa"/>
              <w:left w:w="0" w:type="dxa"/>
              <w:bottom w:w="0" w:type="dxa"/>
              <w:right w:w="0" w:type="dxa"/>
            </w:tcMar>
            <w:vAlign w:val="center"/>
          </w:tcPr>
          <w:p w14:paraId="465A98F6" w14:textId="5FA914A3" w:rsidR="000C4931" w:rsidRPr="00470330" w:rsidRDefault="00A96279" w:rsidP="000C4931">
            <w:pPr>
              <w:keepNext/>
              <w:spacing w:before="0" w:after="0" w:line="240" w:lineRule="auto"/>
              <w:ind w:left="100" w:right="100" w:firstLine="0"/>
              <w:rPr>
                <w:sz w:val="20"/>
                <w:szCs w:val="20"/>
              </w:rPr>
            </w:pPr>
            <w:r>
              <w:rPr>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1CAADD4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1F894D5"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5,952 / 531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872A29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6,088 / 539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0D56F2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6,351 / 547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716DAC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6,647 / 538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2D3DE6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6,109 / 529</w:t>
            </w:r>
          </w:p>
        </w:tc>
      </w:tr>
      <w:tr w:rsidR="000C4931" w:rsidRPr="00470330" w14:paraId="313A3EAA" w14:textId="77777777" w:rsidTr="004E17BE">
        <w:trPr>
          <w:cantSplit/>
        </w:trPr>
        <w:tc>
          <w:tcPr>
            <w:tcW w:w="1530" w:type="dxa"/>
            <w:shd w:val="clear" w:color="auto" w:fill="FFFFFF"/>
            <w:tcMar>
              <w:top w:w="0" w:type="dxa"/>
              <w:left w:w="0" w:type="dxa"/>
              <w:bottom w:w="0" w:type="dxa"/>
              <w:right w:w="0" w:type="dxa"/>
            </w:tcMar>
            <w:vAlign w:val="center"/>
          </w:tcPr>
          <w:p w14:paraId="795DF33D"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2449715C"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08E9630"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6924790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743768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2,949 / 530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226FE5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2,962 / 545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CF865F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3,021 / 541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06D639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3,309 / 532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F92790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3,120 / 528</w:t>
            </w:r>
          </w:p>
        </w:tc>
      </w:tr>
      <w:tr w:rsidR="000C4931" w:rsidRPr="00470330" w14:paraId="3FC8FA62"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2282D075"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0F83E409"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51CFE457"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2F77CAD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1ADE09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3,003 / 533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68DE111"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3,126 / 534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C00055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3,330 / 552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7D9D55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3,338 / 545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DA325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2,989 / 531</w:t>
            </w:r>
          </w:p>
        </w:tc>
      </w:tr>
      <w:tr w:rsidR="000C4931" w:rsidRPr="00470330" w14:paraId="17EB18F1"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1C3A5AD8"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Jordan</w:t>
            </w:r>
          </w:p>
        </w:tc>
        <w:tc>
          <w:tcPr>
            <w:tcW w:w="1620" w:type="dxa"/>
            <w:tcBorders>
              <w:top w:val="single" w:sz="8" w:space="0" w:color="666666"/>
            </w:tcBorders>
            <w:shd w:val="clear" w:color="auto" w:fill="FFFFFF"/>
            <w:tcMar>
              <w:top w:w="0" w:type="dxa"/>
              <w:left w:w="0" w:type="dxa"/>
              <w:bottom w:w="0" w:type="dxa"/>
              <w:right w:w="0" w:type="dxa"/>
            </w:tcMar>
            <w:vAlign w:val="center"/>
          </w:tcPr>
          <w:p w14:paraId="05BBD0C3"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MENA</w:t>
            </w:r>
          </w:p>
        </w:tc>
        <w:tc>
          <w:tcPr>
            <w:tcW w:w="1260" w:type="dxa"/>
            <w:tcBorders>
              <w:top w:val="single" w:sz="8" w:space="0" w:color="666666"/>
            </w:tcBorders>
            <w:shd w:val="clear" w:color="auto" w:fill="FFFFFF"/>
            <w:tcMar>
              <w:top w:w="0" w:type="dxa"/>
              <w:left w:w="0" w:type="dxa"/>
              <w:bottom w:w="0" w:type="dxa"/>
              <w:right w:w="0" w:type="dxa"/>
            </w:tcMar>
            <w:vAlign w:val="center"/>
          </w:tcPr>
          <w:p w14:paraId="1144767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0A81CB3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05CB20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6,509 / 422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F25815D"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6,486 / 415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CE0C50C"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7,038 / 409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5F4255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7,267 / 409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24A4FFB"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8,963 / 429</w:t>
            </w:r>
          </w:p>
        </w:tc>
      </w:tr>
      <w:tr w:rsidR="000C4931" w:rsidRPr="00470330" w14:paraId="73E75624" w14:textId="77777777" w:rsidTr="004E17BE">
        <w:trPr>
          <w:cantSplit/>
        </w:trPr>
        <w:tc>
          <w:tcPr>
            <w:tcW w:w="1530" w:type="dxa"/>
            <w:shd w:val="clear" w:color="auto" w:fill="FFFFFF"/>
            <w:tcMar>
              <w:top w:w="0" w:type="dxa"/>
              <w:left w:w="0" w:type="dxa"/>
              <w:bottom w:w="0" w:type="dxa"/>
              <w:right w:w="0" w:type="dxa"/>
            </w:tcMar>
            <w:vAlign w:val="center"/>
          </w:tcPr>
          <w:p w14:paraId="31289757" w14:textId="77777777" w:rsidR="000C4931" w:rsidRPr="00470330" w:rsidRDefault="000C4931" w:rsidP="000C4931">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7D42AA83" w14:textId="77777777" w:rsidR="000C4931" w:rsidRPr="00470330" w:rsidRDefault="000C4931" w:rsidP="000C4931">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01944F7E" w14:textId="77777777" w:rsidR="000C4931" w:rsidRPr="00470330" w:rsidRDefault="000C4931" w:rsidP="000C4931">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31BA3777"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FEEADE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3,557 / 436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291EB1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3,366 / 433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2F5B39F"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3,615 / 430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6F8867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3,737 / 428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74A9949"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4,619 / 444</w:t>
            </w:r>
          </w:p>
        </w:tc>
      </w:tr>
      <w:tr w:rsidR="000C4931" w:rsidRPr="00470330" w14:paraId="2EAB2DD1"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0CE08E01" w14:textId="77777777" w:rsidR="000C4931" w:rsidRPr="00470330" w:rsidRDefault="000C4931" w:rsidP="000C4931">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1DB477A2" w14:textId="77777777" w:rsidR="000C4931" w:rsidRPr="00470330" w:rsidRDefault="000C4931" w:rsidP="000C4931">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2F5E4F54" w14:textId="77777777" w:rsidR="000C4931" w:rsidRPr="00470330" w:rsidRDefault="000C4931" w:rsidP="000C4931">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50161C5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B48F7E2"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2,952 / 408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5A9C9A"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3,120 / 398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369164"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3,423 / 388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C74942E"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3,530 / 389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F655CF0" w14:textId="77777777" w:rsidR="000C4931" w:rsidRPr="00470330" w:rsidRDefault="000C4931" w:rsidP="000C4931">
            <w:pPr>
              <w:keepNext/>
              <w:spacing w:before="0" w:after="0" w:line="240" w:lineRule="auto"/>
              <w:ind w:left="100" w:right="100" w:firstLine="0"/>
              <w:rPr>
                <w:sz w:val="20"/>
                <w:szCs w:val="20"/>
              </w:rPr>
            </w:pPr>
            <w:r w:rsidRPr="00470330">
              <w:rPr>
                <w:rFonts w:eastAsia="Arial"/>
                <w:color w:val="000000"/>
                <w:sz w:val="20"/>
                <w:szCs w:val="20"/>
              </w:rPr>
              <w:t>4,344 / 414</w:t>
            </w:r>
          </w:p>
        </w:tc>
      </w:tr>
      <w:tr w:rsidR="00A96279" w:rsidRPr="00470330" w14:paraId="495CBD4F"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7809817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Kazakhstan</w:t>
            </w:r>
          </w:p>
        </w:tc>
        <w:tc>
          <w:tcPr>
            <w:tcW w:w="1620" w:type="dxa"/>
            <w:tcBorders>
              <w:top w:val="single" w:sz="8" w:space="0" w:color="666666"/>
            </w:tcBorders>
            <w:shd w:val="clear" w:color="auto" w:fill="FFFFFF"/>
            <w:tcMar>
              <w:top w:w="0" w:type="dxa"/>
              <w:left w:w="0" w:type="dxa"/>
              <w:bottom w:w="0" w:type="dxa"/>
              <w:right w:w="0" w:type="dxa"/>
            </w:tcMar>
            <w:vAlign w:val="center"/>
          </w:tcPr>
          <w:p w14:paraId="1FB8AA9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Central Asia</w:t>
            </w:r>
          </w:p>
        </w:tc>
        <w:tc>
          <w:tcPr>
            <w:tcW w:w="1260" w:type="dxa"/>
            <w:tcBorders>
              <w:top w:val="single" w:sz="8" w:space="0" w:color="666666"/>
            </w:tcBorders>
            <w:shd w:val="clear" w:color="auto" w:fill="FFFFFF"/>
            <w:tcMar>
              <w:top w:w="0" w:type="dxa"/>
              <w:left w:w="0" w:type="dxa"/>
              <w:bottom w:w="0" w:type="dxa"/>
              <w:right w:w="0" w:type="dxa"/>
            </w:tcMar>
            <w:vAlign w:val="center"/>
          </w:tcPr>
          <w:p w14:paraId="0A744BBB" w14:textId="45C65CD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2A89EA4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7EC5E43"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1E8EEF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5,412 / 400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024E75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5,808 / 425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2CB5AAF"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E62A4E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19,507 / 397</w:t>
            </w:r>
          </w:p>
        </w:tc>
      </w:tr>
      <w:tr w:rsidR="00A96279" w:rsidRPr="00470330" w14:paraId="1C253DFB" w14:textId="77777777" w:rsidTr="004E17BE">
        <w:trPr>
          <w:cantSplit/>
        </w:trPr>
        <w:tc>
          <w:tcPr>
            <w:tcW w:w="1530" w:type="dxa"/>
            <w:shd w:val="clear" w:color="auto" w:fill="FFFFFF"/>
            <w:tcMar>
              <w:top w:w="0" w:type="dxa"/>
              <w:left w:w="0" w:type="dxa"/>
              <w:bottom w:w="0" w:type="dxa"/>
              <w:right w:w="0" w:type="dxa"/>
            </w:tcMar>
            <w:vAlign w:val="center"/>
          </w:tcPr>
          <w:p w14:paraId="05D74A8E"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2F53EEAC"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41F80218"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627522B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2C2AC90"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162EC7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2,689 / 405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B16C7D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2,931 / 429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3FD031C"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C6CFCA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9,576 / 401</w:t>
            </w:r>
          </w:p>
        </w:tc>
      </w:tr>
      <w:tr w:rsidR="00A96279" w:rsidRPr="00470330" w14:paraId="319D4958"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5BC77935"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0E81DAD8"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26B55C39"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169FC2B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9FC9476"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D8210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2,723 / 396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77B8D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2,877 / 420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2FA41BC"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5B87CE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9,931 / 394</w:t>
            </w:r>
          </w:p>
        </w:tc>
      </w:tr>
      <w:tr w:rsidR="00A96279" w:rsidRPr="00470330" w14:paraId="1221AA74"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7A13861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Kosovo</w:t>
            </w:r>
          </w:p>
        </w:tc>
        <w:tc>
          <w:tcPr>
            <w:tcW w:w="1620" w:type="dxa"/>
            <w:tcBorders>
              <w:top w:val="single" w:sz="8" w:space="0" w:color="666666"/>
            </w:tcBorders>
            <w:shd w:val="clear" w:color="auto" w:fill="FFFFFF"/>
            <w:tcMar>
              <w:top w:w="0" w:type="dxa"/>
              <w:left w:w="0" w:type="dxa"/>
              <w:bottom w:w="0" w:type="dxa"/>
              <w:right w:w="0" w:type="dxa"/>
            </w:tcMar>
            <w:vAlign w:val="center"/>
          </w:tcPr>
          <w:p w14:paraId="5A0CFBD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Southern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3F27853C" w14:textId="2B8ABFD6"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6A2F25D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DCC6BAC"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64B7DE7"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929C747"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2CEF02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4,826 / 378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7DE9C5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5,058 / 365</w:t>
            </w:r>
          </w:p>
        </w:tc>
      </w:tr>
      <w:tr w:rsidR="00A96279" w:rsidRPr="00470330" w14:paraId="3B01BCE5" w14:textId="77777777" w:rsidTr="004E17BE">
        <w:trPr>
          <w:cantSplit/>
        </w:trPr>
        <w:tc>
          <w:tcPr>
            <w:tcW w:w="1530" w:type="dxa"/>
            <w:shd w:val="clear" w:color="auto" w:fill="FFFFFF"/>
            <w:tcMar>
              <w:top w:w="0" w:type="dxa"/>
              <w:left w:w="0" w:type="dxa"/>
              <w:bottom w:w="0" w:type="dxa"/>
              <w:right w:w="0" w:type="dxa"/>
            </w:tcMar>
            <w:vAlign w:val="center"/>
          </w:tcPr>
          <w:p w14:paraId="3094E8A0"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5BAD1CB6"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1B33631D"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1D6DFFB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FF7E174"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390EE0B"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A08D9BC"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095F4E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2,278 / 383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3E172E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2,457 / 368</w:t>
            </w:r>
          </w:p>
        </w:tc>
      </w:tr>
      <w:tr w:rsidR="00A96279" w:rsidRPr="00470330" w14:paraId="3F814A97"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4CB860C7"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586585FD"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49D210A1"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1AD4C28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F37D7A3"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586833"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6A23A3A"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8A0AAC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2,548 / 374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6C4306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2,601 / 362</w:t>
            </w:r>
          </w:p>
        </w:tc>
      </w:tr>
      <w:tr w:rsidR="00A96279" w:rsidRPr="00470330" w14:paraId="7BE7D0B9"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5E1749A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Kyrgyzstan</w:t>
            </w:r>
          </w:p>
        </w:tc>
        <w:tc>
          <w:tcPr>
            <w:tcW w:w="1620" w:type="dxa"/>
            <w:tcBorders>
              <w:top w:val="single" w:sz="8" w:space="0" w:color="666666"/>
            </w:tcBorders>
            <w:shd w:val="clear" w:color="auto" w:fill="FFFFFF"/>
            <w:tcMar>
              <w:top w:w="0" w:type="dxa"/>
              <w:left w:w="0" w:type="dxa"/>
              <w:bottom w:w="0" w:type="dxa"/>
              <w:right w:w="0" w:type="dxa"/>
            </w:tcMar>
            <w:vAlign w:val="center"/>
          </w:tcPr>
          <w:p w14:paraId="3E71CB2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Central Asia</w:t>
            </w:r>
          </w:p>
        </w:tc>
        <w:tc>
          <w:tcPr>
            <w:tcW w:w="1260" w:type="dxa"/>
            <w:tcBorders>
              <w:top w:val="single" w:sz="8" w:space="0" w:color="666666"/>
            </w:tcBorders>
            <w:shd w:val="clear" w:color="auto" w:fill="FFFFFF"/>
            <w:tcMar>
              <w:top w:w="0" w:type="dxa"/>
              <w:left w:w="0" w:type="dxa"/>
              <w:bottom w:w="0" w:type="dxa"/>
              <w:right w:w="0" w:type="dxa"/>
            </w:tcMar>
            <w:vAlign w:val="center"/>
          </w:tcPr>
          <w:p w14:paraId="2E8CAE68" w14:textId="78E43039"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660B879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35CEA4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5,904 / 322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E951B8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4,986 / 330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94F0E66"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8E8239E"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CAB1F97" w14:textId="77777777" w:rsidR="00A96279" w:rsidRPr="00470330" w:rsidRDefault="00A96279" w:rsidP="00A96279">
            <w:pPr>
              <w:keepNext/>
              <w:spacing w:before="0" w:after="0" w:line="240" w:lineRule="auto"/>
              <w:ind w:left="100" w:right="100" w:firstLine="0"/>
              <w:rPr>
                <w:sz w:val="20"/>
                <w:szCs w:val="20"/>
              </w:rPr>
            </w:pPr>
          </w:p>
        </w:tc>
      </w:tr>
      <w:tr w:rsidR="00A96279" w:rsidRPr="00470330" w14:paraId="289B10AE" w14:textId="77777777" w:rsidTr="004E17BE">
        <w:trPr>
          <w:cantSplit/>
        </w:trPr>
        <w:tc>
          <w:tcPr>
            <w:tcW w:w="1530" w:type="dxa"/>
            <w:shd w:val="clear" w:color="auto" w:fill="FFFFFF"/>
            <w:tcMar>
              <w:top w:w="0" w:type="dxa"/>
              <w:left w:w="0" w:type="dxa"/>
              <w:bottom w:w="0" w:type="dxa"/>
              <w:right w:w="0" w:type="dxa"/>
            </w:tcMar>
            <w:vAlign w:val="center"/>
          </w:tcPr>
          <w:p w14:paraId="073F4691"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2182D7CF"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39DDD57"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A4134D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294D49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3,173 / 325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2ACF02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2,605 / 340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F85408A"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609AF18"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C8F1811" w14:textId="77777777" w:rsidR="00A96279" w:rsidRPr="00470330" w:rsidRDefault="00A96279" w:rsidP="00A96279">
            <w:pPr>
              <w:keepNext/>
              <w:spacing w:before="0" w:after="0" w:line="240" w:lineRule="auto"/>
              <w:ind w:left="100" w:right="100" w:firstLine="0"/>
              <w:rPr>
                <w:sz w:val="20"/>
                <w:szCs w:val="20"/>
              </w:rPr>
            </w:pPr>
          </w:p>
        </w:tc>
      </w:tr>
      <w:tr w:rsidR="00A96279" w:rsidRPr="00470330" w14:paraId="76D88607"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5FDBA825"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08CE717B"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72E42D95"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36B5AC4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29F296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2,731 / 319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F057B0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2,381 / 318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4D0D4F"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7048D21"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A70786" w14:textId="77777777" w:rsidR="00A96279" w:rsidRPr="00470330" w:rsidRDefault="00A96279" w:rsidP="00A96279">
            <w:pPr>
              <w:keepNext/>
              <w:spacing w:before="0" w:after="0" w:line="240" w:lineRule="auto"/>
              <w:ind w:left="100" w:right="100" w:firstLine="0"/>
              <w:rPr>
                <w:sz w:val="20"/>
                <w:szCs w:val="20"/>
              </w:rPr>
            </w:pPr>
          </w:p>
        </w:tc>
      </w:tr>
      <w:tr w:rsidR="00A96279" w:rsidRPr="00470330" w14:paraId="4D4ADB81"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B9ABF6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Latvia</w:t>
            </w:r>
          </w:p>
        </w:tc>
        <w:tc>
          <w:tcPr>
            <w:tcW w:w="1620" w:type="dxa"/>
            <w:tcBorders>
              <w:top w:val="single" w:sz="8" w:space="0" w:color="666666"/>
            </w:tcBorders>
            <w:shd w:val="clear" w:color="auto" w:fill="FFFFFF"/>
            <w:tcMar>
              <w:top w:w="0" w:type="dxa"/>
              <w:left w:w="0" w:type="dxa"/>
              <w:bottom w:w="0" w:type="dxa"/>
              <w:right w:w="0" w:type="dxa"/>
            </w:tcMar>
            <w:vAlign w:val="center"/>
          </w:tcPr>
          <w:p w14:paraId="2AAD3B1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Western Nations</w:t>
            </w:r>
          </w:p>
        </w:tc>
        <w:tc>
          <w:tcPr>
            <w:tcW w:w="1260" w:type="dxa"/>
            <w:tcBorders>
              <w:top w:val="single" w:sz="8" w:space="0" w:color="666666"/>
            </w:tcBorders>
            <w:shd w:val="clear" w:color="auto" w:fill="FFFFFF"/>
            <w:tcMar>
              <w:top w:w="0" w:type="dxa"/>
              <w:left w:w="0" w:type="dxa"/>
              <w:bottom w:w="0" w:type="dxa"/>
              <w:right w:w="0" w:type="dxa"/>
            </w:tcMar>
            <w:vAlign w:val="center"/>
          </w:tcPr>
          <w:p w14:paraId="52C1B50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Both</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6C49CFA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6B0809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4,719 / 490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C4277A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4,502 / 494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CF5F89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4,306 / 502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34FBE4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4,869 / 490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542C34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5,303 / 487</w:t>
            </w:r>
          </w:p>
        </w:tc>
      </w:tr>
      <w:tr w:rsidR="00A96279" w:rsidRPr="00470330" w14:paraId="1615DD3F" w14:textId="77777777" w:rsidTr="004E17BE">
        <w:trPr>
          <w:cantSplit/>
        </w:trPr>
        <w:tc>
          <w:tcPr>
            <w:tcW w:w="1530" w:type="dxa"/>
            <w:shd w:val="clear" w:color="auto" w:fill="FFFFFF"/>
            <w:tcMar>
              <w:top w:w="0" w:type="dxa"/>
              <w:left w:w="0" w:type="dxa"/>
              <w:bottom w:w="0" w:type="dxa"/>
              <w:right w:w="0" w:type="dxa"/>
            </w:tcMar>
            <w:vAlign w:val="center"/>
          </w:tcPr>
          <w:p w14:paraId="4BD3B3BD"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13A32544"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74D95FBE"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523AE52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875B6A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2,433 / 493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6ECE1F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2,327 / 497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8A5642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2,188 / 510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C00C29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2,419 / 496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43666E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2,685 / 491</w:t>
            </w:r>
          </w:p>
        </w:tc>
      </w:tr>
      <w:tr w:rsidR="00A96279" w:rsidRPr="00470330" w14:paraId="7234C87B"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5FD57800"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1B698818"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3A96D05E"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6C4833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BEA790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2,286 / 486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D319CD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2,175 / 490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359DC4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2,118 / 495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63C43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2,450 / 485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36A5B1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2,618 / 483</w:t>
            </w:r>
          </w:p>
        </w:tc>
      </w:tr>
      <w:tr w:rsidR="00A96279" w:rsidRPr="00470330" w14:paraId="312FD366"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DFC1C0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Lebanon</w:t>
            </w:r>
          </w:p>
        </w:tc>
        <w:tc>
          <w:tcPr>
            <w:tcW w:w="1620" w:type="dxa"/>
            <w:tcBorders>
              <w:top w:val="single" w:sz="8" w:space="0" w:color="666666"/>
            </w:tcBorders>
            <w:shd w:val="clear" w:color="auto" w:fill="FFFFFF"/>
            <w:tcMar>
              <w:top w:w="0" w:type="dxa"/>
              <w:left w:w="0" w:type="dxa"/>
              <w:bottom w:w="0" w:type="dxa"/>
              <w:right w:w="0" w:type="dxa"/>
            </w:tcMar>
            <w:vAlign w:val="center"/>
          </w:tcPr>
          <w:p w14:paraId="7BCD2B3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MENA</w:t>
            </w:r>
          </w:p>
        </w:tc>
        <w:tc>
          <w:tcPr>
            <w:tcW w:w="1260" w:type="dxa"/>
            <w:tcBorders>
              <w:top w:val="single" w:sz="8" w:space="0" w:color="666666"/>
            </w:tcBorders>
            <w:shd w:val="clear" w:color="auto" w:fill="FFFFFF"/>
            <w:tcMar>
              <w:top w:w="0" w:type="dxa"/>
              <w:left w:w="0" w:type="dxa"/>
              <w:bottom w:w="0" w:type="dxa"/>
              <w:right w:w="0" w:type="dxa"/>
            </w:tcMar>
            <w:vAlign w:val="center"/>
          </w:tcPr>
          <w:p w14:paraId="08FFA6A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52A883F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5DBA93F"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6F89BCB"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A7DA6A5"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16ED10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4,546 / 386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354A44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5,614 / 384</w:t>
            </w:r>
          </w:p>
        </w:tc>
      </w:tr>
      <w:tr w:rsidR="00A96279" w:rsidRPr="00470330" w14:paraId="7767C116" w14:textId="77777777" w:rsidTr="004E17BE">
        <w:trPr>
          <w:cantSplit/>
        </w:trPr>
        <w:tc>
          <w:tcPr>
            <w:tcW w:w="1530" w:type="dxa"/>
            <w:shd w:val="clear" w:color="auto" w:fill="FFFFFF"/>
            <w:tcMar>
              <w:top w:w="0" w:type="dxa"/>
              <w:left w:w="0" w:type="dxa"/>
              <w:bottom w:w="0" w:type="dxa"/>
              <w:right w:w="0" w:type="dxa"/>
            </w:tcMar>
            <w:vAlign w:val="center"/>
          </w:tcPr>
          <w:p w14:paraId="12CDC297"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7AAEE478"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227FCE56"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1C1B895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770AF1C"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8FAC393"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72DC8A6"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27777E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2,451 / 386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C3E91A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3,079 / 386</w:t>
            </w:r>
          </w:p>
        </w:tc>
      </w:tr>
      <w:tr w:rsidR="00A96279" w:rsidRPr="00470330" w14:paraId="4FF0DB2A"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62675304"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30E89B31"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66967F5D"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36A1077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AA7997F"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AB88B5B"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4C70351"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1D70B6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2,095 / 388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1DE15A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2,535 / 381</w:t>
            </w:r>
          </w:p>
        </w:tc>
      </w:tr>
      <w:tr w:rsidR="00A96279" w:rsidRPr="00470330" w14:paraId="49D445CD"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614C90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Lithuania</w:t>
            </w:r>
          </w:p>
        </w:tc>
        <w:tc>
          <w:tcPr>
            <w:tcW w:w="1620" w:type="dxa"/>
            <w:tcBorders>
              <w:top w:val="single" w:sz="8" w:space="0" w:color="666666"/>
            </w:tcBorders>
            <w:shd w:val="clear" w:color="auto" w:fill="FFFFFF"/>
            <w:tcMar>
              <w:top w:w="0" w:type="dxa"/>
              <w:left w:w="0" w:type="dxa"/>
              <w:bottom w:w="0" w:type="dxa"/>
              <w:right w:w="0" w:type="dxa"/>
            </w:tcMar>
            <w:vAlign w:val="center"/>
          </w:tcPr>
          <w:p w14:paraId="466FF0A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Western Nations</w:t>
            </w:r>
          </w:p>
        </w:tc>
        <w:tc>
          <w:tcPr>
            <w:tcW w:w="1260" w:type="dxa"/>
            <w:tcBorders>
              <w:top w:val="single" w:sz="8" w:space="0" w:color="666666"/>
            </w:tcBorders>
            <w:shd w:val="clear" w:color="auto" w:fill="FFFFFF"/>
            <w:tcMar>
              <w:top w:w="0" w:type="dxa"/>
              <w:left w:w="0" w:type="dxa"/>
              <w:bottom w:w="0" w:type="dxa"/>
              <w:right w:w="0" w:type="dxa"/>
            </w:tcMar>
            <w:vAlign w:val="center"/>
          </w:tcPr>
          <w:p w14:paraId="4F70D0F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Both</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360EB0A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C9C1E0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4,744 / 488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C39F70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4,528 / 491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6C759D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4,618 / 496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8CEFFD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6,525 / 475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83AFBA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6,885 / 482</w:t>
            </w:r>
          </w:p>
        </w:tc>
      </w:tr>
      <w:tr w:rsidR="00A96279" w:rsidRPr="00470330" w14:paraId="190AC58D" w14:textId="77777777" w:rsidTr="004E17BE">
        <w:trPr>
          <w:cantSplit/>
        </w:trPr>
        <w:tc>
          <w:tcPr>
            <w:tcW w:w="1530" w:type="dxa"/>
            <w:shd w:val="clear" w:color="auto" w:fill="FFFFFF"/>
            <w:tcMar>
              <w:top w:w="0" w:type="dxa"/>
              <w:left w:w="0" w:type="dxa"/>
              <w:bottom w:w="0" w:type="dxa"/>
              <w:right w:w="0" w:type="dxa"/>
            </w:tcMar>
            <w:vAlign w:val="center"/>
          </w:tcPr>
          <w:p w14:paraId="6F869C0B"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1A1D3248"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6D1EB75D"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E6D685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649A21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2,360 / 493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1DCDC5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2,241 / 500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0FE037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2,283 / 503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BD7005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3,201 / 479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234A78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3,377 / 485</w:t>
            </w:r>
          </w:p>
        </w:tc>
      </w:tr>
      <w:tr w:rsidR="00A96279" w:rsidRPr="00470330" w14:paraId="2CA7EB04"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4D4962DA"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13621A9E"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35A3D593"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6945286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D2B62D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2,384 / 483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47AA14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2,287 / 483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F89E0D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2,335 / 488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784170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3,324 / 472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173A5A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3,508 / 479</w:t>
            </w:r>
          </w:p>
        </w:tc>
      </w:tr>
      <w:tr w:rsidR="00A96279" w:rsidRPr="00470330" w14:paraId="25AEDB3C"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40EFB40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Luxembourg</w:t>
            </w:r>
          </w:p>
        </w:tc>
        <w:tc>
          <w:tcPr>
            <w:tcW w:w="1620" w:type="dxa"/>
            <w:tcBorders>
              <w:top w:val="single" w:sz="8" w:space="0" w:color="666666"/>
            </w:tcBorders>
            <w:shd w:val="clear" w:color="auto" w:fill="FFFFFF"/>
            <w:tcMar>
              <w:top w:w="0" w:type="dxa"/>
              <w:left w:w="0" w:type="dxa"/>
              <w:bottom w:w="0" w:type="dxa"/>
              <w:right w:w="0" w:type="dxa"/>
            </w:tcMar>
            <w:vAlign w:val="center"/>
          </w:tcPr>
          <w:p w14:paraId="46DA0D2A" w14:textId="77777777" w:rsidR="00A96279" w:rsidRPr="00470330" w:rsidRDefault="00A96279" w:rsidP="00A96279">
            <w:pPr>
              <w:keepNext/>
              <w:spacing w:before="0" w:after="0" w:line="240" w:lineRule="auto"/>
              <w:ind w:left="100" w:right="100" w:firstLine="0"/>
              <w:rPr>
                <w:sz w:val="20"/>
                <w:szCs w:val="20"/>
              </w:rPr>
            </w:pPr>
          </w:p>
        </w:tc>
        <w:tc>
          <w:tcPr>
            <w:tcW w:w="1260" w:type="dxa"/>
            <w:tcBorders>
              <w:top w:val="single" w:sz="8" w:space="0" w:color="666666"/>
            </w:tcBorders>
            <w:shd w:val="clear" w:color="auto" w:fill="FFFFFF"/>
            <w:tcMar>
              <w:top w:w="0" w:type="dxa"/>
              <w:left w:w="0" w:type="dxa"/>
              <w:bottom w:w="0" w:type="dxa"/>
              <w:right w:w="0" w:type="dxa"/>
            </w:tcMar>
            <w:vAlign w:val="center"/>
          </w:tcPr>
          <w:p w14:paraId="3637ECE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1A895D2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2C749D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4,567 / 486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269223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4,622 / 484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653432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5,258 / 491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344AD9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5,299 / 483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CC5A74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5,230 / 477</w:t>
            </w:r>
          </w:p>
        </w:tc>
      </w:tr>
      <w:tr w:rsidR="00A96279" w:rsidRPr="00470330" w14:paraId="550A93F0" w14:textId="77777777" w:rsidTr="004E17BE">
        <w:trPr>
          <w:cantSplit/>
        </w:trPr>
        <w:tc>
          <w:tcPr>
            <w:tcW w:w="1530" w:type="dxa"/>
            <w:shd w:val="clear" w:color="auto" w:fill="FFFFFF"/>
            <w:tcMar>
              <w:top w:w="0" w:type="dxa"/>
              <w:left w:w="0" w:type="dxa"/>
              <w:bottom w:w="0" w:type="dxa"/>
              <w:right w:w="0" w:type="dxa"/>
            </w:tcMar>
            <w:vAlign w:val="center"/>
          </w:tcPr>
          <w:p w14:paraId="401D461E"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3E17C504"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0EDF54F"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33E89CC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DD390A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2,261 / 482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860408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2,303 / 480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F97BB2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2,581 / 483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AF2BD2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2,683 / 479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D4F44A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2,594 / 479</w:t>
            </w:r>
          </w:p>
        </w:tc>
      </w:tr>
      <w:tr w:rsidR="00A96279" w:rsidRPr="00470330" w14:paraId="4B1E6C07"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11DA3808"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7BA43636"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65C0B55E"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2CFACBD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C69BD4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2,306 / 491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F8F616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2,319 / 487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A97812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2,677 / 499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141C68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2,616 / 487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368EB7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2,636 / 475</w:t>
            </w:r>
          </w:p>
        </w:tc>
      </w:tr>
      <w:tr w:rsidR="00A96279" w:rsidRPr="00470330" w14:paraId="4E14F7DA"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923380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Macao</w:t>
            </w:r>
          </w:p>
        </w:tc>
        <w:tc>
          <w:tcPr>
            <w:tcW w:w="1620" w:type="dxa"/>
            <w:tcBorders>
              <w:top w:val="single" w:sz="8" w:space="0" w:color="666666"/>
            </w:tcBorders>
            <w:shd w:val="clear" w:color="auto" w:fill="FFFFFF"/>
            <w:tcMar>
              <w:top w:w="0" w:type="dxa"/>
              <w:left w:w="0" w:type="dxa"/>
              <w:bottom w:w="0" w:type="dxa"/>
              <w:right w:w="0" w:type="dxa"/>
            </w:tcMar>
            <w:vAlign w:val="center"/>
          </w:tcPr>
          <w:p w14:paraId="072995E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Eastern Asia</w:t>
            </w:r>
          </w:p>
        </w:tc>
        <w:tc>
          <w:tcPr>
            <w:tcW w:w="1260" w:type="dxa"/>
            <w:tcBorders>
              <w:top w:val="single" w:sz="8" w:space="0" w:color="666666"/>
            </w:tcBorders>
            <w:shd w:val="clear" w:color="auto" w:fill="FFFFFF"/>
            <w:tcMar>
              <w:top w:w="0" w:type="dxa"/>
              <w:left w:w="0" w:type="dxa"/>
              <w:bottom w:w="0" w:type="dxa"/>
              <w:right w:w="0" w:type="dxa"/>
            </w:tcMar>
            <w:vAlign w:val="center"/>
          </w:tcPr>
          <w:p w14:paraId="6168703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7EA6021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1ABF05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4,760 / 511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C3049B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5,952 / 511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387F07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5,335 / 521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120745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4,476 / 529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51D3F6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3,775 / 544</w:t>
            </w:r>
          </w:p>
        </w:tc>
      </w:tr>
      <w:tr w:rsidR="00A96279" w:rsidRPr="00470330" w14:paraId="1F5DEA80" w14:textId="77777777" w:rsidTr="004E17BE">
        <w:trPr>
          <w:cantSplit/>
        </w:trPr>
        <w:tc>
          <w:tcPr>
            <w:tcW w:w="1530" w:type="dxa"/>
            <w:shd w:val="clear" w:color="auto" w:fill="FFFFFF"/>
            <w:tcMar>
              <w:top w:w="0" w:type="dxa"/>
              <w:left w:w="0" w:type="dxa"/>
              <w:bottom w:w="0" w:type="dxa"/>
              <w:right w:w="0" w:type="dxa"/>
            </w:tcMar>
            <w:vAlign w:val="center"/>
          </w:tcPr>
          <w:p w14:paraId="157545F5"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4F0980B9"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A9C264E"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137643C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B13AB3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2,440 / 509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C9B7EF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2,941 / 512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461E55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2,604 / 521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AA7921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2,230 / 532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99B8C3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1,862 / 545</w:t>
            </w:r>
          </w:p>
        </w:tc>
      </w:tr>
      <w:tr w:rsidR="00A96279" w:rsidRPr="00470330" w14:paraId="73BDE942"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70F9FAE7"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411B57EB"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5108B0B5"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556FDD8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F9272B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2,320 / 513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4794D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3,011 / 510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5251AE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2,731 / 520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B86B97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2,246 / 525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A85A2A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1,913 / 543</w:t>
            </w:r>
          </w:p>
        </w:tc>
      </w:tr>
      <w:tr w:rsidR="00A96279" w:rsidRPr="00470330" w14:paraId="3E9CAA0B"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57AA8E4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Malaysia</w:t>
            </w:r>
          </w:p>
        </w:tc>
        <w:tc>
          <w:tcPr>
            <w:tcW w:w="1620" w:type="dxa"/>
            <w:tcBorders>
              <w:top w:val="single" w:sz="8" w:space="0" w:color="666666"/>
            </w:tcBorders>
            <w:shd w:val="clear" w:color="auto" w:fill="FFFFFF"/>
            <w:tcMar>
              <w:top w:w="0" w:type="dxa"/>
              <w:left w:w="0" w:type="dxa"/>
              <w:bottom w:w="0" w:type="dxa"/>
              <w:right w:w="0" w:type="dxa"/>
            </w:tcMar>
            <w:vAlign w:val="center"/>
          </w:tcPr>
          <w:p w14:paraId="4520F2A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South-Eastern Asia</w:t>
            </w:r>
          </w:p>
        </w:tc>
        <w:tc>
          <w:tcPr>
            <w:tcW w:w="1260" w:type="dxa"/>
            <w:tcBorders>
              <w:top w:val="single" w:sz="8" w:space="0" w:color="666666"/>
            </w:tcBorders>
            <w:shd w:val="clear" w:color="auto" w:fill="FFFFFF"/>
            <w:tcMar>
              <w:top w:w="0" w:type="dxa"/>
              <w:left w:w="0" w:type="dxa"/>
              <w:bottom w:w="0" w:type="dxa"/>
              <w:right w:w="0" w:type="dxa"/>
            </w:tcMar>
            <w:vAlign w:val="center"/>
          </w:tcPr>
          <w:p w14:paraId="1C0A386E" w14:textId="568584F3"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4F23912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285548D"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009599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4,999 / 422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1BF1B2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5,197 / 420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B814F42"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ACA514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6,111 / 438</w:t>
            </w:r>
          </w:p>
        </w:tc>
      </w:tr>
      <w:tr w:rsidR="00A96279" w:rsidRPr="00470330" w14:paraId="58428CAE" w14:textId="77777777" w:rsidTr="004E17BE">
        <w:trPr>
          <w:cantSplit/>
        </w:trPr>
        <w:tc>
          <w:tcPr>
            <w:tcW w:w="1530" w:type="dxa"/>
            <w:shd w:val="clear" w:color="auto" w:fill="FFFFFF"/>
            <w:tcMar>
              <w:top w:w="0" w:type="dxa"/>
              <w:left w:w="0" w:type="dxa"/>
              <w:bottom w:w="0" w:type="dxa"/>
              <w:right w:w="0" w:type="dxa"/>
            </w:tcMar>
            <w:vAlign w:val="center"/>
          </w:tcPr>
          <w:p w14:paraId="1B344A14"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400AB230"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7562BBDE"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67CE2B1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B57B325"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E808F9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2,579 / 427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510BB1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2,745 / 425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DE54BA6"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093FC4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3,131 / 441</w:t>
            </w:r>
          </w:p>
        </w:tc>
      </w:tr>
      <w:tr w:rsidR="00A96279" w:rsidRPr="00470330" w14:paraId="052385EB"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0C1BDB56"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23BA29D7"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37E3EE67"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3E3DC25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254F358"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08673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2,420 / 417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6C603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2,452 / 414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1B37FCA"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E3A142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2,980 / 434</w:t>
            </w:r>
          </w:p>
        </w:tc>
      </w:tr>
      <w:tr w:rsidR="00A96279" w:rsidRPr="00470330" w14:paraId="64E09BC7"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3ED53DD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Malta</w:t>
            </w:r>
          </w:p>
        </w:tc>
        <w:tc>
          <w:tcPr>
            <w:tcW w:w="1620" w:type="dxa"/>
            <w:tcBorders>
              <w:top w:val="single" w:sz="8" w:space="0" w:color="666666"/>
            </w:tcBorders>
            <w:shd w:val="clear" w:color="auto" w:fill="FFFFFF"/>
            <w:tcMar>
              <w:top w:w="0" w:type="dxa"/>
              <w:left w:w="0" w:type="dxa"/>
              <w:bottom w:w="0" w:type="dxa"/>
              <w:right w:w="0" w:type="dxa"/>
            </w:tcMar>
            <w:vAlign w:val="center"/>
          </w:tcPr>
          <w:p w14:paraId="15B3620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Southern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1DC3EA4E" w14:textId="2917CF7B"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0000645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A1530D3"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9FEC76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3,453 / 461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E338266"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91E325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3,634 / 465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67DD85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3,363 / 457</w:t>
            </w:r>
          </w:p>
        </w:tc>
      </w:tr>
      <w:tr w:rsidR="00A96279" w:rsidRPr="00470330" w14:paraId="2537DF4A" w14:textId="77777777" w:rsidTr="004E17BE">
        <w:trPr>
          <w:cantSplit/>
        </w:trPr>
        <w:tc>
          <w:tcPr>
            <w:tcW w:w="1530" w:type="dxa"/>
            <w:shd w:val="clear" w:color="auto" w:fill="FFFFFF"/>
            <w:tcMar>
              <w:top w:w="0" w:type="dxa"/>
              <w:left w:w="0" w:type="dxa"/>
              <w:bottom w:w="0" w:type="dxa"/>
              <w:right w:w="0" w:type="dxa"/>
            </w:tcMar>
            <w:vAlign w:val="center"/>
          </w:tcPr>
          <w:p w14:paraId="17C500E7"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7BC06F10"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2071AE27"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432D30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CD68A9B"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D905F0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1,839 / 478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69B9AF1"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A93D6F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1,790 / 470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4AA52D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1,612 / 468</w:t>
            </w:r>
          </w:p>
        </w:tc>
      </w:tr>
      <w:tr w:rsidR="00A96279" w:rsidRPr="00470330" w14:paraId="106A0448"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6B7DD8AC"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55EE2091"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2B642BAD"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3CEC4CE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04E6D6A"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BC86A4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1,614 / 444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2A104ED"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646AC5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1,844 / 460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04DB6C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1,751 / 447</w:t>
            </w:r>
          </w:p>
        </w:tc>
      </w:tr>
      <w:tr w:rsidR="00A96279" w:rsidRPr="00470330" w14:paraId="5F67F258"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4E32E7A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Mauritius</w:t>
            </w:r>
          </w:p>
        </w:tc>
        <w:tc>
          <w:tcPr>
            <w:tcW w:w="1620" w:type="dxa"/>
            <w:tcBorders>
              <w:top w:val="single" w:sz="8" w:space="0" w:color="666666"/>
            </w:tcBorders>
            <w:shd w:val="clear" w:color="auto" w:fill="FFFFFF"/>
            <w:tcMar>
              <w:top w:w="0" w:type="dxa"/>
              <w:left w:w="0" w:type="dxa"/>
              <w:bottom w:w="0" w:type="dxa"/>
              <w:right w:w="0" w:type="dxa"/>
            </w:tcMar>
            <w:vAlign w:val="center"/>
          </w:tcPr>
          <w:p w14:paraId="11EE56BA" w14:textId="77777777" w:rsidR="00A96279" w:rsidRPr="00470330" w:rsidRDefault="00A96279" w:rsidP="00A96279">
            <w:pPr>
              <w:keepNext/>
              <w:spacing w:before="0" w:after="0" w:line="240" w:lineRule="auto"/>
              <w:ind w:left="100" w:right="100" w:firstLine="0"/>
              <w:rPr>
                <w:sz w:val="20"/>
                <w:szCs w:val="20"/>
              </w:rPr>
            </w:pPr>
            <w:r>
              <w:rPr>
                <w:rFonts w:eastAsia="Arial"/>
                <w:color w:val="000000"/>
                <w:sz w:val="20"/>
                <w:szCs w:val="20"/>
              </w:rPr>
              <w:t>Latin America/ Caribbean/ Other</w:t>
            </w:r>
          </w:p>
        </w:tc>
        <w:tc>
          <w:tcPr>
            <w:tcW w:w="1260" w:type="dxa"/>
            <w:tcBorders>
              <w:top w:val="single" w:sz="8" w:space="0" w:color="666666"/>
            </w:tcBorders>
            <w:shd w:val="clear" w:color="auto" w:fill="FFFFFF"/>
            <w:tcMar>
              <w:top w:w="0" w:type="dxa"/>
              <w:left w:w="0" w:type="dxa"/>
              <w:bottom w:w="0" w:type="dxa"/>
              <w:right w:w="0" w:type="dxa"/>
            </w:tcMar>
            <w:vAlign w:val="center"/>
          </w:tcPr>
          <w:p w14:paraId="7F81DB9B" w14:textId="47413481"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33D2D8C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AD3DDF4"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CF6BD4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4,654 / 417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0C8D66A"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3D67733"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5A7BF70" w14:textId="77777777" w:rsidR="00A96279" w:rsidRPr="00470330" w:rsidRDefault="00A96279" w:rsidP="00A96279">
            <w:pPr>
              <w:keepNext/>
              <w:spacing w:before="0" w:after="0" w:line="240" w:lineRule="auto"/>
              <w:ind w:left="100" w:right="100" w:firstLine="0"/>
              <w:rPr>
                <w:sz w:val="20"/>
                <w:szCs w:val="20"/>
              </w:rPr>
            </w:pPr>
          </w:p>
        </w:tc>
      </w:tr>
      <w:tr w:rsidR="00A96279" w:rsidRPr="00470330" w14:paraId="515BB2A2" w14:textId="77777777" w:rsidTr="004E17BE">
        <w:trPr>
          <w:cantSplit/>
        </w:trPr>
        <w:tc>
          <w:tcPr>
            <w:tcW w:w="1530" w:type="dxa"/>
            <w:shd w:val="clear" w:color="auto" w:fill="FFFFFF"/>
            <w:tcMar>
              <w:top w:w="0" w:type="dxa"/>
              <w:left w:w="0" w:type="dxa"/>
              <w:bottom w:w="0" w:type="dxa"/>
              <w:right w:w="0" w:type="dxa"/>
            </w:tcMar>
            <w:vAlign w:val="center"/>
          </w:tcPr>
          <w:p w14:paraId="31C8FED3"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06E4AADD"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0D7B9B55"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5A02C47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7374EF0"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FDC1AE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2,355 / 423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A005E2B"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B295A16"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C71B5E4" w14:textId="77777777" w:rsidR="00A96279" w:rsidRPr="00470330" w:rsidRDefault="00A96279" w:rsidP="00A96279">
            <w:pPr>
              <w:keepNext/>
              <w:spacing w:before="0" w:after="0" w:line="240" w:lineRule="auto"/>
              <w:ind w:left="100" w:right="100" w:firstLine="0"/>
              <w:rPr>
                <w:sz w:val="20"/>
                <w:szCs w:val="20"/>
              </w:rPr>
            </w:pPr>
          </w:p>
        </w:tc>
      </w:tr>
      <w:tr w:rsidR="00A96279" w:rsidRPr="00470330" w14:paraId="0D7E5F6B"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45E0E3A4"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5F89EEE8"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499F1C70"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7812CC9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43F2615"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5A49EB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2,299 / 411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76996F8"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8D15C52"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2CF806B" w14:textId="77777777" w:rsidR="00A96279" w:rsidRPr="00470330" w:rsidRDefault="00A96279" w:rsidP="00A96279">
            <w:pPr>
              <w:keepNext/>
              <w:spacing w:before="0" w:after="0" w:line="240" w:lineRule="auto"/>
              <w:ind w:left="100" w:right="100" w:firstLine="0"/>
              <w:rPr>
                <w:sz w:val="20"/>
                <w:szCs w:val="20"/>
              </w:rPr>
            </w:pPr>
          </w:p>
        </w:tc>
      </w:tr>
      <w:tr w:rsidR="00A96279" w:rsidRPr="00470330" w14:paraId="56693D37"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441F377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Mexico</w:t>
            </w:r>
          </w:p>
        </w:tc>
        <w:tc>
          <w:tcPr>
            <w:tcW w:w="1620" w:type="dxa"/>
            <w:tcBorders>
              <w:top w:val="single" w:sz="8" w:space="0" w:color="666666"/>
            </w:tcBorders>
            <w:shd w:val="clear" w:color="auto" w:fill="FFFFFF"/>
            <w:tcMar>
              <w:top w:w="0" w:type="dxa"/>
              <w:left w:w="0" w:type="dxa"/>
              <w:bottom w:w="0" w:type="dxa"/>
              <w:right w:w="0" w:type="dxa"/>
            </w:tcMar>
            <w:vAlign w:val="center"/>
          </w:tcPr>
          <w:p w14:paraId="7CA03894" w14:textId="77777777" w:rsidR="00A96279" w:rsidRPr="00470330" w:rsidRDefault="00A96279" w:rsidP="00A96279">
            <w:pPr>
              <w:keepNext/>
              <w:spacing w:before="0" w:after="0" w:line="240" w:lineRule="auto"/>
              <w:ind w:left="100" w:right="100" w:firstLine="0"/>
              <w:rPr>
                <w:sz w:val="20"/>
                <w:szCs w:val="20"/>
              </w:rPr>
            </w:pPr>
          </w:p>
        </w:tc>
        <w:tc>
          <w:tcPr>
            <w:tcW w:w="1260" w:type="dxa"/>
            <w:tcBorders>
              <w:top w:val="single" w:sz="8" w:space="0" w:color="666666"/>
            </w:tcBorders>
            <w:shd w:val="clear" w:color="auto" w:fill="FFFFFF"/>
            <w:tcMar>
              <w:top w:w="0" w:type="dxa"/>
              <w:left w:w="0" w:type="dxa"/>
              <w:bottom w:w="0" w:type="dxa"/>
              <w:right w:w="0" w:type="dxa"/>
            </w:tcMar>
            <w:vAlign w:val="center"/>
          </w:tcPr>
          <w:p w14:paraId="29A7903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1C551B0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7FB7F9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30,971 / 410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65B853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38,250 / 416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012B7B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33,806 / 415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91EE9C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7,568 / 416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1FB729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7,299 / 419</w:t>
            </w:r>
          </w:p>
        </w:tc>
      </w:tr>
      <w:tr w:rsidR="00A96279" w:rsidRPr="00470330" w14:paraId="2B218806" w14:textId="77777777" w:rsidTr="004E17BE">
        <w:trPr>
          <w:cantSplit/>
        </w:trPr>
        <w:tc>
          <w:tcPr>
            <w:tcW w:w="1530" w:type="dxa"/>
            <w:shd w:val="clear" w:color="auto" w:fill="FFFFFF"/>
            <w:tcMar>
              <w:top w:w="0" w:type="dxa"/>
              <w:left w:w="0" w:type="dxa"/>
              <w:bottom w:w="0" w:type="dxa"/>
              <w:right w:w="0" w:type="dxa"/>
            </w:tcMar>
            <w:vAlign w:val="center"/>
          </w:tcPr>
          <w:p w14:paraId="1E5E3FC6"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20C14BC6"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284B14A"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27922CD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DCFF0F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16,783 / 406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D5C86B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20,041 / 413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1A97A9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17,553 / 412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DD0D7B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3,803 / 412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FF0275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3,826 / 415</w:t>
            </w:r>
          </w:p>
        </w:tc>
      </w:tr>
      <w:tr w:rsidR="00A96279" w:rsidRPr="00470330" w14:paraId="0591F37D"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406C2519"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0FD7FE89"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6C4C8810"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F0CB3C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55A2E7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14,188 / 413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FB55C2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18,209 / 419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B9D249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16,253 / 418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691F90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3,765 / 420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90AFCD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3,473 / 424</w:t>
            </w:r>
          </w:p>
        </w:tc>
      </w:tr>
      <w:tr w:rsidR="00A96279" w:rsidRPr="00470330" w14:paraId="28593A04"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4B36A4C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Moldova</w:t>
            </w:r>
          </w:p>
        </w:tc>
        <w:tc>
          <w:tcPr>
            <w:tcW w:w="1620" w:type="dxa"/>
            <w:tcBorders>
              <w:top w:val="single" w:sz="8" w:space="0" w:color="666666"/>
            </w:tcBorders>
            <w:shd w:val="clear" w:color="auto" w:fill="FFFFFF"/>
            <w:tcMar>
              <w:top w:w="0" w:type="dxa"/>
              <w:left w:w="0" w:type="dxa"/>
              <w:bottom w:w="0" w:type="dxa"/>
              <w:right w:w="0" w:type="dxa"/>
            </w:tcMar>
            <w:vAlign w:val="center"/>
          </w:tcPr>
          <w:p w14:paraId="0A5D34A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Eastern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34B8A40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2A79B2C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9CD51E5"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4CB757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5,194 / 413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C671833"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A1823A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5,325 / 428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B1BE62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5,367 / 428</w:t>
            </w:r>
          </w:p>
        </w:tc>
      </w:tr>
      <w:tr w:rsidR="00A96279" w:rsidRPr="00470330" w14:paraId="0DE2F411" w14:textId="77777777" w:rsidTr="004E17BE">
        <w:trPr>
          <w:cantSplit/>
        </w:trPr>
        <w:tc>
          <w:tcPr>
            <w:tcW w:w="1530" w:type="dxa"/>
            <w:shd w:val="clear" w:color="auto" w:fill="FFFFFF"/>
            <w:tcMar>
              <w:top w:w="0" w:type="dxa"/>
              <w:left w:w="0" w:type="dxa"/>
              <w:bottom w:w="0" w:type="dxa"/>
              <w:right w:w="0" w:type="dxa"/>
            </w:tcMar>
            <w:vAlign w:val="center"/>
          </w:tcPr>
          <w:p w14:paraId="021368D3"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3DA91110"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1A006550"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1C3B780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0781602"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9F11B6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2,536 / 420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1B5F021"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BC9D91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2,634 / 431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99901B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2,621 / 434</w:t>
            </w:r>
          </w:p>
        </w:tc>
      </w:tr>
      <w:tr w:rsidR="00A96279" w:rsidRPr="00470330" w14:paraId="0F91E41B"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56B9E0F4"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33F7D3FF"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458CB1EE"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192DE9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A7111C1"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EC2F1F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2,658 / 406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7C9EDFF"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8BC11D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2,691 / 425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20687B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2,746 / 423</w:t>
            </w:r>
          </w:p>
        </w:tc>
      </w:tr>
      <w:tr w:rsidR="00A96279" w:rsidRPr="00470330" w14:paraId="0B2156CF"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AE8AB1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Montenegro</w:t>
            </w:r>
          </w:p>
        </w:tc>
        <w:tc>
          <w:tcPr>
            <w:tcW w:w="1620" w:type="dxa"/>
            <w:tcBorders>
              <w:top w:val="single" w:sz="8" w:space="0" w:color="666666"/>
            </w:tcBorders>
            <w:shd w:val="clear" w:color="auto" w:fill="FFFFFF"/>
            <w:tcMar>
              <w:top w:w="0" w:type="dxa"/>
              <w:left w:w="0" w:type="dxa"/>
              <w:bottom w:w="0" w:type="dxa"/>
              <w:right w:w="0" w:type="dxa"/>
            </w:tcMar>
            <w:vAlign w:val="center"/>
          </w:tcPr>
          <w:p w14:paraId="7AF9401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Southern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471B9F6C" w14:textId="19F6FBE9"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09BFC49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CE5538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4,455 / 412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4C171B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4,825 / 401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C34BBB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4,744 / 410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E116E4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5,665 / 411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DC1B3F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6,666 / 415</w:t>
            </w:r>
          </w:p>
        </w:tc>
      </w:tr>
      <w:tr w:rsidR="00A96279" w:rsidRPr="00470330" w14:paraId="073617FA" w14:textId="77777777" w:rsidTr="004E17BE">
        <w:trPr>
          <w:cantSplit/>
        </w:trPr>
        <w:tc>
          <w:tcPr>
            <w:tcW w:w="1530" w:type="dxa"/>
            <w:shd w:val="clear" w:color="auto" w:fill="FFFFFF"/>
            <w:tcMar>
              <w:top w:w="0" w:type="dxa"/>
              <w:left w:w="0" w:type="dxa"/>
              <w:bottom w:w="0" w:type="dxa"/>
              <w:right w:w="0" w:type="dxa"/>
            </w:tcMar>
            <w:vAlign w:val="center"/>
          </w:tcPr>
          <w:p w14:paraId="190BFB79"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7BBB143D"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53046CB5"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6BCB420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FB1046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2,125 / 413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503831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2,382 / 408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2C8094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2,373 / 419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F19BEF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2,771 / 414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9C0DEF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3,240 / 418</w:t>
            </w:r>
          </w:p>
        </w:tc>
      </w:tr>
      <w:tr w:rsidR="00A96279" w:rsidRPr="00470330" w14:paraId="1B1E4CFF"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4142836C"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2FB8A984"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5A4BFA47"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2FCD610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50FAD8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2,330 / 411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580A3B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2,443 / 395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31508E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2,371 / 402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028D8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2,894 / 409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1FB920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3,426 / 413</w:t>
            </w:r>
          </w:p>
        </w:tc>
      </w:tr>
      <w:tr w:rsidR="00A96279" w:rsidRPr="00470330" w14:paraId="3E41518C"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747C916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Morocco</w:t>
            </w:r>
          </w:p>
        </w:tc>
        <w:tc>
          <w:tcPr>
            <w:tcW w:w="1620" w:type="dxa"/>
            <w:tcBorders>
              <w:top w:val="single" w:sz="8" w:space="0" w:color="666666"/>
            </w:tcBorders>
            <w:shd w:val="clear" w:color="auto" w:fill="FFFFFF"/>
            <w:tcMar>
              <w:top w:w="0" w:type="dxa"/>
              <w:left w:w="0" w:type="dxa"/>
              <w:bottom w:w="0" w:type="dxa"/>
              <w:right w:w="0" w:type="dxa"/>
            </w:tcMar>
            <w:vAlign w:val="center"/>
          </w:tcPr>
          <w:p w14:paraId="69E3E4A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MENA</w:t>
            </w:r>
          </w:p>
        </w:tc>
        <w:tc>
          <w:tcPr>
            <w:tcW w:w="1260" w:type="dxa"/>
            <w:tcBorders>
              <w:top w:val="single" w:sz="8" w:space="0" w:color="666666"/>
            </w:tcBorders>
            <w:shd w:val="clear" w:color="auto" w:fill="FFFFFF"/>
            <w:tcMar>
              <w:top w:w="0" w:type="dxa"/>
              <w:left w:w="0" w:type="dxa"/>
              <w:bottom w:w="0" w:type="dxa"/>
              <w:right w:w="0" w:type="dxa"/>
            </w:tcMar>
            <w:vAlign w:val="center"/>
          </w:tcPr>
          <w:p w14:paraId="66C8B835" w14:textId="1FCDD58D"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3D4FB0A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538E9FC"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37530ED"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1E2DFC6"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7AF6315"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E78E04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6,814 / 377</w:t>
            </w:r>
          </w:p>
        </w:tc>
      </w:tr>
      <w:tr w:rsidR="00A96279" w:rsidRPr="00470330" w14:paraId="402CC47D" w14:textId="77777777" w:rsidTr="004E17BE">
        <w:trPr>
          <w:cantSplit/>
        </w:trPr>
        <w:tc>
          <w:tcPr>
            <w:tcW w:w="1530" w:type="dxa"/>
            <w:shd w:val="clear" w:color="auto" w:fill="FFFFFF"/>
            <w:tcMar>
              <w:top w:w="0" w:type="dxa"/>
              <w:left w:w="0" w:type="dxa"/>
              <w:bottom w:w="0" w:type="dxa"/>
              <w:right w:w="0" w:type="dxa"/>
            </w:tcMar>
            <w:vAlign w:val="center"/>
          </w:tcPr>
          <w:p w14:paraId="6AE23974"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03C30FEE"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6D46C971"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FAAE5C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A3E6C65"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7D13BC0"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0EE2585"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B222107"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759EED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3,262 / 381</w:t>
            </w:r>
          </w:p>
        </w:tc>
      </w:tr>
      <w:tr w:rsidR="00A96279" w:rsidRPr="00470330" w14:paraId="5836EC2B"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107AB818"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4EF52B89"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2E94172A"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02496B6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5AAB472"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0D96BAF"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004E322"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68A3890"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FA8C26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3,552 / 372</w:t>
            </w:r>
          </w:p>
        </w:tc>
      </w:tr>
      <w:tr w:rsidR="00A96279" w:rsidRPr="00470330" w14:paraId="3F24DC43"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4E0F060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Netherlands</w:t>
            </w:r>
          </w:p>
        </w:tc>
        <w:tc>
          <w:tcPr>
            <w:tcW w:w="1620" w:type="dxa"/>
            <w:tcBorders>
              <w:top w:val="single" w:sz="8" w:space="0" w:color="666666"/>
            </w:tcBorders>
            <w:shd w:val="clear" w:color="auto" w:fill="FFFFFF"/>
            <w:tcMar>
              <w:top w:w="0" w:type="dxa"/>
              <w:left w:w="0" w:type="dxa"/>
              <w:bottom w:w="0" w:type="dxa"/>
              <w:right w:w="0" w:type="dxa"/>
            </w:tcMar>
            <w:vAlign w:val="center"/>
          </w:tcPr>
          <w:p w14:paraId="31676DF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Western Nations</w:t>
            </w:r>
          </w:p>
        </w:tc>
        <w:tc>
          <w:tcPr>
            <w:tcW w:w="1260" w:type="dxa"/>
            <w:tcBorders>
              <w:top w:val="single" w:sz="8" w:space="0" w:color="666666"/>
            </w:tcBorders>
            <w:shd w:val="clear" w:color="auto" w:fill="FFFFFF"/>
            <w:tcMar>
              <w:top w:w="0" w:type="dxa"/>
              <w:left w:w="0" w:type="dxa"/>
              <w:bottom w:w="0" w:type="dxa"/>
              <w:right w:w="0" w:type="dxa"/>
            </w:tcMar>
            <w:vAlign w:val="center"/>
          </w:tcPr>
          <w:p w14:paraId="67F3AA9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09E49D0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269E40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4,871 / 525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35D8E0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4,760 / 522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71E5FD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4,460 / 522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34F5E8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5,385 / 509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6EAF77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4,765 / 503</w:t>
            </w:r>
          </w:p>
        </w:tc>
      </w:tr>
      <w:tr w:rsidR="00A96279" w:rsidRPr="00470330" w14:paraId="5206028F" w14:textId="77777777" w:rsidTr="004E17BE">
        <w:trPr>
          <w:cantSplit/>
        </w:trPr>
        <w:tc>
          <w:tcPr>
            <w:tcW w:w="1530" w:type="dxa"/>
            <w:shd w:val="clear" w:color="auto" w:fill="FFFFFF"/>
            <w:tcMar>
              <w:top w:w="0" w:type="dxa"/>
              <w:left w:w="0" w:type="dxa"/>
              <w:bottom w:w="0" w:type="dxa"/>
              <w:right w:w="0" w:type="dxa"/>
            </w:tcMar>
            <w:vAlign w:val="center"/>
          </w:tcPr>
          <w:p w14:paraId="0422C11F"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44578061"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6BE4D2F7"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47E43B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AF9AD2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2,370 / 521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774CF4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2,412 / 520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740479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2,145 / 520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806FDD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2,700 / 507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F44EB5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2,330 / 508</w:t>
            </w:r>
          </w:p>
        </w:tc>
      </w:tr>
      <w:tr w:rsidR="00A96279" w:rsidRPr="00470330" w14:paraId="0ED81537"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4B9D157E"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644E720A"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3079DFB9"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E8879D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B84CA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2,501 / 528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D61B16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2,348 / 524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DFBD9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2,315 / 524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D794FC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2,685 / 511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1F5695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2,435 / 499</w:t>
            </w:r>
          </w:p>
        </w:tc>
      </w:tr>
      <w:tr w:rsidR="00A96279" w:rsidRPr="00470330" w14:paraId="560218A0"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12B29F3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New Zealand</w:t>
            </w:r>
          </w:p>
        </w:tc>
        <w:tc>
          <w:tcPr>
            <w:tcW w:w="1620" w:type="dxa"/>
            <w:tcBorders>
              <w:top w:val="single" w:sz="8" w:space="0" w:color="666666"/>
            </w:tcBorders>
            <w:shd w:val="clear" w:color="auto" w:fill="FFFFFF"/>
            <w:tcMar>
              <w:top w:w="0" w:type="dxa"/>
              <w:left w:w="0" w:type="dxa"/>
              <w:bottom w:w="0" w:type="dxa"/>
              <w:right w:w="0" w:type="dxa"/>
            </w:tcMar>
            <w:vAlign w:val="center"/>
          </w:tcPr>
          <w:p w14:paraId="69920E30" w14:textId="77777777" w:rsidR="00A96279" w:rsidRPr="00470330" w:rsidRDefault="00A96279" w:rsidP="00A96279">
            <w:pPr>
              <w:keepNext/>
              <w:spacing w:before="0" w:after="0" w:line="240" w:lineRule="auto"/>
              <w:ind w:left="100" w:right="100" w:firstLine="0"/>
              <w:rPr>
                <w:sz w:val="20"/>
                <w:szCs w:val="20"/>
              </w:rPr>
            </w:pPr>
          </w:p>
        </w:tc>
        <w:tc>
          <w:tcPr>
            <w:tcW w:w="1260" w:type="dxa"/>
            <w:tcBorders>
              <w:top w:val="single" w:sz="8" w:space="0" w:color="666666"/>
            </w:tcBorders>
            <w:shd w:val="clear" w:color="auto" w:fill="FFFFFF"/>
            <w:tcMar>
              <w:top w:w="0" w:type="dxa"/>
              <w:left w:w="0" w:type="dxa"/>
              <w:bottom w:w="0" w:type="dxa"/>
              <w:right w:w="0" w:type="dxa"/>
            </w:tcMar>
            <w:vAlign w:val="center"/>
          </w:tcPr>
          <w:p w14:paraId="23373D27" w14:textId="507CB542" w:rsidR="00A96279" w:rsidRPr="00470330" w:rsidRDefault="00A96279" w:rsidP="00A96279">
            <w:pPr>
              <w:keepNext/>
              <w:spacing w:before="0" w:after="0" w:line="240" w:lineRule="auto"/>
              <w:ind w:left="100" w:right="100" w:firstLine="0"/>
              <w:rPr>
                <w:sz w:val="20"/>
                <w:szCs w:val="20"/>
              </w:rPr>
            </w:pPr>
            <w:r>
              <w:rPr>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1931C25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4F9F7F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4,823 / 530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4A9E56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4,643 / 532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4D2FFE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4,291 / 516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DB120E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4,520 / 513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F4931A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6,173 / 508</w:t>
            </w:r>
          </w:p>
        </w:tc>
      </w:tr>
      <w:tr w:rsidR="00A96279" w:rsidRPr="00470330" w14:paraId="64ABA45B" w14:textId="77777777" w:rsidTr="004E17BE">
        <w:trPr>
          <w:cantSplit/>
        </w:trPr>
        <w:tc>
          <w:tcPr>
            <w:tcW w:w="1530" w:type="dxa"/>
            <w:shd w:val="clear" w:color="auto" w:fill="FFFFFF"/>
            <w:tcMar>
              <w:top w:w="0" w:type="dxa"/>
              <w:left w:w="0" w:type="dxa"/>
              <w:bottom w:w="0" w:type="dxa"/>
              <w:right w:w="0" w:type="dxa"/>
            </w:tcMar>
            <w:vAlign w:val="center"/>
          </w:tcPr>
          <w:p w14:paraId="297786DF"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697DDD32"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1C9BAC3F"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1B2BA1A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3E4BF4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2,473 / 532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98A270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2,247 / 535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408590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2,131 / 513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F4BB2A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2,257 / 511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610FC4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3,154 / 508</w:t>
            </w:r>
          </w:p>
        </w:tc>
      </w:tr>
      <w:tr w:rsidR="00A96279" w:rsidRPr="00470330" w14:paraId="3C4FF9F7"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27CD3278"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0615DF4B"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1023EE7B"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D809AE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9C489C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2,350 / 528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3E6980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2,396 / 529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62D3E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2,160 / 518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A6827D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2,263 / 516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8CC9A8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3,019 / 509</w:t>
            </w:r>
          </w:p>
        </w:tc>
      </w:tr>
      <w:tr w:rsidR="00A96279" w:rsidRPr="00470330" w14:paraId="14B8D091"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3354DE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Norway</w:t>
            </w:r>
          </w:p>
        </w:tc>
        <w:tc>
          <w:tcPr>
            <w:tcW w:w="1620" w:type="dxa"/>
            <w:tcBorders>
              <w:top w:val="single" w:sz="8" w:space="0" w:color="666666"/>
            </w:tcBorders>
            <w:shd w:val="clear" w:color="auto" w:fill="FFFFFF"/>
            <w:tcMar>
              <w:top w:w="0" w:type="dxa"/>
              <w:left w:w="0" w:type="dxa"/>
              <w:bottom w:w="0" w:type="dxa"/>
              <w:right w:w="0" w:type="dxa"/>
            </w:tcMar>
            <w:vAlign w:val="center"/>
          </w:tcPr>
          <w:p w14:paraId="0EFB44BC" w14:textId="77777777" w:rsidR="00A96279" w:rsidRPr="00470330" w:rsidRDefault="00A96279" w:rsidP="00A96279">
            <w:pPr>
              <w:keepNext/>
              <w:spacing w:before="0" w:after="0" w:line="240" w:lineRule="auto"/>
              <w:ind w:left="100" w:right="100" w:firstLine="0"/>
              <w:rPr>
                <w:sz w:val="20"/>
                <w:szCs w:val="20"/>
              </w:rPr>
            </w:pPr>
          </w:p>
        </w:tc>
        <w:tc>
          <w:tcPr>
            <w:tcW w:w="1260" w:type="dxa"/>
            <w:tcBorders>
              <w:top w:val="single" w:sz="8" w:space="0" w:color="666666"/>
            </w:tcBorders>
            <w:shd w:val="clear" w:color="auto" w:fill="FFFFFF"/>
            <w:tcMar>
              <w:top w:w="0" w:type="dxa"/>
              <w:left w:w="0" w:type="dxa"/>
              <w:bottom w:w="0" w:type="dxa"/>
              <w:right w:w="0" w:type="dxa"/>
            </w:tcMar>
            <w:vAlign w:val="center"/>
          </w:tcPr>
          <w:p w14:paraId="58888649" w14:textId="67BC85CA" w:rsidR="00A96279" w:rsidRPr="00470330" w:rsidRDefault="00A96279" w:rsidP="00A96279">
            <w:pPr>
              <w:keepNext/>
              <w:spacing w:before="0" w:after="0" w:line="240" w:lineRule="auto"/>
              <w:ind w:left="100" w:right="100" w:firstLine="0"/>
              <w:rPr>
                <w:sz w:val="20"/>
                <w:szCs w:val="20"/>
              </w:rPr>
            </w:pPr>
            <w:r>
              <w:rPr>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08947BE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3614D0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4,692 / 487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6D469F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4,660 / 500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DF22EE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4,686 / 495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EFF202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5,456 / 498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C813AC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5,813 / 490</w:t>
            </w:r>
          </w:p>
        </w:tc>
      </w:tr>
      <w:tr w:rsidR="00A96279" w:rsidRPr="00470330" w14:paraId="0C94949B" w14:textId="77777777" w:rsidTr="004E17BE">
        <w:trPr>
          <w:cantSplit/>
        </w:trPr>
        <w:tc>
          <w:tcPr>
            <w:tcW w:w="1530" w:type="dxa"/>
            <w:shd w:val="clear" w:color="auto" w:fill="FFFFFF"/>
            <w:tcMar>
              <w:top w:w="0" w:type="dxa"/>
              <w:left w:w="0" w:type="dxa"/>
              <w:bottom w:w="0" w:type="dxa"/>
              <w:right w:w="0" w:type="dxa"/>
            </w:tcMar>
            <w:vAlign w:val="center"/>
          </w:tcPr>
          <w:p w14:paraId="11261036"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7C48B0AB"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0BAE9426"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3762B6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76AFD3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2,277 / 489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E80B35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2,285 / 502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A6D0FA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2,291 / 496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4FF88D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2,706 / 497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A305E0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2,880 / 496</w:t>
            </w:r>
          </w:p>
        </w:tc>
      </w:tr>
      <w:tr w:rsidR="00A96279" w:rsidRPr="00470330" w14:paraId="26FD7458"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3B15B229"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4A609D0B"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77759A24"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75A74D8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E5687B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2,415 / 484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8A1569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2,375 / 498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82BF6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2,395 / 493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2F5E49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2,750 / 500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E4FD07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2,933 / 485</w:t>
            </w:r>
          </w:p>
        </w:tc>
      </w:tr>
      <w:tr w:rsidR="00A96279" w:rsidRPr="00470330" w14:paraId="051758A0"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4652B4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Panama</w:t>
            </w:r>
          </w:p>
        </w:tc>
        <w:tc>
          <w:tcPr>
            <w:tcW w:w="1620" w:type="dxa"/>
            <w:tcBorders>
              <w:top w:val="single" w:sz="8" w:space="0" w:color="666666"/>
            </w:tcBorders>
            <w:shd w:val="clear" w:color="auto" w:fill="FFFFFF"/>
            <w:tcMar>
              <w:top w:w="0" w:type="dxa"/>
              <w:left w:w="0" w:type="dxa"/>
              <w:bottom w:w="0" w:type="dxa"/>
              <w:right w:w="0" w:type="dxa"/>
            </w:tcMar>
            <w:vAlign w:val="center"/>
          </w:tcPr>
          <w:p w14:paraId="18397445" w14:textId="77777777" w:rsidR="00A96279" w:rsidRPr="00470330" w:rsidRDefault="00A96279" w:rsidP="00A96279">
            <w:pPr>
              <w:keepNext/>
              <w:spacing w:before="0" w:after="0" w:line="240" w:lineRule="auto"/>
              <w:ind w:left="100" w:right="100" w:firstLine="0"/>
              <w:rPr>
                <w:sz w:val="20"/>
                <w:szCs w:val="20"/>
              </w:rPr>
            </w:pPr>
            <w:r>
              <w:rPr>
                <w:rFonts w:eastAsia="Arial"/>
                <w:color w:val="000000"/>
                <w:sz w:val="20"/>
                <w:szCs w:val="20"/>
              </w:rPr>
              <w:t>Latin America/ Caribbean/ Other</w:t>
            </w:r>
          </w:p>
        </w:tc>
        <w:tc>
          <w:tcPr>
            <w:tcW w:w="1260" w:type="dxa"/>
            <w:tcBorders>
              <w:top w:val="single" w:sz="8" w:space="0" w:color="666666"/>
            </w:tcBorders>
            <w:shd w:val="clear" w:color="auto" w:fill="FFFFFF"/>
            <w:tcMar>
              <w:top w:w="0" w:type="dxa"/>
              <w:left w:w="0" w:type="dxa"/>
              <w:bottom w:w="0" w:type="dxa"/>
              <w:right w:w="0" w:type="dxa"/>
            </w:tcMar>
            <w:vAlign w:val="center"/>
          </w:tcPr>
          <w:p w14:paraId="6F2E471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5D6B31B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460634C"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0CE3E9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3,969 / 376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3430023"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C693925"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BC2392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6,270 / 365</w:t>
            </w:r>
          </w:p>
        </w:tc>
      </w:tr>
      <w:tr w:rsidR="00A96279" w:rsidRPr="00470330" w14:paraId="1406C64B" w14:textId="77777777" w:rsidTr="004E17BE">
        <w:trPr>
          <w:cantSplit/>
        </w:trPr>
        <w:tc>
          <w:tcPr>
            <w:tcW w:w="1530" w:type="dxa"/>
            <w:shd w:val="clear" w:color="auto" w:fill="FFFFFF"/>
            <w:tcMar>
              <w:top w:w="0" w:type="dxa"/>
              <w:left w:w="0" w:type="dxa"/>
              <w:bottom w:w="0" w:type="dxa"/>
              <w:right w:w="0" w:type="dxa"/>
            </w:tcMar>
            <w:vAlign w:val="center"/>
          </w:tcPr>
          <w:p w14:paraId="6BAFA23A"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4BEF7C70"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D85A7C9"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B828E5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A9C05B5"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E93E9F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2,033 / 377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B8464B5"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118267A"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689156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3,173 / 364</w:t>
            </w:r>
          </w:p>
        </w:tc>
      </w:tr>
      <w:tr w:rsidR="00A96279" w:rsidRPr="00470330" w14:paraId="7600D1B2"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62F1F5B9"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776CA92C"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1EA2FD90"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6DE64B7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6E9D904"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4373EB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1,936 / 375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66D4779"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95BBCC1"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65231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3,097 / 365</w:t>
            </w:r>
          </w:p>
        </w:tc>
      </w:tr>
      <w:tr w:rsidR="00A96279" w:rsidRPr="00470330" w14:paraId="222D6112"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1879826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Peru</w:t>
            </w:r>
          </w:p>
        </w:tc>
        <w:tc>
          <w:tcPr>
            <w:tcW w:w="1620" w:type="dxa"/>
            <w:tcBorders>
              <w:top w:val="single" w:sz="8" w:space="0" w:color="666666"/>
            </w:tcBorders>
            <w:shd w:val="clear" w:color="auto" w:fill="FFFFFF"/>
            <w:tcMar>
              <w:top w:w="0" w:type="dxa"/>
              <w:left w:w="0" w:type="dxa"/>
              <w:bottom w:w="0" w:type="dxa"/>
              <w:right w:w="0" w:type="dxa"/>
            </w:tcMar>
            <w:vAlign w:val="center"/>
          </w:tcPr>
          <w:p w14:paraId="088CF3F4" w14:textId="77777777" w:rsidR="00A96279" w:rsidRPr="00470330" w:rsidRDefault="00A96279" w:rsidP="00A96279">
            <w:pPr>
              <w:keepNext/>
              <w:spacing w:before="0" w:after="0" w:line="240" w:lineRule="auto"/>
              <w:ind w:left="100" w:right="100" w:firstLine="0"/>
              <w:rPr>
                <w:sz w:val="20"/>
                <w:szCs w:val="20"/>
              </w:rPr>
            </w:pPr>
          </w:p>
        </w:tc>
        <w:tc>
          <w:tcPr>
            <w:tcW w:w="1260" w:type="dxa"/>
            <w:tcBorders>
              <w:top w:val="single" w:sz="8" w:space="0" w:color="666666"/>
            </w:tcBorders>
            <w:shd w:val="clear" w:color="auto" w:fill="FFFFFF"/>
            <w:tcMar>
              <w:top w:w="0" w:type="dxa"/>
              <w:left w:w="0" w:type="dxa"/>
              <w:bottom w:w="0" w:type="dxa"/>
              <w:right w:w="0" w:type="dxa"/>
            </w:tcMar>
            <w:vAlign w:val="center"/>
          </w:tcPr>
          <w:p w14:paraId="22778A25" w14:textId="168DF408"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5EFB714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F348CD9"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E0C508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5,985 / 369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97B047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6,035 / 373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F6741D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6,971 / 397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756A61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6,086 / 404</w:t>
            </w:r>
          </w:p>
        </w:tc>
      </w:tr>
      <w:tr w:rsidR="00A96279" w:rsidRPr="00470330" w14:paraId="6C8F1130" w14:textId="77777777" w:rsidTr="004E17BE">
        <w:trPr>
          <w:cantSplit/>
        </w:trPr>
        <w:tc>
          <w:tcPr>
            <w:tcW w:w="1530" w:type="dxa"/>
            <w:shd w:val="clear" w:color="auto" w:fill="FFFFFF"/>
            <w:tcMar>
              <w:top w:w="0" w:type="dxa"/>
              <w:left w:w="0" w:type="dxa"/>
              <w:bottom w:w="0" w:type="dxa"/>
              <w:right w:w="0" w:type="dxa"/>
            </w:tcMar>
            <w:vAlign w:val="center"/>
          </w:tcPr>
          <w:p w14:paraId="41F1BE4A"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721DF30C"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02020F38"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240E949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E661B26"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E2C728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2,985 / 367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A33345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3,118 / 370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96C7C8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3,460 / 392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1F2D98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3,000 / 397</w:t>
            </w:r>
          </w:p>
        </w:tc>
      </w:tr>
      <w:tr w:rsidR="00A96279" w:rsidRPr="00470330" w14:paraId="7CD40C18"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47934AC9"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78A8CDAB"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7EE7125A"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01B8030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B57FE08"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B9230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3,000 / 372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81446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2,917 / 376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2B27C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3,511 / 402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2A19B6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3,086 / 411</w:t>
            </w:r>
          </w:p>
        </w:tc>
      </w:tr>
      <w:tr w:rsidR="00A96279" w:rsidRPr="00470330" w14:paraId="054A9454"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DE0E5B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Philippines</w:t>
            </w:r>
          </w:p>
        </w:tc>
        <w:tc>
          <w:tcPr>
            <w:tcW w:w="1620" w:type="dxa"/>
            <w:tcBorders>
              <w:top w:val="single" w:sz="8" w:space="0" w:color="666666"/>
            </w:tcBorders>
            <w:shd w:val="clear" w:color="auto" w:fill="FFFFFF"/>
            <w:tcMar>
              <w:top w:w="0" w:type="dxa"/>
              <w:left w:w="0" w:type="dxa"/>
              <w:bottom w:w="0" w:type="dxa"/>
              <w:right w:w="0" w:type="dxa"/>
            </w:tcMar>
            <w:vAlign w:val="center"/>
          </w:tcPr>
          <w:p w14:paraId="67D94DA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South-Eastern Asia</w:t>
            </w:r>
          </w:p>
        </w:tc>
        <w:tc>
          <w:tcPr>
            <w:tcW w:w="1260" w:type="dxa"/>
            <w:tcBorders>
              <w:top w:val="single" w:sz="8" w:space="0" w:color="666666"/>
            </w:tcBorders>
            <w:shd w:val="clear" w:color="auto" w:fill="FFFFFF"/>
            <w:tcMar>
              <w:top w:w="0" w:type="dxa"/>
              <w:left w:w="0" w:type="dxa"/>
              <w:bottom w:w="0" w:type="dxa"/>
              <w:right w:w="0" w:type="dxa"/>
            </w:tcMar>
            <w:vAlign w:val="center"/>
          </w:tcPr>
          <w:p w14:paraId="16851E72" w14:textId="184F8659"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0BEDAAE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7C2D95B"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91945AF"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9932B4E"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DF13C48"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AA2740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7,233 / 357</w:t>
            </w:r>
          </w:p>
        </w:tc>
      </w:tr>
      <w:tr w:rsidR="00A96279" w:rsidRPr="00470330" w14:paraId="5E96113A" w14:textId="77777777" w:rsidTr="004E17BE">
        <w:trPr>
          <w:cantSplit/>
        </w:trPr>
        <w:tc>
          <w:tcPr>
            <w:tcW w:w="1530" w:type="dxa"/>
            <w:shd w:val="clear" w:color="auto" w:fill="FFFFFF"/>
            <w:tcMar>
              <w:top w:w="0" w:type="dxa"/>
              <w:left w:w="0" w:type="dxa"/>
              <w:bottom w:w="0" w:type="dxa"/>
              <w:right w:w="0" w:type="dxa"/>
            </w:tcMar>
            <w:vAlign w:val="center"/>
          </w:tcPr>
          <w:p w14:paraId="19291530"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581E8E87"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274EC4CF"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13E1050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A8AB07D"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5A1882B"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0F1D4E1"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8808DEF"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6D1EDA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3,868 / 359</w:t>
            </w:r>
          </w:p>
        </w:tc>
      </w:tr>
      <w:tr w:rsidR="00A96279" w:rsidRPr="00470330" w14:paraId="27D35265"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3E1FD2CF"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65E728E3"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70187690"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758953F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0663877"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C910711"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2C90F36"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6596402"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E5E6EF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3,365 / 355</w:t>
            </w:r>
          </w:p>
        </w:tc>
      </w:tr>
      <w:tr w:rsidR="00A96279" w:rsidRPr="00470330" w14:paraId="0E4CEE0F"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710CB8A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Poland</w:t>
            </w:r>
          </w:p>
        </w:tc>
        <w:tc>
          <w:tcPr>
            <w:tcW w:w="1620" w:type="dxa"/>
            <w:tcBorders>
              <w:top w:val="single" w:sz="8" w:space="0" w:color="666666"/>
            </w:tcBorders>
            <w:shd w:val="clear" w:color="auto" w:fill="FFFFFF"/>
            <w:tcMar>
              <w:top w:w="0" w:type="dxa"/>
              <w:left w:w="0" w:type="dxa"/>
              <w:bottom w:w="0" w:type="dxa"/>
              <w:right w:w="0" w:type="dxa"/>
            </w:tcMar>
            <w:vAlign w:val="center"/>
          </w:tcPr>
          <w:p w14:paraId="1015590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Eastern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1E044FF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267C469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8ADE25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5,547 / 498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1D1976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4,917 / 508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0AAE65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4,607 / 526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752BAB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4,478 / 501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BD10F8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5,625 / 511</w:t>
            </w:r>
          </w:p>
        </w:tc>
      </w:tr>
      <w:tr w:rsidR="00A96279" w:rsidRPr="00470330" w14:paraId="36739A4B" w14:textId="77777777" w:rsidTr="004E17BE">
        <w:trPr>
          <w:cantSplit/>
        </w:trPr>
        <w:tc>
          <w:tcPr>
            <w:tcW w:w="1530" w:type="dxa"/>
            <w:shd w:val="clear" w:color="auto" w:fill="FFFFFF"/>
            <w:tcMar>
              <w:top w:w="0" w:type="dxa"/>
              <w:left w:w="0" w:type="dxa"/>
              <w:bottom w:w="0" w:type="dxa"/>
              <w:right w:w="0" w:type="dxa"/>
            </w:tcMar>
            <w:vAlign w:val="center"/>
          </w:tcPr>
          <w:p w14:paraId="38556448"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3EF4E5CA"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542042BC"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74AD03A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C722A4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2,828 / 496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2CDF04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2,474 / 511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1882DB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2,388 / 527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04D748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2,209 / 498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67B623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2,857 / 511</w:t>
            </w:r>
          </w:p>
        </w:tc>
      </w:tr>
      <w:tr w:rsidR="00A96279" w:rsidRPr="00470330" w14:paraId="066FBF53"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0BF30DF5"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066B3A43"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5AA6D00A"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C87F63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6FD42A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2,719 / 500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CF2834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2,443 / 505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EA3956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2,219 / 524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4A89E3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2,269 / 504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3CA642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2,768 / 511</w:t>
            </w:r>
          </w:p>
        </w:tc>
      </w:tr>
      <w:tr w:rsidR="00A96279" w:rsidRPr="00470330" w14:paraId="265EC4E2"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080B804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Portugal</w:t>
            </w:r>
          </w:p>
        </w:tc>
        <w:tc>
          <w:tcPr>
            <w:tcW w:w="1620" w:type="dxa"/>
            <w:tcBorders>
              <w:top w:val="single" w:sz="8" w:space="0" w:color="666666"/>
            </w:tcBorders>
            <w:shd w:val="clear" w:color="auto" w:fill="FFFFFF"/>
            <w:tcMar>
              <w:top w:w="0" w:type="dxa"/>
              <w:left w:w="0" w:type="dxa"/>
              <w:bottom w:w="0" w:type="dxa"/>
              <w:right w:w="0" w:type="dxa"/>
            </w:tcMar>
            <w:vAlign w:val="center"/>
          </w:tcPr>
          <w:p w14:paraId="3C444B2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Southern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2303F594" w14:textId="1F710B70" w:rsidR="00A96279" w:rsidRPr="00470330" w:rsidRDefault="00A96279" w:rsidP="00A96279">
            <w:pPr>
              <w:keepNext/>
              <w:spacing w:before="0" w:after="0" w:line="240" w:lineRule="auto"/>
              <w:ind w:left="100" w:right="100" w:firstLine="0"/>
              <w:rPr>
                <w:sz w:val="20"/>
                <w:szCs w:val="20"/>
              </w:rPr>
            </w:pPr>
            <w:r>
              <w:rPr>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69F1038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E207CC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5,109 / 474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F5F9D0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6,298 / 493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21730D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5,722 / 489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EB97D2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7,325 / 501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D02FAD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5,932 / 492</w:t>
            </w:r>
          </w:p>
        </w:tc>
      </w:tr>
      <w:tr w:rsidR="00A96279" w:rsidRPr="00470330" w14:paraId="62320801" w14:textId="77777777" w:rsidTr="004E17BE">
        <w:trPr>
          <w:cantSplit/>
        </w:trPr>
        <w:tc>
          <w:tcPr>
            <w:tcW w:w="1530" w:type="dxa"/>
            <w:shd w:val="clear" w:color="auto" w:fill="FFFFFF"/>
            <w:tcMar>
              <w:top w:w="0" w:type="dxa"/>
              <w:left w:w="0" w:type="dxa"/>
              <w:bottom w:w="0" w:type="dxa"/>
              <w:right w:w="0" w:type="dxa"/>
            </w:tcMar>
            <w:vAlign w:val="center"/>
          </w:tcPr>
          <w:p w14:paraId="1CB3C86D"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381CCB86"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43B8A9EC"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1E5B9F3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BF7208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2,684 / 472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2A87D7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3,278 / 495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4E2199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2,853 / 490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0FBB9A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3,651 / 496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40D02D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2,944 / 489</w:t>
            </w:r>
          </w:p>
        </w:tc>
      </w:tr>
      <w:tr w:rsidR="00A96279" w:rsidRPr="00470330" w14:paraId="033D780A"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346A06C6"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6292AFCC"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306F0518"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2E23375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80F0BB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2,425 / 477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440BEF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3,020 / 491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2EB345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2,869 / 488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43DE4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3,674 / 506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B3EAA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2,988 / 494</w:t>
            </w:r>
          </w:p>
        </w:tc>
      </w:tr>
      <w:tr w:rsidR="00A96279" w:rsidRPr="00470330" w14:paraId="3C276A22"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832BEA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Qatar</w:t>
            </w:r>
          </w:p>
        </w:tc>
        <w:tc>
          <w:tcPr>
            <w:tcW w:w="1620" w:type="dxa"/>
            <w:tcBorders>
              <w:top w:val="single" w:sz="8" w:space="0" w:color="666666"/>
            </w:tcBorders>
            <w:shd w:val="clear" w:color="auto" w:fill="FFFFFF"/>
            <w:tcMar>
              <w:top w:w="0" w:type="dxa"/>
              <w:left w:w="0" w:type="dxa"/>
              <w:bottom w:w="0" w:type="dxa"/>
              <w:right w:w="0" w:type="dxa"/>
            </w:tcMar>
            <w:vAlign w:val="center"/>
          </w:tcPr>
          <w:p w14:paraId="7DC9985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MENA</w:t>
            </w:r>
          </w:p>
        </w:tc>
        <w:tc>
          <w:tcPr>
            <w:tcW w:w="1260" w:type="dxa"/>
            <w:tcBorders>
              <w:top w:val="single" w:sz="8" w:space="0" w:color="666666"/>
            </w:tcBorders>
            <w:shd w:val="clear" w:color="auto" w:fill="FFFFFF"/>
            <w:tcMar>
              <w:top w:w="0" w:type="dxa"/>
              <w:left w:w="0" w:type="dxa"/>
              <w:bottom w:w="0" w:type="dxa"/>
              <w:right w:w="0" w:type="dxa"/>
            </w:tcMar>
            <w:vAlign w:val="center"/>
          </w:tcPr>
          <w:p w14:paraId="39E51F0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25E389F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52F797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6,265 / 349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9542D7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9,078 / 379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D61EB0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10,966 / 384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082447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12,083 / 418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08A13D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13,828 / 419</w:t>
            </w:r>
          </w:p>
        </w:tc>
      </w:tr>
      <w:tr w:rsidR="00A96279" w:rsidRPr="00470330" w14:paraId="3E5BAAAB" w14:textId="77777777" w:rsidTr="004E17BE">
        <w:trPr>
          <w:cantSplit/>
        </w:trPr>
        <w:tc>
          <w:tcPr>
            <w:tcW w:w="1530" w:type="dxa"/>
            <w:shd w:val="clear" w:color="auto" w:fill="FFFFFF"/>
            <w:tcMar>
              <w:top w:w="0" w:type="dxa"/>
              <w:left w:w="0" w:type="dxa"/>
              <w:bottom w:w="0" w:type="dxa"/>
              <w:right w:w="0" w:type="dxa"/>
            </w:tcMar>
            <w:vAlign w:val="center"/>
          </w:tcPr>
          <w:p w14:paraId="4F1F6415"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024F4948"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6BB05DB"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3FDC6CF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64D186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3,225 / 365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6ACC9C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4,568 / 393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DC5CC4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5,305 / 402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839C83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6,034 / 429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BC276F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6,954 / 439</w:t>
            </w:r>
          </w:p>
        </w:tc>
      </w:tr>
      <w:tr w:rsidR="00A96279" w:rsidRPr="00470330" w14:paraId="6CB33205"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5DAF2508"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232C859D"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7E0EAC7A"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13FBB95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B02CDC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3,040 / 334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59CE61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4,510 / 366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F34E7C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5,661 / 367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BACF09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6,049 / 406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496EA9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6,874 / 400</w:t>
            </w:r>
          </w:p>
        </w:tc>
      </w:tr>
      <w:tr w:rsidR="00A96279" w:rsidRPr="00470330" w14:paraId="59974E65"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3192D15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Romania</w:t>
            </w:r>
          </w:p>
        </w:tc>
        <w:tc>
          <w:tcPr>
            <w:tcW w:w="1620" w:type="dxa"/>
            <w:tcBorders>
              <w:top w:val="single" w:sz="8" w:space="0" w:color="666666"/>
            </w:tcBorders>
            <w:shd w:val="clear" w:color="auto" w:fill="FFFFFF"/>
            <w:tcMar>
              <w:top w:w="0" w:type="dxa"/>
              <w:left w:w="0" w:type="dxa"/>
              <w:bottom w:w="0" w:type="dxa"/>
              <w:right w:w="0" w:type="dxa"/>
            </w:tcMar>
            <w:vAlign w:val="center"/>
          </w:tcPr>
          <w:p w14:paraId="6876DE2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Eastern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3336A584" w14:textId="27768A4B"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527876C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27137C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5,118 / 418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C75FA2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4,776 / 428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50A85C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5,074 / 439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FBC0F5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4,876 / 435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CA679B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5,075 / 426</w:t>
            </w:r>
          </w:p>
        </w:tc>
      </w:tr>
      <w:tr w:rsidR="00A96279" w:rsidRPr="00470330" w14:paraId="46256841" w14:textId="77777777" w:rsidTr="004E17BE">
        <w:trPr>
          <w:cantSplit/>
        </w:trPr>
        <w:tc>
          <w:tcPr>
            <w:tcW w:w="1530" w:type="dxa"/>
            <w:shd w:val="clear" w:color="auto" w:fill="FFFFFF"/>
            <w:tcMar>
              <w:top w:w="0" w:type="dxa"/>
              <w:left w:w="0" w:type="dxa"/>
              <w:bottom w:w="0" w:type="dxa"/>
              <w:right w:w="0" w:type="dxa"/>
            </w:tcMar>
            <w:vAlign w:val="center"/>
          </w:tcPr>
          <w:p w14:paraId="1CA76364"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5C9CBFFA"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047DD30F"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6A1695E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F80B1C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2,434 / 419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7300AD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2,398 / 433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91D7A5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2,572 / 441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AEBC62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2,466 / 438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21CCE5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2,444 / 426</w:t>
            </w:r>
          </w:p>
        </w:tc>
      </w:tr>
      <w:tr w:rsidR="00A96279" w:rsidRPr="00470330" w14:paraId="565CB3EC"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241D4E5F"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1354544D"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2532D3E2"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29F74AA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EF7184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2,684 / 417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86AECB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2,378 / 423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908775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2,502 / 436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D7CB7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2,410 / 432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5A5027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2,631 / 425</w:t>
            </w:r>
          </w:p>
        </w:tc>
      </w:tr>
      <w:tr w:rsidR="00A96279" w:rsidRPr="00470330" w14:paraId="59AFFB3E"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3D6F482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Russia</w:t>
            </w:r>
          </w:p>
        </w:tc>
        <w:tc>
          <w:tcPr>
            <w:tcW w:w="1620" w:type="dxa"/>
            <w:tcBorders>
              <w:top w:val="single" w:sz="8" w:space="0" w:color="666666"/>
            </w:tcBorders>
            <w:shd w:val="clear" w:color="auto" w:fill="FFFFFF"/>
            <w:tcMar>
              <w:top w:w="0" w:type="dxa"/>
              <w:left w:w="0" w:type="dxa"/>
              <w:bottom w:w="0" w:type="dxa"/>
              <w:right w:w="0" w:type="dxa"/>
            </w:tcMar>
            <w:vAlign w:val="center"/>
          </w:tcPr>
          <w:p w14:paraId="71304E85" w14:textId="77777777" w:rsidR="00A96279" w:rsidRPr="00470330" w:rsidRDefault="00A96279" w:rsidP="00A96279">
            <w:pPr>
              <w:keepNext/>
              <w:spacing w:before="0" w:after="0" w:line="240" w:lineRule="auto"/>
              <w:ind w:left="100" w:right="100" w:firstLine="0"/>
              <w:rPr>
                <w:sz w:val="20"/>
                <w:szCs w:val="20"/>
              </w:rPr>
            </w:pPr>
          </w:p>
        </w:tc>
        <w:tc>
          <w:tcPr>
            <w:tcW w:w="1260" w:type="dxa"/>
            <w:tcBorders>
              <w:top w:val="single" w:sz="8" w:space="0" w:color="666666"/>
            </w:tcBorders>
            <w:shd w:val="clear" w:color="auto" w:fill="FFFFFF"/>
            <w:tcMar>
              <w:top w:w="0" w:type="dxa"/>
              <w:left w:w="0" w:type="dxa"/>
              <w:bottom w:w="0" w:type="dxa"/>
              <w:right w:w="0" w:type="dxa"/>
            </w:tcMar>
            <w:vAlign w:val="center"/>
          </w:tcPr>
          <w:p w14:paraId="6541274B" w14:textId="4A886488"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0F8D668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EA218D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5,799 / 479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B9EB50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5,308 / 478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292F89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5,231 / 486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B56FA2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6,036 / 487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2C70FA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7,608 / 478</w:t>
            </w:r>
          </w:p>
        </w:tc>
      </w:tr>
      <w:tr w:rsidR="00A96279" w:rsidRPr="00470330" w14:paraId="49FE2C66" w14:textId="77777777" w:rsidTr="004E17BE">
        <w:trPr>
          <w:cantSplit/>
        </w:trPr>
        <w:tc>
          <w:tcPr>
            <w:tcW w:w="1530" w:type="dxa"/>
            <w:shd w:val="clear" w:color="auto" w:fill="FFFFFF"/>
            <w:tcMar>
              <w:top w:w="0" w:type="dxa"/>
              <w:left w:w="0" w:type="dxa"/>
              <w:bottom w:w="0" w:type="dxa"/>
              <w:right w:w="0" w:type="dxa"/>
            </w:tcMar>
            <w:vAlign w:val="center"/>
          </w:tcPr>
          <w:p w14:paraId="4F464C52"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56EAB49D"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051FC82D"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2F4F115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759B3F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3,000 / 478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758DCE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2,685 / 480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71F2DC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2,614 / 489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22D384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3,107 / 485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BD448E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3,861 / 478</w:t>
            </w:r>
          </w:p>
        </w:tc>
      </w:tr>
      <w:tr w:rsidR="00A96279" w:rsidRPr="00470330" w14:paraId="5743D9B2"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36FA1468"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32ED9AF8"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605EF6FB"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3635E1B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1FE2F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2,799 / 481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E54241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2,623 / 477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CFA06F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2,617 / 484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EEAD00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2,929 / 489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13B9EB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3,747 / 477</w:t>
            </w:r>
          </w:p>
        </w:tc>
      </w:tr>
      <w:tr w:rsidR="00A96279" w:rsidRPr="00470330" w14:paraId="553D7A34"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10362F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Saudi Arabia</w:t>
            </w:r>
          </w:p>
        </w:tc>
        <w:tc>
          <w:tcPr>
            <w:tcW w:w="1620" w:type="dxa"/>
            <w:tcBorders>
              <w:top w:val="single" w:sz="8" w:space="0" w:color="666666"/>
            </w:tcBorders>
            <w:shd w:val="clear" w:color="auto" w:fill="FFFFFF"/>
            <w:tcMar>
              <w:top w:w="0" w:type="dxa"/>
              <w:left w:w="0" w:type="dxa"/>
              <w:bottom w:w="0" w:type="dxa"/>
              <w:right w:w="0" w:type="dxa"/>
            </w:tcMar>
            <w:vAlign w:val="center"/>
          </w:tcPr>
          <w:p w14:paraId="59F9A89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MENA</w:t>
            </w:r>
          </w:p>
        </w:tc>
        <w:tc>
          <w:tcPr>
            <w:tcW w:w="1260" w:type="dxa"/>
            <w:tcBorders>
              <w:top w:val="single" w:sz="8" w:space="0" w:color="666666"/>
            </w:tcBorders>
            <w:shd w:val="clear" w:color="auto" w:fill="FFFFFF"/>
            <w:tcMar>
              <w:top w:w="0" w:type="dxa"/>
              <w:left w:w="0" w:type="dxa"/>
              <w:bottom w:w="0" w:type="dxa"/>
              <w:right w:w="0" w:type="dxa"/>
            </w:tcMar>
            <w:vAlign w:val="center"/>
          </w:tcPr>
          <w:p w14:paraId="59C5FF39" w14:textId="713F81A8"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1BDD216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D570AEB"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F4A8A13"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99FD74A"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4130A4D"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97EEC5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6,136 / 386</w:t>
            </w:r>
          </w:p>
        </w:tc>
      </w:tr>
      <w:tr w:rsidR="00A96279" w:rsidRPr="00470330" w14:paraId="63A580BC" w14:textId="77777777" w:rsidTr="004E17BE">
        <w:trPr>
          <w:cantSplit/>
        </w:trPr>
        <w:tc>
          <w:tcPr>
            <w:tcW w:w="1530" w:type="dxa"/>
            <w:shd w:val="clear" w:color="auto" w:fill="FFFFFF"/>
            <w:tcMar>
              <w:top w:w="0" w:type="dxa"/>
              <w:left w:w="0" w:type="dxa"/>
              <w:bottom w:w="0" w:type="dxa"/>
              <w:right w:w="0" w:type="dxa"/>
            </w:tcMar>
            <w:vAlign w:val="center"/>
          </w:tcPr>
          <w:p w14:paraId="32860A5D"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5B4853B9"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00C0B40E"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7BC83A6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B74650B"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B55393A"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F8144EF"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D3E36A7"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6C3767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2,992 / 401</w:t>
            </w:r>
          </w:p>
        </w:tc>
      </w:tr>
      <w:tr w:rsidR="00A96279" w:rsidRPr="00470330" w14:paraId="05FFE532"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5F4898A4"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7F14BE71"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59DAE059"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3CDD945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91B26B"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F76654C"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C18F7D1"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4E7D349"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CA1607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3,144 / 372</w:t>
            </w:r>
          </w:p>
        </w:tc>
      </w:tr>
      <w:tr w:rsidR="00A96279" w:rsidRPr="00470330" w14:paraId="4FC11A53"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450868C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Serbia</w:t>
            </w:r>
          </w:p>
        </w:tc>
        <w:tc>
          <w:tcPr>
            <w:tcW w:w="1620" w:type="dxa"/>
            <w:tcBorders>
              <w:top w:val="single" w:sz="8" w:space="0" w:color="666666"/>
            </w:tcBorders>
            <w:shd w:val="clear" w:color="auto" w:fill="FFFFFF"/>
            <w:tcMar>
              <w:top w:w="0" w:type="dxa"/>
              <w:left w:w="0" w:type="dxa"/>
              <w:bottom w:w="0" w:type="dxa"/>
              <w:right w:w="0" w:type="dxa"/>
            </w:tcMar>
            <w:vAlign w:val="center"/>
          </w:tcPr>
          <w:p w14:paraId="6EA8B4A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Southern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5926FEAC" w14:textId="7D05175A"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4804F98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1E4AEB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4,798 / 436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D0F8F0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5,523 / 443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8EFC72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4,684 / 445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1B732ED"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C29843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6,609 / 440</w:t>
            </w:r>
          </w:p>
        </w:tc>
      </w:tr>
      <w:tr w:rsidR="00A96279" w:rsidRPr="00470330" w14:paraId="664DBE8B" w14:textId="77777777" w:rsidTr="004E17BE">
        <w:trPr>
          <w:cantSplit/>
        </w:trPr>
        <w:tc>
          <w:tcPr>
            <w:tcW w:w="1530" w:type="dxa"/>
            <w:shd w:val="clear" w:color="auto" w:fill="FFFFFF"/>
            <w:tcMar>
              <w:top w:w="0" w:type="dxa"/>
              <w:left w:w="0" w:type="dxa"/>
              <w:bottom w:w="0" w:type="dxa"/>
              <w:right w:w="0" w:type="dxa"/>
            </w:tcMar>
            <w:vAlign w:val="center"/>
          </w:tcPr>
          <w:p w14:paraId="3E1BC9C7"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4B18B926"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0E83C930"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70C9FCD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FF6C6F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2,364 / 438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93B9E0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2,843 / 443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F29C05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2,368 / 447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FC4AEFD"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779CA2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3,272 / 442</w:t>
            </w:r>
          </w:p>
        </w:tc>
      </w:tr>
      <w:tr w:rsidR="00A96279" w:rsidRPr="00470330" w14:paraId="1EF09AF3"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4F93BC0D"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71A22B97"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756F3D22"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789362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5EFC9F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2,434 / 433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B24DBD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2,680 / 442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0133E9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2,316 / 443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D55257D"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68BDED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3,337 / 437</w:t>
            </w:r>
          </w:p>
        </w:tc>
      </w:tr>
      <w:tr w:rsidR="00A96279" w:rsidRPr="00470330" w14:paraId="7F09E5CA"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0F7522A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Singapore</w:t>
            </w:r>
          </w:p>
        </w:tc>
        <w:tc>
          <w:tcPr>
            <w:tcW w:w="1620" w:type="dxa"/>
            <w:tcBorders>
              <w:top w:val="single" w:sz="8" w:space="0" w:color="666666"/>
            </w:tcBorders>
            <w:shd w:val="clear" w:color="auto" w:fill="FFFFFF"/>
            <w:tcMar>
              <w:top w:w="0" w:type="dxa"/>
              <w:left w:w="0" w:type="dxa"/>
              <w:bottom w:w="0" w:type="dxa"/>
              <w:right w:w="0" w:type="dxa"/>
            </w:tcMar>
            <w:vAlign w:val="center"/>
          </w:tcPr>
          <w:p w14:paraId="1BBE903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South-Eastern Asia</w:t>
            </w:r>
          </w:p>
        </w:tc>
        <w:tc>
          <w:tcPr>
            <w:tcW w:w="1260" w:type="dxa"/>
            <w:tcBorders>
              <w:top w:val="single" w:sz="8" w:space="0" w:color="666666"/>
            </w:tcBorders>
            <w:shd w:val="clear" w:color="auto" w:fill="FFFFFF"/>
            <w:tcMar>
              <w:top w:w="0" w:type="dxa"/>
              <w:left w:w="0" w:type="dxa"/>
              <w:bottom w:w="0" w:type="dxa"/>
              <w:right w:w="0" w:type="dxa"/>
            </w:tcMar>
            <w:vAlign w:val="center"/>
          </w:tcPr>
          <w:p w14:paraId="78AEA4DA" w14:textId="5A38A9CA"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5EF7457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F30D340"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F25231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5,283 / 542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EC0890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5,546 / 551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B553FD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6,115 / 556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07FB9D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6,676 / 551</w:t>
            </w:r>
          </w:p>
        </w:tc>
      </w:tr>
      <w:tr w:rsidR="00A96279" w:rsidRPr="00470330" w14:paraId="356BFAB6" w14:textId="77777777" w:rsidTr="004E17BE">
        <w:trPr>
          <w:cantSplit/>
        </w:trPr>
        <w:tc>
          <w:tcPr>
            <w:tcW w:w="1530" w:type="dxa"/>
            <w:shd w:val="clear" w:color="auto" w:fill="FFFFFF"/>
            <w:tcMar>
              <w:top w:w="0" w:type="dxa"/>
              <w:left w:w="0" w:type="dxa"/>
              <w:bottom w:w="0" w:type="dxa"/>
              <w:right w:w="0" w:type="dxa"/>
            </w:tcMar>
            <w:vAlign w:val="center"/>
          </w:tcPr>
          <w:p w14:paraId="39C1716A"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4D28D33D"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23C9BEF"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5A36F25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8FB0D1B"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2328C1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2,657 / 542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834380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2,752 / 552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657165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2,973 / 552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600528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3,277 / 549</w:t>
            </w:r>
          </w:p>
        </w:tc>
      </w:tr>
      <w:tr w:rsidR="00A96279" w:rsidRPr="00470330" w14:paraId="7606E1D9"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0A7DEBE4"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1BCF4027"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78DCE617"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D73FCF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5BC45E7"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2D2954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2,626 / 541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3B556B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2,794 / 551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ECBFAA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3,142 / 559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25C9D2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3,399 / 553</w:t>
            </w:r>
          </w:p>
        </w:tc>
      </w:tr>
      <w:tr w:rsidR="00A96279" w:rsidRPr="00470330" w14:paraId="50FF2B25"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0113308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Slovakia</w:t>
            </w:r>
          </w:p>
        </w:tc>
        <w:tc>
          <w:tcPr>
            <w:tcW w:w="1620" w:type="dxa"/>
            <w:tcBorders>
              <w:top w:val="single" w:sz="8" w:space="0" w:color="666666"/>
            </w:tcBorders>
            <w:shd w:val="clear" w:color="auto" w:fill="FFFFFF"/>
            <w:tcMar>
              <w:top w:w="0" w:type="dxa"/>
              <w:left w:w="0" w:type="dxa"/>
              <w:bottom w:w="0" w:type="dxa"/>
              <w:right w:w="0" w:type="dxa"/>
            </w:tcMar>
            <w:vAlign w:val="center"/>
          </w:tcPr>
          <w:p w14:paraId="5838834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Eastern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0B11206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2B14B3A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43E171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4,731 / 488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D09ABD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4,555 / 490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71358E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4,678 / 471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C46C6D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6,350 / 461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24660D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5,965 / 464</w:t>
            </w:r>
          </w:p>
        </w:tc>
      </w:tr>
      <w:tr w:rsidR="00A96279" w:rsidRPr="00470330" w14:paraId="21F3CDAD" w14:textId="77777777" w:rsidTr="004E17BE">
        <w:trPr>
          <w:cantSplit/>
        </w:trPr>
        <w:tc>
          <w:tcPr>
            <w:tcW w:w="1530" w:type="dxa"/>
            <w:shd w:val="clear" w:color="auto" w:fill="FFFFFF"/>
            <w:tcMar>
              <w:top w:w="0" w:type="dxa"/>
              <w:left w:w="0" w:type="dxa"/>
              <w:bottom w:w="0" w:type="dxa"/>
              <w:right w:w="0" w:type="dxa"/>
            </w:tcMar>
            <w:vAlign w:val="center"/>
          </w:tcPr>
          <w:p w14:paraId="68270600"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3C1E2CDB"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6CAB94E3"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0D7BC5A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05B1F0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2,340 / 485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2C2AE6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2,317 / 491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1A8A0B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2,231 / 467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D2A98B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3,035 / 461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632B26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3,002 / 467</w:t>
            </w:r>
          </w:p>
        </w:tc>
      </w:tr>
      <w:tr w:rsidR="00A96279" w:rsidRPr="00470330" w14:paraId="71DBB99F"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212623AA"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4F3304FA"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7352CAF3"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A40CE3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333798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2,391 / 491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8CA2BA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2,238 / 490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EFA5A7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2,447 / 475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56CB60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3,315 / 460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68F487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2,963 / 461</w:t>
            </w:r>
          </w:p>
        </w:tc>
      </w:tr>
      <w:tr w:rsidR="00A96279" w:rsidRPr="00470330" w14:paraId="7FE8526C"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156CF23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Slovenia</w:t>
            </w:r>
          </w:p>
        </w:tc>
        <w:tc>
          <w:tcPr>
            <w:tcW w:w="1620" w:type="dxa"/>
            <w:tcBorders>
              <w:top w:val="single" w:sz="8" w:space="0" w:color="666666"/>
            </w:tcBorders>
            <w:shd w:val="clear" w:color="auto" w:fill="FFFFFF"/>
            <w:tcMar>
              <w:top w:w="0" w:type="dxa"/>
              <w:left w:w="0" w:type="dxa"/>
              <w:bottom w:w="0" w:type="dxa"/>
              <w:right w:w="0" w:type="dxa"/>
            </w:tcMar>
            <w:vAlign w:val="center"/>
          </w:tcPr>
          <w:p w14:paraId="0F93E4C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Southern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37BD12E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Both</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6B8B8CA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3A0916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6,595 / 519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1F6097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6,155 / 512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6D6AC5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5,911 / 514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49D8A3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6,406 / 513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ACB9A3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6,401 / 507</w:t>
            </w:r>
          </w:p>
        </w:tc>
      </w:tr>
      <w:tr w:rsidR="00A96279" w:rsidRPr="00470330" w14:paraId="008A74B9" w14:textId="77777777" w:rsidTr="004E17BE">
        <w:trPr>
          <w:cantSplit/>
        </w:trPr>
        <w:tc>
          <w:tcPr>
            <w:tcW w:w="1530" w:type="dxa"/>
            <w:shd w:val="clear" w:color="auto" w:fill="FFFFFF"/>
            <w:tcMar>
              <w:top w:w="0" w:type="dxa"/>
              <w:left w:w="0" w:type="dxa"/>
              <w:bottom w:w="0" w:type="dxa"/>
              <w:right w:w="0" w:type="dxa"/>
            </w:tcMar>
            <w:vAlign w:val="center"/>
          </w:tcPr>
          <w:p w14:paraId="0EAEF1A6"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68791CE2"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0955F10F"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10D6F9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B7ED4F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3,043 / 523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BBCCAC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2,822 / 519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4BC970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2,699 / 519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1FAB3B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2,901 / 516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9CE75C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2,993 / 512</w:t>
            </w:r>
          </w:p>
        </w:tc>
      </w:tr>
      <w:tr w:rsidR="00A96279" w:rsidRPr="00470330" w14:paraId="3AA11C46"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5AAC8DAF"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28C4606C"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10B3D91E"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5E9D0B1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C0791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3,552 / 515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F1E5C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3,333 / 505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6090A9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3,212 / 510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3E904A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3,505 / 510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D6519F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3,408 / 502</w:t>
            </w:r>
          </w:p>
        </w:tc>
      </w:tr>
      <w:tr w:rsidR="00A96279" w:rsidRPr="00470330" w14:paraId="5DC0440F"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51C68E9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South Korea</w:t>
            </w:r>
          </w:p>
        </w:tc>
        <w:tc>
          <w:tcPr>
            <w:tcW w:w="1620" w:type="dxa"/>
            <w:tcBorders>
              <w:top w:val="single" w:sz="8" w:space="0" w:color="666666"/>
            </w:tcBorders>
            <w:shd w:val="clear" w:color="auto" w:fill="FFFFFF"/>
            <w:tcMar>
              <w:top w:w="0" w:type="dxa"/>
              <w:left w:w="0" w:type="dxa"/>
              <w:bottom w:w="0" w:type="dxa"/>
              <w:right w:w="0" w:type="dxa"/>
            </w:tcMar>
            <w:vAlign w:val="center"/>
          </w:tcPr>
          <w:p w14:paraId="4958CC3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Eastern Asia</w:t>
            </w:r>
          </w:p>
        </w:tc>
        <w:tc>
          <w:tcPr>
            <w:tcW w:w="1260" w:type="dxa"/>
            <w:tcBorders>
              <w:top w:val="single" w:sz="8" w:space="0" w:color="666666"/>
            </w:tcBorders>
            <w:shd w:val="clear" w:color="auto" w:fill="FFFFFF"/>
            <w:tcMar>
              <w:top w:w="0" w:type="dxa"/>
              <w:left w:w="0" w:type="dxa"/>
              <w:bottom w:w="0" w:type="dxa"/>
              <w:right w:w="0" w:type="dxa"/>
            </w:tcMar>
            <w:vAlign w:val="center"/>
          </w:tcPr>
          <w:p w14:paraId="6E9F048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657E029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E3545D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5,176 / 522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CC47EA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4,989 / 538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93AAB3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5,033 / 538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AC68CA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5,581 / 516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E0EEDA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6,650 / 519</w:t>
            </w:r>
          </w:p>
        </w:tc>
      </w:tr>
      <w:tr w:rsidR="00A96279" w:rsidRPr="00470330" w14:paraId="750EB86B" w14:textId="77777777" w:rsidTr="004E17BE">
        <w:trPr>
          <w:cantSplit/>
        </w:trPr>
        <w:tc>
          <w:tcPr>
            <w:tcW w:w="1530" w:type="dxa"/>
            <w:shd w:val="clear" w:color="auto" w:fill="FFFFFF"/>
            <w:tcMar>
              <w:top w:w="0" w:type="dxa"/>
              <w:left w:w="0" w:type="dxa"/>
              <w:bottom w:w="0" w:type="dxa"/>
              <w:right w:w="0" w:type="dxa"/>
            </w:tcMar>
            <w:vAlign w:val="center"/>
          </w:tcPr>
          <w:p w14:paraId="33FFE138"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7A6FFF27"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59C64E5"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BD7640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126562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2,563 / 523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6C3498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2,399 / 539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CE82DC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2,342 / 536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2305F6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2,669 / 521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4C8591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3,191 / 517</w:t>
            </w:r>
          </w:p>
        </w:tc>
      </w:tr>
      <w:tr w:rsidR="00A96279" w:rsidRPr="00470330" w14:paraId="2E868632"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50C5E4BF"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52E5413D"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4004906F"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0A25D2E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818ED4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2,613 / 521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F54160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2,590 / 537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7DD3AA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2,691 / 539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D209A3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2,912 / 511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6C8558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3,459 / 521</w:t>
            </w:r>
          </w:p>
        </w:tc>
      </w:tr>
      <w:tr w:rsidR="00A96279" w:rsidRPr="00470330" w14:paraId="74EF1F80"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79D6F7B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Spain</w:t>
            </w:r>
          </w:p>
        </w:tc>
        <w:tc>
          <w:tcPr>
            <w:tcW w:w="1620" w:type="dxa"/>
            <w:tcBorders>
              <w:top w:val="single" w:sz="8" w:space="0" w:color="666666"/>
            </w:tcBorders>
            <w:shd w:val="clear" w:color="auto" w:fill="FFFFFF"/>
            <w:tcMar>
              <w:top w:w="0" w:type="dxa"/>
              <w:left w:w="0" w:type="dxa"/>
              <w:bottom w:w="0" w:type="dxa"/>
              <w:right w:w="0" w:type="dxa"/>
            </w:tcMar>
            <w:vAlign w:val="center"/>
          </w:tcPr>
          <w:p w14:paraId="46E91EB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Southern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784CFF9D" w14:textId="28C929C9" w:rsidR="00A96279" w:rsidRPr="00470330" w:rsidRDefault="00A96279" w:rsidP="00A96279">
            <w:pPr>
              <w:keepNext/>
              <w:spacing w:before="0" w:after="0" w:line="240" w:lineRule="auto"/>
              <w:ind w:left="100" w:right="100" w:firstLine="0"/>
              <w:rPr>
                <w:sz w:val="20"/>
                <w:szCs w:val="20"/>
              </w:rPr>
            </w:pPr>
            <w:r>
              <w:rPr>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3CF72AC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130571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19,604 / 488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68964B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25,887 / 488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FEABC2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25,313 / 496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B40993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6,736 / 493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843325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35,943 / 483</w:t>
            </w:r>
          </w:p>
        </w:tc>
      </w:tr>
      <w:tr w:rsidR="00A96279" w:rsidRPr="00470330" w14:paraId="39230513" w14:textId="77777777" w:rsidTr="004E17BE">
        <w:trPr>
          <w:cantSplit/>
        </w:trPr>
        <w:tc>
          <w:tcPr>
            <w:tcW w:w="1530" w:type="dxa"/>
            <w:shd w:val="clear" w:color="auto" w:fill="FFFFFF"/>
            <w:tcMar>
              <w:top w:w="0" w:type="dxa"/>
              <w:left w:w="0" w:type="dxa"/>
              <w:bottom w:w="0" w:type="dxa"/>
              <w:right w:w="0" w:type="dxa"/>
            </w:tcMar>
            <w:vAlign w:val="center"/>
          </w:tcPr>
          <w:p w14:paraId="149860EC"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34CAF51B"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6929EF90"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08D8509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D986C3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9,801 / 486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B7BB4F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12,746 / 485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3DA833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12,690 / 493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0E85E6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3,404 / 489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D7B2AB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17,956 / 482</w:t>
            </w:r>
          </w:p>
        </w:tc>
      </w:tr>
      <w:tr w:rsidR="00A96279" w:rsidRPr="00470330" w14:paraId="0BB7F7FF"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0F868C23"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37BAD336"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154596D0"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29B7550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945882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9,803 / 491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B84B96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13,141 / 492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DCA574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12,623 / 500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682053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3,332 / 496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50E2BE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17,987 / 484</w:t>
            </w:r>
          </w:p>
        </w:tc>
      </w:tr>
      <w:tr w:rsidR="00A96279" w:rsidRPr="00470330" w14:paraId="7374E6DE"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2BB19D6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Sweden</w:t>
            </w:r>
          </w:p>
        </w:tc>
        <w:tc>
          <w:tcPr>
            <w:tcW w:w="1620" w:type="dxa"/>
            <w:tcBorders>
              <w:top w:val="single" w:sz="8" w:space="0" w:color="666666"/>
            </w:tcBorders>
            <w:shd w:val="clear" w:color="auto" w:fill="FFFFFF"/>
            <w:tcMar>
              <w:top w:w="0" w:type="dxa"/>
              <w:left w:w="0" w:type="dxa"/>
              <w:bottom w:w="0" w:type="dxa"/>
              <w:right w:w="0" w:type="dxa"/>
            </w:tcMar>
            <w:vAlign w:val="center"/>
          </w:tcPr>
          <w:p w14:paraId="57F0088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Western Nations</w:t>
            </w:r>
          </w:p>
        </w:tc>
        <w:tc>
          <w:tcPr>
            <w:tcW w:w="1260" w:type="dxa"/>
            <w:tcBorders>
              <w:top w:val="single" w:sz="8" w:space="0" w:color="666666"/>
            </w:tcBorders>
            <w:shd w:val="clear" w:color="auto" w:fill="FFFFFF"/>
            <w:tcMar>
              <w:top w:w="0" w:type="dxa"/>
              <w:left w:w="0" w:type="dxa"/>
              <w:bottom w:w="0" w:type="dxa"/>
              <w:right w:w="0" w:type="dxa"/>
            </w:tcMar>
            <w:vAlign w:val="center"/>
          </w:tcPr>
          <w:p w14:paraId="2E83FEE8" w14:textId="6940B4F3" w:rsidR="00A96279" w:rsidRPr="00470330" w:rsidRDefault="00A96279" w:rsidP="00A96279">
            <w:pPr>
              <w:keepNext/>
              <w:spacing w:before="0" w:after="0" w:line="240" w:lineRule="auto"/>
              <w:ind w:left="100" w:right="100" w:firstLine="0"/>
              <w:rPr>
                <w:sz w:val="20"/>
                <w:szCs w:val="20"/>
              </w:rPr>
            </w:pPr>
            <w:r>
              <w:rPr>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18D6D84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5341F5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4,443 / 503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BA4317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4,567 / 495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50B682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4,736 / 485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1A818B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5,458 / 493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8C89E7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5,504 / 499</w:t>
            </w:r>
          </w:p>
        </w:tc>
      </w:tr>
      <w:tr w:rsidR="00A96279" w:rsidRPr="00470330" w14:paraId="3A475203" w14:textId="77777777" w:rsidTr="004E17BE">
        <w:trPr>
          <w:cantSplit/>
        </w:trPr>
        <w:tc>
          <w:tcPr>
            <w:tcW w:w="1530" w:type="dxa"/>
            <w:shd w:val="clear" w:color="auto" w:fill="FFFFFF"/>
            <w:tcMar>
              <w:top w:w="0" w:type="dxa"/>
              <w:left w:w="0" w:type="dxa"/>
              <w:bottom w:w="0" w:type="dxa"/>
              <w:right w:w="0" w:type="dxa"/>
            </w:tcMar>
            <w:vAlign w:val="center"/>
          </w:tcPr>
          <w:p w14:paraId="66C9BB19"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641B9003"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1070AC71"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D942D5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89D191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2,161 / 503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DD9163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2,256 / 497</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C36546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2,378 / 489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B501EF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2,731 / 496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BC11B7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2,763 / 503</w:t>
            </w:r>
          </w:p>
        </w:tc>
      </w:tr>
      <w:tr w:rsidR="00A96279" w:rsidRPr="00470330" w14:paraId="36B77625"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5D221654"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7FBF7B2A"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6FE4F49D" w14:textId="647C3B58" w:rsidR="00A96279" w:rsidRPr="00470330" w:rsidRDefault="00A96279" w:rsidP="00A96279">
            <w:pPr>
              <w:keepNext/>
              <w:spacing w:before="0" w:after="0" w:line="240" w:lineRule="auto"/>
              <w:ind w:right="10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3D891CB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01EEDF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2,282 / 504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D9D29D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2,311 / 493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15B5E5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2,358 / 481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3F411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2,727 / 491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B1EC0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2,741 / 496</w:t>
            </w:r>
          </w:p>
        </w:tc>
      </w:tr>
      <w:tr w:rsidR="00A96279" w:rsidRPr="00470330" w14:paraId="62412D50"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373C417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Switzerland</w:t>
            </w:r>
          </w:p>
        </w:tc>
        <w:tc>
          <w:tcPr>
            <w:tcW w:w="1620" w:type="dxa"/>
            <w:tcBorders>
              <w:top w:val="single" w:sz="8" w:space="0" w:color="666666"/>
            </w:tcBorders>
            <w:shd w:val="clear" w:color="auto" w:fill="FFFFFF"/>
            <w:tcMar>
              <w:top w:w="0" w:type="dxa"/>
              <w:left w:w="0" w:type="dxa"/>
              <w:bottom w:w="0" w:type="dxa"/>
              <w:right w:w="0" w:type="dxa"/>
            </w:tcMar>
            <w:vAlign w:val="center"/>
          </w:tcPr>
          <w:p w14:paraId="1DA8F5EF" w14:textId="77777777" w:rsidR="00A96279" w:rsidRPr="00470330" w:rsidRDefault="00A96279" w:rsidP="00A96279">
            <w:pPr>
              <w:keepNext/>
              <w:spacing w:before="0" w:after="0" w:line="240" w:lineRule="auto"/>
              <w:ind w:left="100" w:right="100" w:firstLine="0"/>
              <w:rPr>
                <w:sz w:val="20"/>
                <w:szCs w:val="20"/>
              </w:rPr>
            </w:pPr>
          </w:p>
        </w:tc>
        <w:tc>
          <w:tcPr>
            <w:tcW w:w="1260" w:type="dxa"/>
            <w:tcBorders>
              <w:top w:val="single" w:sz="8" w:space="0" w:color="666666"/>
            </w:tcBorders>
            <w:shd w:val="clear" w:color="auto" w:fill="FFFFFF"/>
            <w:tcMar>
              <w:top w:w="0" w:type="dxa"/>
              <w:left w:w="0" w:type="dxa"/>
              <w:bottom w:w="0" w:type="dxa"/>
              <w:right w:w="0" w:type="dxa"/>
            </w:tcMar>
            <w:vAlign w:val="center"/>
          </w:tcPr>
          <w:p w14:paraId="75EF9B07" w14:textId="0CC8494F" w:rsidR="00A96279" w:rsidRPr="00470330" w:rsidRDefault="00A96279" w:rsidP="00A96279">
            <w:pPr>
              <w:keepNext/>
              <w:spacing w:before="0" w:after="0" w:line="240" w:lineRule="auto"/>
              <w:ind w:left="100" w:right="100" w:firstLine="0"/>
              <w:rPr>
                <w:sz w:val="20"/>
                <w:szCs w:val="20"/>
              </w:rPr>
            </w:pPr>
            <w:r>
              <w:rPr>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041B472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58503A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12,192 / 512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AE8D8E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11,812 / 517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1D6169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11,229 / 515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D2CB43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5,860 / 506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70B296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5,822 / 495</w:t>
            </w:r>
          </w:p>
        </w:tc>
      </w:tr>
      <w:tr w:rsidR="00A96279" w:rsidRPr="00470330" w14:paraId="0762DA8B" w14:textId="77777777" w:rsidTr="004E17BE">
        <w:trPr>
          <w:cantSplit/>
        </w:trPr>
        <w:tc>
          <w:tcPr>
            <w:tcW w:w="1530" w:type="dxa"/>
            <w:shd w:val="clear" w:color="auto" w:fill="FFFFFF"/>
            <w:tcMar>
              <w:top w:w="0" w:type="dxa"/>
              <w:left w:w="0" w:type="dxa"/>
              <w:bottom w:w="0" w:type="dxa"/>
              <w:right w:w="0" w:type="dxa"/>
            </w:tcMar>
            <w:vAlign w:val="center"/>
          </w:tcPr>
          <w:p w14:paraId="7974336C"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79E59C82"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78B2252E"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65493C9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5A62F7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5,943 / 509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377D46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5,790 / 512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71D3E8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5,579 / 512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7F48E3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2,807 / 502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C00D7C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2,789 / 495</w:t>
            </w:r>
          </w:p>
        </w:tc>
      </w:tr>
      <w:tr w:rsidR="00A96279" w:rsidRPr="00470330" w14:paraId="5A4F4A5F"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7666B386"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5D022240"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35E8D3C8"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011740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89CF83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6,249 / 514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8EC829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6,020 / 520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59F44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5,650 / 518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9FD2E7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3,053 / 508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0EB9F6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3,033 / 495</w:t>
            </w:r>
          </w:p>
        </w:tc>
      </w:tr>
      <w:tr w:rsidR="00A96279" w:rsidRPr="00470330" w14:paraId="5CCCE93D"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2EE5067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Taiwan</w:t>
            </w:r>
          </w:p>
        </w:tc>
        <w:tc>
          <w:tcPr>
            <w:tcW w:w="1620" w:type="dxa"/>
            <w:tcBorders>
              <w:top w:val="single" w:sz="8" w:space="0" w:color="666666"/>
            </w:tcBorders>
            <w:shd w:val="clear" w:color="auto" w:fill="FFFFFF"/>
            <w:tcMar>
              <w:top w:w="0" w:type="dxa"/>
              <w:left w:w="0" w:type="dxa"/>
              <w:bottom w:w="0" w:type="dxa"/>
              <w:right w:w="0" w:type="dxa"/>
            </w:tcMar>
            <w:vAlign w:val="center"/>
          </w:tcPr>
          <w:p w14:paraId="2334CE0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Eastern Asia</w:t>
            </w:r>
          </w:p>
        </w:tc>
        <w:tc>
          <w:tcPr>
            <w:tcW w:w="1260" w:type="dxa"/>
            <w:tcBorders>
              <w:top w:val="single" w:sz="8" w:space="0" w:color="666666"/>
            </w:tcBorders>
            <w:shd w:val="clear" w:color="auto" w:fill="FFFFFF"/>
            <w:tcMar>
              <w:top w:w="0" w:type="dxa"/>
              <w:left w:w="0" w:type="dxa"/>
              <w:bottom w:w="0" w:type="dxa"/>
              <w:right w:w="0" w:type="dxa"/>
            </w:tcMar>
            <w:vAlign w:val="center"/>
          </w:tcPr>
          <w:p w14:paraId="3BD1C0F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78E54B7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F8D6F8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8,815 / 532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FFD1AD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5,831 / 520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BFA65F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6,046 / 523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025BA3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7,708 / 532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265F74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7,243 / 516</w:t>
            </w:r>
          </w:p>
        </w:tc>
      </w:tr>
      <w:tr w:rsidR="00A96279" w:rsidRPr="00470330" w14:paraId="0B8CC272" w14:textId="77777777" w:rsidTr="004E17BE">
        <w:trPr>
          <w:cantSplit/>
        </w:trPr>
        <w:tc>
          <w:tcPr>
            <w:tcW w:w="1530" w:type="dxa"/>
            <w:shd w:val="clear" w:color="auto" w:fill="FFFFFF"/>
            <w:tcMar>
              <w:top w:w="0" w:type="dxa"/>
              <w:left w:w="0" w:type="dxa"/>
              <w:bottom w:w="0" w:type="dxa"/>
              <w:right w:w="0" w:type="dxa"/>
            </w:tcMar>
            <w:vAlign w:val="center"/>
          </w:tcPr>
          <w:p w14:paraId="3C1CAE17"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334F7588"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0A5CBFB2"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2332C89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E46E44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4,192 / 529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0B18A2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2,920 / 521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60E0A4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3,111 / 523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3AC44C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3,819 / 530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2D6F54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3,624 / 515</w:t>
            </w:r>
          </w:p>
        </w:tc>
      </w:tr>
      <w:tr w:rsidR="00A96279" w:rsidRPr="00470330" w14:paraId="3A1DB61E"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320C497D"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1C6C021E"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7699E896"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097CC71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2EE20D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4,620 / 536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6D772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2,911 / 520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681A1E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2,935 / 524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62C3F3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3,889 / 535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A81A18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3,619 / 516</w:t>
            </w:r>
          </w:p>
        </w:tc>
      </w:tr>
      <w:tr w:rsidR="00A96279" w:rsidRPr="00470330" w14:paraId="32D25169"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20E0781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Thailand</w:t>
            </w:r>
          </w:p>
        </w:tc>
        <w:tc>
          <w:tcPr>
            <w:tcW w:w="1620" w:type="dxa"/>
            <w:tcBorders>
              <w:top w:val="single" w:sz="8" w:space="0" w:color="666666"/>
            </w:tcBorders>
            <w:shd w:val="clear" w:color="auto" w:fill="FFFFFF"/>
            <w:tcMar>
              <w:top w:w="0" w:type="dxa"/>
              <w:left w:w="0" w:type="dxa"/>
              <w:bottom w:w="0" w:type="dxa"/>
              <w:right w:w="0" w:type="dxa"/>
            </w:tcMar>
            <w:vAlign w:val="center"/>
          </w:tcPr>
          <w:p w14:paraId="5E6BC00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South-Eastern Asia</w:t>
            </w:r>
          </w:p>
        </w:tc>
        <w:tc>
          <w:tcPr>
            <w:tcW w:w="1260" w:type="dxa"/>
            <w:tcBorders>
              <w:top w:val="single" w:sz="8" w:space="0" w:color="666666"/>
            </w:tcBorders>
            <w:shd w:val="clear" w:color="auto" w:fill="FFFFFF"/>
            <w:tcMar>
              <w:top w:w="0" w:type="dxa"/>
              <w:left w:w="0" w:type="dxa"/>
              <w:bottom w:w="0" w:type="dxa"/>
              <w:right w:w="0" w:type="dxa"/>
            </w:tcMar>
            <w:vAlign w:val="center"/>
          </w:tcPr>
          <w:p w14:paraId="66B1C24C" w14:textId="4617E1DC"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4C77D8F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CCA6EA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6,192 / 421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D03624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6,225 / 425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5DEB37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6,606 / 444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B98669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8,249 / 421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0A4F18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8,633 / 426</w:t>
            </w:r>
          </w:p>
        </w:tc>
      </w:tr>
      <w:tr w:rsidR="00A96279" w:rsidRPr="00470330" w14:paraId="5B75CDEF" w14:textId="77777777" w:rsidTr="004E17BE">
        <w:trPr>
          <w:cantSplit/>
        </w:trPr>
        <w:tc>
          <w:tcPr>
            <w:tcW w:w="1530" w:type="dxa"/>
            <w:shd w:val="clear" w:color="auto" w:fill="FFFFFF"/>
            <w:tcMar>
              <w:top w:w="0" w:type="dxa"/>
              <w:left w:w="0" w:type="dxa"/>
              <w:bottom w:w="0" w:type="dxa"/>
              <w:right w:w="0" w:type="dxa"/>
            </w:tcMar>
            <w:vAlign w:val="center"/>
          </w:tcPr>
          <w:p w14:paraId="4989F7AB"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4CEF42BF"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11E07B3F"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6BE4DBE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5D519B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3,584 / 428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B48516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3,544 / 431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068BB8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3,736 / 452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CEF30B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4,652 / 425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F2BB97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4,693 / 435</w:t>
            </w:r>
          </w:p>
        </w:tc>
      </w:tr>
      <w:tr w:rsidR="00A96279" w:rsidRPr="00470330" w14:paraId="0DEB9BB5"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516A3845"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72FD7EDD"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01F8CF49"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134E5A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55C2CF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2,608 / 411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C35C7A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2,681 / 418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639869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2,870 / 433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7EE4EA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3,597 / 416</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4BAAF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3,940 / 415</w:t>
            </w:r>
          </w:p>
        </w:tc>
      </w:tr>
      <w:tr w:rsidR="00A96279" w:rsidRPr="00470330" w14:paraId="30981CC2"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22C1228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Trinidad and Tobago</w:t>
            </w:r>
          </w:p>
        </w:tc>
        <w:tc>
          <w:tcPr>
            <w:tcW w:w="1620" w:type="dxa"/>
            <w:tcBorders>
              <w:top w:val="single" w:sz="8" w:space="0" w:color="666666"/>
            </w:tcBorders>
            <w:shd w:val="clear" w:color="auto" w:fill="FFFFFF"/>
            <w:tcMar>
              <w:top w:w="0" w:type="dxa"/>
              <w:left w:w="0" w:type="dxa"/>
              <w:bottom w:w="0" w:type="dxa"/>
              <w:right w:w="0" w:type="dxa"/>
            </w:tcMar>
            <w:vAlign w:val="center"/>
          </w:tcPr>
          <w:p w14:paraId="66568296" w14:textId="77777777" w:rsidR="00A96279" w:rsidRPr="00470330" w:rsidRDefault="00A96279" w:rsidP="00A96279">
            <w:pPr>
              <w:keepNext/>
              <w:spacing w:before="0" w:after="0" w:line="240" w:lineRule="auto"/>
              <w:ind w:left="100" w:right="100" w:firstLine="0"/>
              <w:rPr>
                <w:sz w:val="20"/>
                <w:szCs w:val="20"/>
              </w:rPr>
            </w:pPr>
            <w:r>
              <w:rPr>
                <w:rFonts w:eastAsia="Arial"/>
                <w:color w:val="000000"/>
                <w:sz w:val="20"/>
                <w:szCs w:val="20"/>
              </w:rPr>
              <w:t>Latin America/ Caribbean/ Other</w:t>
            </w:r>
          </w:p>
        </w:tc>
        <w:tc>
          <w:tcPr>
            <w:tcW w:w="1260" w:type="dxa"/>
            <w:tcBorders>
              <w:top w:val="single" w:sz="8" w:space="0" w:color="666666"/>
            </w:tcBorders>
            <w:shd w:val="clear" w:color="auto" w:fill="FFFFFF"/>
            <w:tcMar>
              <w:top w:w="0" w:type="dxa"/>
              <w:left w:w="0" w:type="dxa"/>
              <w:bottom w:w="0" w:type="dxa"/>
              <w:right w:w="0" w:type="dxa"/>
            </w:tcMar>
            <w:vAlign w:val="center"/>
          </w:tcPr>
          <w:p w14:paraId="1FDCA3C3" w14:textId="3F30EF30"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6E833F9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C2A5B58"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FFF055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4,778 / 410</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57C307F"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85D4ED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4,692 / 425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EA5FAED" w14:textId="77777777" w:rsidR="00A96279" w:rsidRPr="00470330" w:rsidRDefault="00A96279" w:rsidP="00A96279">
            <w:pPr>
              <w:keepNext/>
              <w:spacing w:before="0" w:after="0" w:line="240" w:lineRule="auto"/>
              <w:ind w:left="100" w:right="100" w:firstLine="0"/>
              <w:rPr>
                <w:sz w:val="20"/>
                <w:szCs w:val="20"/>
              </w:rPr>
            </w:pPr>
          </w:p>
        </w:tc>
      </w:tr>
      <w:tr w:rsidR="00A96279" w:rsidRPr="00470330" w14:paraId="13B6C2B4" w14:textId="77777777" w:rsidTr="004E17BE">
        <w:trPr>
          <w:cantSplit/>
        </w:trPr>
        <w:tc>
          <w:tcPr>
            <w:tcW w:w="1530" w:type="dxa"/>
            <w:shd w:val="clear" w:color="auto" w:fill="FFFFFF"/>
            <w:tcMar>
              <w:top w:w="0" w:type="dxa"/>
              <w:left w:w="0" w:type="dxa"/>
              <w:bottom w:w="0" w:type="dxa"/>
              <w:right w:w="0" w:type="dxa"/>
            </w:tcMar>
            <w:vAlign w:val="center"/>
          </w:tcPr>
          <w:p w14:paraId="5693FCF7"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065C7C4E"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25197762"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5D05A32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C51AE25"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4928F2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2,495 / 419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58A3FC8"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43BD9E1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2,453 / 435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C67C328" w14:textId="77777777" w:rsidR="00A96279" w:rsidRPr="00470330" w:rsidRDefault="00A96279" w:rsidP="00A96279">
            <w:pPr>
              <w:keepNext/>
              <w:spacing w:before="0" w:after="0" w:line="240" w:lineRule="auto"/>
              <w:ind w:left="100" w:right="100" w:firstLine="0"/>
              <w:rPr>
                <w:sz w:val="20"/>
                <w:szCs w:val="20"/>
              </w:rPr>
            </w:pPr>
          </w:p>
        </w:tc>
      </w:tr>
      <w:tr w:rsidR="00A96279" w:rsidRPr="00470330" w14:paraId="66301962"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65583FD1"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05951942"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43F6B4C5"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6A81C17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EE781D2"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26C005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2,283 / 401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57275C"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E8DCF0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2,239 / 414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14B70B8" w14:textId="77777777" w:rsidR="00A96279" w:rsidRPr="00470330" w:rsidRDefault="00A96279" w:rsidP="00A96279">
            <w:pPr>
              <w:keepNext/>
              <w:spacing w:before="0" w:after="0" w:line="240" w:lineRule="auto"/>
              <w:ind w:left="100" w:right="100" w:firstLine="0"/>
              <w:rPr>
                <w:sz w:val="20"/>
                <w:szCs w:val="20"/>
              </w:rPr>
            </w:pPr>
          </w:p>
        </w:tc>
      </w:tr>
      <w:tr w:rsidR="00A96279" w:rsidRPr="00470330" w14:paraId="55ADDF58"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5E4ABCE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Tunisia</w:t>
            </w:r>
          </w:p>
        </w:tc>
        <w:tc>
          <w:tcPr>
            <w:tcW w:w="1620" w:type="dxa"/>
            <w:tcBorders>
              <w:top w:val="single" w:sz="8" w:space="0" w:color="666666"/>
            </w:tcBorders>
            <w:shd w:val="clear" w:color="auto" w:fill="FFFFFF"/>
            <w:tcMar>
              <w:top w:w="0" w:type="dxa"/>
              <w:left w:w="0" w:type="dxa"/>
              <w:bottom w:w="0" w:type="dxa"/>
              <w:right w:w="0" w:type="dxa"/>
            </w:tcMar>
            <w:vAlign w:val="center"/>
          </w:tcPr>
          <w:p w14:paraId="743F121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MENA</w:t>
            </w:r>
          </w:p>
        </w:tc>
        <w:tc>
          <w:tcPr>
            <w:tcW w:w="1260" w:type="dxa"/>
            <w:tcBorders>
              <w:top w:val="single" w:sz="8" w:space="0" w:color="666666"/>
            </w:tcBorders>
            <w:shd w:val="clear" w:color="auto" w:fill="FFFFFF"/>
            <w:tcMar>
              <w:top w:w="0" w:type="dxa"/>
              <w:left w:w="0" w:type="dxa"/>
              <w:bottom w:w="0" w:type="dxa"/>
              <w:right w:w="0" w:type="dxa"/>
            </w:tcMar>
            <w:vAlign w:val="center"/>
          </w:tcPr>
          <w:p w14:paraId="32A5BA19" w14:textId="31D27B12"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1AE11E5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955872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4,640 / 386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12DFE8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4,955 / 401</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C8AD02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4,407 / 398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45FF76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5,375 / 386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0A21935" w14:textId="77777777" w:rsidR="00A96279" w:rsidRPr="00470330" w:rsidRDefault="00A96279" w:rsidP="00A96279">
            <w:pPr>
              <w:keepNext/>
              <w:spacing w:before="0" w:after="0" w:line="240" w:lineRule="auto"/>
              <w:ind w:left="100" w:right="100" w:firstLine="0"/>
              <w:rPr>
                <w:sz w:val="20"/>
                <w:szCs w:val="20"/>
              </w:rPr>
            </w:pPr>
          </w:p>
        </w:tc>
      </w:tr>
      <w:tr w:rsidR="00A96279" w:rsidRPr="00470330" w14:paraId="3E3B9290" w14:textId="77777777" w:rsidTr="004E17BE">
        <w:trPr>
          <w:cantSplit/>
        </w:trPr>
        <w:tc>
          <w:tcPr>
            <w:tcW w:w="1530" w:type="dxa"/>
            <w:shd w:val="clear" w:color="auto" w:fill="FFFFFF"/>
            <w:tcMar>
              <w:top w:w="0" w:type="dxa"/>
              <w:left w:w="0" w:type="dxa"/>
              <w:bottom w:w="0" w:type="dxa"/>
              <w:right w:w="0" w:type="dxa"/>
            </w:tcMar>
            <w:vAlign w:val="center"/>
          </w:tcPr>
          <w:p w14:paraId="0A5E0BB0"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54F314CF"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0C723A0B"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1529809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4376E2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2,450 / 388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D89E90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2,596 / 400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EBE363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2,390 / 398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232D96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2,969 / 385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3CB6DAE" w14:textId="77777777" w:rsidR="00A96279" w:rsidRPr="00470330" w:rsidRDefault="00A96279" w:rsidP="00A96279">
            <w:pPr>
              <w:keepNext/>
              <w:spacing w:before="0" w:after="0" w:line="240" w:lineRule="auto"/>
              <w:ind w:left="100" w:right="100" w:firstLine="0"/>
              <w:rPr>
                <w:sz w:val="20"/>
                <w:szCs w:val="20"/>
              </w:rPr>
            </w:pPr>
          </w:p>
        </w:tc>
      </w:tr>
      <w:tr w:rsidR="00A96279" w:rsidRPr="00470330" w14:paraId="5882AD31"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0E727CCD"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592A79D2"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4D9053B7"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34E878E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574406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2,190 / 383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7D8094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2,359 / 401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5E9FDA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2,017 / 399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CB3F2D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2,406 / 388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E77E46A" w14:textId="77777777" w:rsidR="00A96279" w:rsidRPr="00470330" w:rsidRDefault="00A96279" w:rsidP="00A96279">
            <w:pPr>
              <w:keepNext/>
              <w:spacing w:before="0" w:after="0" w:line="240" w:lineRule="auto"/>
              <w:ind w:left="100" w:right="100" w:firstLine="0"/>
              <w:rPr>
                <w:sz w:val="20"/>
                <w:szCs w:val="20"/>
              </w:rPr>
            </w:pPr>
          </w:p>
        </w:tc>
      </w:tr>
      <w:tr w:rsidR="00A96279" w:rsidRPr="00470330" w14:paraId="11288EC4"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283B2637"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Turkey</w:t>
            </w:r>
          </w:p>
        </w:tc>
        <w:tc>
          <w:tcPr>
            <w:tcW w:w="1620" w:type="dxa"/>
            <w:tcBorders>
              <w:top w:val="single" w:sz="8" w:space="0" w:color="666666"/>
            </w:tcBorders>
            <w:shd w:val="clear" w:color="auto" w:fill="FFFFFF"/>
            <w:tcMar>
              <w:top w:w="0" w:type="dxa"/>
              <w:left w:w="0" w:type="dxa"/>
              <w:bottom w:w="0" w:type="dxa"/>
              <w:right w:w="0" w:type="dxa"/>
            </w:tcMar>
            <w:vAlign w:val="center"/>
          </w:tcPr>
          <w:p w14:paraId="0035D7AA" w14:textId="77777777" w:rsidR="00A96279" w:rsidRPr="00470330" w:rsidRDefault="00A96279" w:rsidP="00A96279">
            <w:pPr>
              <w:keepNext/>
              <w:spacing w:before="0" w:after="0" w:line="240" w:lineRule="auto"/>
              <w:ind w:left="100" w:right="100" w:firstLine="0"/>
              <w:rPr>
                <w:sz w:val="20"/>
                <w:szCs w:val="20"/>
              </w:rPr>
            </w:pPr>
          </w:p>
        </w:tc>
        <w:tc>
          <w:tcPr>
            <w:tcW w:w="1260" w:type="dxa"/>
            <w:tcBorders>
              <w:top w:val="single" w:sz="8" w:space="0" w:color="666666"/>
            </w:tcBorders>
            <w:shd w:val="clear" w:color="auto" w:fill="FFFFFF"/>
            <w:tcMar>
              <w:top w:w="0" w:type="dxa"/>
              <w:left w:w="0" w:type="dxa"/>
              <w:bottom w:w="0" w:type="dxa"/>
              <w:right w:w="0" w:type="dxa"/>
            </w:tcMar>
            <w:vAlign w:val="center"/>
          </w:tcPr>
          <w:p w14:paraId="2C9F336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7283DB6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785A0C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4,942 / 424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C7553A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4,996 / 454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C16D5F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4,848 / 463</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31BCD8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5,895 / 425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CA8C20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6,890 / 468</w:t>
            </w:r>
          </w:p>
        </w:tc>
      </w:tr>
      <w:tr w:rsidR="00A96279" w:rsidRPr="00470330" w14:paraId="394E79BA" w14:textId="77777777" w:rsidTr="004E17BE">
        <w:trPr>
          <w:cantSplit/>
        </w:trPr>
        <w:tc>
          <w:tcPr>
            <w:tcW w:w="1530" w:type="dxa"/>
            <w:shd w:val="clear" w:color="auto" w:fill="FFFFFF"/>
            <w:tcMar>
              <w:top w:w="0" w:type="dxa"/>
              <w:left w:w="0" w:type="dxa"/>
              <w:bottom w:w="0" w:type="dxa"/>
              <w:right w:w="0" w:type="dxa"/>
            </w:tcMar>
            <w:vAlign w:val="center"/>
          </w:tcPr>
          <w:p w14:paraId="5BF9B138"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15109E24"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98F9B07"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553B2E1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A64EED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2,290 / 430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D2AB16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2,445 / 460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9E572D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2,370 / 469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273B6F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2,938 / 429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C3FDEA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3,396 / 472</w:t>
            </w:r>
          </w:p>
        </w:tc>
      </w:tr>
      <w:tr w:rsidR="00A96279" w:rsidRPr="00470330" w14:paraId="703B3A91"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12A0972F"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35D4ABE9"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3AD3C836"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69B48CC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E8A250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2,652 / 418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4BB833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2,551 / 448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8A5B09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2,478 / 458</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7757CD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2,957 / 422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143C72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3,494 / 465</w:t>
            </w:r>
          </w:p>
        </w:tc>
      </w:tr>
      <w:tr w:rsidR="00A96279" w:rsidRPr="00470330" w14:paraId="3874A185"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2B42B70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Ukraine</w:t>
            </w:r>
          </w:p>
        </w:tc>
        <w:tc>
          <w:tcPr>
            <w:tcW w:w="1620" w:type="dxa"/>
            <w:tcBorders>
              <w:top w:val="single" w:sz="8" w:space="0" w:color="666666"/>
            </w:tcBorders>
            <w:shd w:val="clear" w:color="auto" w:fill="FFFFFF"/>
            <w:tcMar>
              <w:top w:w="0" w:type="dxa"/>
              <w:left w:w="0" w:type="dxa"/>
              <w:bottom w:w="0" w:type="dxa"/>
              <w:right w:w="0" w:type="dxa"/>
            </w:tcMar>
            <w:vAlign w:val="center"/>
          </w:tcPr>
          <w:p w14:paraId="39734B4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Eastern Europe</w:t>
            </w:r>
          </w:p>
        </w:tc>
        <w:tc>
          <w:tcPr>
            <w:tcW w:w="1260" w:type="dxa"/>
            <w:tcBorders>
              <w:top w:val="single" w:sz="8" w:space="0" w:color="666666"/>
            </w:tcBorders>
            <w:shd w:val="clear" w:color="auto" w:fill="FFFFFF"/>
            <w:tcMar>
              <w:top w:w="0" w:type="dxa"/>
              <w:left w:w="0" w:type="dxa"/>
              <w:bottom w:w="0" w:type="dxa"/>
              <w:right w:w="0" w:type="dxa"/>
            </w:tcMar>
            <w:vAlign w:val="center"/>
          </w:tcPr>
          <w:p w14:paraId="171A9E5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7338F2A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AC2C1D8"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C9363FE"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D6FF006"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A57ED78"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A3E05E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5,998 / 469</w:t>
            </w:r>
          </w:p>
        </w:tc>
      </w:tr>
      <w:tr w:rsidR="00A96279" w:rsidRPr="00470330" w14:paraId="2C496906" w14:textId="77777777" w:rsidTr="004E17BE">
        <w:trPr>
          <w:cantSplit/>
        </w:trPr>
        <w:tc>
          <w:tcPr>
            <w:tcW w:w="1530" w:type="dxa"/>
            <w:shd w:val="clear" w:color="auto" w:fill="FFFFFF"/>
            <w:tcMar>
              <w:top w:w="0" w:type="dxa"/>
              <w:left w:w="0" w:type="dxa"/>
              <w:bottom w:w="0" w:type="dxa"/>
              <w:right w:w="0" w:type="dxa"/>
            </w:tcMar>
            <w:vAlign w:val="center"/>
          </w:tcPr>
          <w:p w14:paraId="6D652CE0"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5D778B1A"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4E205CDB"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A97136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0D11C95"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1424DC2"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7ADC5D9"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08BDC6B"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093AC6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2,857 / 468</w:t>
            </w:r>
          </w:p>
        </w:tc>
      </w:tr>
      <w:tr w:rsidR="00A96279" w:rsidRPr="00470330" w14:paraId="5A69F159"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174EC5DA"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4408F84A"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2729FC49"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10C0485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BA45147"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9CEED8E"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027C357C"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21C81CD"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AAC98A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3,141 / 470</w:t>
            </w:r>
          </w:p>
        </w:tc>
      </w:tr>
      <w:tr w:rsidR="00A96279" w:rsidRPr="00470330" w14:paraId="55A9EDEE"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2D5CCEA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United Arab Emirates</w:t>
            </w:r>
          </w:p>
        </w:tc>
        <w:tc>
          <w:tcPr>
            <w:tcW w:w="1620" w:type="dxa"/>
            <w:tcBorders>
              <w:top w:val="single" w:sz="8" w:space="0" w:color="666666"/>
            </w:tcBorders>
            <w:shd w:val="clear" w:color="auto" w:fill="FFFFFF"/>
            <w:tcMar>
              <w:top w:w="0" w:type="dxa"/>
              <w:left w:w="0" w:type="dxa"/>
              <w:bottom w:w="0" w:type="dxa"/>
              <w:right w:w="0" w:type="dxa"/>
            </w:tcMar>
            <w:vAlign w:val="center"/>
          </w:tcPr>
          <w:p w14:paraId="5C6FD48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MENA</w:t>
            </w:r>
          </w:p>
        </w:tc>
        <w:tc>
          <w:tcPr>
            <w:tcW w:w="1260" w:type="dxa"/>
            <w:tcBorders>
              <w:top w:val="single" w:sz="8" w:space="0" w:color="666666"/>
            </w:tcBorders>
            <w:shd w:val="clear" w:color="auto" w:fill="FFFFFF"/>
            <w:tcMar>
              <w:top w:w="0" w:type="dxa"/>
              <w:left w:w="0" w:type="dxa"/>
              <w:bottom w:w="0" w:type="dxa"/>
              <w:right w:w="0" w:type="dxa"/>
            </w:tcMar>
            <w:vAlign w:val="center"/>
          </w:tcPr>
          <w:p w14:paraId="4938F0F2" w14:textId="23A44EAB"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28804CB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D0B7898"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C1E4BF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10,867 / 438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154258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11,500 / 448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430A91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14,167 / 437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9D403F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19,277 / 434</w:t>
            </w:r>
          </w:p>
        </w:tc>
      </w:tr>
      <w:tr w:rsidR="00A96279" w:rsidRPr="00470330" w14:paraId="49466B7B" w14:textId="77777777" w:rsidTr="004E17BE">
        <w:trPr>
          <w:cantSplit/>
        </w:trPr>
        <w:tc>
          <w:tcPr>
            <w:tcW w:w="1530" w:type="dxa"/>
            <w:shd w:val="clear" w:color="auto" w:fill="FFFFFF"/>
            <w:tcMar>
              <w:top w:w="0" w:type="dxa"/>
              <w:left w:w="0" w:type="dxa"/>
              <w:bottom w:w="0" w:type="dxa"/>
              <w:right w:w="0" w:type="dxa"/>
            </w:tcMar>
            <w:vAlign w:val="center"/>
          </w:tcPr>
          <w:p w14:paraId="7319A863"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3A5DD181"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3C3B1F4D"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32C93D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0310BF5"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14A46FD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5,313 / 454</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363BA5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5,792 / 462</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3F1562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7,115 / 449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C83043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9,380 / 447</w:t>
            </w:r>
          </w:p>
        </w:tc>
      </w:tr>
      <w:tr w:rsidR="00A96279" w:rsidRPr="00470330" w14:paraId="215F8D75"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2D9626ED"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74601262"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24AE33F6"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A0C2FA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08DA204"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48D46B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5,554 / 422</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ADE134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5,708 / 434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497356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7,052 / 424</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7E7C43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9,897 / 420</w:t>
            </w:r>
          </w:p>
        </w:tc>
      </w:tr>
      <w:tr w:rsidR="00A96279" w:rsidRPr="00470330" w14:paraId="5557FA16"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9C297A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United Kingdom</w:t>
            </w:r>
          </w:p>
        </w:tc>
        <w:tc>
          <w:tcPr>
            <w:tcW w:w="1620" w:type="dxa"/>
            <w:tcBorders>
              <w:top w:val="single" w:sz="8" w:space="0" w:color="666666"/>
            </w:tcBorders>
            <w:shd w:val="clear" w:color="auto" w:fill="FFFFFF"/>
            <w:tcMar>
              <w:top w:w="0" w:type="dxa"/>
              <w:left w:w="0" w:type="dxa"/>
              <w:bottom w:w="0" w:type="dxa"/>
              <w:right w:w="0" w:type="dxa"/>
            </w:tcMar>
            <w:vAlign w:val="center"/>
          </w:tcPr>
          <w:p w14:paraId="694176F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Western Nations</w:t>
            </w:r>
          </w:p>
        </w:tc>
        <w:tc>
          <w:tcPr>
            <w:tcW w:w="1260" w:type="dxa"/>
            <w:tcBorders>
              <w:top w:val="single" w:sz="8" w:space="0" w:color="666666"/>
            </w:tcBorders>
            <w:shd w:val="clear" w:color="auto" w:fill="FFFFFF"/>
            <w:tcMar>
              <w:top w:w="0" w:type="dxa"/>
              <w:left w:w="0" w:type="dxa"/>
              <w:bottom w:w="0" w:type="dxa"/>
              <w:right w:w="0" w:type="dxa"/>
            </w:tcMar>
            <w:vAlign w:val="center"/>
          </w:tcPr>
          <w:p w14:paraId="0F7E385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7843AA6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6EC507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13,152 / 515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2D7973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12,179 / 514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3D0AC0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12,659 / 514</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763CE2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14,157 / 509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AE95B1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13,818 / 505</w:t>
            </w:r>
          </w:p>
        </w:tc>
      </w:tr>
      <w:tr w:rsidR="00A96279" w:rsidRPr="00470330" w14:paraId="2B02F95E" w14:textId="77777777" w:rsidTr="004E17BE">
        <w:trPr>
          <w:cantSplit/>
        </w:trPr>
        <w:tc>
          <w:tcPr>
            <w:tcW w:w="1530" w:type="dxa"/>
            <w:shd w:val="clear" w:color="auto" w:fill="FFFFFF"/>
            <w:tcMar>
              <w:top w:w="0" w:type="dxa"/>
              <w:left w:w="0" w:type="dxa"/>
              <w:bottom w:w="0" w:type="dxa"/>
              <w:right w:w="0" w:type="dxa"/>
            </w:tcMar>
            <w:vAlign w:val="center"/>
          </w:tcPr>
          <w:p w14:paraId="2B220672"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535DFED5"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58060CCA"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7B25924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B6A638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6,629 / 510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B79C81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6,117 / 509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9FE69F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6,308 / 508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034A89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6,922 / 509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2F354E20"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6,996 / 503</w:t>
            </w:r>
          </w:p>
        </w:tc>
      </w:tr>
      <w:tr w:rsidR="00A96279" w:rsidRPr="00470330" w14:paraId="33FEEA61"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2C255986"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2FE8435F"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7C6D573E"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09B8ED8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67CD4D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6,523 / 520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DFF226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6,062 / 519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FD8073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6,351 / 521</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D99802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7,235 / 510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4D53FD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6,822 / 506</w:t>
            </w:r>
          </w:p>
        </w:tc>
      </w:tr>
      <w:tr w:rsidR="00A96279" w:rsidRPr="00470330" w14:paraId="50D70B2E"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55726BF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United States</w:t>
            </w:r>
          </w:p>
        </w:tc>
        <w:tc>
          <w:tcPr>
            <w:tcW w:w="1620" w:type="dxa"/>
            <w:tcBorders>
              <w:top w:val="single" w:sz="8" w:space="0" w:color="666666"/>
            </w:tcBorders>
            <w:shd w:val="clear" w:color="auto" w:fill="FFFFFF"/>
            <w:tcMar>
              <w:top w:w="0" w:type="dxa"/>
              <w:left w:w="0" w:type="dxa"/>
              <w:bottom w:w="0" w:type="dxa"/>
              <w:right w:w="0" w:type="dxa"/>
            </w:tcMar>
            <w:vAlign w:val="center"/>
          </w:tcPr>
          <w:p w14:paraId="21A4F60B" w14:textId="77777777" w:rsidR="00A96279" w:rsidRPr="00470330" w:rsidRDefault="00A96279" w:rsidP="00A96279">
            <w:pPr>
              <w:keepNext/>
              <w:spacing w:before="0" w:after="0" w:line="240" w:lineRule="auto"/>
              <w:ind w:left="100" w:right="100" w:firstLine="0"/>
              <w:rPr>
                <w:sz w:val="20"/>
                <w:szCs w:val="20"/>
              </w:rPr>
            </w:pPr>
          </w:p>
        </w:tc>
        <w:tc>
          <w:tcPr>
            <w:tcW w:w="1260" w:type="dxa"/>
            <w:tcBorders>
              <w:top w:val="single" w:sz="8" w:space="0" w:color="666666"/>
            </w:tcBorders>
            <w:shd w:val="clear" w:color="auto" w:fill="FFFFFF"/>
            <w:tcMar>
              <w:top w:w="0" w:type="dxa"/>
              <w:left w:w="0" w:type="dxa"/>
              <w:bottom w:w="0" w:type="dxa"/>
              <w:right w:w="0" w:type="dxa"/>
            </w:tcMar>
            <w:vAlign w:val="center"/>
          </w:tcPr>
          <w:p w14:paraId="507FBB84" w14:textId="6872BBA0" w:rsidR="00A96279" w:rsidRPr="00470330" w:rsidRDefault="00A96279" w:rsidP="00A96279">
            <w:pPr>
              <w:keepNext/>
              <w:spacing w:before="0" w:after="0" w:line="240" w:lineRule="auto"/>
              <w:ind w:left="100" w:right="100" w:firstLine="0"/>
              <w:rPr>
                <w:sz w:val="20"/>
                <w:szCs w:val="20"/>
              </w:rPr>
            </w:pPr>
            <w:r>
              <w:rPr>
                <w:sz w:val="20"/>
                <w:szCs w:val="20"/>
              </w:rPr>
              <w:t>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4F49A7A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7B145F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5,611 / 489</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46D643E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5,233 / 502</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4F8356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4,978 / 497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125C8F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5,712 / 496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19BCB6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4,838 / 502</w:t>
            </w:r>
          </w:p>
        </w:tc>
      </w:tr>
      <w:tr w:rsidR="00A96279" w:rsidRPr="00470330" w14:paraId="42808A6B" w14:textId="77777777" w:rsidTr="004E17BE">
        <w:trPr>
          <w:cantSplit/>
        </w:trPr>
        <w:tc>
          <w:tcPr>
            <w:tcW w:w="1530" w:type="dxa"/>
            <w:shd w:val="clear" w:color="auto" w:fill="FFFFFF"/>
            <w:tcMar>
              <w:top w:w="0" w:type="dxa"/>
              <w:left w:w="0" w:type="dxa"/>
              <w:bottom w:w="0" w:type="dxa"/>
              <w:right w:w="0" w:type="dxa"/>
            </w:tcMar>
            <w:vAlign w:val="center"/>
          </w:tcPr>
          <w:p w14:paraId="64D4B89B"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4FBAEFE5"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5191F902"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680AB33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D8B327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2,771 / 489</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01C742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2,546 / 495</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EA18D9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2,453 / 498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6C15F8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2,854 / 493</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37B7691"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2,376 / 502</w:t>
            </w:r>
          </w:p>
        </w:tc>
      </w:tr>
      <w:tr w:rsidR="00A96279" w:rsidRPr="00470330" w14:paraId="436177F0"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584AFA5E"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4F73DDA3"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2B0A88DD"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4E31472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384485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2,839 / 489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4D8E86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2,687 / 509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6058C8B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2,525 / 497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91882F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2,858 / 500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4C646AC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2,462 / 503</w:t>
            </w:r>
          </w:p>
        </w:tc>
      </w:tr>
      <w:tr w:rsidR="00A96279" w:rsidRPr="00470330" w14:paraId="450AF3D5"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0D4300A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Uruguay</w:t>
            </w:r>
          </w:p>
        </w:tc>
        <w:tc>
          <w:tcPr>
            <w:tcW w:w="1620" w:type="dxa"/>
            <w:tcBorders>
              <w:top w:val="single" w:sz="8" w:space="0" w:color="666666"/>
            </w:tcBorders>
            <w:shd w:val="clear" w:color="auto" w:fill="FFFFFF"/>
            <w:tcMar>
              <w:top w:w="0" w:type="dxa"/>
              <w:left w:w="0" w:type="dxa"/>
              <w:bottom w:w="0" w:type="dxa"/>
              <w:right w:w="0" w:type="dxa"/>
            </w:tcMar>
            <w:vAlign w:val="center"/>
          </w:tcPr>
          <w:p w14:paraId="5E7C4DDF" w14:textId="77777777" w:rsidR="00A96279" w:rsidRPr="00470330" w:rsidRDefault="00A96279" w:rsidP="00A96279">
            <w:pPr>
              <w:keepNext/>
              <w:spacing w:before="0" w:after="0" w:line="240" w:lineRule="auto"/>
              <w:ind w:left="100" w:right="100" w:firstLine="0"/>
              <w:rPr>
                <w:sz w:val="20"/>
                <w:szCs w:val="20"/>
              </w:rPr>
            </w:pPr>
            <w:r>
              <w:rPr>
                <w:rFonts w:eastAsia="Arial"/>
                <w:color w:val="000000"/>
                <w:sz w:val="20"/>
                <w:szCs w:val="20"/>
              </w:rPr>
              <w:t>Latin America/ Caribbean/ Other</w:t>
            </w:r>
          </w:p>
        </w:tc>
        <w:tc>
          <w:tcPr>
            <w:tcW w:w="1260" w:type="dxa"/>
            <w:tcBorders>
              <w:top w:val="single" w:sz="8" w:space="0" w:color="666666"/>
            </w:tcBorders>
            <w:shd w:val="clear" w:color="auto" w:fill="FFFFFF"/>
            <w:tcMar>
              <w:top w:w="0" w:type="dxa"/>
              <w:left w:w="0" w:type="dxa"/>
              <w:bottom w:w="0" w:type="dxa"/>
              <w:right w:w="0" w:type="dxa"/>
            </w:tcMar>
            <w:vAlign w:val="center"/>
          </w:tcPr>
          <w:p w14:paraId="61C449F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425750E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AC8115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4,839 / 428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584D81B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5,957 / 427</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075CD7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5,315 / 416</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3257A6AB"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6,062 / 435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67A1CB8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5,263 / 426</w:t>
            </w:r>
          </w:p>
        </w:tc>
      </w:tr>
      <w:tr w:rsidR="00A96279" w:rsidRPr="00470330" w14:paraId="55D19AE0" w14:textId="77777777" w:rsidTr="004E17BE">
        <w:trPr>
          <w:cantSplit/>
        </w:trPr>
        <w:tc>
          <w:tcPr>
            <w:tcW w:w="1530" w:type="dxa"/>
            <w:shd w:val="clear" w:color="auto" w:fill="FFFFFF"/>
            <w:tcMar>
              <w:top w:w="0" w:type="dxa"/>
              <w:left w:w="0" w:type="dxa"/>
              <w:bottom w:w="0" w:type="dxa"/>
              <w:right w:w="0" w:type="dxa"/>
            </w:tcMar>
            <w:vAlign w:val="center"/>
          </w:tcPr>
          <w:p w14:paraId="503905C6"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369F5D23"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1AC4EA40"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0F5B4742"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BC976AF"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2,567 / 430</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3ADAEAE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3,147 / 428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B722C6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2,826 / 416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61F5E9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3,154 / 431</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C7D812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2,732 / 424</w:t>
            </w:r>
          </w:p>
        </w:tc>
      </w:tr>
      <w:tr w:rsidR="00A96279" w:rsidRPr="00470330" w14:paraId="5CF9536D" w14:textId="77777777" w:rsidTr="004E17BE">
        <w:trPr>
          <w:cantSplit/>
        </w:trPr>
        <w:tc>
          <w:tcPr>
            <w:tcW w:w="1530" w:type="dxa"/>
            <w:tcBorders>
              <w:bottom w:val="single" w:sz="8" w:space="0" w:color="666666"/>
            </w:tcBorders>
            <w:shd w:val="clear" w:color="auto" w:fill="FFFFFF"/>
            <w:tcMar>
              <w:top w:w="0" w:type="dxa"/>
              <w:left w:w="0" w:type="dxa"/>
              <w:bottom w:w="0" w:type="dxa"/>
              <w:right w:w="0" w:type="dxa"/>
            </w:tcMar>
            <w:vAlign w:val="center"/>
          </w:tcPr>
          <w:p w14:paraId="652F630E"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65F80E90"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78539B87"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3A82757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9E22888"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2,272 / 427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3439C75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2,810 / 427</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27A2327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2,489 / 415</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4761C5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2,908 / 440</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2297EFC"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2,531 / 428</w:t>
            </w:r>
          </w:p>
        </w:tc>
      </w:tr>
      <w:tr w:rsidR="00A96279" w:rsidRPr="00470330" w14:paraId="50996306" w14:textId="77777777" w:rsidTr="004E17BE">
        <w:trPr>
          <w:cantSplit/>
        </w:trPr>
        <w:tc>
          <w:tcPr>
            <w:tcW w:w="1530" w:type="dxa"/>
            <w:tcBorders>
              <w:top w:val="single" w:sz="8" w:space="0" w:color="666666"/>
            </w:tcBorders>
            <w:shd w:val="clear" w:color="auto" w:fill="FFFFFF"/>
            <w:tcMar>
              <w:top w:w="0" w:type="dxa"/>
              <w:left w:w="0" w:type="dxa"/>
              <w:bottom w:w="0" w:type="dxa"/>
              <w:right w:w="0" w:type="dxa"/>
            </w:tcMar>
            <w:vAlign w:val="center"/>
          </w:tcPr>
          <w:p w14:paraId="64025A2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Vietnam</w:t>
            </w:r>
          </w:p>
        </w:tc>
        <w:tc>
          <w:tcPr>
            <w:tcW w:w="1620" w:type="dxa"/>
            <w:tcBorders>
              <w:top w:val="single" w:sz="8" w:space="0" w:color="666666"/>
            </w:tcBorders>
            <w:shd w:val="clear" w:color="auto" w:fill="FFFFFF"/>
            <w:tcMar>
              <w:top w:w="0" w:type="dxa"/>
              <w:left w:w="0" w:type="dxa"/>
              <w:bottom w:w="0" w:type="dxa"/>
              <w:right w:w="0" w:type="dxa"/>
            </w:tcMar>
            <w:vAlign w:val="center"/>
          </w:tcPr>
          <w:p w14:paraId="494A91E5"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South-Eastern Asia</w:t>
            </w:r>
          </w:p>
        </w:tc>
        <w:tc>
          <w:tcPr>
            <w:tcW w:w="1260" w:type="dxa"/>
            <w:tcBorders>
              <w:top w:val="single" w:sz="8" w:space="0" w:color="666666"/>
            </w:tcBorders>
            <w:shd w:val="clear" w:color="auto" w:fill="FFFFFF"/>
            <w:tcMar>
              <w:top w:w="0" w:type="dxa"/>
              <w:left w:w="0" w:type="dxa"/>
              <w:bottom w:w="0" w:type="dxa"/>
              <w:right w:w="0" w:type="dxa"/>
            </w:tcMar>
            <w:vAlign w:val="center"/>
          </w:tcPr>
          <w:p w14:paraId="4CCBC958" w14:textId="23449A8B"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Non-OECD</w:t>
            </w:r>
          </w:p>
        </w:tc>
        <w:tc>
          <w:tcPr>
            <w:tcW w:w="990" w:type="dxa"/>
            <w:tcBorders>
              <w:top w:val="single" w:sz="8" w:space="0" w:color="666666"/>
              <w:right w:val="single" w:sz="8" w:space="0" w:color="666666"/>
            </w:tcBorders>
            <w:shd w:val="clear" w:color="auto" w:fill="FFFFFF"/>
            <w:tcMar>
              <w:top w:w="0" w:type="dxa"/>
              <w:left w:w="0" w:type="dxa"/>
              <w:bottom w:w="0" w:type="dxa"/>
              <w:right w:w="0" w:type="dxa"/>
            </w:tcMar>
            <w:vAlign w:val="center"/>
          </w:tcPr>
          <w:p w14:paraId="40F815ED"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Total</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86E0097"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7F194C03" w14:textId="77777777" w:rsidR="00A96279" w:rsidRPr="00470330" w:rsidRDefault="00A96279" w:rsidP="00A96279">
            <w:pPr>
              <w:keepNext/>
              <w:spacing w:before="0" w:after="0" w:line="240" w:lineRule="auto"/>
              <w:ind w:left="100" w:right="100" w:firstLine="0"/>
              <w:rPr>
                <w:sz w:val="20"/>
                <w:szCs w:val="20"/>
              </w:rPr>
            </w:pP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088600E9"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4,959 / 528</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17DD9AD4"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5,826 / 525</w:t>
            </w:r>
          </w:p>
        </w:tc>
        <w:tc>
          <w:tcPr>
            <w:tcW w:w="1404" w:type="dxa"/>
            <w:tcBorders>
              <w:top w:val="single" w:sz="8" w:space="0" w:color="666666"/>
              <w:left w:val="single" w:sz="8" w:space="0" w:color="666666"/>
              <w:right w:val="single" w:sz="8" w:space="0" w:color="666666"/>
            </w:tcBorders>
            <w:shd w:val="clear" w:color="auto" w:fill="FFFFFF"/>
            <w:tcMar>
              <w:top w:w="0" w:type="dxa"/>
              <w:left w:w="0" w:type="dxa"/>
              <w:bottom w:w="0" w:type="dxa"/>
              <w:right w:w="0" w:type="dxa"/>
            </w:tcMar>
            <w:vAlign w:val="center"/>
          </w:tcPr>
          <w:p w14:paraId="2B8962A0" w14:textId="77777777" w:rsidR="00A96279" w:rsidRPr="00470330" w:rsidRDefault="00A96279" w:rsidP="00A96279">
            <w:pPr>
              <w:keepNext/>
              <w:spacing w:before="0" w:after="0" w:line="240" w:lineRule="auto"/>
              <w:ind w:left="100" w:right="100" w:firstLine="0"/>
              <w:rPr>
                <w:sz w:val="20"/>
                <w:szCs w:val="20"/>
              </w:rPr>
            </w:pPr>
          </w:p>
        </w:tc>
      </w:tr>
      <w:tr w:rsidR="00A96279" w:rsidRPr="00470330" w14:paraId="6BDEEB07" w14:textId="77777777" w:rsidTr="004E17BE">
        <w:trPr>
          <w:cantSplit/>
          <w:trHeight w:val="177"/>
        </w:trPr>
        <w:tc>
          <w:tcPr>
            <w:tcW w:w="1530" w:type="dxa"/>
            <w:shd w:val="clear" w:color="auto" w:fill="FFFFFF"/>
            <w:tcMar>
              <w:top w:w="0" w:type="dxa"/>
              <w:left w:w="0" w:type="dxa"/>
              <w:bottom w:w="0" w:type="dxa"/>
              <w:right w:w="0" w:type="dxa"/>
            </w:tcMar>
            <w:vAlign w:val="center"/>
          </w:tcPr>
          <w:p w14:paraId="2778C149" w14:textId="77777777" w:rsidR="00A96279" w:rsidRPr="00470330" w:rsidRDefault="00A96279" w:rsidP="00A96279">
            <w:pPr>
              <w:keepNext/>
              <w:spacing w:before="0" w:after="0" w:line="240" w:lineRule="auto"/>
              <w:ind w:left="100" w:right="100" w:firstLine="0"/>
              <w:rPr>
                <w:sz w:val="20"/>
                <w:szCs w:val="20"/>
              </w:rPr>
            </w:pPr>
          </w:p>
        </w:tc>
        <w:tc>
          <w:tcPr>
            <w:tcW w:w="1620" w:type="dxa"/>
            <w:shd w:val="clear" w:color="auto" w:fill="FFFFFF"/>
            <w:tcMar>
              <w:top w:w="0" w:type="dxa"/>
              <w:left w:w="0" w:type="dxa"/>
              <w:bottom w:w="0" w:type="dxa"/>
              <w:right w:w="0" w:type="dxa"/>
            </w:tcMar>
            <w:vAlign w:val="center"/>
          </w:tcPr>
          <w:p w14:paraId="5E9BDAC5" w14:textId="77777777" w:rsidR="00A96279" w:rsidRPr="00470330" w:rsidRDefault="00A96279" w:rsidP="00A96279">
            <w:pPr>
              <w:keepNext/>
              <w:spacing w:before="0" w:after="0" w:line="240" w:lineRule="auto"/>
              <w:ind w:left="100" w:right="100" w:firstLine="0"/>
              <w:rPr>
                <w:sz w:val="20"/>
                <w:szCs w:val="20"/>
              </w:rPr>
            </w:pPr>
          </w:p>
        </w:tc>
        <w:tc>
          <w:tcPr>
            <w:tcW w:w="1260" w:type="dxa"/>
            <w:shd w:val="clear" w:color="auto" w:fill="FFFFFF"/>
            <w:tcMar>
              <w:top w:w="0" w:type="dxa"/>
              <w:left w:w="0" w:type="dxa"/>
              <w:bottom w:w="0" w:type="dxa"/>
              <w:right w:w="0" w:type="dxa"/>
            </w:tcMar>
            <w:vAlign w:val="center"/>
          </w:tcPr>
          <w:p w14:paraId="1C249BD3" w14:textId="77777777" w:rsidR="00A96279" w:rsidRPr="00470330" w:rsidRDefault="00A96279" w:rsidP="00A96279">
            <w:pPr>
              <w:keepNext/>
              <w:spacing w:before="0" w:after="0" w:line="240" w:lineRule="auto"/>
              <w:ind w:left="100" w:right="100" w:firstLine="0"/>
              <w:rPr>
                <w:sz w:val="20"/>
                <w:szCs w:val="20"/>
              </w:rPr>
            </w:pPr>
          </w:p>
        </w:tc>
        <w:tc>
          <w:tcPr>
            <w:tcW w:w="990" w:type="dxa"/>
            <w:tcBorders>
              <w:right w:val="single" w:sz="8" w:space="0" w:color="666666"/>
            </w:tcBorders>
            <w:shd w:val="clear" w:color="auto" w:fill="FFFFFF"/>
            <w:tcMar>
              <w:top w:w="0" w:type="dxa"/>
              <w:left w:w="0" w:type="dxa"/>
              <w:bottom w:w="0" w:type="dxa"/>
              <w:right w:w="0" w:type="dxa"/>
            </w:tcMar>
            <w:vAlign w:val="center"/>
          </w:tcPr>
          <w:p w14:paraId="437AA27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Female</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2B7FE55"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77A4DED0"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0B04CCE6"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2,648 / 528</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5235466E"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3,040 / 526</w:t>
            </w:r>
          </w:p>
        </w:tc>
        <w:tc>
          <w:tcPr>
            <w:tcW w:w="1404" w:type="dxa"/>
            <w:tcBorders>
              <w:left w:val="single" w:sz="8" w:space="0" w:color="666666"/>
              <w:right w:val="single" w:sz="8" w:space="0" w:color="666666"/>
            </w:tcBorders>
            <w:shd w:val="clear" w:color="auto" w:fill="FFFFFF"/>
            <w:tcMar>
              <w:top w:w="0" w:type="dxa"/>
              <w:left w:w="0" w:type="dxa"/>
              <w:bottom w:w="0" w:type="dxa"/>
              <w:right w:w="0" w:type="dxa"/>
            </w:tcMar>
            <w:vAlign w:val="center"/>
          </w:tcPr>
          <w:p w14:paraId="60DBD09C" w14:textId="77777777" w:rsidR="00A96279" w:rsidRPr="00470330" w:rsidRDefault="00A96279" w:rsidP="00A96279">
            <w:pPr>
              <w:keepNext/>
              <w:spacing w:before="0" w:after="0" w:line="240" w:lineRule="auto"/>
              <w:ind w:left="100" w:right="100" w:firstLine="0"/>
              <w:rPr>
                <w:sz w:val="20"/>
                <w:szCs w:val="20"/>
              </w:rPr>
            </w:pPr>
          </w:p>
        </w:tc>
      </w:tr>
      <w:tr w:rsidR="00A96279" w:rsidRPr="00470330" w14:paraId="5EA93232" w14:textId="77777777" w:rsidTr="004E17BE">
        <w:trPr>
          <w:cantSplit/>
          <w:trHeight w:val="186"/>
        </w:trPr>
        <w:tc>
          <w:tcPr>
            <w:tcW w:w="1530" w:type="dxa"/>
            <w:tcBorders>
              <w:bottom w:val="single" w:sz="8" w:space="0" w:color="666666"/>
            </w:tcBorders>
            <w:shd w:val="clear" w:color="auto" w:fill="FFFFFF"/>
            <w:tcMar>
              <w:top w:w="0" w:type="dxa"/>
              <w:left w:w="0" w:type="dxa"/>
              <w:bottom w:w="0" w:type="dxa"/>
              <w:right w:w="0" w:type="dxa"/>
            </w:tcMar>
            <w:vAlign w:val="center"/>
          </w:tcPr>
          <w:p w14:paraId="61EB5D22" w14:textId="77777777" w:rsidR="00A96279" w:rsidRPr="00470330" w:rsidRDefault="00A96279" w:rsidP="00A96279">
            <w:pPr>
              <w:keepNext/>
              <w:spacing w:before="0" w:after="0" w:line="240" w:lineRule="auto"/>
              <w:ind w:left="100" w:right="100" w:firstLine="0"/>
              <w:rPr>
                <w:sz w:val="20"/>
                <w:szCs w:val="20"/>
              </w:rPr>
            </w:pPr>
          </w:p>
        </w:tc>
        <w:tc>
          <w:tcPr>
            <w:tcW w:w="1620" w:type="dxa"/>
            <w:tcBorders>
              <w:bottom w:val="single" w:sz="8" w:space="0" w:color="666666"/>
            </w:tcBorders>
            <w:shd w:val="clear" w:color="auto" w:fill="FFFFFF"/>
            <w:tcMar>
              <w:top w:w="0" w:type="dxa"/>
              <w:left w:w="0" w:type="dxa"/>
              <w:bottom w:w="0" w:type="dxa"/>
              <w:right w:w="0" w:type="dxa"/>
            </w:tcMar>
            <w:vAlign w:val="center"/>
          </w:tcPr>
          <w:p w14:paraId="1D60C948" w14:textId="77777777" w:rsidR="00A96279" w:rsidRPr="00470330" w:rsidRDefault="00A96279" w:rsidP="00A96279">
            <w:pPr>
              <w:keepNext/>
              <w:spacing w:before="0" w:after="0" w:line="240" w:lineRule="auto"/>
              <w:ind w:left="100" w:right="100" w:firstLine="0"/>
              <w:rPr>
                <w:sz w:val="20"/>
                <w:szCs w:val="20"/>
              </w:rPr>
            </w:pPr>
          </w:p>
        </w:tc>
        <w:tc>
          <w:tcPr>
            <w:tcW w:w="1260" w:type="dxa"/>
            <w:tcBorders>
              <w:bottom w:val="single" w:sz="8" w:space="0" w:color="666666"/>
            </w:tcBorders>
            <w:shd w:val="clear" w:color="auto" w:fill="FFFFFF"/>
            <w:tcMar>
              <w:top w:w="0" w:type="dxa"/>
              <w:left w:w="0" w:type="dxa"/>
              <w:bottom w:w="0" w:type="dxa"/>
              <w:right w:w="0" w:type="dxa"/>
            </w:tcMar>
            <w:vAlign w:val="center"/>
          </w:tcPr>
          <w:p w14:paraId="25168029" w14:textId="77777777" w:rsidR="00A96279" w:rsidRPr="00470330" w:rsidRDefault="00A96279" w:rsidP="00A96279">
            <w:pPr>
              <w:keepNext/>
              <w:spacing w:before="0" w:after="0" w:line="240" w:lineRule="auto"/>
              <w:ind w:left="100" w:right="100" w:firstLine="0"/>
              <w:rPr>
                <w:sz w:val="20"/>
                <w:szCs w:val="20"/>
              </w:rPr>
            </w:pPr>
          </w:p>
        </w:tc>
        <w:tc>
          <w:tcPr>
            <w:tcW w:w="990" w:type="dxa"/>
            <w:tcBorders>
              <w:bottom w:val="single" w:sz="8" w:space="0" w:color="666666"/>
              <w:right w:val="single" w:sz="8" w:space="0" w:color="666666"/>
            </w:tcBorders>
            <w:shd w:val="clear" w:color="auto" w:fill="FFFFFF"/>
            <w:tcMar>
              <w:top w:w="0" w:type="dxa"/>
              <w:left w:w="0" w:type="dxa"/>
              <w:bottom w:w="0" w:type="dxa"/>
              <w:right w:w="0" w:type="dxa"/>
            </w:tcMar>
            <w:vAlign w:val="center"/>
          </w:tcPr>
          <w:p w14:paraId="6B3F76C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Male</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CBD11AD"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C5C0212" w14:textId="77777777" w:rsidR="00A96279" w:rsidRPr="00470330" w:rsidRDefault="00A96279" w:rsidP="00A96279">
            <w:pPr>
              <w:keepNext/>
              <w:spacing w:before="0" w:after="0" w:line="240" w:lineRule="auto"/>
              <w:ind w:left="100" w:right="100" w:firstLine="0"/>
              <w:rPr>
                <w:sz w:val="20"/>
                <w:szCs w:val="20"/>
              </w:rPr>
            </w:pP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70C85FDA"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2,311 / 529</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52121D03" w14:textId="77777777" w:rsidR="00A96279" w:rsidRPr="00470330" w:rsidRDefault="00A96279" w:rsidP="00A96279">
            <w:pPr>
              <w:keepNext/>
              <w:spacing w:before="0" w:after="0" w:line="240" w:lineRule="auto"/>
              <w:ind w:left="100" w:right="100" w:firstLine="0"/>
              <w:rPr>
                <w:sz w:val="20"/>
                <w:szCs w:val="20"/>
              </w:rPr>
            </w:pPr>
            <w:r w:rsidRPr="00470330">
              <w:rPr>
                <w:rFonts w:eastAsia="Arial"/>
                <w:color w:val="000000"/>
                <w:sz w:val="20"/>
                <w:szCs w:val="20"/>
              </w:rPr>
              <w:t>2,786 / 523</w:t>
            </w:r>
          </w:p>
        </w:tc>
        <w:tc>
          <w:tcPr>
            <w:tcW w:w="1404" w:type="dxa"/>
            <w:tcBorders>
              <w:left w:val="single" w:sz="8" w:space="0" w:color="666666"/>
              <w:bottom w:val="single" w:sz="8" w:space="0" w:color="666666"/>
              <w:right w:val="single" w:sz="8" w:space="0" w:color="666666"/>
            </w:tcBorders>
            <w:shd w:val="clear" w:color="auto" w:fill="FFFFFF"/>
            <w:tcMar>
              <w:top w:w="0" w:type="dxa"/>
              <w:left w:w="0" w:type="dxa"/>
              <w:bottom w:w="0" w:type="dxa"/>
              <w:right w:w="0" w:type="dxa"/>
            </w:tcMar>
            <w:vAlign w:val="center"/>
          </w:tcPr>
          <w:p w14:paraId="1BEFEECF" w14:textId="77777777" w:rsidR="00A96279" w:rsidRPr="00470330" w:rsidRDefault="00A96279" w:rsidP="00A96279">
            <w:pPr>
              <w:keepNext/>
              <w:spacing w:before="0" w:after="0" w:line="240" w:lineRule="auto"/>
              <w:ind w:left="100" w:right="100" w:firstLine="0"/>
              <w:rPr>
                <w:sz w:val="20"/>
                <w:szCs w:val="20"/>
              </w:rPr>
            </w:pPr>
          </w:p>
        </w:tc>
      </w:tr>
      <w:tr w:rsidR="00A96279" w:rsidRPr="00470330" w14:paraId="03205C92" w14:textId="77777777" w:rsidTr="004E17BE">
        <w:trPr>
          <w:cantSplit/>
        </w:trPr>
        <w:tc>
          <w:tcPr>
            <w:tcW w:w="12420" w:type="dxa"/>
            <w:gridSpan w:val="9"/>
            <w:shd w:val="clear" w:color="auto" w:fill="FFFFFF"/>
            <w:tcMar>
              <w:top w:w="0" w:type="dxa"/>
              <w:left w:w="0" w:type="dxa"/>
              <w:bottom w:w="0" w:type="dxa"/>
              <w:right w:w="0" w:type="dxa"/>
            </w:tcMar>
            <w:vAlign w:val="center"/>
          </w:tcPr>
          <w:p w14:paraId="1BF78E72" w14:textId="77777777" w:rsidR="00A96279" w:rsidRPr="00470330" w:rsidRDefault="00A96279" w:rsidP="00A96279">
            <w:pPr>
              <w:keepNext/>
              <w:spacing w:before="100" w:after="0" w:line="240" w:lineRule="auto"/>
              <w:ind w:left="100" w:right="100" w:firstLine="0"/>
              <w:rPr>
                <w:sz w:val="20"/>
                <w:szCs w:val="20"/>
              </w:rPr>
            </w:pPr>
            <w:r w:rsidRPr="00470330">
              <w:rPr>
                <w:rFonts w:eastAsia="Arial"/>
                <w:color w:val="000000"/>
                <w:sz w:val="20"/>
                <w:szCs w:val="20"/>
                <w:vertAlign w:val="superscript"/>
              </w:rPr>
              <w:t>a</w:t>
            </w:r>
            <w:r w:rsidRPr="00470330">
              <w:rPr>
                <w:rFonts w:eastAsia="Arial"/>
                <w:color w:val="000000"/>
                <w:sz w:val="20"/>
                <w:szCs w:val="20"/>
              </w:rPr>
              <w:t>Several countries changed from non-OECD to OECD during the 12-year study period: Chile (201), Estonia (2010), Israel (2010), Latvia (2016), Lithuania (2018), Slovenia (2010)</w:t>
            </w:r>
          </w:p>
        </w:tc>
      </w:tr>
      <w:tr w:rsidR="00A96279" w:rsidRPr="00470330" w14:paraId="15E28F49" w14:textId="77777777" w:rsidTr="004E17BE">
        <w:trPr>
          <w:cantSplit/>
        </w:trPr>
        <w:tc>
          <w:tcPr>
            <w:tcW w:w="12420" w:type="dxa"/>
            <w:gridSpan w:val="9"/>
            <w:shd w:val="clear" w:color="auto" w:fill="FFFFFF"/>
            <w:tcMar>
              <w:top w:w="0" w:type="dxa"/>
              <w:left w:w="0" w:type="dxa"/>
              <w:bottom w:w="0" w:type="dxa"/>
              <w:right w:w="0" w:type="dxa"/>
            </w:tcMar>
            <w:vAlign w:val="center"/>
          </w:tcPr>
          <w:p w14:paraId="0B8C0683" w14:textId="77777777" w:rsidR="00A96279" w:rsidRPr="00470330" w:rsidRDefault="00A96279" w:rsidP="00A96279">
            <w:pPr>
              <w:keepNext/>
              <w:spacing w:before="100" w:after="0" w:line="240" w:lineRule="auto"/>
              <w:ind w:left="100" w:right="100" w:firstLine="0"/>
              <w:rPr>
                <w:sz w:val="20"/>
                <w:szCs w:val="20"/>
              </w:rPr>
            </w:pPr>
            <w:r w:rsidRPr="00470330">
              <w:rPr>
                <w:rFonts w:eastAsia="Arial"/>
                <w:color w:val="000000"/>
                <w:sz w:val="20"/>
                <w:szCs w:val="20"/>
                <w:vertAlign w:val="superscript"/>
              </w:rPr>
              <w:t>b</w:t>
            </w:r>
            <w:r w:rsidRPr="00470330">
              <w:rPr>
                <w:rFonts w:eastAsia="Arial"/>
                <w:color w:val="000000"/>
                <w:sz w:val="20"/>
                <w:szCs w:val="20"/>
              </w:rPr>
              <w:t>China refers to Shanghai (2009, 2012); Beijing, Shanghai, Jiangsu, and Guangdong (2015); and Beijing, Shanghai, Jiangsu, and Zhejiang (2018)</w:t>
            </w:r>
          </w:p>
        </w:tc>
      </w:tr>
    </w:tbl>
    <w:p w14:paraId="3CBE94F7" w14:textId="34BED4DC" w:rsidR="0033629A" w:rsidRDefault="0033629A" w:rsidP="00D52E9A">
      <w:pPr>
        <w:tabs>
          <w:tab w:val="left" w:pos="3811"/>
        </w:tabs>
        <w:ind w:firstLine="0"/>
        <w:sectPr w:rsidR="0033629A" w:rsidSect="003E609A">
          <w:pgSz w:w="16838" w:h="11906" w:orient="landscape" w:code="9"/>
          <w:pgMar w:top="1440" w:right="1440" w:bottom="1440" w:left="1440" w:header="720" w:footer="720" w:gutter="0"/>
          <w:cols w:space="720"/>
        </w:sectPr>
      </w:pPr>
    </w:p>
    <w:p w14:paraId="3349DF65" w14:textId="77777777" w:rsidR="0033629A" w:rsidRDefault="004409CB" w:rsidP="00411E2D">
      <w:pPr>
        <w:pStyle w:val="Heading2"/>
      </w:pPr>
      <w:bookmarkStart w:id="434" w:name="_Toc107939134"/>
      <w:bookmarkStart w:id="435" w:name="appendix-b"/>
      <w:bookmarkEnd w:id="429"/>
      <w:r>
        <w:lastRenderedPageBreak/>
        <w:t>Appendix B</w:t>
      </w:r>
      <w:bookmarkEnd w:id="434"/>
    </w:p>
    <w:p w14:paraId="340BE874" w14:textId="77777777" w:rsidR="0033629A" w:rsidRDefault="004409CB">
      <w:pPr>
        <w:pStyle w:val="FirstParagraph"/>
      </w:pPr>
      <w:r>
        <w:t xml:space="preserve">The following analysis extends the methods outlined by </w:t>
      </w:r>
      <w:hyperlink w:anchor="ref-czarnekRightwingIdeologyReduces2021">
        <w:r>
          <w:rPr>
            <w:rStyle w:val="Hyperlink"/>
          </w:rPr>
          <w:t>Czarnek et al.</w:t>
        </w:r>
      </w:hyperlink>
      <w:r>
        <w:t xml:space="preserve"> (</w:t>
      </w:r>
      <w:hyperlink w:anchor="ref-czarnekRightwingIdeologyReduces2021">
        <w:r>
          <w:rPr>
            <w:rStyle w:val="Hyperlink"/>
          </w:rPr>
          <w:t>2021</w:t>
        </w:r>
      </w:hyperlink>
      <w:r>
        <w:t xml:space="preserve">) in developing a measure for Left-Right political orientation. Whereas their methods </w:t>
      </w:r>
      <w:proofErr w:type="gramStart"/>
      <w:r>
        <w:t>selects</w:t>
      </w:r>
      <w:proofErr w:type="gramEnd"/>
      <w:r>
        <w:t xml:space="preserve"> questions that </w:t>
      </w:r>
      <w:r>
        <w:rPr>
          <w:i/>
          <w:iCs/>
        </w:rPr>
        <w:t>seem</w:t>
      </w:r>
      <w:r>
        <w:t xml:space="preserve"> related to political orientation, the following exploratory factor analysis seeks to identify items that likely measure left-right orientation as a valid psychological construct.</w:t>
      </w:r>
    </w:p>
    <w:p w14:paraId="47E17DE9" w14:textId="4F6CA973" w:rsidR="0033629A" w:rsidRDefault="004409CB">
      <w:pPr>
        <w:pStyle w:val="BodyText"/>
      </w:pPr>
      <w:r>
        <w:t>Data from the Integrated Values Survey (</w:t>
      </w:r>
      <w:hyperlink w:anchor="ref-2021c">
        <w:r>
          <w:rPr>
            <w:rStyle w:val="Hyperlink"/>
          </w:rPr>
          <w:t>“Integrated Values Surveys (IVS) 1981-2021,” 2021</w:t>
        </w:r>
      </w:hyperlink>
      <w:r>
        <w:t xml:space="preserve">) is used for this analysis. Questions selected by </w:t>
      </w:r>
      <w:hyperlink w:anchor="ref-czarnekRightwingIdeologyReduces2021">
        <w:r>
          <w:rPr>
            <w:rStyle w:val="Hyperlink"/>
          </w:rPr>
          <w:t>Czarnek et al.</w:t>
        </w:r>
      </w:hyperlink>
      <w:r>
        <w:t xml:space="preserve"> (</w:t>
      </w:r>
      <w:hyperlink w:anchor="ref-czarnekRightwingIdeologyReduces2021">
        <w:r>
          <w:rPr>
            <w:rStyle w:val="Hyperlink"/>
          </w:rPr>
          <w:t>2021</w:t>
        </w:r>
      </w:hyperlink>
      <w:r>
        <w:t xml:space="preserve">) are included, as well as additional questions identified as possibly related to political orientation (Table </w:t>
      </w:r>
      <w:hyperlink w:anchor="ivsquestions">
        <w:r>
          <w:fldChar w:fldCharType="begin"/>
        </w:r>
        <w:r>
          <w:instrText xml:space="preserve"> REF ivsquestions \h</w:instrText>
        </w:r>
        <w:r>
          <w:fldChar w:fldCharType="separate"/>
        </w:r>
        <w:r w:rsidR="00766923">
          <w:rPr>
            <w:b/>
            <w:noProof/>
          </w:rPr>
          <w:t>9</w:t>
        </w:r>
        <w:r>
          <w:fldChar w:fldCharType="end"/>
        </w:r>
      </w:hyperlink>
      <w:r>
        <w:t xml:space="preserve">). Items were reverse-coded or recoded as needed to ensure left-learning items are at the lower end of the scale and right-leaning items were on the higher end of the scale. Because of the multi-wave design of the survey, there is missing data for years within a wave a country was not surveyed. </w:t>
      </w:r>
      <w:proofErr w:type="gramStart"/>
      <w:r>
        <w:t>In order to</w:t>
      </w:r>
      <w:proofErr w:type="gramEnd"/>
      <w:r>
        <w:t xml:space="preserve"> conduct the factor analysis with missing data, a heterogenous correlation matrix based on pairwise complete observations were created using the </w:t>
      </w:r>
      <w:r>
        <w:rPr>
          <w:rStyle w:val="VerbatimChar"/>
        </w:rPr>
        <w:t>polycor</w:t>
      </w:r>
      <w:r>
        <w:t xml:space="preserve"> R package (</w:t>
      </w:r>
      <w:hyperlink w:anchor="ref-fox2022">
        <w:r>
          <w:rPr>
            <w:rStyle w:val="Hyperlink"/>
          </w:rPr>
          <w:t>Fox &amp; Dusa, 2022</w:t>
        </w:r>
      </w:hyperlink>
      <w:r>
        <w:t>).</w:t>
      </w:r>
    </w:p>
    <w:p w14:paraId="0D9B6089" w14:textId="42022FA5" w:rsidR="001826CE" w:rsidRDefault="001826CE" w:rsidP="001826CE">
      <w:pPr>
        <w:pStyle w:val="BodyText"/>
      </w:pPr>
      <w:r>
        <w:t xml:space="preserve">A KMO value measuring sampling adequacy was .62. KMO values above .60 suggest proceeding with the factor analysis. Likewise, Bartlett’s test of sphericity was significant, indicating there are relationships among the variables and that factor analysis can proceed. An initial parallel analysis to determine the number of factors the item responses represented indicated four possible factors. An initial, unrotated factor solution suggested a single factor based on the number of eigenvalues greater than 1. To begin with, a four-factor solution was fit (Table </w:t>
      </w:r>
      <w:hyperlink w:anchor="fa2">
        <w:r>
          <w:fldChar w:fldCharType="begin"/>
        </w:r>
        <w:r>
          <w:instrText xml:space="preserve"> REF fa2 \h</w:instrText>
        </w:r>
        <w:r>
          <w:fldChar w:fldCharType="separate"/>
        </w:r>
        <w:r w:rsidR="00766923">
          <w:rPr>
            <w:b/>
            <w:noProof/>
          </w:rPr>
          <w:t>10</w:t>
        </w:r>
        <w:r>
          <w:fldChar w:fldCharType="end"/>
        </w:r>
      </w:hyperlink>
      <w:r>
        <w:t>). The results indicate a 3-item factor, two 2-item factors, and a one-item factor with a cross-loading on one of the 2-item factors. The results did not imply a strong model with a clear, underlying factor structure.</w:t>
      </w:r>
    </w:p>
    <w:p w14:paraId="7B180400" w14:textId="0F99727D" w:rsidR="00806472" w:rsidRDefault="00806472" w:rsidP="00806472">
      <w:pPr>
        <w:pStyle w:val="BodyText"/>
      </w:pPr>
      <w:r>
        <w:lastRenderedPageBreak/>
        <w:t xml:space="preserve">A second factor analysis was fit with one factor (Table </w:t>
      </w:r>
      <w:hyperlink w:anchor="fa3">
        <w:r>
          <w:fldChar w:fldCharType="begin"/>
        </w:r>
        <w:r>
          <w:instrText xml:space="preserve"> REF fa3 \h</w:instrText>
        </w:r>
        <w:r>
          <w:fldChar w:fldCharType="separate"/>
        </w:r>
        <w:r w:rsidR="00766923">
          <w:rPr>
            <w:b/>
            <w:noProof/>
          </w:rPr>
          <w:t>11</w:t>
        </w:r>
        <w:r>
          <w:fldChar w:fldCharType="end"/>
        </w:r>
      </w:hyperlink>
      <w:r>
        <w:t>). The solution suggested three items load onto a single factor, with two loading strongly and one with a somewhat weak loading. For the purposes of establishing a more valid measure of left-right political ideology than one that was based on mere questions only, the result was considered an adequate solution. Thus, left-right orientation for this research was comprised of questions regarding homosexuality, abortion, and women’s right to work (alpha = .61). Admittedly, this is not the strongest set of items. However, it is sufficient for the present purposes. Any further analysis is beyond the scope of the present research.</w:t>
      </w:r>
    </w:p>
    <w:p w14:paraId="5B35D8B7" w14:textId="77777777" w:rsidR="00806472" w:rsidRDefault="00806472" w:rsidP="001826CE">
      <w:pPr>
        <w:pStyle w:val="BodyText"/>
      </w:pPr>
    </w:p>
    <w:p w14:paraId="30A83055" w14:textId="044A6E0B" w:rsidR="0033629A" w:rsidRDefault="004409CB">
      <w:pPr>
        <w:pStyle w:val="TableCaption"/>
      </w:pPr>
      <w:bookmarkStart w:id="436" w:name="_Toc105675512"/>
      <w:r>
        <w:rPr>
          <w:b/>
        </w:rPr>
        <w:lastRenderedPageBreak/>
        <w:t xml:space="preserve">Table </w:t>
      </w:r>
      <w:bookmarkStart w:id="437" w:name="ivsquestions"/>
      <w:r>
        <w:rPr>
          <w:b/>
        </w:rPr>
        <w:fldChar w:fldCharType="begin"/>
      </w:r>
      <w:r>
        <w:rPr>
          <w:b/>
        </w:rPr>
        <w:instrText>SEQ tab \* Arabic</w:instrText>
      </w:r>
      <w:r>
        <w:rPr>
          <w:b/>
        </w:rPr>
        <w:fldChar w:fldCharType="separate"/>
      </w:r>
      <w:r w:rsidR="00766923">
        <w:rPr>
          <w:b/>
          <w:noProof/>
        </w:rPr>
        <w:t>9</w:t>
      </w:r>
      <w:r>
        <w:rPr>
          <w:b/>
        </w:rPr>
        <w:fldChar w:fldCharType="end"/>
      </w:r>
      <w:bookmarkEnd w:id="437"/>
      <w:r>
        <w:t>: Integrated Values Survey Items Used in Factor Analysis</w:t>
      </w:r>
      <w:bookmarkEnd w:id="436"/>
    </w:p>
    <w:tbl>
      <w:tblPr>
        <w:tblW w:w="9142" w:type="dxa"/>
        <w:jc w:val="center"/>
        <w:tblLayout w:type="fixed"/>
        <w:tblLook w:val="0420" w:firstRow="1" w:lastRow="0" w:firstColumn="0" w:lastColumn="0" w:noHBand="0" w:noVBand="1"/>
      </w:tblPr>
      <w:tblGrid>
        <w:gridCol w:w="1066"/>
        <w:gridCol w:w="1924"/>
        <w:gridCol w:w="6152"/>
      </w:tblGrid>
      <w:tr w:rsidR="00133A77" w:rsidRPr="00133A77" w14:paraId="040C3229" w14:textId="77777777" w:rsidTr="003A304C">
        <w:trPr>
          <w:cantSplit/>
          <w:trHeight w:val="429"/>
          <w:tblHeader/>
          <w:jc w:val="center"/>
        </w:trPr>
        <w:tc>
          <w:tcPr>
            <w:tcW w:w="1066"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9666AAB" w14:textId="77777777" w:rsidR="00133A77" w:rsidRPr="00133A77" w:rsidRDefault="00133A77" w:rsidP="00EE536E">
            <w:pPr>
              <w:keepNext/>
              <w:spacing w:before="100" w:after="100" w:line="240" w:lineRule="auto"/>
              <w:ind w:left="100" w:right="100" w:firstLine="0"/>
            </w:pPr>
            <w:r w:rsidRPr="00133A77">
              <w:rPr>
                <w:rFonts w:eastAsia="Arial"/>
                <w:color w:val="000000"/>
                <w:sz w:val="22"/>
                <w:szCs w:val="22"/>
              </w:rPr>
              <w:t>Item</w:t>
            </w:r>
          </w:p>
        </w:tc>
        <w:tc>
          <w:tcPr>
            <w:tcW w:w="1924"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9170FBE"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Item Description</w:t>
            </w:r>
          </w:p>
        </w:tc>
        <w:tc>
          <w:tcPr>
            <w:tcW w:w="6152"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4C3BBE6"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Scale</w:t>
            </w:r>
          </w:p>
        </w:tc>
      </w:tr>
      <w:tr w:rsidR="00133A77" w:rsidRPr="00133A77" w14:paraId="27FDAC0C" w14:textId="77777777" w:rsidTr="003A304C">
        <w:trPr>
          <w:cantSplit/>
          <w:trHeight w:val="633"/>
          <w:jc w:val="center"/>
        </w:trPr>
        <w:tc>
          <w:tcPr>
            <w:tcW w:w="1066" w:type="dxa"/>
            <w:shd w:val="clear" w:color="auto" w:fill="FFFFFF"/>
            <w:tcMar>
              <w:top w:w="0" w:type="dxa"/>
              <w:left w:w="0" w:type="dxa"/>
              <w:bottom w:w="0" w:type="dxa"/>
              <w:right w:w="0" w:type="dxa"/>
            </w:tcMar>
            <w:vAlign w:val="center"/>
          </w:tcPr>
          <w:p w14:paraId="62ED0CEF" w14:textId="77777777" w:rsidR="00133A77" w:rsidRPr="00133A77" w:rsidRDefault="00133A77" w:rsidP="00EE536E">
            <w:pPr>
              <w:keepNext/>
              <w:spacing w:before="100" w:after="100" w:line="240" w:lineRule="auto"/>
              <w:ind w:left="100" w:right="100" w:firstLine="0"/>
            </w:pPr>
            <w:r w:rsidRPr="00133A77">
              <w:rPr>
                <w:rFonts w:eastAsia="Arial"/>
                <w:color w:val="000000"/>
                <w:sz w:val="22"/>
                <w:szCs w:val="22"/>
              </w:rPr>
              <w:t>E033</w:t>
            </w:r>
          </w:p>
        </w:tc>
        <w:tc>
          <w:tcPr>
            <w:tcW w:w="1924" w:type="dxa"/>
            <w:shd w:val="clear" w:color="auto" w:fill="FFFFFF"/>
            <w:tcMar>
              <w:top w:w="0" w:type="dxa"/>
              <w:left w:w="0" w:type="dxa"/>
              <w:bottom w:w="0" w:type="dxa"/>
              <w:right w:w="0" w:type="dxa"/>
            </w:tcMar>
            <w:vAlign w:val="center"/>
          </w:tcPr>
          <w:p w14:paraId="3B1615F3"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Self positioning in political scale</w:t>
            </w:r>
          </w:p>
        </w:tc>
        <w:tc>
          <w:tcPr>
            <w:tcW w:w="6152" w:type="dxa"/>
            <w:shd w:val="clear" w:color="auto" w:fill="FFFFFF"/>
            <w:tcMar>
              <w:top w:w="0" w:type="dxa"/>
              <w:left w:w="0" w:type="dxa"/>
              <w:bottom w:w="0" w:type="dxa"/>
              <w:right w:w="0" w:type="dxa"/>
            </w:tcMar>
            <w:vAlign w:val="center"/>
          </w:tcPr>
          <w:p w14:paraId="5954DF0C"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1 = Left, 10 = Right</w:t>
            </w:r>
          </w:p>
        </w:tc>
      </w:tr>
      <w:tr w:rsidR="00133A77" w:rsidRPr="00133A77" w14:paraId="593EEE5B" w14:textId="77777777" w:rsidTr="003A304C">
        <w:trPr>
          <w:cantSplit/>
          <w:trHeight w:val="429"/>
          <w:jc w:val="center"/>
        </w:trPr>
        <w:tc>
          <w:tcPr>
            <w:tcW w:w="1066" w:type="dxa"/>
            <w:shd w:val="clear" w:color="auto" w:fill="FFFFFF"/>
            <w:tcMar>
              <w:top w:w="0" w:type="dxa"/>
              <w:left w:w="0" w:type="dxa"/>
              <w:bottom w:w="0" w:type="dxa"/>
              <w:right w:w="0" w:type="dxa"/>
            </w:tcMar>
            <w:vAlign w:val="center"/>
          </w:tcPr>
          <w:p w14:paraId="49BE1649" w14:textId="77777777" w:rsidR="00133A77" w:rsidRPr="00133A77" w:rsidRDefault="00133A77" w:rsidP="00EE536E">
            <w:pPr>
              <w:keepNext/>
              <w:spacing w:before="100" w:after="100" w:line="240" w:lineRule="auto"/>
              <w:ind w:left="100" w:right="100" w:firstLine="0"/>
            </w:pPr>
            <w:r w:rsidRPr="00133A77">
              <w:rPr>
                <w:rFonts w:eastAsia="Arial"/>
                <w:color w:val="000000"/>
                <w:sz w:val="22"/>
                <w:szCs w:val="22"/>
              </w:rPr>
              <w:t>F118</w:t>
            </w:r>
          </w:p>
        </w:tc>
        <w:tc>
          <w:tcPr>
            <w:tcW w:w="1924" w:type="dxa"/>
            <w:shd w:val="clear" w:color="auto" w:fill="FFFFFF"/>
            <w:tcMar>
              <w:top w:w="0" w:type="dxa"/>
              <w:left w:w="0" w:type="dxa"/>
              <w:bottom w:w="0" w:type="dxa"/>
              <w:right w:w="0" w:type="dxa"/>
            </w:tcMar>
            <w:vAlign w:val="center"/>
          </w:tcPr>
          <w:p w14:paraId="1C69C4C4"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Homosexuality</w:t>
            </w:r>
          </w:p>
        </w:tc>
        <w:tc>
          <w:tcPr>
            <w:tcW w:w="6152" w:type="dxa"/>
            <w:shd w:val="clear" w:color="auto" w:fill="FFFFFF"/>
            <w:tcMar>
              <w:top w:w="0" w:type="dxa"/>
              <w:left w:w="0" w:type="dxa"/>
              <w:bottom w:w="0" w:type="dxa"/>
              <w:right w:w="0" w:type="dxa"/>
            </w:tcMar>
            <w:vAlign w:val="center"/>
          </w:tcPr>
          <w:p w14:paraId="20AE494E"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1 = Never justifiable, 10 = Always justifiable</w:t>
            </w:r>
          </w:p>
        </w:tc>
      </w:tr>
      <w:tr w:rsidR="00133A77" w:rsidRPr="00133A77" w14:paraId="38DA51F7" w14:textId="77777777" w:rsidTr="003A304C">
        <w:trPr>
          <w:cantSplit/>
          <w:trHeight w:val="429"/>
          <w:jc w:val="center"/>
        </w:trPr>
        <w:tc>
          <w:tcPr>
            <w:tcW w:w="1066" w:type="dxa"/>
            <w:shd w:val="clear" w:color="auto" w:fill="FFFFFF"/>
            <w:tcMar>
              <w:top w:w="0" w:type="dxa"/>
              <w:left w:w="0" w:type="dxa"/>
              <w:bottom w:w="0" w:type="dxa"/>
              <w:right w:w="0" w:type="dxa"/>
            </w:tcMar>
            <w:vAlign w:val="center"/>
          </w:tcPr>
          <w:p w14:paraId="5E4AFBAA" w14:textId="77777777" w:rsidR="00133A77" w:rsidRPr="00133A77" w:rsidRDefault="00133A77" w:rsidP="00EE536E">
            <w:pPr>
              <w:keepNext/>
              <w:spacing w:before="100" w:after="100" w:line="240" w:lineRule="auto"/>
              <w:ind w:left="100" w:right="100" w:firstLine="0"/>
            </w:pPr>
            <w:r w:rsidRPr="00133A77">
              <w:rPr>
                <w:rFonts w:eastAsia="Arial"/>
                <w:color w:val="000000"/>
                <w:sz w:val="22"/>
                <w:szCs w:val="22"/>
              </w:rPr>
              <w:t>F120</w:t>
            </w:r>
          </w:p>
        </w:tc>
        <w:tc>
          <w:tcPr>
            <w:tcW w:w="1924" w:type="dxa"/>
            <w:shd w:val="clear" w:color="auto" w:fill="FFFFFF"/>
            <w:tcMar>
              <w:top w:w="0" w:type="dxa"/>
              <w:left w:w="0" w:type="dxa"/>
              <w:bottom w:w="0" w:type="dxa"/>
              <w:right w:w="0" w:type="dxa"/>
            </w:tcMar>
            <w:vAlign w:val="center"/>
          </w:tcPr>
          <w:p w14:paraId="7DA58418"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Abortion</w:t>
            </w:r>
          </w:p>
        </w:tc>
        <w:tc>
          <w:tcPr>
            <w:tcW w:w="6152" w:type="dxa"/>
            <w:shd w:val="clear" w:color="auto" w:fill="FFFFFF"/>
            <w:tcMar>
              <w:top w:w="0" w:type="dxa"/>
              <w:left w:w="0" w:type="dxa"/>
              <w:bottom w:w="0" w:type="dxa"/>
              <w:right w:w="0" w:type="dxa"/>
            </w:tcMar>
            <w:vAlign w:val="center"/>
          </w:tcPr>
          <w:p w14:paraId="51C976AB"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1 = Never justifiable, 10 = Always justifiable</w:t>
            </w:r>
          </w:p>
        </w:tc>
      </w:tr>
      <w:tr w:rsidR="00133A77" w:rsidRPr="00133A77" w14:paraId="5B76CB03" w14:textId="77777777" w:rsidTr="003A304C">
        <w:trPr>
          <w:cantSplit/>
          <w:trHeight w:val="849"/>
          <w:jc w:val="center"/>
        </w:trPr>
        <w:tc>
          <w:tcPr>
            <w:tcW w:w="1066" w:type="dxa"/>
            <w:shd w:val="clear" w:color="auto" w:fill="FFFFFF"/>
            <w:tcMar>
              <w:top w:w="0" w:type="dxa"/>
              <w:left w:w="0" w:type="dxa"/>
              <w:bottom w:w="0" w:type="dxa"/>
              <w:right w:w="0" w:type="dxa"/>
            </w:tcMar>
            <w:vAlign w:val="center"/>
          </w:tcPr>
          <w:p w14:paraId="2A875463" w14:textId="77777777" w:rsidR="00133A77" w:rsidRPr="00133A77" w:rsidRDefault="00133A77" w:rsidP="00EE536E">
            <w:pPr>
              <w:keepNext/>
              <w:spacing w:before="100" w:after="100" w:line="240" w:lineRule="auto"/>
              <w:ind w:left="100" w:right="100" w:firstLine="0"/>
            </w:pPr>
            <w:r w:rsidRPr="00133A77">
              <w:rPr>
                <w:rFonts w:eastAsia="Arial"/>
                <w:color w:val="000000"/>
                <w:sz w:val="22"/>
                <w:szCs w:val="22"/>
              </w:rPr>
              <w:t>C001</w:t>
            </w:r>
          </w:p>
        </w:tc>
        <w:tc>
          <w:tcPr>
            <w:tcW w:w="1924" w:type="dxa"/>
            <w:shd w:val="clear" w:color="auto" w:fill="FFFFFF"/>
            <w:tcMar>
              <w:top w:w="0" w:type="dxa"/>
              <w:left w:w="0" w:type="dxa"/>
              <w:bottom w:w="0" w:type="dxa"/>
              <w:right w:w="0" w:type="dxa"/>
            </w:tcMar>
            <w:vAlign w:val="center"/>
          </w:tcPr>
          <w:p w14:paraId="24BD23C5"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When jobs are scarce, men have more right to a job than women</w:t>
            </w:r>
          </w:p>
        </w:tc>
        <w:tc>
          <w:tcPr>
            <w:tcW w:w="6152" w:type="dxa"/>
            <w:shd w:val="clear" w:color="auto" w:fill="FFFFFF"/>
            <w:tcMar>
              <w:top w:w="0" w:type="dxa"/>
              <w:left w:w="0" w:type="dxa"/>
              <w:bottom w:w="0" w:type="dxa"/>
              <w:right w:w="0" w:type="dxa"/>
            </w:tcMar>
            <w:vAlign w:val="center"/>
          </w:tcPr>
          <w:p w14:paraId="07121330"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1 = Agree, 2 = Disagree, 3 = Neither</w:t>
            </w:r>
          </w:p>
        </w:tc>
      </w:tr>
      <w:tr w:rsidR="00133A77" w:rsidRPr="00133A77" w14:paraId="2B14B62E" w14:textId="77777777" w:rsidTr="003A304C">
        <w:trPr>
          <w:cantSplit/>
          <w:trHeight w:val="633"/>
          <w:jc w:val="center"/>
        </w:trPr>
        <w:tc>
          <w:tcPr>
            <w:tcW w:w="1066" w:type="dxa"/>
            <w:shd w:val="clear" w:color="auto" w:fill="FFFFFF"/>
            <w:tcMar>
              <w:top w:w="0" w:type="dxa"/>
              <w:left w:w="0" w:type="dxa"/>
              <w:bottom w:w="0" w:type="dxa"/>
              <w:right w:w="0" w:type="dxa"/>
            </w:tcMar>
            <w:vAlign w:val="center"/>
          </w:tcPr>
          <w:p w14:paraId="7757233A" w14:textId="77777777" w:rsidR="00133A77" w:rsidRPr="00133A77" w:rsidRDefault="00133A77" w:rsidP="00EE536E">
            <w:pPr>
              <w:keepNext/>
              <w:spacing w:before="100" w:after="100" w:line="240" w:lineRule="auto"/>
              <w:ind w:left="100" w:right="100" w:firstLine="0"/>
            </w:pPr>
            <w:r w:rsidRPr="00133A77">
              <w:rPr>
                <w:rFonts w:eastAsia="Arial"/>
                <w:color w:val="000000"/>
                <w:sz w:val="22"/>
                <w:szCs w:val="22"/>
              </w:rPr>
              <w:t>E143</w:t>
            </w:r>
          </w:p>
        </w:tc>
        <w:tc>
          <w:tcPr>
            <w:tcW w:w="1924" w:type="dxa"/>
            <w:shd w:val="clear" w:color="auto" w:fill="FFFFFF"/>
            <w:tcMar>
              <w:top w:w="0" w:type="dxa"/>
              <w:left w:w="0" w:type="dxa"/>
              <w:bottom w:w="0" w:type="dxa"/>
              <w:right w:w="0" w:type="dxa"/>
            </w:tcMar>
            <w:vAlign w:val="center"/>
          </w:tcPr>
          <w:p w14:paraId="64EF72E9"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Immigration policy</w:t>
            </w:r>
          </w:p>
        </w:tc>
        <w:tc>
          <w:tcPr>
            <w:tcW w:w="6152" w:type="dxa"/>
            <w:shd w:val="clear" w:color="auto" w:fill="FFFFFF"/>
            <w:tcMar>
              <w:top w:w="0" w:type="dxa"/>
              <w:left w:w="0" w:type="dxa"/>
              <w:bottom w:w="0" w:type="dxa"/>
              <w:right w:w="0" w:type="dxa"/>
            </w:tcMar>
            <w:vAlign w:val="center"/>
          </w:tcPr>
          <w:p w14:paraId="511844D0"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1 = Let anyone come who wants to; 4 = Prohibit people coming here from other countries</w:t>
            </w:r>
          </w:p>
        </w:tc>
      </w:tr>
      <w:tr w:rsidR="00133A77" w:rsidRPr="00133A77" w14:paraId="0E33EFED" w14:textId="77777777" w:rsidTr="003A304C">
        <w:trPr>
          <w:cantSplit/>
          <w:trHeight w:val="623"/>
          <w:jc w:val="center"/>
        </w:trPr>
        <w:tc>
          <w:tcPr>
            <w:tcW w:w="1066" w:type="dxa"/>
            <w:shd w:val="clear" w:color="auto" w:fill="FFFFFF"/>
            <w:tcMar>
              <w:top w:w="0" w:type="dxa"/>
              <w:left w:w="0" w:type="dxa"/>
              <w:bottom w:w="0" w:type="dxa"/>
              <w:right w:w="0" w:type="dxa"/>
            </w:tcMar>
            <w:vAlign w:val="center"/>
          </w:tcPr>
          <w:p w14:paraId="549DDBA6" w14:textId="77777777" w:rsidR="00133A77" w:rsidRPr="00133A77" w:rsidRDefault="00133A77" w:rsidP="00EE536E">
            <w:pPr>
              <w:keepNext/>
              <w:spacing w:before="100" w:after="100" w:line="240" w:lineRule="auto"/>
              <w:ind w:left="100" w:right="100" w:firstLine="0"/>
            </w:pPr>
            <w:r w:rsidRPr="00133A77">
              <w:rPr>
                <w:rFonts w:eastAsia="Arial"/>
                <w:color w:val="000000"/>
                <w:sz w:val="22"/>
                <w:szCs w:val="22"/>
              </w:rPr>
              <w:t>E224</w:t>
            </w:r>
          </w:p>
        </w:tc>
        <w:tc>
          <w:tcPr>
            <w:tcW w:w="1924" w:type="dxa"/>
            <w:shd w:val="clear" w:color="auto" w:fill="FFFFFF"/>
            <w:tcMar>
              <w:top w:w="0" w:type="dxa"/>
              <w:left w:w="0" w:type="dxa"/>
              <w:bottom w:w="0" w:type="dxa"/>
              <w:right w:w="0" w:type="dxa"/>
            </w:tcMar>
            <w:vAlign w:val="center"/>
          </w:tcPr>
          <w:p w14:paraId="47006072"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Governments tax the rich and subsidize the poor</w:t>
            </w:r>
          </w:p>
        </w:tc>
        <w:tc>
          <w:tcPr>
            <w:tcW w:w="6152" w:type="dxa"/>
            <w:shd w:val="clear" w:color="auto" w:fill="FFFFFF"/>
            <w:tcMar>
              <w:top w:w="0" w:type="dxa"/>
              <w:left w:w="0" w:type="dxa"/>
              <w:bottom w:w="0" w:type="dxa"/>
              <w:right w:w="0" w:type="dxa"/>
            </w:tcMar>
            <w:vAlign w:val="center"/>
          </w:tcPr>
          <w:p w14:paraId="7480D9E4"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0 = It is against democracy, 10 = An essential characteristic of democracy</w:t>
            </w:r>
          </w:p>
        </w:tc>
      </w:tr>
      <w:tr w:rsidR="00133A77" w:rsidRPr="00133A77" w14:paraId="58BC6CB6" w14:textId="77777777" w:rsidTr="003A304C">
        <w:trPr>
          <w:cantSplit/>
          <w:trHeight w:val="633"/>
          <w:jc w:val="center"/>
        </w:trPr>
        <w:tc>
          <w:tcPr>
            <w:tcW w:w="1066" w:type="dxa"/>
            <w:shd w:val="clear" w:color="auto" w:fill="FFFFFF"/>
            <w:tcMar>
              <w:top w:w="0" w:type="dxa"/>
              <w:left w:w="0" w:type="dxa"/>
              <w:bottom w:w="0" w:type="dxa"/>
              <w:right w:w="0" w:type="dxa"/>
            </w:tcMar>
            <w:vAlign w:val="center"/>
          </w:tcPr>
          <w:p w14:paraId="79880061" w14:textId="77777777" w:rsidR="00133A77" w:rsidRPr="00133A77" w:rsidRDefault="00133A77" w:rsidP="00EE536E">
            <w:pPr>
              <w:keepNext/>
              <w:spacing w:before="100" w:after="100" w:line="240" w:lineRule="auto"/>
              <w:ind w:left="100" w:right="100" w:firstLine="0"/>
            </w:pPr>
            <w:r w:rsidRPr="00133A77">
              <w:rPr>
                <w:rFonts w:eastAsia="Arial"/>
                <w:color w:val="000000"/>
                <w:sz w:val="22"/>
                <w:szCs w:val="22"/>
              </w:rPr>
              <w:t>E225</w:t>
            </w:r>
          </w:p>
        </w:tc>
        <w:tc>
          <w:tcPr>
            <w:tcW w:w="1924" w:type="dxa"/>
            <w:shd w:val="clear" w:color="auto" w:fill="FFFFFF"/>
            <w:tcMar>
              <w:top w:w="0" w:type="dxa"/>
              <w:left w:w="0" w:type="dxa"/>
              <w:bottom w:w="0" w:type="dxa"/>
              <w:right w:w="0" w:type="dxa"/>
            </w:tcMar>
            <w:vAlign w:val="center"/>
          </w:tcPr>
          <w:p w14:paraId="71838CA9"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Religious authorities interpret the laws</w:t>
            </w:r>
          </w:p>
        </w:tc>
        <w:tc>
          <w:tcPr>
            <w:tcW w:w="6152" w:type="dxa"/>
            <w:shd w:val="clear" w:color="auto" w:fill="FFFFFF"/>
            <w:tcMar>
              <w:top w:w="0" w:type="dxa"/>
              <w:left w:w="0" w:type="dxa"/>
              <w:bottom w:w="0" w:type="dxa"/>
              <w:right w:w="0" w:type="dxa"/>
            </w:tcMar>
            <w:vAlign w:val="center"/>
          </w:tcPr>
          <w:p w14:paraId="5EB8204F"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0 = It is against democracy, 10 = An essential characteristic of democracy</w:t>
            </w:r>
          </w:p>
        </w:tc>
      </w:tr>
      <w:tr w:rsidR="00133A77" w:rsidRPr="00133A77" w14:paraId="58F5E81A" w14:textId="77777777" w:rsidTr="003A304C">
        <w:trPr>
          <w:cantSplit/>
          <w:trHeight w:val="623"/>
          <w:jc w:val="center"/>
        </w:trPr>
        <w:tc>
          <w:tcPr>
            <w:tcW w:w="1066" w:type="dxa"/>
            <w:shd w:val="clear" w:color="auto" w:fill="FFFFFF"/>
            <w:tcMar>
              <w:top w:w="0" w:type="dxa"/>
              <w:left w:w="0" w:type="dxa"/>
              <w:bottom w:w="0" w:type="dxa"/>
              <w:right w:w="0" w:type="dxa"/>
            </w:tcMar>
            <w:vAlign w:val="center"/>
          </w:tcPr>
          <w:p w14:paraId="4FA35F2D" w14:textId="77777777" w:rsidR="00133A77" w:rsidRPr="00133A77" w:rsidRDefault="00133A77" w:rsidP="00EE536E">
            <w:pPr>
              <w:keepNext/>
              <w:spacing w:before="100" w:after="100" w:line="240" w:lineRule="auto"/>
              <w:ind w:left="100" w:right="100" w:firstLine="0"/>
            </w:pPr>
            <w:r w:rsidRPr="00133A77">
              <w:rPr>
                <w:rFonts w:eastAsia="Arial"/>
                <w:color w:val="000000"/>
                <w:sz w:val="22"/>
                <w:szCs w:val="22"/>
              </w:rPr>
              <w:t>E227</w:t>
            </w:r>
          </w:p>
        </w:tc>
        <w:tc>
          <w:tcPr>
            <w:tcW w:w="1924" w:type="dxa"/>
            <w:shd w:val="clear" w:color="auto" w:fill="FFFFFF"/>
            <w:tcMar>
              <w:top w:w="0" w:type="dxa"/>
              <w:left w:w="0" w:type="dxa"/>
              <w:bottom w:w="0" w:type="dxa"/>
              <w:right w:w="0" w:type="dxa"/>
            </w:tcMar>
            <w:vAlign w:val="center"/>
          </w:tcPr>
          <w:p w14:paraId="4987321D"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People receive state aid for unemployment</w:t>
            </w:r>
          </w:p>
        </w:tc>
        <w:tc>
          <w:tcPr>
            <w:tcW w:w="6152" w:type="dxa"/>
            <w:shd w:val="clear" w:color="auto" w:fill="FFFFFF"/>
            <w:tcMar>
              <w:top w:w="0" w:type="dxa"/>
              <w:left w:w="0" w:type="dxa"/>
              <w:bottom w:w="0" w:type="dxa"/>
              <w:right w:w="0" w:type="dxa"/>
            </w:tcMar>
            <w:vAlign w:val="center"/>
          </w:tcPr>
          <w:p w14:paraId="629A6A89"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0 = It is against democracy, 10 = An essential characteristic of democracy</w:t>
            </w:r>
          </w:p>
        </w:tc>
      </w:tr>
      <w:tr w:rsidR="00133A77" w:rsidRPr="00133A77" w14:paraId="1EDC3F25" w14:textId="77777777" w:rsidTr="003A304C">
        <w:trPr>
          <w:cantSplit/>
          <w:trHeight w:val="623"/>
          <w:jc w:val="center"/>
        </w:trPr>
        <w:tc>
          <w:tcPr>
            <w:tcW w:w="1066" w:type="dxa"/>
            <w:shd w:val="clear" w:color="auto" w:fill="FFFFFF"/>
            <w:tcMar>
              <w:top w:w="0" w:type="dxa"/>
              <w:left w:w="0" w:type="dxa"/>
              <w:bottom w:w="0" w:type="dxa"/>
              <w:right w:w="0" w:type="dxa"/>
            </w:tcMar>
            <w:vAlign w:val="center"/>
          </w:tcPr>
          <w:p w14:paraId="6CD62195" w14:textId="77777777" w:rsidR="00133A77" w:rsidRPr="00133A77" w:rsidRDefault="00133A77" w:rsidP="00EE536E">
            <w:pPr>
              <w:keepNext/>
              <w:spacing w:before="100" w:after="100" w:line="240" w:lineRule="auto"/>
              <w:ind w:left="100" w:right="100" w:firstLine="0"/>
            </w:pPr>
            <w:r w:rsidRPr="00133A77">
              <w:rPr>
                <w:rFonts w:eastAsia="Arial"/>
                <w:color w:val="000000"/>
                <w:sz w:val="22"/>
                <w:szCs w:val="22"/>
              </w:rPr>
              <w:t>E233</w:t>
            </w:r>
          </w:p>
        </w:tc>
        <w:tc>
          <w:tcPr>
            <w:tcW w:w="1924" w:type="dxa"/>
            <w:shd w:val="clear" w:color="auto" w:fill="FFFFFF"/>
            <w:tcMar>
              <w:top w:w="0" w:type="dxa"/>
              <w:left w:w="0" w:type="dxa"/>
              <w:bottom w:w="0" w:type="dxa"/>
              <w:right w:w="0" w:type="dxa"/>
            </w:tcMar>
            <w:vAlign w:val="center"/>
          </w:tcPr>
          <w:p w14:paraId="6DD33FCC"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Women have the same rights as men</w:t>
            </w:r>
          </w:p>
        </w:tc>
        <w:tc>
          <w:tcPr>
            <w:tcW w:w="6152" w:type="dxa"/>
            <w:shd w:val="clear" w:color="auto" w:fill="FFFFFF"/>
            <w:tcMar>
              <w:top w:w="0" w:type="dxa"/>
              <w:left w:w="0" w:type="dxa"/>
              <w:bottom w:w="0" w:type="dxa"/>
              <w:right w:w="0" w:type="dxa"/>
            </w:tcMar>
            <w:vAlign w:val="center"/>
          </w:tcPr>
          <w:p w14:paraId="5C4359E3"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0 = It is against democracy, 10 = An essential characteristic of democracy</w:t>
            </w:r>
          </w:p>
        </w:tc>
      </w:tr>
      <w:tr w:rsidR="00133A77" w:rsidRPr="00133A77" w14:paraId="62C396C1" w14:textId="77777777" w:rsidTr="003A304C">
        <w:trPr>
          <w:cantSplit/>
          <w:trHeight w:val="633"/>
          <w:jc w:val="center"/>
        </w:trPr>
        <w:tc>
          <w:tcPr>
            <w:tcW w:w="1066" w:type="dxa"/>
            <w:shd w:val="clear" w:color="auto" w:fill="FFFFFF"/>
            <w:tcMar>
              <w:top w:w="0" w:type="dxa"/>
              <w:left w:w="0" w:type="dxa"/>
              <w:bottom w:w="0" w:type="dxa"/>
              <w:right w:w="0" w:type="dxa"/>
            </w:tcMar>
            <w:vAlign w:val="center"/>
          </w:tcPr>
          <w:p w14:paraId="026F3494" w14:textId="77777777" w:rsidR="00133A77" w:rsidRPr="00133A77" w:rsidRDefault="00133A77" w:rsidP="00EE536E">
            <w:pPr>
              <w:keepNext/>
              <w:spacing w:before="100" w:after="100" w:line="240" w:lineRule="auto"/>
              <w:ind w:left="100" w:right="100" w:firstLine="0"/>
            </w:pPr>
            <w:r w:rsidRPr="00133A77">
              <w:rPr>
                <w:rFonts w:eastAsia="Arial"/>
                <w:color w:val="000000"/>
                <w:sz w:val="22"/>
                <w:szCs w:val="22"/>
              </w:rPr>
              <w:t>E233A</w:t>
            </w:r>
          </w:p>
        </w:tc>
        <w:tc>
          <w:tcPr>
            <w:tcW w:w="1924" w:type="dxa"/>
            <w:shd w:val="clear" w:color="auto" w:fill="FFFFFF"/>
            <w:tcMar>
              <w:top w:w="0" w:type="dxa"/>
              <w:left w:w="0" w:type="dxa"/>
              <w:bottom w:w="0" w:type="dxa"/>
              <w:right w:w="0" w:type="dxa"/>
            </w:tcMar>
            <w:vAlign w:val="center"/>
          </w:tcPr>
          <w:p w14:paraId="7F40C5D6"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The state makes people's incomes equal</w:t>
            </w:r>
          </w:p>
        </w:tc>
        <w:tc>
          <w:tcPr>
            <w:tcW w:w="6152" w:type="dxa"/>
            <w:shd w:val="clear" w:color="auto" w:fill="FFFFFF"/>
            <w:tcMar>
              <w:top w:w="0" w:type="dxa"/>
              <w:left w:w="0" w:type="dxa"/>
              <w:bottom w:w="0" w:type="dxa"/>
              <w:right w:w="0" w:type="dxa"/>
            </w:tcMar>
            <w:vAlign w:val="center"/>
          </w:tcPr>
          <w:p w14:paraId="72F2AC29"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0 = It is against democracy, 10 = An essential characteristic of democracy</w:t>
            </w:r>
          </w:p>
        </w:tc>
      </w:tr>
      <w:tr w:rsidR="00133A77" w:rsidRPr="00133A77" w14:paraId="70141A63" w14:textId="77777777" w:rsidTr="003A304C">
        <w:trPr>
          <w:cantSplit/>
          <w:trHeight w:val="623"/>
          <w:jc w:val="center"/>
        </w:trPr>
        <w:tc>
          <w:tcPr>
            <w:tcW w:w="1066" w:type="dxa"/>
            <w:shd w:val="clear" w:color="auto" w:fill="FFFFFF"/>
            <w:tcMar>
              <w:top w:w="0" w:type="dxa"/>
              <w:left w:w="0" w:type="dxa"/>
              <w:bottom w:w="0" w:type="dxa"/>
              <w:right w:w="0" w:type="dxa"/>
            </w:tcMar>
            <w:vAlign w:val="center"/>
          </w:tcPr>
          <w:p w14:paraId="047B5FAE" w14:textId="77777777" w:rsidR="00133A77" w:rsidRPr="00133A77" w:rsidRDefault="00133A77" w:rsidP="00EE536E">
            <w:pPr>
              <w:keepNext/>
              <w:spacing w:before="100" w:after="100" w:line="240" w:lineRule="auto"/>
              <w:ind w:left="100" w:right="100" w:firstLine="0"/>
            </w:pPr>
            <w:r w:rsidRPr="00133A77">
              <w:rPr>
                <w:rFonts w:eastAsia="Arial"/>
                <w:color w:val="000000"/>
                <w:sz w:val="22"/>
                <w:szCs w:val="22"/>
              </w:rPr>
              <w:t>E035</w:t>
            </w:r>
          </w:p>
        </w:tc>
        <w:tc>
          <w:tcPr>
            <w:tcW w:w="1924" w:type="dxa"/>
            <w:shd w:val="clear" w:color="auto" w:fill="FFFFFF"/>
            <w:tcMar>
              <w:top w:w="0" w:type="dxa"/>
              <w:left w:w="0" w:type="dxa"/>
              <w:bottom w:w="0" w:type="dxa"/>
              <w:right w:w="0" w:type="dxa"/>
            </w:tcMar>
            <w:vAlign w:val="center"/>
          </w:tcPr>
          <w:p w14:paraId="0C124977"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Income equality</w:t>
            </w:r>
          </w:p>
        </w:tc>
        <w:tc>
          <w:tcPr>
            <w:tcW w:w="6152" w:type="dxa"/>
            <w:shd w:val="clear" w:color="auto" w:fill="FFFFFF"/>
            <w:tcMar>
              <w:top w:w="0" w:type="dxa"/>
              <w:left w:w="0" w:type="dxa"/>
              <w:bottom w:w="0" w:type="dxa"/>
              <w:right w:w="0" w:type="dxa"/>
            </w:tcMar>
            <w:vAlign w:val="center"/>
          </w:tcPr>
          <w:p w14:paraId="34991700"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1 = Incomes should be made more equal, 10 =We need larger income differences as incentives</w:t>
            </w:r>
          </w:p>
        </w:tc>
      </w:tr>
      <w:tr w:rsidR="00133A77" w:rsidRPr="00133A77" w14:paraId="3AF363DC" w14:textId="77777777" w:rsidTr="003A304C">
        <w:trPr>
          <w:cantSplit/>
          <w:trHeight w:val="633"/>
          <w:jc w:val="center"/>
        </w:trPr>
        <w:tc>
          <w:tcPr>
            <w:tcW w:w="1066" w:type="dxa"/>
            <w:shd w:val="clear" w:color="auto" w:fill="FFFFFF"/>
            <w:tcMar>
              <w:top w:w="0" w:type="dxa"/>
              <w:left w:w="0" w:type="dxa"/>
              <w:bottom w:w="0" w:type="dxa"/>
              <w:right w:w="0" w:type="dxa"/>
            </w:tcMar>
            <w:vAlign w:val="center"/>
          </w:tcPr>
          <w:p w14:paraId="4E453B6E" w14:textId="77777777" w:rsidR="00133A77" w:rsidRPr="00133A77" w:rsidRDefault="00133A77" w:rsidP="00EE536E">
            <w:pPr>
              <w:keepNext/>
              <w:spacing w:before="100" w:after="100" w:line="240" w:lineRule="auto"/>
              <w:ind w:left="100" w:right="100" w:firstLine="0"/>
            </w:pPr>
            <w:r w:rsidRPr="00133A77">
              <w:rPr>
                <w:rFonts w:eastAsia="Arial"/>
                <w:color w:val="000000"/>
                <w:sz w:val="22"/>
                <w:szCs w:val="22"/>
              </w:rPr>
              <w:t>E036</w:t>
            </w:r>
          </w:p>
        </w:tc>
        <w:tc>
          <w:tcPr>
            <w:tcW w:w="1924" w:type="dxa"/>
            <w:shd w:val="clear" w:color="auto" w:fill="FFFFFF"/>
            <w:tcMar>
              <w:top w:w="0" w:type="dxa"/>
              <w:left w:w="0" w:type="dxa"/>
              <w:bottom w:w="0" w:type="dxa"/>
              <w:right w:w="0" w:type="dxa"/>
            </w:tcMar>
            <w:vAlign w:val="center"/>
          </w:tcPr>
          <w:p w14:paraId="5105C15A"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Private vs state ownership of business</w:t>
            </w:r>
          </w:p>
        </w:tc>
        <w:tc>
          <w:tcPr>
            <w:tcW w:w="6152" w:type="dxa"/>
            <w:shd w:val="clear" w:color="auto" w:fill="FFFFFF"/>
            <w:tcMar>
              <w:top w:w="0" w:type="dxa"/>
              <w:left w:w="0" w:type="dxa"/>
              <w:bottom w:w="0" w:type="dxa"/>
              <w:right w:w="0" w:type="dxa"/>
            </w:tcMar>
            <w:vAlign w:val="center"/>
          </w:tcPr>
          <w:p w14:paraId="64D78417"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1 = Private ownership of business should be increased, 10 = Government ownership of business should be increased</w:t>
            </w:r>
          </w:p>
        </w:tc>
      </w:tr>
      <w:tr w:rsidR="00133A77" w:rsidRPr="00133A77" w14:paraId="42104929" w14:textId="77777777" w:rsidTr="003A304C">
        <w:trPr>
          <w:cantSplit/>
          <w:trHeight w:val="633"/>
          <w:jc w:val="center"/>
        </w:trPr>
        <w:tc>
          <w:tcPr>
            <w:tcW w:w="1066" w:type="dxa"/>
            <w:tcBorders>
              <w:bottom w:val="single" w:sz="16" w:space="0" w:color="666666"/>
            </w:tcBorders>
            <w:shd w:val="clear" w:color="auto" w:fill="FFFFFF"/>
            <w:tcMar>
              <w:top w:w="0" w:type="dxa"/>
              <w:left w:w="0" w:type="dxa"/>
              <w:bottom w:w="0" w:type="dxa"/>
              <w:right w:w="0" w:type="dxa"/>
            </w:tcMar>
            <w:vAlign w:val="center"/>
          </w:tcPr>
          <w:p w14:paraId="264AD247" w14:textId="77777777" w:rsidR="00133A77" w:rsidRPr="00133A77" w:rsidRDefault="00133A77" w:rsidP="00EE536E">
            <w:pPr>
              <w:keepNext/>
              <w:spacing w:before="100" w:after="100" w:line="240" w:lineRule="auto"/>
              <w:ind w:left="100" w:right="100" w:firstLine="0"/>
            </w:pPr>
            <w:r w:rsidRPr="00133A77">
              <w:rPr>
                <w:rFonts w:eastAsia="Arial"/>
                <w:color w:val="000000"/>
                <w:sz w:val="22"/>
                <w:szCs w:val="22"/>
              </w:rPr>
              <w:t>E037</w:t>
            </w:r>
          </w:p>
        </w:tc>
        <w:tc>
          <w:tcPr>
            <w:tcW w:w="1924" w:type="dxa"/>
            <w:tcBorders>
              <w:bottom w:val="single" w:sz="16" w:space="0" w:color="666666"/>
            </w:tcBorders>
            <w:shd w:val="clear" w:color="auto" w:fill="FFFFFF"/>
            <w:tcMar>
              <w:top w:w="0" w:type="dxa"/>
              <w:left w:w="0" w:type="dxa"/>
              <w:bottom w:w="0" w:type="dxa"/>
              <w:right w:w="0" w:type="dxa"/>
            </w:tcMar>
            <w:vAlign w:val="center"/>
          </w:tcPr>
          <w:p w14:paraId="1F71C217"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Government responsibility</w:t>
            </w:r>
          </w:p>
        </w:tc>
        <w:tc>
          <w:tcPr>
            <w:tcW w:w="6152" w:type="dxa"/>
            <w:tcBorders>
              <w:bottom w:val="single" w:sz="16" w:space="0" w:color="666666"/>
            </w:tcBorders>
            <w:shd w:val="clear" w:color="auto" w:fill="FFFFFF"/>
            <w:tcMar>
              <w:top w:w="0" w:type="dxa"/>
              <w:left w:w="0" w:type="dxa"/>
              <w:bottom w:w="0" w:type="dxa"/>
              <w:right w:w="0" w:type="dxa"/>
            </w:tcMar>
            <w:vAlign w:val="center"/>
          </w:tcPr>
          <w:p w14:paraId="6A2FAD17" w14:textId="77777777" w:rsidR="00133A77" w:rsidRPr="00133A77" w:rsidRDefault="00133A77" w:rsidP="00EE536E">
            <w:pPr>
              <w:keepNext/>
              <w:spacing w:before="100" w:after="100" w:line="240" w:lineRule="auto"/>
              <w:ind w:left="100" w:right="100" w:firstLine="0"/>
              <w:rPr>
                <w:sz w:val="20"/>
                <w:szCs w:val="20"/>
              </w:rPr>
            </w:pPr>
            <w:r w:rsidRPr="00133A77">
              <w:rPr>
                <w:rFonts w:eastAsia="Arial"/>
                <w:color w:val="000000"/>
                <w:sz w:val="20"/>
                <w:szCs w:val="20"/>
              </w:rPr>
              <w:t>1 = Individuals should take more responsibility for providing for themselves, 10 = The state should take more responsibility to ensure that everyone is provided for</w:t>
            </w:r>
          </w:p>
        </w:tc>
      </w:tr>
    </w:tbl>
    <w:p w14:paraId="0780CBAD" w14:textId="73126910" w:rsidR="00133A77" w:rsidRDefault="00133A77">
      <w:pPr>
        <w:pStyle w:val="TableCaption"/>
      </w:pPr>
    </w:p>
    <w:p w14:paraId="24557404" w14:textId="77777777" w:rsidR="00133A77" w:rsidRDefault="00133A77">
      <w:pPr>
        <w:pStyle w:val="TableCaption"/>
      </w:pPr>
    </w:p>
    <w:p w14:paraId="5140AC31" w14:textId="77777777" w:rsidR="001826CE" w:rsidRDefault="001826CE">
      <w:pPr>
        <w:spacing w:before="0" w:after="200" w:line="240" w:lineRule="auto"/>
        <w:ind w:firstLine="0"/>
      </w:pPr>
      <w:r>
        <w:br w:type="page"/>
      </w:r>
    </w:p>
    <w:p w14:paraId="71506A88" w14:textId="0A57C551" w:rsidR="0033629A" w:rsidRDefault="004409CB">
      <w:pPr>
        <w:pStyle w:val="TableCaption"/>
      </w:pPr>
      <w:bookmarkStart w:id="438" w:name="_Toc105675513"/>
      <w:r>
        <w:rPr>
          <w:b/>
        </w:rPr>
        <w:lastRenderedPageBreak/>
        <w:t xml:space="preserve">Table </w:t>
      </w:r>
      <w:bookmarkStart w:id="439" w:name="fa2"/>
      <w:r>
        <w:rPr>
          <w:b/>
        </w:rPr>
        <w:fldChar w:fldCharType="begin"/>
      </w:r>
      <w:r>
        <w:rPr>
          <w:b/>
        </w:rPr>
        <w:instrText>SEQ tab \* Arabic</w:instrText>
      </w:r>
      <w:r>
        <w:rPr>
          <w:b/>
        </w:rPr>
        <w:fldChar w:fldCharType="separate"/>
      </w:r>
      <w:r w:rsidR="00766923">
        <w:rPr>
          <w:b/>
          <w:noProof/>
        </w:rPr>
        <w:t>10</w:t>
      </w:r>
      <w:r>
        <w:rPr>
          <w:b/>
        </w:rPr>
        <w:fldChar w:fldCharType="end"/>
      </w:r>
      <w:bookmarkEnd w:id="439"/>
      <w:r>
        <w:t>: Initial 4-Factor Solution</w:t>
      </w:r>
      <w:bookmarkEnd w:id="438"/>
    </w:p>
    <w:tbl>
      <w:tblPr>
        <w:tblW w:w="0" w:type="auto"/>
        <w:jc w:val="center"/>
        <w:tblLayout w:type="fixed"/>
        <w:tblLook w:val="0420" w:firstRow="1" w:lastRow="0" w:firstColumn="0" w:lastColumn="0" w:noHBand="0" w:noVBand="1"/>
      </w:tblPr>
      <w:tblGrid>
        <w:gridCol w:w="2340"/>
        <w:gridCol w:w="1080"/>
        <w:gridCol w:w="1080"/>
        <w:gridCol w:w="1080"/>
        <w:gridCol w:w="1080"/>
        <w:gridCol w:w="1080"/>
      </w:tblGrid>
      <w:tr w:rsidR="0033629A" w:rsidRPr="00E909F1" w14:paraId="1EA8A44F" w14:textId="77777777" w:rsidTr="00806472">
        <w:trPr>
          <w:cantSplit/>
          <w:tblHeader/>
          <w:jc w:val="center"/>
        </w:trPr>
        <w:tc>
          <w:tcPr>
            <w:tcW w:w="234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513D227" w14:textId="74DB8E35" w:rsidR="0033629A" w:rsidRPr="00E909F1" w:rsidRDefault="00E909F1">
            <w:pPr>
              <w:keepNext/>
              <w:spacing w:before="100" w:after="100" w:line="240" w:lineRule="auto"/>
              <w:ind w:left="100" w:right="100" w:firstLine="0"/>
              <w:rPr>
                <w:sz w:val="22"/>
                <w:szCs w:val="22"/>
              </w:rPr>
            </w:pPr>
            <w:r w:rsidRPr="00E909F1">
              <w:rPr>
                <w:rFonts w:eastAsia="Arial"/>
                <w:color w:val="000000"/>
                <w:sz w:val="22"/>
                <w:szCs w:val="22"/>
              </w:rPr>
              <w:t>I</w:t>
            </w:r>
            <w:r w:rsidR="004409CB" w:rsidRPr="00E909F1">
              <w:rPr>
                <w:rFonts w:eastAsia="Arial"/>
                <w:color w:val="000000"/>
                <w:sz w:val="22"/>
                <w:szCs w:val="22"/>
              </w:rPr>
              <w:t>tem</w:t>
            </w:r>
          </w:p>
        </w:tc>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471E7A0"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ML1</w:t>
            </w:r>
          </w:p>
        </w:tc>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30CFCD94"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ML2</w:t>
            </w:r>
          </w:p>
        </w:tc>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2F0E622F"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ML4</w:t>
            </w:r>
          </w:p>
        </w:tc>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5D9807C"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ML3</w:t>
            </w:r>
          </w:p>
        </w:tc>
        <w:tc>
          <w:tcPr>
            <w:tcW w:w="108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42305F8"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Communality</w:t>
            </w:r>
          </w:p>
        </w:tc>
      </w:tr>
      <w:tr w:rsidR="0033629A" w:rsidRPr="00E909F1" w14:paraId="6B4202EA" w14:textId="77777777" w:rsidTr="00806472">
        <w:trPr>
          <w:cantSplit/>
          <w:jc w:val="center"/>
        </w:trPr>
        <w:tc>
          <w:tcPr>
            <w:tcW w:w="2340" w:type="dxa"/>
            <w:shd w:val="clear" w:color="auto" w:fill="FFFFFF"/>
            <w:tcMar>
              <w:top w:w="0" w:type="dxa"/>
              <w:left w:w="0" w:type="dxa"/>
              <w:bottom w:w="0" w:type="dxa"/>
              <w:right w:w="0" w:type="dxa"/>
            </w:tcMar>
            <w:vAlign w:val="center"/>
          </w:tcPr>
          <w:p w14:paraId="46B41A6E"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F118_rev</w:t>
            </w:r>
            <w:r w:rsidRPr="00E909F1">
              <w:rPr>
                <w:rFonts w:eastAsia="Arial"/>
                <w:color w:val="000000"/>
                <w:sz w:val="22"/>
                <w:szCs w:val="22"/>
                <w:vertAlign w:val="superscript"/>
              </w:rPr>
              <w:t>a</w:t>
            </w:r>
          </w:p>
        </w:tc>
        <w:tc>
          <w:tcPr>
            <w:tcW w:w="1080" w:type="dxa"/>
            <w:shd w:val="clear" w:color="auto" w:fill="FFFFFF"/>
            <w:tcMar>
              <w:top w:w="0" w:type="dxa"/>
              <w:left w:w="0" w:type="dxa"/>
              <w:bottom w:w="0" w:type="dxa"/>
              <w:right w:w="0" w:type="dxa"/>
            </w:tcMar>
            <w:vAlign w:val="center"/>
          </w:tcPr>
          <w:p w14:paraId="0666BC7D"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0.809</w:t>
            </w:r>
          </w:p>
        </w:tc>
        <w:tc>
          <w:tcPr>
            <w:tcW w:w="1080" w:type="dxa"/>
            <w:shd w:val="clear" w:color="auto" w:fill="FFFFFF"/>
            <w:tcMar>
              <w:top w:w="0" w:type="dxa"/>
              <w:left w:w="0" w:type="dxa"/>
              <w:bottom w:w="0" w:type="dxa"/>
              <w:right w:w="0" w:type="dxa"/>
            </w:tcMar>
            <w:vAlign w:val="center"/>
          </w:tcPr>
          <w:p w14:paraId="2E59C8AD"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45745057"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1A3AFBFD"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63E1DF57"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0.674</w:t>
            </w:r>
          </w:p>
        </w:tc>
      </w:tr>
      <w:tr w:rsidR="0033629A" w:rsidRPr="00E909F1" w14:paraId="73867759" w14:textId="77777777" w:rsidTr="00806472">
        <w:trPr>
          <w:cantSplit/>
          <w:jc w:val="center"/>
        </w:trPr>
        <w:tc>
          <w:tcPr>
            <w:tcW w:w="2340" w:type="dxa"/>
            <w:shd w:val="clear" w:color="auto" w:fill="FFFFFF"/>
            <w:tcMar>
              <w:top w:w="0" w:type="dxa"/>
              <w:left w:w="0" w:type="dxa"/>
              <w:bottom w:w="0" w:type="dxa"/>
              <w:right w:w="0" w:type="dxa"/>
            </w:tcMar>
            <w:vAlign w:val="center"/>
          </w:tcPr>
          <w:p w14:paraId="5E76C3F1"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F120_rev</w:t>
            </w:r>
          </w:p>
        </w:tc>
        <w:tc>
          <w:tcPr>
            <w:tcW w:w="1080" w:type="dxa"/>
            <w:shd w:val="clear" w:color="auto" w:fill="FFFFFF"/>
            <w:tcMar>
              <w:top w:w="0" w:type="dxa"/>
              <w:left w:w="0" w:type="dxa"/>
              <w:bottom w:w="0" w:type="dxa"/>
              <w:right w:w="0" w:type="dxa"/>
            </w:tcMar>
            <w:vAlign w:val="center"/>
          </w:tcPr>
          <w:p w14:paraId="0D47D4FD"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0.751</w:t>
            </w:r>
          </w:p>
        </w:tc>
        <w:tc>
          <w:tcPr>
            <w:tcW w:w="1080" w:type="dxa"/>
            <w:shd w:val="clear" w:color="auto" w:fill="FFFFFF"/>
            <w:tcMar>
              <w:top w:w="0" w:type="dxa"/>
              <w:left w:w="0" w:type="dxa"/>
              <w:bottom w:w="0" w:type="dxa"/>
              <w:right w:w="0" w:type="dxa"/>
            </w:tcMar>
            <w:vAlign w:val="center"/>
          </w:tcPr>
          <w:p w14:paraId="17C2989F"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1F65D3C5"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2079F566"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01C812D0"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0.546</w:t>
            </w:r>
          </w:p>
        </w:tc>
      </w:tr>
      <w:tr w:rsidR="0033629A" w:rsidRPr="00E909F1" w14:paraId="40B521E4" w14:textId="77777777" w:rsidTr="00806472">
        <w:trPr>
          <w:cantSplit/>
          <w:jc w:val="center"/>
        </w:trPr>
        <w:tc>
          <w:tcPr>
            <w:tcW w:w="2340" w:type="dxa"/>
            <w:shd w:val="clear" w:color="auto" w:fill="FFFFFF"/>
            <w:tcMar>
              <w:top w:w="0" w:type="dxa"/>
              <w:left w:w="0" w:type="dxa"/>
              <w:bottom w:w="0" w:type="dxa"/>
              <w:right w:w="0" w:type="dxa"/>
            </w:tcMar>
            <w:vAlign w:val="center"/>
          </w:tcPr>
          <w:p w14:paraId="089D7D9C"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E227</w:t>
            </w:r>
          </w:p>
        </w:tc>
        <w:tc>
          <w:tcPr>
            <w:tcW w:w="1080" w:type="dxa"/>
            <w:shd w:val="clear" w:color="auto" w:fill="FFFFFF"/>
            <w:tcMar>
              <w:top w:w="0" w:type="dxa"/>
              <w:left w:w="0" w:type="dxa"/>
              <w:bottom w:w="0" w:type="dxa"/>
              <w:right w:w="0" w:type="dxa"/>
            </w:tcMar>
            <w:vAlign w:val="center"/>
          </w:tcPr>
          <w:p w14:paraId="1CE87FD9"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1E7D67D3"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0.638</w:t>
            </w:r>
          </w:p>
        </w:tc>
        <w:tc>
          <w:tcPr>
            <w:tcW w:w="1080" w:type="dxa"/>
            <w:shd w:val="clear" w:color="auto" w:fill="FFFFFF"/>
            <w:tcMar>
              <w:top w:w="0" w:type="dxa"/>
              <w:left w:w="0" w:type="dxa"/>
              <w:bottom w:w="0" w:type="dxa"/>
              <w:right w:w="0" w:type="dxa"/>
            </w:tcMar>
            <w:vAlign w:val="center"/>
          </w:tcPr>
          <w:p w14:paraId="4C04C1C6"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6D8AA4A4"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7ADB0E00"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0.421</w:t>
            </w:r>
          </w:p>
        </w:tc>
      </w:tr>
      <w:tr w:rsidR="0033629A" w:rsidRPr="00E909F1" w14:paraId="3E88DA92" w14:textId="77777777" w:rsidTr="00806472">
        <w:trPr>
          <w:cantSplit/>
          <w:jc w:val="center"/>
        </w:trPr>
        <w:tc>
          <w:tcPr>
            <w:tcW w:w="2340" w:type="dxa"/>
            <w:shd w:val="clear" w:color="auto" w:fill="FFFFFF"/>
            <w:tcMar>
              <w:top w:w="0" w:type="dxa"/>
              <w:left w:w="0" w:type="dxa"/>
              <w:bottom w:w="0" w:type="dxa"/>
              <w:right w:w="0" w:type="dxa"/>
            </w:tcMar>
            <w:vAlign w:val="center"/>
          </w:tcPr>
          <w:p w14:paraId="7FE20675"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E224_rev</w:t>
            </w:r>
          </w:p>
        </w:tc>
        <w:tc>
          <w:tcPr>
            <w:tcW w:w="1080" w:type="dxa"/>
            <w:shd w:val="clear" w:color="auto" w:fill="FFFFFF"/>
            <w:tcMar>
              <w:top w:w="0" w:type="dxa"/>
              <w:left w:w="0" w:type="dxa"/>
              <w:bottom w:w="0" w:type="dxa"/>
              <w:right w:w="0" w:type="dxa"/>
            </w:tcMar>
            <w:vAlign w:val="center"/>
          </w:tcPr>
          <w:p w14:paraId="1D1EC685"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40B2944A"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1DEFA8A9"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0E2623B4"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68346EBB"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0.285</w:t>
            </w:r>
          </w:p>
        </w:tc>
      </w:tr>
      <w:tr w:rsidR="0033629A" w:rsidRPr="00E909F1" w14:paraId="120D0BCE" w14:textId="77777777" w:rsidTr="00806472">
        <w:trPr>
          <w:cantSplit/>
          <w:jc w:val="center"/>
        </w:trPr>
        <w:tc>
          <w:tcPr>
            <w:tcW w:w="2340" w:type="dxa"/>
            <w:shd w:val="clear" w:color="auto" w:fill="FFFFFF"/>
            <w:tcMar>
              <w:top w:w="0" w:type="dxa"/>
              <w:left w:w="0" w:type="dxa"/>
              <w:bottom w:w="0" w:type="dxa"/>
              <w:right w:w="0" w:type="dxa"/>
            </w:tcMar>
            <w:vAlign w:val="center"/>
          </w:tcPr>
          <w:p w14:paraId="2335D654"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E233</w:t>
            </w:r>
          </w:p>
        </w:tc>
        <w:tc>
          <w:tcPr>
            <w:tcW w:w="1080" w:type="dxa"/>
            <w:shd w:val="clear" w:color="auto" w:fill="FFFFFF"/>
            <w:tcMar>
              <w:top w:w="0" w:type="dxa"/>
              <w:left w:w="0" w:type="dxa"/>
              <w:bottom w:w="0" w:type="dxa"/>
              <w:right w:w="0" w:type="dxa"/>
            </w:tcMar>
            <w:vAlign w:val="center"/>
          </w:tcPr>
          <w:p w14:paraId="636C0C56"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43222572"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0.395</w:t>
            </w:r>
          </w:p>
        </w:tc>
        <w:tc>
          <w:tcPr>
            <w:tcW w:w="1080" w:type="dxa"/>
            <w:shd w:val="clear" w:color="auto" w:fill="FFFFFF"/>
            <w:tcMar>
              <w:top w:w="0" w:type="dxa"/>
              <w:left w:w="0" w:type="dxa"/>
              <w:bottom w:w="0" w:type="dxa"/>
              <w:right w:w="0" w:type="dxa"/>
            </w:tcMar>
            <w:vAlign w:val="center"/>
          </w:tcPr>
          <w:p w14:paraId="100356F7"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0.382</w:t>
            </w:r>
          </w:p>
        </w:tc>
        <w:tc>
          <w:tcPr>
            <w:tcW w:w="1080" w:type="dxa"/>
            <w:shd w:val="clear" w:color="auto" w:fill="FFFFFF"/>
            <w:tcMar>
              <w:top w:w="0" w:type="dxa"/>
              <w:left w:w="0" w:type="dxa"/>
              <w:bottom w:w="0" w:type="dxa"/>
              <w:right w:w="0" w:type="dxa"/>
            </w:tcMar>
            <w:vAlign w:val="center"/>
          </w:tcPr>
          <w:p w14:paraId="6B2BFF52"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11EED278"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0.349</w:t>
            </w:r>
          </w:p>
        </w:tc>
      </w:tr>
      <w:tr w:rsidR="0033629A" w:rsidRPr="00E909F1" w14:paraId="14C4A911" w14:textId="77777777" w:rsidTr="00806472">
        <w:trPr>
          <w:cantSplit/>
          <w:jc w:val="center"/>
        </w:trPr>
        <w:tc>
          <w:tcPr>
            <w:tcW w:w="2340" w:type="dxa"/>
            <w:shd w:val="clear" w:color="auto" w:fill="FFFFFF"/>
            <w:tcMar>
              <w:top w:w="0" w:type="dxa"/>
              <w:left w:w="0" w:type="dxa"/>
              <w:bottom w:w="0" w:type="dxa"/>
              <w:right w:w="0" w:type="dxa"/>
            </w:tcMar>
            <w:vAlign w:val="center"/>
          </w:tcPr>
          <w:p w14:paraId="198A98E2"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C001_re</w:t>
            </w:r>
            <w:r w:rsidRPr="00E909F1">
              <w:rPr>
                <w:rFonts w:eastAsia="Arial"/>
                <w:color w:val="000000"/>
                <w:sz w:val="22"/>
                <w:szCs w:val="22"/>
                <w:vertAlign w:val="superscript"/>
              </w:rPr>
              <w:t>b</w:t>
            </w:r>
          </w:p>
        </w:tc>
        <w:tc>
          <w:tcPr>
            <w:tcW w:w="1080" w:type="dxa"/>
            <w:shd w:val="clear" w:color="auto" w:fill="FFFFFF"/>
            <w:tcMar>
              <w:top w:w="0" w:type="dxa"/>
              <w:left w:w="0" w:type="dxa"/>
              <w:bottom w:w="0" w:type="dxa"/>
              <w:right w:w="0" w:type="dxa"/>
            </w:tcMar>
            <w:vAlign w:val="center"/>
          </w:tcPr>
          <w:p w14:paraId="7517CEAB"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2D607BA5"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697436CA"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2A66D906"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46A07566"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0.301</w:t>
            </w:r>
          </w:p>
        </w:tc>
      </w:tr>
      <w:tr w:rsidR="0033629A" w:rsidRPr="00E909F1" w14:paraId="175EE5E3" w14:textId="77777777" w:rsidTr="00806472">
        <w:trPr>
          <w:cantSplit/>
          <w:jc w:val="center"/>
        </w:trPr>
        <w:tc>
          <w:tcPr>
            <w:tcW w:w="2340" w:type="dxa"/>
            <w:shd w:val="clear" w:color="auto" w:fill="FFFFFF"/>
            <w:tcMar>
              <w:top w:w="0" w:type="dxa"/>
              <w:left w:w="0" w:type="dxa"/>
              <w:bottom w:w="0" w:type="dxa"/>
              <w:right w:w="0" w:type="dxa"/>
            </w:tcMar>
            <w:vAlign w:val="center"/>
          </w:tcPr>
          <w:p w14:paraId="5796B0F0"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E143</w:t>
            </w:r>
          </w:p>
        </w:tc>
        <w:tc>
          <w:tcPr>
            <w:tcW w:w="1080" w:type="dxa"/>
            <w:shd w:val="clear" w:color="auto" w:fill="FFFFFF"/>
            <w:tcMar>
              <w:top w:w="0" w:type="dxa"/>
              <w:left w:w="0" w:type="dxa"/>
              <w:bottom w:w="0" w:type="dxa"/>
              <w:right w:w="0" w:type="dxa"/>
            </w:tcMar>
            <w:vAlign w:val="center"/>
          </w:tcPr>
          <w:p w14:paraId="4B0ED721"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135FF511"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63494C1D"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0DF9E48E"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46C1E444"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0.035</w:t>
            </w:r>
          </w:p>
        </w:tc>
      </w:tr>
      <w:tr w:rsidR="0033629A" w:rsidRPr="00E909F1" w14:paraId="4FE58659" w14:textId="77777777" w:rsidTr="00806472">
        <w:trPr>
          <w:cantSplit/>
          <w:jc w:val="center"/>
        </w:trPr>
        <w:tc>
          <w:tcPr>
            <w:tcW w:w="2340" w:type="dxa"/>
            <w:shd w:val="clear" w:color="auto" w:fill="FFFFFF"/>
            <w:tcMar>
              <w:top w:w="0" w:type="dxa"/>
              <w:left w:w="0" w:type="dxa"/>
              <w:bottom w:w="0" w:type="dxa"/>
              <w:right w:w="0" w:type="dxa"/>
            </w:tcMar>
            <w:vAlign w:val="center"/>
          </w:tcPr>
          <w:p w14:paraId="2EA5FF7F"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E036_rev</w:t>
            </w:r>
          </w:p>
        </w:tc>
        <w:tc>
          <w:tcPr>
            <w:tcW w:w="1080" w:type="dxa"/>
            <w:shd w:val="clear" w:color="auto" w:fill="FFFFFF"/>
            <w:tcMar>
              <w:top w:w="0" w:type="dxa"/>
              <w:left w:w="0" w:type="dxa"/>
              <w:bottom w:w="0" w:type="dxa"/>
              <w:right w:w="0" w:type="dxa"/>
            </w:tcMar>
            <w:vAlign w:val="center"/>
          </w:tcPr>
          <w:p w14:paraId="3147704C"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1CABE030"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08C45D58"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703DAC84"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091042F6"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0.044</w:t>
            </w:r>
          </w:p>
        </w:tc>
      </w:tr>
      <w:tr w:rsidR="0033629A" w:rsidRPr="00E909F1" w14:paraId="29F0B1BD" w14:textId="77777777" w:rsidTr="00806472">
        <w:trPr>
          <w:cantSplit/>
          <w:jc w:val="center"/>
        </w:trPr>
        <w:tc>
          <w:tcPr>
            <w:tcW w:w="2340" w:type="dxa"/>
            <w:shd w:val="clear" w:color="auto" w:fill="FFFFFF"/>
            <w:tcMar>
              <w:top w:w="0" w:type="dxa"/>
              <w:left w:w="0" w:type="dxa"/>
              <w:bottom w:w="0" w:type="dxa"/>
              <w:right w:w="0" w:type="dxa"/>
            </w:tcMar>
            <w:vAlign w:val="center"/>
          </w:tcPr>
          <w:p w14:paraId="335FD9E7"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E035</w:t>
            </w:r>
          </w:p>
        </w:tc>
        <w:tc>
          <w:tcPr>
            <w:tcW w:w="1080" w:type="dxa"/>
            <w:shd w:val="clear" w:color="auto" w:fill="FFFFFF"/>
            <w:tcMar>
              <w:top w:w="0" w:type="dxa"/>
              <w:left w:w="0" w:type="dxa"/>
              <w:bottom w:w="0" w:type="dxa"/>
              <w:right w:w="0" w:type="dxa"/>
            </w:tcMar>
            <w:vAlign w:val="center"/>
          </w:tcPr>
          <w:p w14:paraId="7F373706"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0446E5A8"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2EE516E7"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25AC7097"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0.408</w:t>
            </w:r>
          </w:p>
        </w:tc>
        <w:tc>
          <w:tcPr>
            <w:tcW w:w="1080" w:type="dxa"/>
            <w:shd w:val="clear" w:color="auto" w:fill="FFFFFF"/>
            <w:tcMar>
              <w:top w:w="0" w:type="dxa"/>
              <w:left w:w="0" w:type="dxa"/>
              <w:bottom w:w="0" w:type="dxa"/>
              <w:right w:w="0" w:type="dxa"/>
            </w:tcMar>
            <w:vAlign w:val="center"/>
          </w:tcPr>
          <w:p w14:paraId="63680E12"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0.168</w:t>
            </w:r>
          </w:p>
        </w:tc>
      </w:tr>
      <w:tr w:rsidR="0033629A" w:rsidRPr="00E909F1" w14:paraId="61D6E799" w14:textId="77777777" w:rsidTr="00806472">
        <w:trPr>
          <w:cantSplit/>
          <w:jc w:val="center"/>
        </w:trPr>
        <w:tc>
          <w:tcPr>
            <w:tcW w:w="2340" w:type="dxa"/>
            <w:shd w:val="clear" w:color="auto" w:fill="FFFFFF"/>
            <w:tcMar>
              <w:top w:w="0" w:type="dxa"/>
              <w:left w:w="0" w:type="dxa"/>
              <w:bottom w:w="0" w:type="dxa"/>
              <w:right w:w="0" w:type="dxa"/>
            </w:tcMar>
            <w:vAlign w:val="center"/>
          </w:tcPr>
          <w:p w14:paraId="11DF7A67"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E033</w:t>
            </w:r>
          </w:p>
        </w:tc>
        <w:tc>
          <w:tcPr>
            <w:tcW w:w="1080" w:type="dxa"/>
            <w:shd w:val="clear" w:color="auto" w:fill="FFFFFF"/>
            <w:tcMar>
              <w:top w:w="0" w:type="dxa"/>
              <w:left w:w="0" w:type="dxa"/>
              <w:bottom w:w="0" w:type="dxa"/>
              <w:right w:w="0" w:type="dxa"/>
            </w:tcMar>
            <w:vAlign w:val="center"/>
          </w:tcPr>
          <w:p w14:paraId="4567739F"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2CCB6910"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128A5D89" w14:textId="77777777" w:rsidR="0033629A" w:rsidRPr="00E909F1" w:rsidRDefault="0033629A">
            <w:pPr>
              <w:keepNext/>
              <w:spacing w:before="100" w:after="100" w:line="240" w:lineRule="auto"/>
              <w:ind w:left="100" w:right="100" w:firstLine="0"/>
              <w:rPr>
                <w:sz w:val="22"/>
                <w:szCs w:val="22"/>
              </w:rPr>
            </w:pPr>
          </w:p>
        </w:tc>
        <w:tc>
          <w:tcPr>
            <w:tcW w:w="1080" w:type="dxa"/>
            <w:shd w:val="clear" w:color="auto" w:fill="FFFFFF"/>
            <w:tcMar>
              <w:top w:w="0" w:type="dxa"/>
              <w:left w:w="0" w:type="dxa"/>
              <w:bottom w:w="0" w:type="dxa"/>
              <w:right w:w="0" w:type="dxa"/>
            </w:tcMar>
            <w:vAlign w:val="center"/>
          </w:tcPr>
          <w:p w14:paraId="613318A0"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0.352</w:t>
            </w:r>
          </w:p>
        </w:tc>
        <w:tc>
          <w:tcPr>
            <w:tcW w:w="1080" w:type="dxa"/>
            <w:shd w:val="clear" w:color="auto" w:fill="FFFFFF"/>
            <w:tcMar>
              <w:top w:w="0" w:type="dxa"/>
              <w:left w:w="0" w:type="dxa"/>
              <w:bottom w:w="0" w:type="dxa"/>
              <w:right w:w="0" w:type="dxa"/>
            </w:tcMar>
            <w:vAlign w:val="center"/>
          </w:tcPr>
          <w:p w14:paraId="00449363"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0.148</w:t>
            </w:r>
          </w:p>
        </w:tc>
      </w:tr>
      <w:tr w:rsidR="0033629A" w:rsidRPr="00E909F1" w14:paraId="39BD4A49" w14:textId="77777777" w:rsidTr="00806472">
        <w:trPr>
          <w:cantSplit/>
          <w:jc w:val="center"/>
        </w:trPr>
        <w:tc>
          <w:tcPr>
            <w:tcW w:w="2340" w:type="dxa"/>
            <w:tcBorders>
              <w:bottom w:val="single" w:sz="16" w:space="0" w:color="666666"/>
            </w:tcBorders>
            <w:shd w:val="clear" w:color="auto" w:fill="FFFFFF"/>
            <w:tcMar>
              <w:top w:w="0" w:type="dxa"/>
              <w:left w:w="0" w:type="dxa"/>
              <w:bottom w:w="0" w:type="dxa"/>
              <w:right w:w="0" w:type="dxa"/>
            </w:tcMar>
            <w:vAlign w:val="center"/>
          </w:tcPr>
          <w:p w14:paraId="0C7FBFFD"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E037_rev</w:t>
            </w:r>
          </w:p>
        </w:tc>
        <w:tc>
          <w:tcPr>
            <w:tcW w:w="1080" w:type="dxa"/>
            <w:tcBorders>
              <w:bottom w:val="single" w:sz="16" w:space="0" w:color="666666"/>
            </w:tcBorders>
            <w:shd w:val="clear" w:color="auto" w:fill="FFFFFF"/>
            <w:tcMar>
              <w:top w:w="0" w:type="dxa"/>
              <w:left w:w="0" w:type="dxa"/>
              <w:bottom w:w="0" w:type="dxa"/>
              <w:right w:w="0" w:type="dxa"/>
            </w:tcMar>
            <w:vAlign w:val="center"/>
          </w:tcPr>
          <w:p w14:paraId="1BF501E3" w14:textId="77777777" w:rsidR="0033629A" w:rsidRPr="00E909F1" w:rsidRDefault="0033629A">
            <w:pPr>
              <w:keepNext/>
              <w:spacing w:before="100" w:after="100" w:line="240" w:lineRule="auto"/>
              <w:ind w:left="100" w:right="100" w:firstLine="0"/>
              <w:rPr>
                <w:sz w:val="22"/>
                <w:szCs w:val="22"/>
              </w:rPr>
            </w:pPr>
          </w:p>
        </w:tc>
        <w:tc>
          <w:tcPr>
            <w:tcW w:w="1080" w:type="dxa"/>
            <w:tcBorders>
              <w:bottom w:val="single" w:sz="16" w:space="0" w:color="666666"/>
            </w:tcBorders>
            <w:shd w:val="clear" w:color="auto" w:fill="FFFFFF"/>
            <w:tcMar>
              <w:top w:w="0" w:type="dxa"/>
              <w:left w:w="0" w:type="dxa"/>
              <w:bottom w:w="0" w:type="dxa"/>
              <w:right w:w="0" w:type="dxa"/>
            </w:tcMar>
            <w:vAlign w:val="center"/>
          </w:tcPr>
          <w:p w14:paraId="2156250D" w14:textId="77777777" w:rsidR="0033629A" w:rsidRPr="00E909F1" w:rsidRDefault="0033629A">
            <w:pPr>
              <w:keepNext/>
              <w:spacing w:before="100" w:after="100" w:line="240" w:lineRule="auto"/>
              <w:ind w:left="100" w:right="100" w:firstLine="0"/>
              <w:rPr>
                <w:sz w:val="22"/>
                <w:szCs w:val="22"/>
              </w:rPr>
            </w:pPr>
          </w:p>
        </w:tc>
        <w:tc>
          <w:tcPr>
            <w:tcW w:w="1080" w:type="dxa"/>
            <w:tcBorders>
              <w:bottom w:val="single" w:sz="16" w:space="0" w:color="666666"/>
            </w:tcBorders>
            <w:shd w:val="clear" w:color="auto" w:fill="FFFFFF"/>
            <w:tcMar>
              <w:top w:w="0" w:type="dxa"/>
              <w:left w:w="0" w:type="dxa"/>
              <w:bottom w:w="0" w:type="dxa"/>
              <w:right w:w="0" w:type="dxa"/>
            </w:tcMar>
            <w:vAlign w:val="center"/>
          </w:tcPr>
          <w:p w14:paraId="00D8376C" w14:textId="77777777" w:rsidR="0033629A" w:rsidRPr="00E909F1" w:rsidRDefault="0033629A">
            <w:pPr>
              <w:keepNext/>
              <w:spacing w:before="100" w:after="100" w:line="240" w:lineRule="auto"/>
              <w:ind w:left="100" w:right="100" w:firstLine="0"/>
              <w:rPr>
                <w:sz w:val="22"/>
                <w:szCs w:val="22"/>
              </w:rPr>
            </w:pPr>
          </w:p>
        </w:tc>
        <w:tc>
          <w:tcPr>
            <w:tcW w:w="1080" w:type="dxa"/>
            <w:tcBorders>
              <w:bottom w:val="single" w:sz="16" w:space="0" w:color="666666"/>
            </w:tcBorders>
            <w:shd w:val="clear" w:color="auto" w:fill="FFFFFF"/>
            <w:tcMar>
              <w:top w:w="0" w:type="dxa"/>
              <w:left w:w="0" w:type="dxa"/>
              <w:bottom w:w="0" w:type="dxa"/>
              <w:right w:w="0" w:type="dxa"/>
            </w:tcMar>
            <w:vAlign w:val="center"/>
          </w:tcPr>
          <w:p w14:paraId="01D2D998"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0.344</w:t>
            </w:r>
          </w:p>
        </w:tc>
        <w:tc>
          <w:tcPr>
            <w:tcW w:w="1080" w:type="dxa"/>
            <w:tcBorders>
              <w:bottom w:val="single" w:sz="16" w:space="0" w:color="666666"/>
            </w:tcBorders>
            <w:shd w:val="clear" w:color="auto" w:fill="FFFFFF"/>
            <w:tcMar>
              <w:top w:w="0" w:type="dxa"/>
              <w:left w:w="0" w:type="dxa"/>
              <w:bottom w:w="0" w:type="dxa"/>
              <w:right w:w="0" w:type="dxa"/>
            </w:tcMar>
            <w:vAlign w:val="center"/>
          </w:tcPr>
          <w:p w14:paraId="10F247E8"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0.178</w:t>
            </w:r>
          </w:p>
        </w:tc>
      </w:tr>
      <w:tr w:rsidR="0033629A" w:rsidRPr="00E909F1" w14:paraId="45A74ADF" w14:textId="77777777" w:rsidTr="00806472">
        <w:trPr>
          <w:cantSplit/>
          <w:jc w:val="center"/>
        </w:trPr>
        <w:tc>
          <w:tcPr>
            <w:tcW w:w="7740" w:type="dxa"/>
            <w:gridSpan w:val="6"/>
            <w:shd w:val="clear" w:color="auto" w:fill="FFFFFF"/>
            <w:tcMar>
              <w:top w:w="0" w:type="dxa"/>
              <w:left w:w="0" w:type="dxa"/>
              <w:bottom w:w="0" w:type="dxa"/>
              <w:right w:w="0" w:type="dxa"/>
            </w:tcMar>
            <w:vAlign w:val="center"/>
          </w:tcPr>
          <w:p w14:paraId="2DD7AA26"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vertAlign w:val="superscript"/>
              </w:rPr>
              <w:t>a</w:t>
            </w:r>
            <w:r w:rsidRPr="00E909F1">
              <w:rPr>
                <w:rFonts w:eastAsia="Arial"/>
                <w:color w:val="000000"/>
                <w:sz w:val="22"/>
                <w:szCs w:val="22"/>
              </w:rPr>
              <w:t xml:space="preserve"> "rev" refers to a variable that has been reverse coded</w:t>
            </w:r>
          </w:p>
        </w:tc>
      </w:tr>
      <w:tr w:rsidR="0033629A" w:rsidRPr="00E909F1" w14:paraId="41710678" w14:textId="77777777" w:rsidTr="00806472">
        <w:trPr>
          <w:cantSplit/>
          <w:jc w:val="center"/>
        </w:trPr>
        <w:tc>
          <w:tcPr>
            <w:tcW w:w="7740" w:type="dxa"/>
            <w:gridSpan w:val="6"/>
            <w:shd w:val="clear" w:color="auto" w:fill="FFFFFF"/>
            <w:tcMar>
              <w:top w:w="0" w:type="dxa"/>
              <w:left w:w="0" w:type="dxa"/>
              <w:bottom w:w="0" w:type="dxa"/>
              <w:right w:w="0" w:type="dxa"/>
            </w:tcMar>
            <w:vAlign w:val="center"/>
          </w:tcPr>
          <w:p w14:paraId="3DF02966"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vertAlign w:val="superscript"/>
              </w:rPr>
              <w:t>b</w:t>
            </w:r>
            <w:r w:rsidRPr="00E909F1">
              <w:rPr>
                <w:rFonts w:eastAsia="Arial"/>
                <w:color w:val="000000"/>
                <w:sz w:val="22"/>
                <w:szCs w:val="22"/>
              </w:rPr>
              <w:t xml:space="preserve"> "re" refers to a variable that was been recoded</w:t>
            </w:r>
          </w:p>
        </w:tc>
      </w:tr>
    </w:tbl>
    <w:p w14:paraId="17FA881C" w14:textId="25EB7A32" w:rsidR="001826CE" w:rsidRDefault="001826CE">
      <w:pPr>
        <w:spacing w:before="0" w:after="200" w:line="240" w:lineRule="auto"/>
        <w:ind w:firstLine="0"/>
      </w:pPr>
    </w:p>
    <w:p w14:paraId="5808F4C0" w14:textId="5C79EADA" w:rsidR="0033629A" w:rsidRDefault="004409CB">
      <w:pPr>
        <w:pStyle w:val="TableCaption"/>
      </w:pPr>
      <w:bookmarkStart w:id="440" w:name="_Toc105675514"/>
      <w:r>
        <w:rPr>
          <w:b/>
        </w:rPr>
        <w:lastRenderedPageBreak/>
        <w:t xml:space="preserve">Table </w:t>
      </w:r>
      <w:bookmarkStart w:id="441" w:name="fa3"/>
      <w:r>
        <w:rPr>
          <w:b/>
        </w:rPr>
        <w:fldChar w:fldCharType="begin"/>
      </w:r>
      <w:r>
        <w:rPr>
          <w:b/>
        </w:rPr>
        <w:instrText>SEQ tab \* Arabic</w:instrText>
      </w:r>
      <w:r>
        <w:rPr>
          <w:b/>
        </w:rPr>
        <w:fldChar w:fldCharType="separate"/>
      </w:r>
      <w:r w:rsidR="00766923">
        <w:rPr>
          <w:b/>
          <w:noProof/>
        </w:rPr>
        <w:t>11</w:t>
      </w:r>
      <w:r>
        <w:rPr>
          <w:b/>
        </w:rPr>
        <w:fldChar w:fldCharType="end"/>
      </w:r>
      <w:bookmarkEnd w:id="441"/>
      <w:r>
        <w:t>: Final 1-Factor Solution</w:t>
      </w:r>
      <w:bookmarkEnd w:id="440"/>
    </w:p>
    <w:tbl>
      <w:tblPr>
        <w:tblW w:w="0" w:type="auto"/>
        <w:jc w:val="center"/>
        <w:tblLayout w:type="fixed"/>
        <w:tblLook w:val="0420" w:firstRow="1" w:lastRow="0" w:firstColumn="0" w:lastColumn="0" w:noHBand="0" w:noVBand="1"/>
      </w:tblPr>
      <w:tblGrid>
        <w:gridCol w:w="3170"/>
        <w:gridCol w:w="1331"/>
        <w:gridCol w:w="2090"/>
      </w:tblGrid>
      <w:tr w:rsidR="0033629A" w:rsidRPr="00E909F1" w14:paraId="59B59ABF" w14:textId="77777777" w:rsidTr="00806472">
        <w:trPr>
          <w:cantSplit/>
          <w:trHeight w:val="437"/>
          <w:tblHeader/>
          <w:jc w:val="center"/>
        </w:trPr>
        <w:tc>
          <w:tcPr>
            <w:tcW w:w="3170"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6AA25738" w14:textId="7223C904" w:rsidR="0033629A" w:rsidRPr="00E909F1" w:rsidRDefault="00E909F1">
            <w:pPr>
              <w:keepNext/>
              <w:spacing w:before="100" w:after="100" w:line="240" w:lineRule="auto"/>
              <w:ind w:left="100" w:right="100" w:firstLine="0"/>
              <w:rPr>
                <w:sz w:val="22"/>
                <w:szCs w:val="22"/>
              </w:rPr>
            </w:pPr>
            <w:r w:rsidRPr="00E909F1">
              <w:rPr>
                <w:rFonts w:eastAsia="Arial"/>
                <w:color w:val="000000"/>
                <w:sz w:val="22"/>
                <w:szCs w:val="22"/>
              </w:rPr>
              <w:t>I</w:t>
            </w:r>
            <w:r w:rsidR="004409CB" w:rsidRPr="00E909F1">
              <w:rPr>
                <w:rFonts w:eastAsia="Arial"/>
                <w:color w:val="000000"/>
                <w:sz w:val="22"/>
                <w:szCs w:val="22"/>
              </w:rPr>
              <w:t>tem</w:t>
            </w:r>
          </w:p>
        </w:tc>
        <w:tc>
          <w:tcPr>
            <w:tcW w:w="1331"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70F8E7A4"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ML1</w:t>
            </w:r>
          </w:p>
        </w:tc>
        <w:tc>
          <w:tcPr>
            <w:tcW w:w="2088"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17DB78CA"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Communality</w:t>
            </w:r>
          </w:p>
        </w:tc>
      </w:tr>
      <w:tr w:rsidR="0033629A" w:rsidRPr="00E909F1" w14:paraId="7F472303" w14:textId="77777777" w:rsidTr="00806472">
        <w:trPr>
          <w:cantSplit/>
          <w:trHeight w:val="437"/>
          <w:jc w:val="center"/>
        </w:trPr>
        <w:tc>
          <w:tcPr>
            <w:tcW w:w="3170" w:type="dxa"/>
            <w:shd w:val="clear" w:color="auto" w:fill="FFFFFF"/>
            <w:tcMar>
              <w:top w:w="0" w:type="dxa"/>
              <w:left w:w="0" w:type="dxa"/>
              <w:bottom w:w="0" w:type="dxa"/>
              <w:right w:w="0" w:type="dxa"/>
            </w:tcMar>
            <w:vAlign w:val="center"/>
          </w:tcPr>
          <w:p w14:paraId="26FE8886"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F118_rev</w:t>
            </w:r>
            <w:r w:rsidRPr="00E909F1">
              <w:rPr>
                <w:rFonts w:eastAsia="Arial"/>
                <w:color w:val="000000"/>
                <w:sz w:val="22"/>
                <w:szCs w:val="22"/>
                <w:vertAlign w:val="superscript"/>
              </w:rPr>
              <w:t>a</w:t>
            </w:r>
          </w:p>
        </w:tc>
        <w:tc>
          <w:tcPr>
            <w:tcW w:w="1331" w:type="dxa"/>
            <w:shd w:val="clear" w:color="auto" w:fill="FFFFFF"/>
            <w:tcMar>
              <w:top w:w="0" w:type="dxa"/>
              <w:left w:w="0" w:type="dxa"/>
              <w:bottom w:w="0" w:type="dxa"/>
              <w:right w:w="0" w:type="dxa"/>
            </w:tcMar>
            <w:vAlign w:val="center"/>
          </w:tcPr>
          <w:p w14:paraId="0DC84F2E"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0.825</w:t>
            </w:r>
          </w:p>
        </w:tc>
        <w:tc>
          <w:tcPr>
            <w:tcW w:w="2088" w:type="dxa"/>
            <w:shd w:val="clear" w:color="auto" w:fill="FFFFFF"/>
            <w:tcMar>
              <w:top w:w="0" w:type="dxa"/>
              <w:left w:w="0" w:type="dxa"/>
              <w:bottom w:w="0" w:type="dxa"/>
              <w:right w:w="0" w:type="dxa"/>
            </w:tcMar>
            <w:vAlign w:val="center"/>
          </w:tcPr>
          <w:p w14:paraId="58924AA9"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0.681</w:t>
            </w:r>
          </w:p>
        </w:tc>
      </w:tr>
      <w:tr w:rsidR="0033629A" w:rsidRPr="00E909F1" w14:paraId="7863D006" w14:textId="77777777" w:rsidTr="00806472">
        <w:trPr>
          <w:cantSplit/>
          <w:trHeight w:val="437"/>
          <w:jc w:val="center"/>
        </w:trPr>
        <w:tc>
          <w:tcPr>
            <w:tcW w:w="3170" w:type="dxa"/>
            <w:shd w:val="clear" w:color="auto" w:fill="FFFFFF"/>
            <w:tcMar>
              <w:top w:w="0" w:type="dxa"/>
              <w:left w:w="0" w:type="dxa"/>
              <w:bottom w:w="0" w:type="dxa"/>
              <w:right w:w="0" w:type="dxa"/>
            </w:tcMar>
            <w:vAlign w:val="center"/>
          </w:tcPr>
          <w:p w14:paraId="67172053"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F120_rev</w:t>
            </w:r>
          </w:p>
        </w:tc>
        <w:tc>
          <w:tcPr>
            <w:tcW w:w="1331" w:type="dxa"/>
            <w:shd w:val="clear" w:color="auto" w:fill="FFFFFF"/>
            <w:tcMar>
              <w:top w:w="0" w:type="dxa"/>
              <w:left w:w="0" w:type="dxa"/>
              <w:bottom w:w="0" w:type="dxa"/>
              <w:right w:w="0" w:type="dxa"/>
            </w:tcMar>
            <w:vAlign w:val="center"/>
          </w:tcPr>
          <w:p w14:paraId="7D400244"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0.726</w:t>
            </w:r>
          </w:p>
        </w:tc>
        <w:tc>
          <w:tcPr>
            <w:tcW w:w="2088" w:type="dxa"/>
            <w:shd w:val="clear" w:color="auto" w:fill="FFFFFF"/>
            <w:tcMar>
              <w:top w:w="0" w:type="dxa"/>
              <w:left w:w="0" w:type="dxa"/>
              <w:bottom w:w="0" w:type="dxa"/>
              <w:right w:w="0" w:type="dxa"/>
            </w:tcMar>
            <w:vAlign w:val="center"/>
          </w:tcPr>
          <w:p w14:paraId="1BA3DD0C"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0.527</w:t>
            </w:r>
          </w:p>
        </w:tc>
      </w:tr>
      <w:tr w:rsidR="0033629A" w:rsidRPr="00E909F1" w14:paraId="7E36F69C" w14:textId="77777777" w:rsidTr="00806472">
        <w:trPr>
          <w:cantSplit/>
          <w:trHeight w:val="437"/>
          <w:jc w:val="center"/>
        </w:trPr>
        <w:tc>
          <w:tcPr>
            <w:tcW w:w="3170" w:type="dxa"/>
            <w:shd w:val="clear" w:color="auto" w:fill="FFFFFF"/>
            <w:tcMar>
              <w:top w:w="0" w:type="dxa"/>
              <w:left w:w="0" w:type="dxa"/>
              <w:bottom w:w="0" w:type="dxa"/>
              <w:right w:w="0" w:type="dxa"/>
            </w:tcMar>
            <w:vAlign w:val="center"/>
          </w:tcPr>
          <w:p w14:paraId="28307F00"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C001_re</w:t>
            </w:r>
            <w:r w:rsidRPr="00E909F1">
              <w:rPr>
                <w:rFonts w:eastAsia="Arial"/>
                <w:color w:val="000000"/>
                <w:sz w:val="22"/>
                <w:szCs w:val="22"/>
                <w:vertAlign w:val="superscript"/>
              </w:rPr>
              <w:t>b</w:t>
            </w:r>
          </w:p>
        </w:tc>
        <w:tc>
          <w:tcPr>
            <w:tcW w:w="1331" w:type="dxa"/>
            <w:shd w:val="clear" w:color="auto" w:fill="FFFFFF"/>
            <w:tcMar>
              <w:top w:w="0" w:type="dxa"/>
              <w:left w:w="0" w:type="dxa"/>
              <w:bottom w:w="0" w:type="dxa"/>
              <w:right w:w="0" w:type="dxa"/>
            </w:tcMar>
            <w:vAlign w:val="center"/>
          </w:tcPr>
          <w:p w14:paraId="6784F08C"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0.393</w:t>
            </w:r>
          </w:p>
        </w:tc>
        <w:tc>
          <w:tcPr>
            <w:tcW w:w="2088" w:type="dxa"/>
            <w:shd w:val="clear" w:color="auto" w:fill="FFFFFF"/>
            <w:tcMar>
              <w:top w:w="0" w:type="dxa"/>
              <w:left w:w="0" w:type="dxa"/>
              <w:bottom w:w="0" w:type="dxa"/>
              <w:right w:w="0" w:type="dxa"/>
            </w:tcMar>
            <w:vAlign w:val="center"/>
          </w:tcPr>
          <w:p w14:paraId="720D2AFC"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0.155</w:t>
            </w:r>
          </w:p>
        </w:tc>
      </w:tr>
      <w:tr w:rsidR="0033629A" w:rsidRPr="00E909F1" w14:paraId="1D390A02" w14:textId="77777777" w:rsidTr="00806472">
        <w:trPr>
          <w:cantSplit/>
          <w:trHeight w:val="453"/>
          <w:jc w:val="center"/>
        </w:trPr>
        <w:tc>
          <w:tcPr>
            <w:tcW w:w="3170" w:type="dxa"/>
            <w:shd w:val="clear" w:color="auto" w:fill="FFFFFF"/>
            <w:tcMar>
              <w:top w:w="0" w:type="dxa"/>
              <w:left w:w="0" w:type="dxa"/>
              <w:bottom w:w="0" w:type="dxa"/>
              <w:right w:w="0" w:type="dxa"/>
            </w:tcMar>
            <w:vAlign w:val="center"/>
          </w:tcPr>
          <w:p w14:paraId="1D9FC29F"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E233</w:t>
            </w:r>
          </w:p>
        </w:tc>
        <w:tc>
          <w:tcPr>
            <w:tcW w:w="1331" w:type="dxa"/>
            <w:shd w:val="clear" w:color="auto" w:fill="FFFFFF"/>
            <w:tcMar>
              <w:top w:w="0" w:type="dxa"/>
              <w:left w:w="0" w:type="dxa"/>
              <w:bottom w:w="0" w:type="dxa"/>
              <w:right w:w="0" w:type="dxa"/>
            </w:tcMar>
            <w:vAlign w:val="center"/>
          </w:tcPr>
          <w:p w14:paraId="14FA22A9" w14:textId="77777777" w:rsidR="0033629A" w:rsidRPr="00E909F1" w:rsidRDefault="0033629A">
            <w:pPr>
              <w:keepNext/>
              <w:spacing w:before="100" w:after="100" w:line="240" w:lineRule="auto"/>
              <w:ind w:left="100" w:right="100" w:firstLine="0"/>
              <w:rPr>
                <w:sz w:val="22"/>
                <w:szCs w:val="22"/>
              </w:rPr>
            </w:pPr>
          </w:p>
        </w:tc>
        <w:tc>
          <w:tcPr>
            <w:tcW w:w="2088" w:type="dxa"/>
            <w:shd w:val="clear" w:color="auto" w:fill="FFFFFF"/>
            <w:tcMar>
              <w:top w:w="0" w:type="dxa"/>
              <w:left w:w="0" w:type="dxa"/>
              <w:bottom w:w="0" w:type="dxa"/>
              <w:right w:w="0" w:type="dxa"/>
            </w:tcMar>
            <w:vAlign w:val="center"/>
          </w:tcPr>
          <w:p w14:paraId="5B105927"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0.039</w:t>
            </w:r>
          </w:p>
        </w:tc>
      </w:tr>
      <w:tr w:rsidR="0033629A" w:rsidRPr="00E909F1" w14:paraId="08167C18" w14:textId="77777777" w:rsidTr="00806472">
        <w:trPr>
          <w:cantSplit/>
          <w:trHeight w:val="453"/>
          <w:jc w:val="center"/>
        </w:trPr>
        <w:tc>
          <w:tcPr>
            <w:tcW w:w="3170" w:type="dxa"/>
            <w:shd w:val="clear" w:color="auto" w:fill="FFFFFF"/>
            <w:tcMar>
              <w:top w:w="0" w:type="dxa"/>
              <w:left w:w="0" w:type="dxa"/>
              <w:bottom w:w="0" w:type="dxa"/>
              <w:right w:w="0" w:type="dxa"/>
            </w:tcMar>
            <w:vAlign w:val="center"/>
          </w:tcPr>
          <w:p w14:paraId="3041A43A"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E033</w:t>
            </w:r>
          </w:p>
        </w:tc>
        <w:tc>
          <w:tcPr>
            <w:tcW w:w="1331" w:type="dxa"/>
            <w:shd w:val="clear" w:color="auto" w:fill="FFFFFF"/>
            <w:tcMar>
              <w:top w:w="0" w:type="dxa"/>
              <w:left w:w="0" w:type="dxa"/>
              <w:bottom w:w="0" w:type="dxa"/>
              <w:right w:w="0" w:type="dxa"/>
            </w:tcMar>
            <w:vAlign w:val="center"/>
          </w:tcPr>
          <w:p w14:paraId="61461312" w14:textId="77777777" w:rsidR="0033629A" w:rsidRPr="00E909F1" w:rsidRDefault="0033629A">
            <w:pPr>
              <w:keepNext/>
              <w:spacing w:before="100" w:after="100" w:line="240" w:lineRule="auto"/>
              <w:ind w:left="100" w:right="100" w:firstLine="0"/>
              <w:rPr>
                <w:sz w:val="22"/>
                <w:szCs w:val="22"/>
              </w:rPr>
            </w:pPr>
          </w:p>
        </w:tc>
        <w:tc>
          <w:tcPr>
            <w:tcW w:w="2088" w:type="dxa"/>
            <w:shd w:val="clear" w:color="auto" w:fill="FFFFFF"/>
            <w:tcMar>
              <w:top w:w="0" w:type="dxa"/>
              <w:left w:w="0" w:type="dxa"/>
              <w:bottom w:w="0" w:type="dxa"/>
              <w:right w:w="0" w:type="dxa"/>
            </w:tcMar>
            <w:vAlign w:val="center"/>
          </w:tcPr>
          <w:p w14:paraId="585676C0"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0.028</w:t>
            </w:r>
          </w:p>
        </w:tc>
      </w:tr>
      <w:tr w:rsidR="0033629A" w:rsidRPr="00E909F1" w14:paraId="6907C498" w14:textId="77777777" w:rsidTr="00806472">
        <w:trPr>
          <w:cantSplit/>
          <w:trHeight w:val="453"/>
          <w:jc w:val="center"/>
        </w:trPr>
        <w:tc>
          <w:tcPr>
            <w:tcW w:w="3170" w:type="dxa"/>
            <w:shd w:val="clear" w:color="auto" w:fill="FFFFFF"/>
            <w:tcMar>
              <w:top w:w="0" w:type="dxa"/>
              <w:left w:w="0" w:type="dxa"/>
              <w:bottom w:w="0" w:type="dxa"/>
              <w:right w:w="0" w:type="dxa"/>
            </w:tcMar>
            <w:vAlign w:val="center"/>
          </w:tcPr>
          <w:p w14:paraId="61A35E1D"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E037_rev</w:t>
            </w:r>
          </w:p>
        </w:tc>
        <w:tc>
          <w:tcPr>
            <w:tcW w:w="1331" w:type="dxa"/>
            <w:shd w:val="clear" w:color="auto" w:fill="FFFFFF"/>
            <w:tcMar>
              <w:top w:w="0" w:type="dxa"/>
              <w:left w:w="0" w:type="dxa"/>
              <w:bottom w:w="0" w:type="dxa"/>
              <w:right w:w="0" w:type="dxa"/>
            </w:tcMar>
            <w:vAlign w:val="center"/>
          </w:tcPr>
          <w:p w14:paraId="535E5D9E" w14:textId="77777777" w:rsidR="0033629A" w:rsidRPr="00E909F1" w:rsidRDefault="0033629A">
            <w:pPr>
              <w:keepNext/>
              <w:spacing w:before="100" w:after="100" w:line="240" w:lineRule="auto"/>
              <w:ind w:left="100" w:right="100" w:firstLine="0"/>
              <w:rPr>
                <w:sz w:val="22"/>
                <w:szCs w:val="22"/>
              </w:rPr>
            </w:pPr>
          </w:p>
        </w:tc>
        <w:tc>
          <w:tcPr>
            <w:tcW w:w="2088" w:type="dxa"/>
            <w:shd w:val="clear" w:color="auto" w:fill="FFFFFF"/>
            <w:tcMar>
              <w:top w:w="0" w:type="dxa"/>
              <w:left w:w="0" w:type="dxa"/>
              <w:bottom w:w="0" w:type="dxa"/>
              <w:right w:w="0" w:type="dxa"/>
            </w:tcMar>
            <w:vAlign w:val="center"/>
          </w:tcPr>
          <w:p w14:paraId="663A637E"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0.018</w:t>
            </w:r>
          </w:p>
        </w:tc>
      </w:tr>
      <w:tr w:rsidR="0033629A" w:rsidRPr="00E909F1" w14:paraId="09643470" w14:textId="77777777" w:rsidTr="00806472">
        <w:trPr>
          <w:cantSplit/>
          <w:trHeight w:val="453"/>
          <w:jc w:val="center"/>
        </w:trPr>
        <w:tc>
          <w:tcPr>
            <w:tcW w:w="3170" w:type="dxa"/>
            <w:shd w:val="clear" w:color="auto" w:fill="FFFFFF"/>
            <w:tcMar>
              <w:top w:w="0" w:type="dxa"/>
              <w:left w:w="0" w:type="dxa"/>
              <w:bottom w:w="0" w:type="dxa"/>
              <w:right w:w="0" w:type="dxa"/>
            </w:tcMar>
            <w:vAlign w:val="center"/>
          </w:tcPr>
          <w:p w14:paraId="6A0DE3AB"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E036_rev</w:t>
            </w:r>
          </w:p>
        </w:tc>
        <w:tc>
          <w:tcPr>
            <w:tcW w:w="1331" w:type="dxa"/>
            <w:shd w:val="clear" w:color="auto" w:fill="FFFFFF"/>
            <w:tcMar>
              <w:top w:w="0" w:type="dxa"/>
              <w:left w:w="0" w:type="dxa"/>
              <w:bottom w:w="0" w:type="dxa"/>
              <w:right w:w="0" w:type="dxa"/>
            </w:tcMar>
            <w:vAlign w:val="center"/>
          </w:tcPr>
          <w:p w14:paraId="31E3F8E7" w14:textId="77777777" w:rsidR="0033629A" w:rsidRPr="00E909F1" w:rsidRDefault="0033629A">
            <w:pPr>
              <w:keepNext/>
              <w:spacing w:before="100" w:after="100" w:line="240" w:lineRule="auto"/>
              <w:ind w:left="100" w:right="100" w:firstLine="0"/>
              <w:rPr>
                <w:sz w:val="22"/>
                <w:szCs w:val="22"/>
              </w:rPr>
            </w:pPr>
          </w:p>
        </w:tc>
        <w:tc>
          <w:tcPr>
            <w:tcW w:w="2088" w:type="dxa"/>
            <w:shd w:val="clear" w:color="auto" w:fill="FFFFFF"/>
            <w:tcMar>
              <w:top w:w="0" w:type="dxa"/>
              <w:left w:w="0" w:type="dxa"/>
              <w:bottom w:w="0" w:type="dxa"/>
              <w:right w:w="0" w:type="dxa"/>
            </w:tcMar>
            <w:vAlign w:val="center"/>
          </w:tcPr>
          <w:p w14:paraId="11D09155"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0.012</w:t>
            </w:r>
          </w:p>
        </w:tc>
      </w:tr>
      <w:tr w:rsidR="0033629A" w:rsidRPr="00E909F1" w14:paraId="6D4300A4" w14:textId="77777777" w:rsidTr="00806472">
        <w:trPr>
          <w:cantSplit/>
          <w:trHeight w:val="453"/>
          <w:jc w:val="center"/>
        </w:trPr>
        <w:tc>
          <w:tcPr>
            <w:tcW w:w="3170" w:type="dxa"/>
            <w:shd w:val="clear" w:color="auto" w:fill="FFFFFF"/>
            <w:tcMar>
              <w:top w:w="0" w:type="dxa"/>
              <w:left w:w="0" w:type="dxa"/>
              <w:bottom w:w="0" w:type="dxa"/>
              <w:right w:w="0" w:type="dxa"/>
            </w:tcMar>
            <w:vAlign w:val="center"/>
          </w:tcPr>
          <w:p w14:paraId="643C55E5"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E143</w:t>
            </w:r>
          </w:p>
        </w:tc>
        <w:tc>
          <w:tcPr>
            <w:tcW w:w="1331" w:type="dxa"/>
            <w:shd w:val="clear" w:color="auto" w:fill="FFFFFF"/>
            <w:tcMar>
              <w:top w:w="0" w:type="dxa"/>
              <w:left w:w="0" w:type="dxa"/>
              <w:bottom w:w="0" w:type="dxa"/>
              <w:right w:w="0" w:type="dxa"/>
            </w:tcMar>
            <w:vAlign w:val="center"/>
          </w:tcPr>
          <w:p w14:paraId="79B82EA5" w14:textId="77777777" w:rsidR="0033629A" w:rsidRPr="00E909F1" w:rsidRDefault="0033629A">
            <w:pPr>
              <w:keepNext/>
              <w:spacing w:before="100" w:after="100" w:line="240" w:lineRule="auto"/>
              <w:ind w:left="100" w:right="100" w:firstLine="0"/>
              <w:rPr>
                <w:sz w:val="22"/>
                <w:szCs w:val="22"/>
              </w:rPr>
            </w:pPr>
          </w:p>
        </w:tc>
        <w:tc>
          <w:tcPr>
            <w:tcW w:w="2088" w:type="dxa"/>
            <w:shd w:val="clear" w:color="auto" w:fill="FFFFFF"/>
            <w:tcMar>
              <w:top w:w="0" w:type="dxa"/>
              <w:left w:w="0" w:type="dxa"/>
              <w:bottom w:w="0" w:type="dxa"/>
              <w:right w:w="0" w:type="dxa"/>
            </w:tcMar>
            <w:vAlign w:val="center"/>
          </w:tcPr>
          <w:p w14:paraId="29E264D5"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0.010</w:t>
            </w:r>
          </w:p>
        </w:tc>
      </w:tr>
      <w:tr w:rsidR="0033629A" w:rsidRPr="00E909F1" w14:paraId="34BA502B" w14:textId="77777777" w:rsidTr="00806472">
        <w:trPr>
          <w:cantSplit/>
          <w:trHeight w:val="453"/>
          <w:jc w:val="center"/>
        </w:trPr>
        <w:tc>
          <w:tcPr>
            <w:tcW w:w="3170" w:type="dxa"/>
            <w:shd w:val="clear" w:color="auto" w:fill="FFFFFF"/>
            <w:tcMar>
              <w:top w:w="0" w:type="dxa"/>
              <w:left w:w="0" w:type="dxa"/>
              <w:bottom w:w="0" w:type="dxa"/>
              <w:right w:w="0" w:type="dxa"/>
            </w:tcMar>
            <w:vAlign w:val="center"/>
          </w:tcPr>
          <w:p w14:paraId="3E7C756F"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E035</w:t>
            </w:r>
          </w:p>
        </w:tc>
        <w:tc>
          <w:tcPr>
            <w:tcW w:w="1331" w:type="dxa"/>
            <w:shd w:val="clear" w:color="auto" w:fill="FFFFFF"/>
            <w:tcMar>
              <w:top w:w="0" w:type="dxa"/>
              <w:left w:w="0" w:type="dxa"/>
              <w:bottom w:w="0" w:type="dxa"/>
              <w:right w:w="0" w:type="dxa"/>
            </w:tcMar>
            <w:vAlign w:val="center"/>
          </w:tcPr>
          <w:p w14:paraId="47B205DB" w14:textId="77777777" w:rsidR="0033629A" w:rsidRPr="00E909F1" w:rsidRDefault="0033629A">
            <w:pPr>
              <w:keepNext/>
              <w:spacing w:before="100" w:after="100" w:line="240" w:lineRule="auto"/>
              <w:ind w:left="100" w:right="100" w:firstLine="0"/>
              <w:rPr>
                <w:sz w:val="22"/>
                <w:szCs w:val="22"/>
              </w:rPr>
            </w:pPr>
          </w:p>
        </w:tc>
        <w:tc>
          <w:tcPr>
            <w:tcW w:w="2088" w:type="dxa"/>
            <w:shd w:val="clear" w:color="auto" w:fill="FFFFFF"/>
            <w:tcMar>
              <w:top w:w="0" w:type="dxa"/>
              <w:left w:w="0" w:type="dxa"/>
              <w:bottom w:w="0" w:type="dxa"/>
              <w:right w:w="0" w:type="dxa"/>
            </w:tcMar>
            <w:vAlign w:val="center"/>
          </w:tcPr>
          <w:p w14:paraId="139776EE"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0.004</w:t>
            </w:r>
          </w:p>
        </w:tc>
      </w:tr>
      <w:tr w:rsidR="0033629A" w:rsidRPr="00E909F1" w14:paraId="0E1FF36B" w14:textId="77777777" w:rsidTr="00806472">
        <w:trPr>
          <w:cantSplit/>
          <w:trHeight w:val="453"/>
          <w:jc w:val="center"/>
        </w:trPr>
        <w:tc>
          <w:tcPr>
            <w:tcW w:w="3170" w:type="dxa"/>
            <w:shd w:val="clear" w:color="auto" w:fill="FFFFFF"/>
            <w:tcMar>
              <w:top w:w="0" w:type="dxa"/>
              <w:left w:w="0" w:type="dxa"/>
              <w:bottom w:w="0" w:type="dxa"/>
              <w:right w:w="0" w:type="dxa"/>
            </w:tcMar>
            <w:vAlign w:val="center"/>
          </w:tcPr>
          <w:p w14:paraId="6AA254F0"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E227</w:t>
            </w:r>
          </w:p>
        </w:tc>
        <w:tc>
          <w:tcPr>
            <w:tcW w:w="1331" w:type="dxa"/>
            <w:shd w:val="clear" w:color="auto" w:fill="FFFFFF"/>
            <w:tcMar>
              <w:top w:w="0" w:type="dxa"/>
              <w:left w:w="0" w:type="dxa"/>
              <w:bottom w:w="0" w:type="dxa"/>
              <w:right w:w="0" w:type="dxa"/>
            </w:tcMar>
            <w:vAlign w:val="center"/>
          </w:tcPr>
          <w:p w14:paraId="70A17ACA" w14:textId="77777777" w:rsidR="0033629A" w:rsidRPr="00E909F1" w:rsidRDefault="0033629A">
            <w:pPr>
              <w:keepNext/>
              <w:spacing w:before="100" w:after="100" w:line="240" w:lineRule="auto"/>
              <w:ind w:left="100" w:right="100" w:firstLine="0"/>
              <w:rPr>
                <w:sz w:val="22"/>
                <w:szCs w:val="22"/>
              </w:rPr>
            </w:pPr>
          </w:p>
        </w:tc>
        <w:tc>
          <w:tcPr>
            <w:tcW w:w="2088" w:type="dxa"/>
            <w:shd w:val="clear" w:color="auto" w:fill="FFFFFF"/>
            <w:tcMar>
              <w:top w:w="0" w:type="dxa"/>
              <w:left w:w="0" w:type="dxa"/>
              <w:bottom w:w="0" w:type="dxa"/>
              <w:right w:w="0" w:type="dxa"/>
            </w:tcMar>
            <w:vAlign w:val="center"/>
          </w:tcPr>
          <w:p w14:paraId="7DF07E08"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0.002</w:t>
            </w:r>
          </w:p>
        </w:tc>
      </w:tr>
      <w:tr w:rsidR="0033629A" w:rsidRPr="00E909F1" w14:paraId="62BB1275" w14:textId="77777777" w:rsidTr="00806472">
        <w:trPr>
          <w:cantSplit/>
          <w:trHeight w:val="453"/>
          <w:jc w:val="center"/>
        </w:trPr>
        <w:tc>
          <w:tcPr>
            <w:tcW w:w="3170" w:type="dxa"/>
            <w:tcBorders>
              <w:bottom w:val="single" w:sz="16" w:space="0" w:color="666666"/>
            </w:tcBorders>
            <w:shd w:val="clear" w:color="auto" w:fill="FFFFFF"/>
            <w:tcMar>
              <w:top w:w="0" w:type="dxa"/>
              <w:left w:w="0" w:type="dxa"/>
              <w:bottom w:w="0" w:type="dxa"/>
              <w:right w:w="0" w:type="dxa"/>
            </w:tcMar>
            <w:vAlign w:val="center"/>
          </w:tcPr>
          <w:p w14:paraId="7ACA02BF"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E224_rev</w:t>
            </w:r>
          </w:p>
        </w:tc>
        <w:tc>
          <w:tcPr>
            <w:tcW w:w="1331" w:type="dxa"/>
            <w:tcBorders>
              <w:bottom w:val="single" w:sz="16" w:space="0" w:color="666666"/>
            </w:tcBorders>
            <w:shd w:val="clear" w:color="auto" w:fill="FFFFFF"/>
            <w:tcMar>
              <w:top w:w="0" w:type="dxa"/>
              <w:left w:w="0" w:type="dxa"/>
              <w:bottom w:w="0" w:type="dxa"/>
              <w:right w:w="0" w:type="dxa"/>
            </w:tcMar>
            <w:vAlign w:val="center"/>
          </w:tcPr>
          <w:p w14:paraId="32D8400A" w14:textId="77777777" w:rsidR="0033629A" w:rsidRPr="00E909F1" w:rsidRDefault="0033629A">
            <w:pPr>
              <w:keepNext/>
              <w:spacing w:before="100" w:after="100" w:line="240" w:lineRule="auto"/>
              <w:ind w:left="100" w:right="100" w:firstLine="0"/>
              <w:rPr>
                <w:sz w:val="22"/>
                <w:szCs w:val="22"/>
              </w:rPr>
            </w:pPr>
          </w:p>
        </w:tc>
        <w:tc>
          <w:tcPr>
            <w:tcW w:w="2088" w:type="dxa"/>
            <w:tcBorders>
              <w:bottom w:val="single" w:sz="16" w:space="0" w:color="666666"/>
            </w:tcBorders>
            <w:shd w:val="clear" w:color="auto" w:fill="FFFFFF"/>
            <w:tcMar>
              <w:top w:w="0" w:type="dxa"/>
              <w:left w:w="0" w:type="dxa"/>
              <w:bottom w:w="0" w:type="dxa"/>
              <w:right w:w="0" w:type="dxa"/>
            </w:tcMar>
            <w:vAlign w:val="center"/>
          </w:tcPr>
          <w:p w14:paraId="2D1D93C7"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0.000</w:t>
            </w:r>
          </w:p>
        </w:tc>
      </w:tr>
      <w:tr w:rsidR="0033629A" w:rsidRPr="00E909F1" w14:paraId="07BAF38F" w14:textId="77777777" w:rsidTr="00806472">
        <w:trPr>
          <w:cantSplit/>
          <w:trHeight w:val="687"/>
          <w:jc w:val="center"/>
        </w:trPr>
        <w:tc>
          <w:tcPr>
            <w:tcW w:w="6591" w:type="dxa"/>
            <w:gridSpan w:val="3"/>
            <w:shd w:val="clear" w:color="auto" w:fill="FFFFFF"/>
            <w:tcMar>
              <w:top w:w="0" w:type="dxa"/>
              <w:left w:w="0" w:type="dxa"/>
              <w:bottom w:w="0" w:type="dxa"/>
              <w:right w:w="0" w:type="dxa"/>
            </w:tcMar>
            <w:vAlign w:val="center"/>
          </w:tcPr>
          <w:p w14:paraId="3DBFF230"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vertAlign w:val="superscript"/>
              </w:rPr>
              <w:t>a</w:t>
            </w:r>
            <w:r w:rsidRPr="00E909F1">
              <w:rPr>
                <w:rFonts w:eastAsia="Arial"/>
                <w:color w:val="000000"/>
                <w:sz w:val="22"/>
                <w:szCs w:val="22"/>
              </w:rPr>
              <w:t xml:space="preserve"> "rev" refers to a variable that has been reverse coded</w:t>
            </w:r>
          </w:p>
        </w:tc>
      </w:tr>
      <w:tr w:rsidR="0033629A" w:rsidRPr="00E909F1" w14:paraId="695A0922" w14:textId="77777777" w:rsidTr="00806472">
        <w:trPr>
          <w:cantSplit/>
          <w:trHeight w:val="437"/>
          <w:jc w:val="center"/>
        </w:trPr>
        <w:tc>
          <w:tcPr>
            <w:tcW w:w="6591" w:type="dxa"/>
            <w:gridSpan w:val="3"/>
            <w:shd w:val="clear" w:color="auto" w:fill="FFFFFF"/>
            <w:tcMar>
              <w:top w:w="0" w:type="dxa"/>
              <w:left w:w="0" w:type="dxa"/>
              <w:bottom w:w="0" w:type="dxa"/>
              <w:right w:w="0" w:type="dxa"/>
            </w:tcMar>
            <w:vAlign w:val="center"/>
          </w:tcPr>
          <w:p w14:paraId="2A1E5971"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vertAlign w:val="superscript"/>
              </w:rPr>
              <w:t>b</w:t>
            </w:r>
            <w:r w:rsidRPr="00E909F1">
              <w:rPr>
                <w:rFonts w:eastAsia="Arial"/>
                <w:color w:val="000000"/>
                <w:sz w:val="22"/>
                <w:szCs w:val="22"/>
              </w:rPr>
              <w:t xml:space="preserve"> "re" refers to a variable that was been recoded</w:t>
            </w:r>
          </w:p>
        </w:tc>
      </w:tr>
    </w:tbl>
    <w:p w14:paraId="3E1D4953" w14:textId="77777777" w:rsidR="0033629A" w:rsidRDefault="004409CB">
      <w:r>
        <w:br w:type="page"/>
      </w:r>
    </w:p>
    <w:p w14:paraId="0492C52E" w14:textId="77777777" w:rsidR="0033629A" w:rsidRDefault="004409CB" w:rsidP="00411E2D">
      <w:pPr>
        <w:pStyle w:val="Heading2"/>
      </w:pPr>
      <w:bookmarkStart w:id="442" w:name="_Toc107939135"/>
      <w:bookmarkStart w:id="443" w:name="appendix-c"/>
      <w:bookmarkEnd w:id="435"/>
      <w:r>
        <w:lastRenderedPageBreak/>
        <w:t>Appendix C</w:t>
      </w:r>
      <w:bookmarkEnd w:id="442"/>
    </w:p>
    <w:p w14:paraId="0DA328E4" w14:textId="509BDD73" w:rsidR="00806472" w:rsidRDefault="004409CB">
      <w:pPr>
        <w:pStyle w:val="FirstParagraph"/>
      </w:pPr>
      <w:r>
        <w:t xml:space="preserve">All imputation analyses are derived from the </w:t>
      </w:r>
      <w:r>
        <w:rPr>
          <w:rStyle w:val="VerbatimChar"/>
        </w:rPr>
        <w:t>JointAI</w:t>
      </w:r>
      <w:r>
        <w:t xml:space="preserve"> package (</w:t>
      </w:r>
      <w:hyperlink w:anchor="ref-erler2021">
        <w:r>
          <w:rPr>
            <w:rStyle w:val="Hyperlink"/>
          </w:rPr>
          <w:t>Erler et al., 2021</w:t>
        </w:r>
      </w:hyperlink>
      <w:r>
        <w:t xml:space="preserve">). Note that the initial analysis included region as a variable, and they are included in the output below. The traceplots (Figure </w:t>
      </w:r>
      <w:hyperlink w:anchor="traceplot">
        <w:r>
          <w:fldChar w:fldCharType="begin"/>
        </w:r>
        <w:r>
          <w:instrText xml:space="preserve"> REF traceplot \h</w:instrText>
        </w:r>
        <w:r>
          <w:fldChar w:fldCharType="separate"/>
        </w:r>
        <w:r w:rsidR="00766923">
          <w:rPr>
            <w:b/>
            <w:noProof/>
          </w:rPr>
          <w:t>28</w:t>
        </w:r>
        <w:r>
          <w:fldChar w:fldCharType="end"/>
        </w:r>
      </w:hyperlink>
      <w:r>
        <w:t xml:space="preserve">) of each variable in the initial analysis suggests excellent mixing and convergence across all chains over 10,000 imputations. Gelman-Rubin critical values were all sufficient at around 1 (Table </w:t>
      </w:r>
      <w:hyperlink w:anchor="grtable">
        <w:r>
          <w:fldChar w:fldCharType="begin"/>
        </w:r>
        <w:r>
          <w:instrText xml:space="preserve"> REF grtable \h</w:instrText>
        </w:r>
        <w:r>
          <w:fldChar w:fldCharType="separate"/>
        </w:r>
        <w:r w:rsidR="00766923">
          <w:rPr>
            <w:b/>
            <w:noProof/>
          </w:rPr>
          <w:t>12</w:t>
        </w:r>
        <w:r>
          <w:fldChar w:fldCharType="end"/>
        </w:r>
      </w:hyperlink>
      <w:r>
        <w:t xml:space="preserve">). Monte Carlo error of the samples were all below 5%. A plot of posterior densities (Figure </w:t>
      </w:r>
      <w:hyperlink w:anchor="dens">
        <w:r>
          <w:fldChar w:fldCharType="begin"/>
        </w:r>
        <w:r>
          <w:instrText xml:space="preserve"> REF dens \h</w:instrText>
        </w:r>
        <w:r>
          <w:fldChar w:fldCharType="separate"/>
        </w:r>
        <w:r w:rsidR="00766923">
          <w:rPr>
            <w:b/>
            <w:noProof/>
          </w:rPr>
          <w:t>30</w:t>
        </w:r>
        <w:r>
          <w:fldChar w:fldCharType="end"/>
        </w:r>
      </w:hyperlink>
      <w:r>
        <w:t>) shows overlapping of chains across iterations, also suggesting adequate convergence.</w:t>
      </w:r>
    </w:p>
    <w:p w14:paraId="0DF11F99" w14:textId="77777777" w:rsidR="00806472" w:rsidRDefault="00806472">
      <w:pPr>
        <w:spacing w:before="0" w:after="200" w:line="240" w:lineRule="auto"/>
        <w:ind w:firstLine="0"/>
      </w:pPr>
      <w:r>
        <w:br w:type="page"/>
      </w:r>
    </w:p>
    <w:p w14:paraId="3AC7B330" w14:textId="77777777" w:rsidR="0033629A" w:rsidRDefault="0033629A">
      <w:pPr>
        <w:pStyle w:val="FirstParagraph"/>
      </w:pPr>
    </w:p>
    <w:p w14:paraId="476468A0" w14:textId="77777777" w:rsidR="0033629A" w:rsidRDefault="004409CB" w:rsidP="00E909F1">
      <w:pPr>
        <w:pStyle w:val="Figure"/>
        <w:ind w:firstLine="630"/>
        <w:jc w:val="center"/>
      </w:pPr>
      <w:r>
        <w:rPr>
          <w:noProof/>
        </w:rPr>
        <w:drawing>
          <wp:inline distT="0" distB="0" distL="0" distR="0" wp14:anchorId="58C45037" wp14:editId="375E1792">
            <wp:extent cx="5527454" cy="368213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
                    <pic:cNvPicPr>
                      <a:picLocks noChangeAspect="1" noChangeArrowheads="1"/>
                    </pic:cNvPicPr>
                  </pic:nvPicPr>
                  <pic:blipFill>
                    <a:blip r:embed="rId310"/>
                    <a:srcRect/>
                    <a:stretch>
                      <a:fillRect/>
                    </a:stretch>
                  </pic:blipFill>
                  <pic:spPr bwMode="auto">
                    <a:xfrm>
                      <a:off x="0" y="0"/>
                      <a:ext cx="76845" cy="51191"/>
                    </a:xfrm>
                    <a:prstGeom prst="rect">
                      <a:avLst/>
                    </a:prstGeom>
                    <a:noFill/>
                  </pic:spPr>
                </pic:pic>
              </a:graphicData>
            </a:graphic>
          </wp:inline>
        </w:drawing>
      </w:r>
    </w:p>
    <w:p w14:paraId="720EABFF" w14:textId="26044F3E" w:rsidR="0033629A" w:rsidRDefault="004409CB">
      <w:pPr>
        <w:pStyle w:val="ImageCaption"/>
      </w:pPr>
      <w:bookmarkStart w:id="444" w:name="_Toc105675543"/>
      <w:r>
        <w:rPr>
          <w:b/>
        </w:rPr>
        <w:t xml:space="preserve">Figure </w:t>
      </w:r>
      <w:bookmarkStart w:id="445" w:name="traceplot"/>
      <w:r>
        <w:rPr>
          <w:b/>
        </w:rPr>
        <w:fldChar w:fldCharType="begin"/>
      </w:r>
      <w:r>
        <w:rPr>
          <w:b/>
        </w:rPr>
        <w:instrText>SEQ Figure \* Arabic</w:instrText>
      </w:r>
      <w:r>
        <w:rPr>
          <w:b/>
        </w:rPr>
        <w:fldChar w:fldCharType="separate"/>
      </w:r>
      <w:r w:rsidR="00766923">
        <w:rPr>
          <w:b/>
          <w:noProof/>
        </w:rPr>
        <w:t>28</w:t>
      </w:r>
      <w:r>
        <w:rPr>
          <w:b/>
        </w:rPr>
        <w:fldChar w:fldCharType="end"/>
      </w:r>
      <w:bookmarkEnd w:id="445"/>
      <w:r>
        <w:t>: Traceplot of MCMC Chains Over 10,000 Iterations</w:t>
      </w:r>
      <w:bookmarkEnd w:id="444"/>
    </w:p>
    <w:p w14:paraId="37E948BA" w14:textId="47C04F9A" w:rsidR="0033629A" w:rsidRDefault="004409CB">
      <w:pPr>
        <w:pStyle w:val="TableCaption"/>
      </w:pPr>
      <w:bookmarkStart w:id="446" w:name="_Toc105675515"/>
      <w:r>
        <w:rPr>
          <w:b/>
        </w:rPr>
        <w:lastRenderedPageBreak/>
        <w:t xml:space="preserve">Table </w:t>
      </w:r>
      <w:bookmarkStart w:id="447" w:name="grtable"/>
      <w:r>
        <w:rPr>
          <w:b/>
        </w:rPr>
        <w:fldChar w:fldCharType="begin"/>
      </w:r>
      <w:r>
        <w:rPr>
          <w:b/>
        </w:rPr>
        <w:instrText>SEQ tab \* Arabic</w:instrText>
      </w:r>
      <w:r>
        <w:rPr>
          <w:b/>
        </w:rPr>
        <w:fldChar w:fldCharType="separate"/>
      </w:r>
      <w:r w:rsidR="00766923">
        <w:rPr>
          <w:b/>
          <w:noProof/>
        </w:rPr>
        <w:t>12</w:t>
      </w:r>
      <w:r>
        <w:rPr>
          <w:b/>
        </w:rPr>
        <w:fldChar w:fldCharType="end"/>
      </w:r>
      <w:bookmarkEnd w:id="447"/>
      <w:r>
        <w:t>: Gelman-Rubin Criterion for Convergence</w:t>
      </w:r>
      <w:bookmarkEnd w:id="446"/>
    </w:p>
    <w:tbl>
      <w:tblPr>
        <w:tblW w:w="0" w:type="auto"/>
        <w:jc w:val="center"/>
        <w:tblLayout w:type="fixed"/>
        <w:tblLook w:val="0420" w:firstRow="1" w:lastRow="0" w:firstColumn="0" w:lastColumn="0" w:noHBand="0" w:noVBand="1"/>
      </w:tblPr>
      <w:tblGrid>
        <w:gridCol w:w="5107"/>
        <w:gridCol w:w="1328"/>
        <w:gridCol w:w="1413"/>
      </w:tblGrid>
      <w:tr w:rsidR="0033629A" w:rsidRPr="00E909F1" w14:paraId="6DC9AAA6" w14:textId="77777777">
        <w:trPr>
          <w:cantSplit/>
          <w:tblHeader/>
          <w:jc w:val="center"/>
        </w:trPr>
        <w:tc>
          <w:tcPr>
            <w:tcW w:w="5107"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0B97E16A"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Variable</w:t>
            </w:r>
          </w:p>
        </w:tc>
        <w:tc>
          <w:tcPr>
            <w:tcW w:w="1328"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5CAF4AD1"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Point est.</w:t>
            </w:r>
          </w:p>
        </w:tc>
        <w:tc>
          <w:tcPr>
            <w:tcW w:w="1413" w:type="dxa"/>
            <w:tcBorders>
              <w:top w:val="single" w:sz="16" w:space="0" w:color="666666"/>
              <w:bottom w:val="single" w:sz="16" w:space="0" w:color="666666"/>
            </w:tcBorders>
            <w:shd w:val="clear" w:color="auto" w:fill="FFFFFF"/>
            <w:tcMar>
              <w:top w:w="0" w:type="dxa"/>
              <w:left w:w="0" w:type="dxa"/>
              <w:bottom w:w="0" w:type="dxa"/>
              <w:right w:w="0" w:type="dxa"/>
            </w:tcMar>
            <w:vAlign w:val="center"/>
          </w:tcPr>
          <w:p w14:paraId="4BD60D51"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Upper C.I.</w:t>
            </w:r>
          </w:p>
        </w:tc>
      </w:tr>
      <w:tr w:rsidR="0033629A" w:rsidRPr="00E909F1" w14:paraId="1FBE5BC9" w14:textId="77777777">
        <w:trPr>
          <w:cantSplit/>
          <w:jc w:val="center"/>
        </w:trPr>
        <w:tc>
          <w:tcPr>
            <w:tcW w:w="5107" w:type="dxa"/>
            <w:shd w:val="clear" w:color="auto" w:fill="FFFFFF"/>
            <w:tcMar>
              <w:top w:w="0" w:type="dxa"/>
              <w:left w:w="0" w:type="dxa"/>
              <w:bottom w:w="0" w:type="dxa"/>
              <w:right w:w="0" w:type="dxa"/>
            </w:tcMar>
            <w:vAlign w:val="center"/>
          </w:tcPr>
          <w:p w14:paraId="6CA4946B" w14:textId="7777777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(Intercept)</w:t>
            </w:r>
          </w:p>
        </w:tc>
        <w:tc>
          <w:tcPr>
            <w:tcW w:w="1328" w:type="dxa"/>
            <w:shd w:val="clear" w:color="auto" w:fill="FFFFFF"/>
            <w:tcMar>
              <w:top w:w="0" w:type="dxa"/>
              <w:left w:w="0" w:type="dxa"/>
              <w:bottom w:w="0" w:type="dxa"/>
              <w:right w:w="0" w:type="dxa"/>
            </w:tcMar>
            <w:vAlign w:val="center"/>
          </w:tcPr>
          <w:p w14:paraId="00DEBF4A"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1.003631</w:t>
            </w:r>
          </w:p>
        </w:tc>
        <w:tc>
          <w:tcPr>
            <w:tcW w:w="1413" w:type="dxa"/>
            <w:shd w:val="clear" w:color="auto" w:fill="FFFFFF"/>
            <w:tcMar>
              <w:top w:w="0" w:type="dxa"/>
              <w:left w:w="0" w:type="dxa"/>
              <w:bottom w:w="0" w:type="dxa"/>
              <w:right w:w="0" w:type="dxa"/>
            </w:tcMar>
            <w:vAlign w:val="center"/>
          </w:tcPr>
          <w:p w14:paraId="7C5D3B71"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1.007573</w:t>
            </w:r>
          </w:p>
        </w:tc>
      </w:tr>
      <w:tr w:rsidR="0033629A" w:rsidRPr="00E909F1" w14:paraId="4477E4D0" w14:textId="77777777">
        <w:trPr>
          <w:cantSplit/>
          <w:jc w:val="center"/>
        </w:trPr>
        <w:tc>
          <w:tcPr>
            <w:tcW w:w="5107" w:type="dxa"/>
            <w:shd w:val="clear" w:color="auto" w:fill="FFFFFF"/>
            <w:tcMar>
              <w:top w:w="0" w:type="dxa"/>
              <w:left w:w="0" w:type="dxa"/>
              <w:bottom w:w="0" w:type="dxa"/>
              <w:right w:w="0" w:type="dxa"/>
            </w:tcMar>
            <w:vAlign w:val="center"/>
          </w:tcPr>
          <w:p w14:paraId="64D3E517" w14:textId="56AAC181" w:rsidR="0033629A" w:rsidRPr="00E909F1" w:rsidRDefault="00E909F1">
            <w:pPr>
              <w:keepNext/>
              <w:spacing w:before="100" w:after="100" w:line="240" w:lineRule="auto"/>
              <w:ind w:left="100" w:right="100" w:firstLine="0"/>
              <w:rPr>
                <w:sz w:val="22"/>
                <w:szCs w:val="22"/>
              </w:rPr>
            </w:pPr>
            <w:r>
              <w:rPr>
                <w:rFonts w:eastAsia="Arial"/>
                <w:color w:val="000000"/>
                <w:sz w:val="22"/>
                <w:szCs w:val="22"/>
              </w:rPr>
              <w:t>Scientific Literacy (within)</w:t>
            </w:r>
          </w:p>
        </w:tc>
        <w:tc>
          <w:tcPr>
            <w:tcW w:w="1328" w:type="dxa"/>
            <w:shd w:val="clear" w:color="auto" w:fill="FFFFFF"/>
            <w:tcMar>
              <w:top w:w="0" w:type="dxa"/>
              <w:left w:w="0" w:type="dxa"/>
              <w:bottom w:w="0" w:type="dxa"/>
              <w:right w:w="0" w:type="dxa"/>
            </w:tcMar>
            <w:vAlign w:val="center"/>
          </w:tcPr>
          <w:p w14:paraId="3008909A"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1.003880</w:t>
            </w:r>
          </w:p>
        </w:tc>
        <w:tc>
          <w:tcPr>
            <w:tcW w:w="1413" w:type="dxa"/>
            <w:shd w:val="clear" w:color="auto" w:fill="FFFFFF"/>
            <w:tcMar>
              <w:top w:w="0" w:type="dxa"/>
              <w:left w:w="0" w:type="dxa"/>
              <w:bottom w:w="0" w:type="dxa"/>
              <w:right w:w="0" w:type="dxa"/>
            </w:tcMar>
            <w:vAlign w:val="center"/>
          </w:tcPr>
          <w:p w14:paraId="53A03757"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1.008050</w:t>
            </w:r>
          </w:p>
        </w:tc>
      </w:tr>
      <w:tr w:rsidR="0033629A" w:rsidRPr="00E909F1" w14:paraId="2B584A22" w14:textId="77777777">
        <w:trPr>
          <w:cantSplit/>
          <w:jc w:val="center"/>
        </w:trPr>
        <w:tc>
          <w:tcPr>
            <w:tcW w:w="5107" w:type="dxa"/>
            <w:shd w:val="clear" w:color="auto" w:fill="FFFFFF"/>
            <w:tcMar>
              <w:top w:w="0" w:type="dxa"/>
              <w:left w:w="0" w:type="dxa"/>
              <w:bottom w:w="0" w:type="dxa"/>
              <w:right w:w="0" w:type="dxa"/>
            </w:tcMar>
            <w:vAlign w:val="center"/>
          </w:tcPr>
          <w:p w14:paraId="4691E218" w14:textId="5B2225B7"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Latin America and the Caribbean</w:t>
            </w:r>
          </w:p>
        </w:tc>
        <w:tc>
          <w:tcPr>
            <w:tcW w:w="1328" w:type="dxa"/>
            <w:shd w:val="clear" w:color="auto" w:fill="FFFFFF"/>
            <w:tcMar>
              <w:top w:w="0" w:type="dxa"/>
              <w:left w:w="0" w:type="dxa"/>
              <w:bottom w:w="0" w:type="dxa"/>
              <w:right w:w="0" w:type="dxa"/>
            </w:tcMar>
            <w:vAlign w:val="center"/>
          </w:tcPr>
          <w:p w14:paraId="659B8716"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1.005929</w:t>
            </w:r>
          </w:p>
        </w:tc>
        <w:tc>
          <w:tcPr>
            <w:tcW w:w="1413" w:type="dxa"/>
            <w:shd w:val="clear" w:color="auto" w:fill="FFFFFF"/>
            <w:tcMar>
              <w:top w:w="0" w:type="dxa"/>
              <w:left w:w="0" w:type="dxa"/>
              <w:bottom w:w="0" w:type="dxa"/>
              <w:right w:w="0" w:type="dxa"/>
            </w:tcMar>
            <w:vAlign w:val="center"/>
          </w:tcPr>
          <w:p w14:paraId="1A9A4511"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1.012115</w:t>
            </w:r>
          </w:p>
        </w:tc>
      </w:tr>
      <w:tr w:rsidR="0033629A" w:rsidRPr="00E909F1" w14:paraId="5B9DE6AD" w14:textId="77777777">
        <w:trPr>
          <w:cantSplit/>
          <w:jc w:val="center"/>
        </w:trPr>
        <w:tc>
          <w:tcPr>
            <w:tcW w:w="5107" w:type="dxa"/>
            <w:shd w:val="clear" w:color="auto" w:fill="FFFFFF"/>
            <w:tcMar>
              <w:top w:w="0" w:type="dxa"/>
              <w:left w:w="0" w:type="dxa"/>
              <w:bottom w:w="0" w:type="dxa"/>
              <w:right w:w="0" w:type="dxa"/>
            </w:tcMar>
            <w:vAlign w:val="center"/>
          </w:tcPr>
          <w:p w14:paraId="7520D397" w14:textId="6FCE5F7B"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Australia and New Zealand</w:t>
            </w:r>
          </w:p>
        </w:tc>
        <w:tc>
          <w:tcPr>
            <w:tcW w:w="1328" w:type="dxa"/>
            <w:shd w:val="clear" w:color="auto" w:fill="FFFFFF"/>
            <w:tcMar>
              <w:top w:w="0" w:type="dxa"/>
              <w:left w:w="0" w:type="dxa"/>
              <w:bottom w:w="0" w:type="dxa"/>
              <w:right w:w="0" w:type="dxa"/>
            </w:tcMar>
            <w:vAlign w:val="center"/>
          </w:tcPr>
          <w:p w14:paraId="07622E83"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1.004437</w:t>
            </w:r>
          </w:p>
        </w:tc>
        <w:tc>
          <w:tcPr>
            <w:tcW w:w="1413" w:type="dxa"/>
            <w:shd w:val="clear" w:color="auto" w:fill="FFFFFF"/>
            <w:tcMar>
              <w:top w:w="0" w:type="dxa"/>
              <w:left w:w="0" w:type="dxa"/>
              <w:bottom w:w="0" w:type="dxa"/>
              <w:right w:w="0" w:type="dxa"/>
            </w:tcMar>
            <w:vAlign w:val="center"/>
          </w:tcPr>
          <w:p w14:paraId="5C9F055F"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1.009263</w:t>
            </w:r>
          </w:p>
        </w:tc>
      </w:tr>
      <w:tr w:rsidR="0033629A" w:rsidRPr="00E909F1" w14:paraId="40EBD2DB" w14:textId="77777777">
        <w:trPr>
          <w:cantSplit/>
          <w:jc w:val="center"/>
        </w:trPr>
        <w:tc>
          <w:tcPr>
            <w:tcW w:w="5107" w:type="dxa"/>
            <w:shd w:val="clear" w:color="auto" w:fill="FFFFFF"/>
            <w:tcMar>
              <w:top w:w="0" w:type="dxa"/>
              <w:left w:w="0" w:type="dxa"/>
              <w:bottom w:w="0" w:type="dxa"/>
              <w:right w:w="0" w:type="dxa"/>
            </w:tcMar>
            <w:vAlign w:val="center"/>
          </w:tcPr>
          <w:p w14:paraId="53A75A88" w14:textId="5B31E7EB"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Northern America and Europe</w:t>
            </w:r>
          </w:p>
        </w:tc>
        <w:tc>
          <w:tcPr>
            <w:tcW w:w="1328" w:type="dxa"/>
            <w:shd w:val="clear" w:color="auto" w:fill="FFFFFF"/>
            <w:tcMar>
              <w:top w:w="0" w:type="dxa"/>
              <w:left w:w="0" w:type="dxa"/>
              <w:bottom w:w="0" w:type="dxa"/>
              <w:right w:w="0" w:type="dxa"/>
            </w:tcMar>
            <w:vAlign w:val="center"/>
          </w:tcPr>
          <w:p w14:paraId="5648EB85"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1.008461</w:t>
            </w:r>
          </w:p>
        </w:tc>
        <w:tc>
          <w:tcPr>
            <w:tcW w:w="1413" w:type="dxa"/>
            <w:shd w:val="clear" w:color="auto" w:fill="FFFFFF"/>
            <w:tcMar>
              <w:top w:w="0" w:type="dxa"/>
              <w:left w:w="0" w:type="dxa"/>
              <w:bottom w:w="0" w:type="dxa"/>
              <w:right w:w="0" w:type="dxa"/>
            </w:tcMar>
            <w:vAlign w:val="center"/>
          </w:tcPr>
          <w:p w14:paraId="46803E88"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1.017145</w:t>
            </w:r>
          </w:p>
        </w:tc>
      </w:tr>
      <w:tr w:rsidR="0033629A" w:rsidRPr="00E909F1" w14:paraId="40931FD9" w14:textId="77777777">
        <w:trPr>
          <w:cantSplit/>
          <w:jc w:val="center"/>
        </w:trPr>
        <w:tc>
          <w:tcPr>
            <w:tcW w:w="5107" w:type="dxa"/>
            <w:shd w:val="clear" w:color="auto" w:fill="FFFFFF"/>
            <w:tcMar>
              <w:top w:w="0" w:type="dxa"/>
              <w:left w:w="0" w:type="dxa"/>
              <w:bottom w:w="0" w:type="dxa"/>
              <w:right w:w="0" w:type="dxa"/>
            </w:tcMar>
            <w:vAlign w:val="center"/>
          </w:tcPr>
          <w:p w14:paraId="3204E12B" w14:textId="249B147D"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Eastern Asia and South-eastern Asia</w:t>
            </w:r>
          </w:p>
        </w:tc>
        <w:tc>
          <w:tcPr>
            <w:tcW w:w="1328" w:type="dxa"/>
            <w:shd w:val="clear" w:color="auto" w:fill="FFFFFF"/>
            <w:tcMar>
              <w:top w:w="0" w:type="dxa"/>
              <w:left w:w="0" w:type="dxa"/>
              <w:bottom w:w="0" w:type="dxa"/>
              <w:right w:w="0" w:type="dxa"/>
            </w:tcMar>
            <w:vAlign w:val="center"/>
          </w:tcPr>
          <w:p w14:paraId="003EFEA6"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1.005464</w:t>
            </w:r>
          </w:p>
        </w:tc>
        <w:tc>
          <w:tcPr>
            <w:tcW w:w="1413" w:type="dxa"/>
            <w:shd w:val="clear" w:color="auto" w:fill="FFFFFF"/>
            <w:tcMar>
              <w:top w:w="0" w:type="dxa"/>
              <w:left w:w="0" w:type="dxa"/>
              <w:bottom w:w="0" w:type="dxa"/>
              <w:right w:w="0" w:type="dxa"/>
            </w:tcMar>
            <w:vAlign w:val="center"/>
          </w:tcPr>
          <w:p w14:paraId="0BBBD97C"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1.010753</w:t>
            </w:r>
          </w:p>
        </w:tc>
      </w:tr>
      <w:tr w:rsidR="0033629A" w:rsidRPr="00E909F1" w14:paraId="5A029CBB" w14:textId="77777777">
        <w:trPr>
          <w:cantSplit/>
          <w:jc w:val="center"/>
        </w:trPr>
        <w:tc>
          <w:tcPr>
            <w:tcW w:w="5107" w:type="dxa"/>
            <w:shd w:val="clear" w:color="auto" w:fill="FFFFFF"/>
            <w:tcMar>
              <w:top w:w="0" w:type="dxa"/>
              <w:left w:w="0" w:type="dxa"/>
              <w:bottom w:w="0" w:type="dxa"/>
              <w:right w:w="0" w:type="dxa"/>
            </w:tcMar>
            <w:vAlign w:val="center"/>
          </w:tcPr>
          <w:p w14:paraId="673999B8" w14:textId="6C6DCB63"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Central Asia and Southern Asia</w:t>
            </w:r>
          </w:p>
        </w:tc>
        <w:tc>
          <w:tcPr>
            <w:tcW w:w="1328" w:type="dxa"/>
            <w:shd w:val="clear" w:color="auto" w:fill="FFFFFF"/>
            <w:tcMar>
              <w:top w:w="0" w:type="dxa"/>
              <w:left w:w="0" w:type="dxa"/>
              <w:bottom w:w="0" w:type="dxa"/>
              <w:right w:w="0" w:type="dxa"/>
            </w:tcMar>
            <w:vAlign w:val="center"/>
          </w:tcPr>
          <w:p w14:paraId="27CB06DB"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1.003955</w:t>
            </w:r>
          </w:p>
        </w:tc>
        <w:tc>
          <w:tcPr>
            <w:tcW w:w="1413" w:type="dxa"/>
            <w:shd w:val="clear" w:color="auto" w:fill="FFFFFF"/>
            <w:tcMar>
              <w:top w:w="0" w:type="dxa"/>
              <w:left w:w="0" w:type="dxa"/>
              <w:bottom w:w="0" w:type="dxa"/>
              <w:right w:w="0" w:type="dxa"/>
            </w:tcMar>
            <w:vAlign w:val="center"/>
          </w:tcPr>
          <w:p w14:paraId="32D2BF53"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1.008249</w:t>
            </w:r>
          </w:p>
        </w:tc>
      </w:tr>
      <w:tr w:rsidR="0033629A" w:rsidRPr="00E909F1" w14:paraId="00872CFF" w14:textId="77777777">
        <w:trPr>
          <w:cantSplit/>
          <w:jc w:val="center"/>
        </w:trPr>
        <w:tc>
          <w:tcPr>
            <w:tcW w:w="5107" w:type="dxa"/>
            <w:shd w:val="clear" w:color="auto" w:fill="FFFFFF"/>
            <w:tcMar>
              <w:top w:w="0" w:type="dxa"/>
              <w:left w:w="0" w:type="dxa"/>
              <w:bottom w:w="0" w:type="dxa"/>
              <w:right w:w="0" w:type="dxa"/>
            </w:tcMar>
            <w:vAlign w:val="center"/>
          </w:tcPr>
          <w:p w14:paraId="31439A03" w14:textId="4B2075D9" w:rsidR="0033629A" w:rsidRPr="00E909F1" w:rsidRDefault="004409CB">
            <w:pPr>
              <w:keepNext/>
              <w:spacing w:before="100" w:after="100" w:line="240" w:lineRule="auto"/>
              <w:ind w:left="100" w:right="100" w:firstLine="0"/>
              <w:rPr>
                <w:sz w:val="22"/>
                <w:szCs w:val="22"/>
              </w:rPr>
            </w:pPr>
            <w:r w:rsidRPr="00E909F1">
              <w:rPr>
                <w:rFonts w:eastAsia="Arial"/>
                <w:color w:val="000000"/>
                <w:sz w:val="22"/>
                <w:szCs w:val="22"/>
              </w:rPr>
              <w:t>Sub-Saharan Africa</w:t>
            </w:r>
          </w:p>
        </w:tc>
        <w:tc>
          <w:tcPr>
            <w:tcW w:w="1328" w:type="dxa"/>
            <w:shd w:val="clear" w:color="auto" w:fill="FFFFFF"/>
            <w:tcMar>
              <w:top w:w="0" w:type="dxa"/>
              <w:left w:w="0" w:type="dxa"/>
              <w:bottom w:w="0" w:type="dxa"/>
              <w:right w:w="0" w:type="dxa"/>
            </w:tcMar>
            <w:vAlign w:val="center"/>
          </w:tcPr>
          <w:p w14:paraId="09782409"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1.296873</w:t>
            </w:r>
          </w:p>
        </w:tc>
        <w:tc>
          <w:tcPr>
            <w:tcW w:w="1413" w:type="dxa"/>
            <w:shd w:val="clear" w:color="auto" w:fill="FFFFFF"/>
            <w:tcMar>
              <w:top w:w="0" w:type="dxa"/>
              <w:left w:w="0" w:type="dxa"/>
              <w:bottom w:w="0" w:type="dxa"/>
              <w:right w:w="0" w:type="dxa"/>
            </w:tcMar>
            <w:vAlign w:val="center"/>
          </w:tcPr>
          <w:p w14:paraId="610B108F"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1.566240</w:t>
            </w:r>
          </w:p>
        </w:tc>
      </w:tr>
      <w:tr w:rsidR="0033629A" w:rsidRPr="00E909F1" w14:paraId="0CF6E241" w14:textId="77777777">
        <w:trPr>
          <w:cantSplit/>
          <w:jc w:val="center"/>
        </w:trPr>
        <w:tc>
          <w:tcPr>
            <w:tcW w:w="5107" w:type="dxa"/>
            <w:shd w:val="clear" w:color="auto" w:fill="FFFFFF"/>
            <w:tcMar>
              <w:top w:w="0" w:type="dxa"/>
              <w:left w:w="0" w:type="dxa"/>
              <w:bottom w:w="0" w:type="dxa"/>
              <w:right w:w="0" w:type="dxa"/>
            </w:tcMar>
            <w:vAlign w:val="center"/>
          </w:tcPr>
          <w:p w14:paraId="5CD5ED74" w14:textId="78ED6581" w:rsidR="0033629A" w:rsidRPr="00E909F1" w:rsidRDefault="00E909F1">
            <w:pPr>
              <w:keepNext/>
              <w:spacing w:before="100" w:after="100" w:line="240" w:lineRule="auto"/>
              <w:ind w:left="100" w:right="100" w:firstLine="0"/>
              <w:rPr>
                <w:sz w:val="22"/>
                <w:szCs w:val="22"/>
              </w:rPr>
            </w:pPr>
            <w:r>
              <w:rPr>
                <w:rFonts w:eastAsia="Arial"/>
                <w:color w:val="000000"/>
                <w:sz w:val="22"/>
                <w:szCs w:val="22"/>
              </w:rPr>
              <w:t>Time</w:t>
            </w:r>
          </w:p>
        </w:tc>
        <w:tc>
          <w:tcPr>
            <w:tcW w:w="1328" w:type="dxa"/>
            <w:shd w:val="clear" w:color="auto" w:fill="FFFFFF"/>
            <w:tcMar>
              <w:top w:w="0" w:type="dxa"/>
              <w:left w:w="0" w:type="dxa"/>
              <w:bottom w:w="0" w:type="dxa"/>
              <w:right w:w="0" w:type="dxa"/>
            </w:tcMar>
            <w:vAlign w:val="center"/>
          </w:tcPr>
          <w:p w14:paraId="16036B8A"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1.008397</w:t>
            </w:r>
          </w:p>
        </w:tc>
        <w:tc>
          <w:tcPr>
            <w:tcW w:w="1413" w:type="dxa"/>
            <w:shd w:val="clear" w:color="auto" w:fill="FFFFFF"/>
            <w:tcMar>
              <w:top w:w="0" w:type="dxa"/>
              <w:left w:w="0" w:type="dxa"/>
              <w:bottom w:w="0" w:type="dxa"/>
              <w:right w:w="0" w:type="dxa"/>
            </w:tcMar>
            <w:vAlign w:val="center"/>
          </w:tcPr>
          <w:p w14:paraId="1C413765"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1.017181</w:t>
            </w:r>
          </w:p>
        </w:tc>
      </w:tr>
      <w:tr w:rsidR="0033629A" w:rsidRPr="00E909F1" w14:paraId="2E200FCE" w14:textId="77777777">
        <w:trPr>
          <w:cantSplit/>
          <w:jc w:val="center"/>
        </w:trPr>
        <w:tc>
          <w:tcPr>
            <w:tcW w:w="5107" w:type="dxa"/>
            <w:shd w:val="clear" w:color="auto" w:fill="FFFFFF"/>
            <w:tcMar>
              <w:top w:w="0" w:type="dxa"/>
              <w:left w:w="0" w:type="dxa"/>
              <w:bottom w:w="0" w:type="dxa"/>
              <w:right w:w="0" w:type="dxa"/>
            </w:tcMar>
            <w:vAlign w:val="center"/>
          </w:tcPr>
          <w:p w14:paraId="765292CE" w14:textId="63E561E6" w:rsidR="0033629A" w:rsidRPr="00E909F1" w:rsidRDefault="00E909F1">
            <w:pPr>
              <w:keepNext/>
              <w:spacing w:before="100" w:after="100" w:line="240" w:lineRule="auto"/>
              <w:ind w:left="100" w:right="100" w:firstLine="0"/>
              <w:rPr>
                <w:sz w:val="22"/>
                <w:szCs w:val="22"/>
              </w:rPr>
            </w:pPr>
            <w:r>
              <w:rPr>
                <w:rFonts w:eastAsia="Arial"/>
                <w:color w:val="000000"/>
                <w:sz w:val="22"/>
                <w:szCs w:val="22"/>
              </w:rPr>
              <w:t>Scientific Literacy (Between)</w:t>
            </w:r>
          </w:p>
        </w:tc>
        <w:tc>
          <w:tcPr>
            <w:tcW w:w="1328" w:type="dxa"/>
            <w:shd w:val="clear" w:color="auto" w:fill="FFFFFF"/>
            <w:tcMar>
              <w:top w:w="0" w:type="dxa"/>
              <w:left w:w="0" w:type="dxa"/>
              <w:bottom w:w="0" w:type="dxa"/>
              <w:right w:w="0" w:type="dxa"/>
            </w:tcMar>
            <w:vAlign w:val="center"/>
          </w:tcPr>
          <w:p w14:paraId="58D6D5B5"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1.000632</w:t>
            </w:r>
          </w:p>
        </w:tc>
        <w:tc>
          <w:tcPr>
            <w:tcW w:w="1413" w:type="dxa"/>
            <w:shd w:val="clear" w:color="auto" w:fill="FFFFFF"/>
            <w:tcMar>
              <w:top w:w="0" w:type="dxa"/>
              <w:left w:w="0" w:type="dxa"/>
              <w:bottom w:w="0" w:type="dxa"/>
              <w:right w:w="0" w:type="dxa"/>
            </w:tcMar>
            <w:vAlign w:val="center"/>
          </w:tcPr>
          <w:p w14:paraId="44D157BF"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1.001442</w:t>
            </w:r>
          </w:p>
        </w:tc>
      </w:tr>
      <w:tr w:rsidR="0033629A" w:rsidRPr="00E909F1" w14:paraId="3DD68547" w14:textId="77777777">
        <w:trPr>
          <w:cantSplit/>
          <w:jc w:val="center"/>
        </w:trPr>
        <w:tc>
          <w:tcPr>
            <w:tcW w:w="5107" w:type="dxa"/>
            <w:shd w:val="clear" w:color="auto" w:fill="FFFFFF"/>
            <w:tcMar>
              <w:top w:w="0" w:type="dxa"/>
              <w:left w:w="0" w:type="dxa"/>
              <w:bottom w:w="0" w:type="dxa"/>
              <w:right w:w="0" w:type="dxa"/>
            </w:tcMar>
            <w:vAlign w:val="center"/>
          </w:tcPr>
          <w:p w14:paraId="1F0B2E60" w14:textId="2A978DF1" w:rsidR="0033629A" w:rsidRPr="00E909F1" w:rsidRDefault="00E909F1">
            <w:pPr>
              <w:keepNext/>
              <w:spacing w:before="100" w:after="100" w:line="240" w:lineRule="auto"/>
              <w:ind w:left="100" w:right="100" w:firstLine="0"/>
              <w:rPr>
                <w:sz w:val="22"/>
                <w:szCs w:val="22"/>
              </w:rPr>
            </w:pPr>
            <w:r>
              <w:rPr>
                <w:rFonts w:eastAsia="Arial"/>
                <w:color w:val="000000"/>
                <w:sz w:val="22"/>
                <w:szCs w:val="22"/>
              </w:rPr>
              <w:t>Population</w:t>
            </w:r>
          </w:p>
        </w:tc>
        <w:tc>
          <w:tcPr>
            <w:tcW w:w="1328" w:type="dxa"/>
            <w:shd w:val="clear" w:color="auto" w:fill="FFFFFF"/>
            <w:tcMar>
              <w:top w:w="0" w:type="dxa"/>
              <w:left w:w="0" w:type="dxa"/>
              <w:bottom w:w="0" w:type="dxa"/>
              <w:right w:w="0" w:type="dxa"/>
            </w:tcMar>
            <w:vAlign w:val="center"/>
          </w:tcPr>
          <w:p w14:paraId="0AFED8DE"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1.000233</w:t>
            </w:r>
          </w:p>
        </w:tc>
        <w:tc>
          <w:tcPr>
            <w:tcW w:w="1413" w:type="dxa"/>
            <w:shd w:val="clear" w:color="auto" w:fill="FFFFFF"/>
            <w:tcMar>
              <w:top w:w="0" w:type="dxa"/>
              <w:left w:w="0" w:type="dxa"/>
              <w:bottom w:w="0" w:type="dxa"/>
              <w:right w:w="0" w:type="dxa"/>
            </w:tcMar>
            <w:vAlign w:val="center"/>
          </w:tcPr>
          <w:p w14:paraId="6DD274C4"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1.000580</w:t>
            </w:r>
          </w:p>
        </w:tc>
      </w:tr>
      <w:tr w:rsidR="0033629A" w:rsidRPr="00E909F1" w14:paraId="720976D4" w14:textId="77777777">
        <w:trPr>
          <w:cantSplit/>
          <w:jc w:val="center"/>
        </w:trPr>
        <w:tc>
          <w:tcPr>
            <w:tcW w:w="5107" w:type="dxa"/>
            <w:shd w:val="clear" w:color="auto" w:fill="FFFFFF"/>
            <w:tcMar>
              <w:top w:w="0" w:type="dxa"/>
              <w:left w:w="0" w:type="dxa"/>
              <w:bottom w:w="0" w:type="dxa"/>
              <w:right w:w="0" w:type="dxa"/>
            </w:tcMar>
            <w:vAlign w:val="center"/>
          </w:tcPr>
          <w:p w14:paraId="69C3DB38" w14:textId="59363AD8" w:rsidR="0033629A" w:rsidRPr="00E909F1" w:rsidRDefault="00E909F1">
            <w:pPr>
              <w:keepNext/>
              <w:spacing w:before="100" w:after="100" w:line="240" w:lineRule="auto"/>
              <w:ind w:left="100" w:right="100" w:firstLine="0"/>
              <w:rPr>
                <w:sz w:val="22"/>
                <w:szCs w:val="22"/>
              </w:rPr>
            </w:pPr>
            <w:r>
              <w:rPr>
                <w:rFonts w:eastAsia="Arial"/>
                <w:color w:val="000000"/>
                <w:sz w:val="22"/>
                <w:szCs w:val="22"/>
              </w:rPr>
              <w:t>GDP</w:t>
            </w:r>
          </w:p>
        </w:tc>
        <w:tc>
          <w:tcPr>
            <w:tcW w:w="1328" w:type="dxa"/>
            <w:shd w:val="clear" w:color="auto" w:fill="FFFFFF"/>
            <w:tcMar>
              <w:top w:w="0" w:type="dxa"/>
              <w:left w:w="0" w:type="dxa"/>
              <w:bottom w:w="0" w:type="dxa"/>
              <w:right w:w="0" w:type="dxa"/>
            </w:tcMar>
            <w:vAlign w:val="center"/>
          </w:tcPr>
          <w:p w14:paraId="19BDD8CD"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1.001155</w:t>
            </w:r>
          </w:p>
        </w:tc>
        <w:tc>
          <w:tcPr>
            <w:tcW w:w="1413" w:type="dxa"/>
            <w:shd w:val="clear" w:color="auto" w:fill="FFFFFF"/>
            <w:tcMar>
              <w:top w:w="0" w:type="dxa"/>
              <w:left w:w="0" w:type="dxa"/>
              <w:bottom w:w="0" w:type="dxa"/>
              <w:right w:w="0" w:type="dxa"/>
            </w:tcMar>
            <w:vAlign w:val="center"/>
          </w:tcPr>
          <w:p w14:paraId="2332E1B4"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1.002509</w:t>
            </w:r>
          </w:p>
        </w:tc>
      </w:tr>
      <w:tr w:rsidR="0033629A" w:rsidRPr="00E909F1" w14:paraId="6756E389" w14:textId="77777777">
        <w:trPr>
          <w:cantSplit/>
          <w:jc w:val="center"/>
        </w:trPr>
        <w:tc>
          <w:tcPr>
            <w:tcW w:w="5107" w:type="dxa"/>
            <w:shd w:val="clear" w:color="auto" w:fill="FFFFFF"/>
            <w:tcMar>
              <w:top w:w="0" w:type="dxa"/>
              <w:left w:w="0" w:type="dxa"/>
              <w:bottom w:w="0" w:type="dxa"/>
              <w:right w:w="0" w:type="dxa"/>
            </w:tcMar>
            <w:vAlign w:val="center"/>
          </w:tcPr>
          <w:p w14:paraId="702084F2" w14:textId="420E474F" w:rsidR="0033629A" w:rsidRPr="00E909F1" w:rsidRDefault="00E909F1">
            <w:pPr>
              <w:keepNext/>
              <w:spacing w:before="100" w:after="100" w:line="240" w:lineRule="auto"/>
              <w:ind w:left="100" w:right="100" w:firstLine="0"/>
              <w:rPr>
                <w:sz w:val="22"/>
                <w:szCs w:val="22"/>
              </w:rPr>
            </w:pPr>
            <w:r>
              <w:rPr>
                <w:rFonts w:eastAsia="Arial"/>
                <w:color w:val="000000"/>
                <w:sz w:val="22"/>
                <w:szCs w:val="22"/>
              </w:rPr>
              <w:t>Manufacturing</w:t>
            </w:r>
          </w:p>
        </w:tc>
        <w:tc>
          <w:tcPr>
            <w:tcW w:w="1328" w:type="dxa"/>
            <w:shd w:val="clear" w:color="auto" w:fill="FFFFFF"/>
            <w:tcMar>
              <w:top w:w="0" w:type="dxa"/>
              <w:left w:w="0" w:type="dxa"/>
              <w:bottom w:w="0" w:type="dxa"/>
              <w:right w:w="0" w:type="dxa"/>
            </w:tcMar>
            <w:vAlign w:val="center"/>
          </w:tcPr>
          <w:p w14:paraId="2A992157"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1.001682</w:t>
            </w:r>
          </w:p>
        </w:tc>
        <w:tc>
          <w:tcPr>
            <w:tcW w:w="1413" w:type="dxa"/>
            <w:shd w:val="clear" w:color="auto" w:fill="FFFFFF"/>
            <w:tcMar>
              <w:top w:w="0" w:type="dxa"/>
              <w:left w:w="0" w:type="dxa"/>
              <w:bottom w:w="0" w:type="dxa"/>
              <w:right w:w="0" w:type="dxa"/>
            </w:tcMar>
            <w:vAlign w:val="center"/>
          </w:tcPr>
          <w:p w14:paraId="4FA0CFF6"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1.003625</w:t>
            </w:r>
          </w:p>
        </w:tc>
      </w:tr>
      <w:tr w:rsidR="0033629A" w:rsidRPr="00E909F1" w14:paraId="01B9F722" w14:textId="77777777">
        <w:trPr>
          <w:cantSplit/>
          <w:jc w:val="center"/>
        </w:trPr>
        <w:tc>
          <w:tcPr>
            <w:tcW w:w="5107" w:type="dxa"/>
            <w:shd w:val="clear" w:color="auto" w:fill="FFFFFF"/>
            <w:tcMar>
              <w:top w:w="0" w:type="dxa"/>
              <w:left w:w="0" w:type="dxa"/>
              <w:bottom w:w="0" w:type="dxa"/>
              <w:right w:w="0" w:type="dxa"/>
            </w:tcMar>
            <w:vAlign w:val="center"/>
          </w:tcPr>
          <w:p w14:paraId="0B63F070" w14:textId="422DDAA1" w:rsidR="0033629A" w:rsidRPr="00E909F1" w:rsidRDefault="00E909F1">
            <w:pPr>
              <w:keepNext/>
              <w:spacing w:before="100" w:after="100" w:line="240" w:lineRule="auto"/>
              <w:ind w:left="100" w:right="100" w:firstLine="0"/>
              <w:rPr>
                <w:sz w:val="22"/>
                <w:szCs w:val="22"/>
              </w:rPr>
            </w:pPr>
            <w:r>
              <w:rPr>
                <w:rFonts w:eastAsia="Arial"/>
                <w:color w:val="000000"/>
                <w:sz w:val="22"/>
                <w:szCs w:val="22"/>
              </w:rPr>
              <w:t>Exports</w:t>
            </w:r>
          </w:p>
        </w:tc>
        <w:tc>
          <w:tcPr>
            <w:tcW w:w="1328" w:type="dxa"/>
            <w:shd w:val="clear" w:color="auto" w:fill="FFFFFF"/>
            <w:tcMar>
              <w:top w:w="0" w:type="dxa"/>
              <w:left w:w="0" w:type="dxa"/>
              <w:bottom w:w="0" w:type="dxa"/>
              <w:right w:w="0" w:type="dxa"/>
            </w:tcMar>
            <w:vAlign w:val="center"/>
          </w:tcPr>
          <w:p w14:paraId="140BC139"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1.001108</w:t>
            </w:r>
          </w:p>
        </w:tc>
        <w:tc>
          <w:tcPr>
            <w:tcW w:w="1413" w:type="dxa"/>
            <w:shd w:val="clear" w:color="auto" w:fill="FFFFFF"/>
            <w:tcMar>
              <w:top w:w="0" w:type="dxa"/>
              <w:left w:w="0" w:type="dxa"/>
              <w:bottom w:w="0" w:type="dxa"/>
              <w:right w:w="0" w:type="dxa"/>
            </w:tcMar>
            <w:vAlign w:val="center"/>
          </w:tcPr>
          <w:p w14:paraId="22005497"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1.002416</w:t>
            </w:r>
          </w:p>
        </w:tc>
      </w:tr>
      <w:tr w:rsidR="0033629A" w:rsidRPr="00E909F1" w14:paraId="23E45C0D" w14:textId="77777777">
        <w:trPr>
          <w:cantSplit/>
          <w:jc w:val="center"/>
        </w:trPr>
        <w:tc>
          <w:tcPr>
            <w:tcW w:w="5107" w:type="dxa"/>
            <w:shd w:val="clear" w:color="auto" w:fill="FFFFFF"/>
            <w:tcMar>
              <w:top w:w="0" w:type="dxa"/>
              <w:left w:w="0" w:type="dxa"/>
              <w:bottom w:w="0" w:type="dxa"/>
              <w:right w:w="0" w:type="dxa"/>
            </w:tcMar>
            <w:vAlign w:val="center"/>
          </w:tcPr>
          <w:p w14:paraId="564A7166" w14:textId="2AB1EA03" w:rsidR="0033629A" w:rsidRPr="00E909F1" w:rsidRDefault="00E909F1">
            <w:pPr>
              <w:keepNext/>
              <w:spacing w:before="100" w:after="100" w:line="240" w:lineRule="auto"/>
              <w:ind w:left="100" w:right="100" w:firstLine="0"/>
              <w:rPr>
                <w:sz w:val="22"/>
                <w:szCs w:val="22"/>
              </w:rPr>
            </w:pPr>
            <w:r>
              <w:rPr>
                <w:rFonts w:eastAsia="Arial"/>
                <w:color w:val="000000"/>
                <w:sz w:val="22"/>
                <w:szCs w:val="22"/>
              </w:rPr>
              <w:t>Gini</w:t>
            </w:r>
          </w:p>
        </w:tc>
        <w:tc>
          <w:tcPr>
            <w:tcW w:w="1328" w:type="dxa"/>
            <w:shd w:val="clear" w:color="auto" w:fill="FFFFFF"/>
            <w:tcMar>
              <w:top w:w="0" w:type="dxa"/>
              <w:left w:w="0" w:type="dxa"/>
              <w:bottom w:w="0" w:type="dxa"/>
              <w:right w:w="0" w:type="dxa"/>
            </w:tcMar>
            <w:vAlign w:val="center"/>
          </w:tcPr>
          <w:p w14:paraId="00ED29AE"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1.001367</w:t>
            </w:r>
          </w:p>
        </w:tc>
        <w:tc>
          <w:tcPr>
            <w:tcW w:w="1413" w:type="dxa"/>
            <w:shd w:val="clear" w:color="auto" w:fill="FFFFFF"/>
            <w:tcMar>
              <w:top w:w="0" w:type="dxa"/>
              <w:left w:w="0" w:type="dxa"/>
              <w:bottom w:w="0" w:type="dxa"/>
              <w:right w:w="0" w:type="dxa"/>
            </w:tcMar>
            <w:vAlign w:val="center"/>
          </w:tcPr>
          <w:p w14:paraId="2564B79A"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1.002915</w:t>
            </w:r>
          </w:p>
        </w:tc>
      </w:tr>
      <w:tr w:rsidR="0033629A" w:rsidRPr="00E909F1" w14:paraId="7D09CC30" w14:textId="77777777">
        <w:trPr>
          <w:cantSplit/>
          <w:jc w:val="center"/>
        </w:trPr>
        <w:tc>
          <w:tcPr>
            <w:tcW w:w="5107" w:type="dxa"/>
            <w:shd w:val="clear" w:color="auto" w:fill="FFFFFF"/>
            <w:tcMar>
              <w:top w:w="0" w:type="dxa"/>
              <w:left w:w="0" w:type="dxa"/>
              <w:bottom w:w="0" w:type="dxa"/>
              <w:right w:w="0" w:type="dxa"/>
            </w:tcMar>
            <w:vAlign w:val="center"/>
          </w:tcPr>
          <w:p w14:paraId="0AAC1A2F" w14:textId="165C610E" w:rsidR="0033629A" w:rsidRPr="00E909F1" w:rsidRDefault="00E909F1">
            <w:pPr>
              <w:keepNext/>
              <w:spacing w:before="100" w:after="100" w:line="240" w:lineRule="auto"/>
              <w:ind w:left="100" w:right="100" w:firstLine="0"/>
              <w:rPr>
                <w:sz w:val="22"/>
                <w:szCs w:val="22"/>
              </w:rPr>
            </w:pPr>
            <w:r>
              <w:rPr>
                <w:rFonts w:eastAsia="Arial"/>
                <w:color w:val="000000"/>
                <w:sz w:val="22"/>
                <w:szCs w:val="22"/>
              </w:rPr>
              <w:t>Left-Right Orientation</w:t>
            </w:r>
          </w:p>
        </w:tc>
        <w:tc>
          <w:tcPr>
            <w:tcW w:w="1328" w:type="dxa"/>
            <w:shd w:val="clear" w:color="auto" w:fill="FFFFFF"/>
            <w:tcMar>
              <w:top w:w="0" w:type="dxa"/>
              <w:left w:w="0" w:type="dxa"/>
              <w:bottom w:w="0" w:type="dxa"/>
              <w:right w:w="0" w:type="dxa"/>
            </w:tcMar>
            <w:vAlign w:val="center"/>
          </w:tcPr>
          <w:p w14:paraId="0775226E"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1.002405</w:t>
            </w:r>
          </w:p>
        </w:tc>
        <w:tc>
          <w:tcPr>
            <w:tcW w:w="1413" w:type="dxa"/>
            <w:shd w:val="clear" w:color="auto" w:fill="FFFFFF"/>
            <w:tcMar>
              <w:top w:w="0" w:type="dxa"/>
              <w:left w:w="0" w:type="dxa"/>
              <w:bottom w:w="0" w:type="dxa"/>
              <w:right w:w="0" w:type="dxa"/>
            </w:tcMar>
            <w:vAlign w:val="center"/>
          </w:tcPr>
          <w:p w14:paraId="33B68B46"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1.004998</w:t>
            </w:r>
          </w:p>
        </w:tc>
      </w:tr>
      <w:tr w:rsidR="0033629A" w:rsidRPr="00E909F1" w14:paraId="4956EDB7" w14:textId="77777777">
        <w:trPr>
          <w:cantSplit/>
          <w:jc w:val="center"/>
        </w:trPr>
        <w:tc>
          <w:tcPr>
            <w:tcW w:w="5107" w:type="dxa"/>
            <w:shd w:val="clear" w:color="auto" w:fill="FFFFFF"/>
            <w:tcMar>
              <w:top w:w="0" w:type="dxa"/>
              <w:left w:w="0" w:type="dxa"/>
              <w:bottom w:w="0" w:type="dxa"/>
              <w:right w:w="0" w:type="dxa"/>
            </w:tcMar>
            <w:vAlign w:val="center"/>
          </w:tcPr>
          <w:p w14:paraId="7BEB4821" w14:textId="5784A861" w:rsidR="0033629A" w:rsidRPr="00E909F1" w:rsidRDefault="00E909F1">
            <w:pPr>
              <w:keepNext/>
              <w:spacing w:before="100" w:after="100" w:line="240" w:lineRule="auto"/>
              <w:ind w:left="100" w:right="100" w:firstLine="0"/>
              <w:rPr>
                <w:sz w:val="22"/>
                <w:szCs w:val="22"/>
              </w:rPr>
            </w:pPr>
            <w:r>
              <w:rPr>
                <w:rFonts w:eastAsia="Arial"/>
                <w:color w:val="000000"/>
                <w:sz w:val="22"/>
                <w:szCs w:val="22"/>
              </w:rPr>
              <w:t>Democracy</w:t>
            </w:r>
          </w:p>
        </w:tc>
        <w:tc>
          <w:tcPr>
            <w:tcW w:w="1328" w:type="dxa"/>
            <w:shd w:val="clear" w:color="auto" w:fill="FFFFFF"/>
            <w:tcMar>
              <w:top w:w="0" w:type="dxa"/>
              <w:left w:w="0" w:type="dxa"/>
              <w:bottom w:w="0" w:type="dxa"/>
              <w:right w:w="0" w:type="dxa"/>
            </w:tcMar>
            <w:vAlign w:val="center"/>
          </w:tcPr>
          <w:p w14:paraId="0C3B17CC"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1.005748</w:t>
            </w:r>
          </w:p>
        </w:tc>
        <w:tc>
          <w:tcPr>
            <w:tcW w:w="1413" w:type="dxa"/>
            <w:shd w:val="clear" w:color="auto" w:fill="FFFFFF"/>
            <w:tcMar>
              <w:top w:w="0" w:type="dxa"/>
              <w:left w:w="0" w:type="dxa"/>
              <w:bottom w:w="0" w:type="dxa"/>
              <w:right w:w="0" w:type="dxa"/>
            </w:tcMar>
            <w:vAlign w:val="center"/>
          </w:tcPr>
          <w:p w14:paraId="520C9FAF"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1.011580</w:t>
            </w:r>
          </w:p>
        </w:tc>
      </w:tr>
      <w:tr w:rsidR="0033629A" w:rsidRPr="00E909F1" w14:paraId="7023A4FE" w14:textId="77777777">
        <w:trPr>
          <w:cantSplit/>
          <w:jc w:val="center"/>
        </w:trPr>
        <w:tc>
          <w:tcPr>
            <w:tcW w:w="5107" w:type="dxa"/>
            <w:shd w:val="clear" w:color="auto" w:fill="FFFFFF"/>
            <w:tcMar>
              <w:top w:w="0" w:type="dxa"/>
              <w:left w:w="0" w:type="dxa"/>
              <w:bottom w:w="0" w:type="dxa"/>
              <w:right w:w="0" w:type="dxa"/>
            </w:tcMar>
            <w:vAlign w:val="center"/>
          </w:tcPr>
          <w:p w14:paraId="26EA69F6" w14:textId="6E494845" w:rsidR="0033629A" w:rsidRPr="00E909F1" w:rsidRDefault="00E909F1">
            <w:pPr>
              <w:keepNext/>
              <w:spacing w:before="100" w:after="100" w:line="240" w:lineRule="auto"/>
              <w:ind w:left="100" w:right="100" w:firstLine="0"/>
              <w:rPr>
                <w:sz w:val="22"/>
                <w:szCs w:val="22"/>
              </w:rPr>
            </w:pPr>
            <w:r>
              <w:rPr>
                <w:rFonts w:eastAsia="Arial"/>
                <w:color w:val="000000"/>
                <w:sz w:val="22"/>
                <w:szCs w:val="22"/>
              </w:rPr>
              <w:t>Net Enrollment</w:t>
            </w:r>
          </w:p>
        </w:tc>
        <w:tc>
          <w:tcPr>
            <w:tcW w:w="1328" w:type="dxa"/>
            <w:shd w:val="clear" w:color="auto" w:fill="FFFFFF"/>
            <w:tcMar>
              <w:top w:w="0" w:type="dxa"/>
              <w:left w:w="0" w:type="dxa"/>
              <w:bottom w:w="0" w:type="dxa"/>
              <w:right w:w="0" w:type="dxa"/>
            </w:tcMar>
            <w:vAlign w:val="center"/>
          </w:tcPr>
          <w:p w14:paraId="09EFCC1A"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1.005637</w:t>
            </w:r>
          </w:p>
        </w:tc>
        <w:tc>
          <w:tcPr>
            <w:tcW w:w="1413" w:type="dxa"/>
            <w:shd w:val="clear" w:color="auto" w:fill="FFFFFF"/>
            <w:tcMar>
              <w:top w:w="0" w:type="dxa"/>
              <w:left w:w="0" w:type="dxa"/>
              <w:bottom w:w="0" w:type="dxa"/>
              <w:right w:w="0" w:type="dxa"/>
            </w:tcMar>
            <w:vAlign w:val="center"/>
          </w:tcPr>
          <w:p w14:paraId="4F75AABB"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1.011907</w:t>
            </w:r>
          </w:p>
        </w:tc>
      </w:tr>
      <w:tr w:rsidR="0033629A" w:rsidRPr="00E909F1" w14:paraId="3A8CA21B" w14:textId="77777777">
        <w:trPr>
          <w:cantSplit/>
          <w:jc w:val="center"/>
        </w:trPr>
        <w:tc>
          <w:tcPr>
            <w:tcW w:w="5107" w:type="dxa"/>
            <w:shd w:val="clear" w:color="auto" w:fill="FFFFFF"/>
            <w:tcMar>
              <w:top w:w="0" w:type="dxa"/>
              <w:left w:w="0" w:type="dxa"/>
              <w:bottom w:w="0" w:type="dxa"/>
              <w:right w:w="0" w:type="dxa"/>
            </w:tcMar>
            <w:vAlign w:val="center"/>
          </w:tcPr>
          <w:p w14:paraId="227D950B" w14:textId="4C689545" w:rsidR="0033629A" w:rsidRPr="00E909F1" w:rsidRDefault="00E909F1">
            <w:pPr>
              <w:keepNext/>
              <w:spacing w:before="100" w:after="100" w:line="240" w:lineRule="auto"/>
              <w:ind w:left="100" w:right="100" w:firstLine="0"/>
              <w:rPr>
                <w:sz w:val="22"/>
                <w:szCs w:val="22"/>
              </w:rPr>
            </w:pPr>
            <w:r>
              <w:rPr>
                <w:rFonts w:eastAsia="Arial"/>
                <w:color w:val="000000"/>
                <w:sz w:val="22"/>
                <w:szCs w:val="22"/>
              </w:rPr>
              <w:t>OECD</w:t>
            </w:r>
          </w:p>
        </w:tc>
        <w:tc>
          <w:tcPr>
            <w:tcW w:w="1328" w:type="dxa"/>
            <w:shd w:val="clear" w:color="auto" w:fill="FFFFFF"/>
            <w:tcMar>
              <w:top w:w="0" w:type="dxa"/>
              <w:left w:w="0" w:type="dxa"/>
              <w:bottom w:w="0" w:type="dxa"/>
              <w:right w:w="0" w:type="dxa"/>
            </w:tcMar>
            <w:vAlign w:val="center"/>
          </w:tcPr>
          <w:p w14:paraId="46CB88B5"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1.000510</w:t>
            </w:r>
          </w:p>
        </w:tc>
        <w:tc>
          <w:tcPr>
            <w:tcW w:w="1413" w:type="dxa"/>
            <w:shd w:val="clear" w:color="auto" w:fill="FFFFFF"/>
            <w:tcMar>
              <w:top w:w="0" w:type="dxa"/>
              <w:left w:w="0" w:type="dxa"/>
              <w:bottom w:w="0" w:type="dxa"/>
              <w:right w:w="0" w:type="dxa"/>
            </w:tcMar>
            <w:vAlign w:val="center"/>
          </w:tcPr>
          <w:p w14:paraId="09486D10"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1.001140</w:t>
            </w:r>
          </w:p>
        </w:tc>
      </w:tr>
      <w:tr w:rsidR="0033629A" w:rsidRPr="00E909F1" w14:paraId="4F77EB68" w14:textId="77777777">
        <w:trPr>
          <w:cantSplit/>
          <w:jc w:val="center"/>
        </w:trPr>
        <w:tc>
          <w:tcPr>
            <w:tcW w:w="5107" w:type="dxa"/>
            <w:shd w:val="clear" w:color="auto" w:fill="FFFFFF"/>
            <w:tcMar>
              <w:top w:w="0" w:type="dxa"/>
              <w:left w:w="0" w:type="dxa"/>
              <w:bottom w:w="0" w:type="dxa"/>
              <w:right w:w="0" w:type="dxa"/>
            </w:tcMar>
            <w:vAlign w:val="center"/>
          </w:tcPr>
          <w:p w14:paraId="4033AE7D" w14:textId="46551ADD" w:rsidR="0033629A" w:rsidRPr="00E909F1" w:rsidRDefault="00E909F1">
            <w:pPr>
              <w:keepNext/>
              <w:spacing w:before="100" w:after="100" w:line="240" w:lineRule="auto"/>
              <w:ind w:left="100" w:right="100" w:firstLine="0"/>
              <w:rPr>
                <w:sz w:val="22"/>
                <w:szCs w:val="22"/>
              </w:rPr>
            </w:pPr>
            <w:r>
              <w:rPr>
                <w:rFonts w:eastAsia="Arial"/>
                <w:color w:val="000000"/>
                <w:sz w:val="22"/>
                <w:szCs w:val="22"/>
              </w:rPr>
              <w:t>S</w:t>
            </w:r>
            <w:r w:rsidR="004409CB" w:rsidRPr="00E909F1">
              <w:rPr>
                <w:rFonts w:eastAsia="Arial"/>
                <w:color w:val="000000"/>
                <w:sz w:val="22"/>
                <w:szCs w:val="22"/>
              </w:rPr>
              <w:t>igma_co2_lag</w:t>
            </w:r>
          </w:p>
        </w:tc>
        <w:tc>
          <w:tcPr>
            <w:tcW w:w="1328" w:type="dxa"/>
            <w:shd w:val="clear" w:color="auto" w:fill="FFFFFF"/>
            <w:tcMar>
              <w:top w:w="0" w:type="dxa"/>
              <w:left w:w="0" w:type="dxa"/>
              <w:bottom w:w="0" w:type="dxa"/>
              <w:right w:w="0" w:type="dxa"/>
            </w:tcMar>
            <w:vAlign w:val="center"/>
          </w:tcPr>
          <w:p w14:paraId="19B9D298"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1.002108</w:t>
            </w:r>
          </w:p>
        </w:tc>
        <w:tc>
          <w:tcPr>
            <w:tcW w:w="1413" w:type="dxa"/>
            <w:shd w:val="clear" w:color="auto" w:fill="FFFFFF"/>
            <w:tcMar>
              <w:top w:w="0" w:type="dxa"/>
              <w:left w:w="0" w:type="dxa"/>
              <w:bottom w:w="0" w:type="dxa"/>
              <w:right w:w="0" w:type="dxa"/>
            </w:tcMar>
            <w:vAlign w:val="center"/>
          </w:tcPr>
          <w:p w14:paraId="08D0DB40"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1.004534</w:t>
            </w:r>
          </w:p>
        </w:tc>
      </w:tr>
      <w:tr w:rsidR="0033629A" w:rsidRPr="00E909F1" w14:paraId="5A4D70A2" w14:textId="77777777">
        <w:trPr>
          <w:cantSplit/>
          <w:jc w:val="center"/>
        </w:trPr>
        <w:tc>
          <w:tcPr>
            <w:tcW w:w="5107" w:type="dxa"/>
            <w:shd w:val="clear" w:color="auto" w:fill="FFFFFF"/>
            <w:tcMar>
              <w:top w:w="0" w:type="dxa"/>
              <w:left w:w="0" w:type="dxa"/>
              <w:bottom w:w="0" w:type="dxa"/>
              <w:right w:w="0" w:type="dxa"/>
            </w:tcMar>
            <w:vAlign w:val="center"/>
          </w:tcPr>
          <w:p w14:paraId="468EE7B9" w14:textId="3A78B0D6" w:rsidR="0033629A" w:rsidRPr="00E909F1" w:rsidRDefault="00710174">
            <w:pPr>
              <w:keepNext/>
              <w:spacing w:before="100" w:after="100" w:line="240" w:lineRule="auto"/>
              <w:ind w:left="100" w:right="100" w:firstLine="0"/>
              <w:rPr>
                <w:sz w:val="22"/>
                <w:szCs w:val="22"/>
              </w:rPr>
            </w:pPr>
            <m:oMathPara>
              <m:oMath>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00</m:t>
                    </m:r>
                  </m:sub>
                </m:sSub>
                <m:r>
                  <w:rPr>
                    <w:rFonts w:ascii="Cambria Math" w:hAnsi="Cambria Math"/>
                    <w:sz w:val="22"/>
                    <w:szCs w:val="22"/>
                  </w:rPr>
                  <m:t xml:space="preserve"> </m:t>
                </m:r>
              </m:oMath>
            </m:oMathPara>
          </w:p>
        </w:tc>
        <w:tc>
          <w:tcPr>
            <w:tcW w:w="1328" w:type="dxa"/>
            <w:shd w:val="clear" w:color="auto" w:fill="FFFFFF"/>
            <w:tcMar>
              <w:top w:w="0" w:type="dxa"/>
              <w:left w:w="0" w:type="dxa"/>
              <w:bottom w:w="0" w:type="dxa"/>
              <w:right w:w="0" w:type="dxa"/>
            </w:tcMar>
            <w:vAlign w:val="center"/>
          </w:tcPr>
          <w:p w14:paraId="735C701B"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1.000897</w:t>
            </w:r>
          </w:p>
        </w:tc>
        <w:tc>
          <w:tcPr>
            <w:tcW w:w="1413" w:type="dxa"/>
            <w:shd w:val="clear" w:color="auto" w:fill="FFFFFF"/>
            <w:tcMar>
              <w:top w:w="0" w:type="dxa"/>
              <w:left w:w="0" w:type="dxa"/>
              <w:bottom w:w="0" w:type="dxa"/>
              <w:right w:w="0" w:type="dxa"/>
            </w:tcMar>
            <w:vAlign w:val="center"/>
          </w:tcPr>
          <w:p w14:paraId="3C45BC16"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1.001950</w:t>
            </w:r>
          </w:p>
        </w:tc>
      </w:tr>
      <w:tr w:rsidR="0033629A" w:rsidRPr="00E909F1" w14:paraId="356D7AB0" w14:textId="77777777">
        <w:trPr>
          <w:cantSplit/>
          <w:jc w:val="center"/>
        </w:trPr>
        <w:tc>
          <w:tcPr>
            <w:tcW w:w="5107" w:type="dxa"/>
            <w:shd w:val="clear" w:color="auto" w:fill="FFFFFF"/>
            <w:tcMar>
              <w:top w:w="0" w:type="dxa"/>
              <w:left w:w="0" w:type="dxa"/>
              <w:bottom w:w="0" w:type="dxa"/>
              <w:right w:w="0" w:type="dxa"/>
            </w:tcMar>
            <w:vAlign w:val="center"/>
          </w:tcPr>
          <w:p w14:paraId="67E6CC1E" w14:textId="6A62CAD8" w:rsidR="0033629A" w:rsidRPr="00E909F1" w:rsidRDefault="00710174">
            <w:pPr>
              <w:keepNext/>
              <w:spacing w:before="100" w:after="100" w:line="240" w:lineRule="auto"/>
              <w:ind w:left="100" w:right="100" w:firstLine="0"/>
              <w:rPr>
                <w:sz w:val="22"/>
                <w:szCs w:val="22"/>
              </w:rPr>
            </w:pPr>
            <m:oMathPara>
              <m:oMath>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01</m:t>
                    </m:r>
                  </m:sub>
                </m:sSub>
              </m:oMath>
            </m:oMathPara>
          </w:p>
        </w:tc>
        <w:tc>
          <w:tcPr>
            <w:tcW w:w="1328" w:type="dxa"/>
            <w:shd w:val="clear" w:color="auto" w:fill="FFFFFF"/>
            <w:tcMar>
              <w:top w:w="0" w:type="dxa"/>
              <w:left w:w="0" w:type="dxa"/>
              <w:bottom w:w="0" w:type="dxa"/>
              <w:right w:w="0" w:type="dxa"/>
            </w:tcMar>
            <w:vAlign w:val="center"/>
          </w:tcPr>
          <w:p w14:paraId="1C318FDD"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1.001807</w:t>
            </w:r>
          </w:p>
        </w:tc>
        <w:tc>
          <w:tcPr>
            <w:tcW w:w="1413" w:type="dxa"/>
            <w:shd w:val="clear" w:color="auto" w:fill="FFFFFF"/>
            <w:tcMar>
              <w:top w:w="0" w:type="dxa"/>
              <w:left w:w="0" w:type="dxa"/>
              <w:bottom w:w="0" w:type="dxa"/>
              <w:right w:w="0" w:type="dxa"/>
            </w:tcMar>
            <w:vAlign w:val="center"/>
          </w:tcPr>
          <w:p w14:paraId="3468D984"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1.003833</w:t>
            </w:r>
          </w:p>
        </w:tc>
      </w:tr>
      <w:tr w:rsidR="0033629A" w:rsidRPr="00E909F1" w14:paraId="6909B69D" w14:textId="77777777">
        <w:trPr>
          <w:cantSplit/>
          <w:jc w:val="center"/>
        </w:trPr>
        <w:tc>
          <w:tcPr>
            <w:tcW w:w="5107" w:type="dxa"/>
            <w:tcBorders>
              <w:bottom w:val="single" w:sz="16" w:space="0" w:color="666666"/>
            </w:tcBorders>
            <w:shd w:val="clear" w:color="auto" w:fill="FFFFFF"/>
            <w:tcMar>
              <w:top w:w="0" w:type="dxa"/>
              <w:left w:w="0" w:type="dxa"/>
              <w:bottom w:w="0" w:type="dxa"/>
              <w:right w:w="0" w:type="dxa"/>
            </w:tcMar>
            <w:vAlign w:val="center"/>
          </w:tcPr>
          <w:p w14:paraId="440894B1" w14:textId="178FB2DC" w:rsidR="0033629A" w:rsidRPr="00E909F1" w:rsidRDefault="00710174">
            <w:pPr>
              <w:keepNext/>
              <w:spacing w:before="100" w:after="100" w:line="240" w:lineRule="auto"/>
              <w:ind w:left="100" w:right="100" w:firstLine="0"/>
              <w:rPr>
                <w:sz w:val="22"/>
                <w:szCs w:val="22"/>
              </w:rPr>
            </w:pPr>
            <m:oMathPara>
              <m:oMath>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11</m:t>
                    </m:r>
                  </m:sub>
                </m:sSub>
              </m:oMath>
            </m:oMathPara>
          </w:p>
        </w:tc>
        <w:tc>
          <w:tcPr>
            <w:tcW w:w="1328" w:type="dxa"/>
            <w:tcBorders>
              <w:bottom w:val="single" w:sz="16" w:space="0" w:color="666666"/>
            </w:tcBorders>
            <w:shd w:val="clear" w:color="auto" w:fill="FFFFFF"/>
            <w:tcMar>
              <w:top w:w="0" w:type="dxa"/>
              <w:left w:w="0" w:type="dxa"/>
              <w:bottom w:w="0" w:type="dxa"/>
              <w:right w:w="0" w:type="dxa"/>
            </w:tcMar>
            <w:vAlign w:val="center"/>
          </w:tcPr>
          <w:p w14:paraId="183D3394"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1.005503</w:t>
            </w:r>
          </w:p>
        </w:tc>
        <w:tc>
          <w:tcPr>
            <w:tcW w:w="1413" w:type="dxa"/>
            <w:tcBorders>
              <w:bottom w:val="single" w:sz="16" w:space="0" w:color="666666"/>
            </w:tcBorders>
            <w:shd w:val="clear" w:color="auto" w:fill="FFFFFF"/>
            <w:tcMar>
              <w:top w:w="0" w:type="dxa"/>
              <w:left w:w="0" w:type="dxa"/>
              <w:bottom w:w="0" w:type="dxa"/>
              <w:right w:w="0" w:type="dxa"/>
            </w:tcMar>
            <w:vAlign w:val="center"/>
          </w:tcPr>
          <w:p w14:paraId="7EF0701B" w14:textId="77777777" w:rsidR="0033629A" w:rsidRPr="00E909F1" w:rsidRDefault="004409CB">
            <w:pPr>
              <w:keepNext/>
              <w:spacing w:before="100" w:after="100" w:line="240" w:lineRule="auto"/>
              <w:ind w:left="100" w:right="100" w:firstLine="0"/>
              <w:jc w:val="right"/>
              <w:rPr>
                <w:sz w:val="22"/>
                <w:szCs w:val="22"/>
              </w:rPr>
            </w:pPr>
            <w:r w:rsidRPr="00E909F1">
              <w:rPr>
                <w:rFonts w:eastAsia="Arial"/>
                <w:color w:val="000000"/>
                <w:sz w:val="22"/>
                <w:szCs w:val="22"/>
              </w:rPr>
              <w:t>1.011445</w:t>
            </w:r>
          </w:p>
        </w:tc>
      </w:tr>
    </w:tbl>
    <w:p w14:paraId="34AF9A26" w14:textId="77777777" w:rsidR="0033629A" w:rsidRDefault="004409CB" w:rsidP="003D7440">
      <w:pPr>
        <w:pStyle w:val="Figure"/>
        <w:ind w:firstLine="720"/>
        <w:jc w:val="center"/>
      </w:pPr>
      <w:r>
        <w:rPr>
          <w:noProof/>
        </w:rPr>
        <w:lastRenderedPageBreak/>
        <w:drawing>
          <wp:inline distT="0" distB="0" distL="0" distR="0" wp14:anchorId="647834B3" wp14:editId="003B7574">
            <wp:extent cx="5390484" cy="3067487"/>
            <wp:effectExtent l="0" t="0" r="127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
                    <pic:cNvPicPr>
                      <a:picLocks noChangeAspect="1" noChangeArrowheads="1"/>
                    </pic:cNvPicPr>
                  </pic:nvPicPr>
                  <pic:blipFill rotWithShape="1">
                    <a:blip r:embed="rId311"/>
                    <a:srcRect l="-1" t="18196" r="4237"/>
                    <a:stretch/>
                  </pic:blipFill>
                  <pic:spPr bwMode="auto">
                    <a:xfrm>
                      <a:off x="0" y="0"/>
                      <a:ext cx="74991" cy="42674"/>
                    </a:xfrm>
                    <a:prstGeom prst="rect">
                      <a:avLst/>
                    </a:prstGeom>
                    <a:noFill/>
                    <a:ln>
                      <a:noFill/>
                    </a:ln>
                    <a:extLst>
                      <a:ext uri="{53640926-AAD7-44D8-BBD7-CCE9431645EC}">
                        <a14:shadowObscured xmlns:a14="http://schemas.microsoft.com/office/drawing/2010/main"/>
                      </a:ext>
                    </a:extLst>
                  </pic:spPr>
                </pic:pic>
              </a:graphicData>
            </a:graphic>
          </wp:inline>
        </w:drawing>
      </w:r>
    </w:p>
    <w:p w14:paraId="4FB979F9" w14:textId="0D4840B5" w:rsidR="0033629A" w:rsidRDefault="004409CB">
      <w:pPr>
        <w:pStyle w:val="ImageCaption"/>
      </w:pPr>
      <w:bookmarkStart w:id="448" w:name="_Toc105675544"/>
      <w:r>
        <w:rPr>
          <w:b/>
        </w:rPr>
        <w:t xml:space="preserve">Figure </w:t>
      </w:r>
      <w:bookmarkStart w:id="449" w:name="mcplot"/>
      <w:r>
        <w:rPr>
          <w:b/>
        </w:rPr>
        <w:fldChar w:fldCharType="begin"/>
      </w:r>
      <w:r>
        <w:rPr>
          <w:b/>
        </w:rPr>
        <w:instrText>SEQ Figure \* Arabic</w:instrText>
      </w:r>
      <w:r>
        <w:rPr>
          <w:b/>
        </w:rPr>
        <w:fldChar w:fldCharType="separate"/>
      </w:r>
      <w:r w:rsidR="00766923">
        <w:rPr>
          <w:b/>
          <w:noProof/>
        </w:rPr>
        <w:t>29</w:t>
      </w:r>
      <w:r>
        <w:rPr>
          <w:b/>
        </w:rPr>
        <w:fldChar w:fldCharType="end"/>
      </w:r>
      <w:bookmarkEnd w:id="449"/>
      <w:r>
        <w:t>: Plot of Monte Carlo Sampling Errors</w:t>
      </w:r>
      <w:bookmarkEnd w:id="448"/>
    </w:p>
    <w:p w14:paraId="7F308EA0" w14:textId="04DC865E" w:rsidR="00C018B3" w:rsidRDefault="00C018B3">
      <w:pPr>
        <w:pStyle w:val="ImageCaption"/>
      </w:pPr>
    </w:p>
    <w:p w14:paraId="1B1B698A" w14:textId="77777777" w:rsidR="00C018B3" w:rsidRDefault="00C018B3">
      <w:pPr>
        <w:pStyle w:val="ImageCaption"/>
      </w:pPr>
    </w:p>
    <w:p w14:paraId="19891AF4" w14:textId="77777777" w:rsidR="0033629A" w:rsidRDefault="004409CB" w:rsidP="003D7440">
      <w:pPr>
        <w:pStyle w:val="Figure"/>
        <w:ind w:firstLine="720"/>
        <w:jc w:val="center"/>
      </w:pPr>
      <w:r>
        <w:rPr>
          <w:noProof/>
        </w:rPr>
        <w:drawing>
          <wp:inline distT="0" distB="0" distL="0" distR="0" wp14:anchorId="4D56B31B" wp14:editId="2356070D">
            <wp:extent cx="5530652" cy="368426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
                    <pic:cNvPicPr>
                      <a:picLocks noChangeAspect="1" noChangeArrowheads="1"/>
                    </pic:cNvPicPr>
                  </pic:nvPicPr>
                  <pic:blipFill>
                    <a:blip r:embed="rId312"/>
                    <a:srcRect/>
                    <a:stretch>
                      <a:fillRect/>
                    </a:stretch>
                  </pic:blipFill>
                  <pic:spPr bwMode="auto">
                    <a:xfrm>
                      <a:off x="0" y="0"/>
                      <a:ext cx="76947" cy="51259"/>
                    </a:xfrm>
                    <a:prstGeom prst="rect">
                      <a:avLst/>
                    </a:prstGeom>
                    <a:noFill/>
                  </pic:spPr>
                </pic:pic>
              </a:graphicData>
            </a:graphic>
          </wp:inline>
        </w:drawing>
      </w:r>
    </w:p>
    <w:p w14:paraId="3BDBBFC8" w14:textId="03B327CC" w:rsidR="0033629A" w:rsidRDefault="004409CB">
      <w:pPr>
        <w:pStyle w:val="ImageCaption"/>
      </w:pPr>
      <w:bookmarkStart w:id="450" w:name="_Toc105675545"/>
      <w:r>
        <w:rPr>
          <w:b/>
        </w:rPr>
        <w:t xml:space="preserve">Figure </w:t>
      </w:r>
      <w:bookmarkStart w:id="451" w:name="dens"/>
      <w:r>
        <w:rPr>
          <w:b/>
        </w:rPr>
        <w:fldChar w:fldCharType="begin"/>
      </w:r>
      <w:r>
        <w:rPr>
          <w:b/>
        </w:rPr>
        <w:instrText>SEQ Figure \* Arabic</w:instrText>
      </w:r>
      <w:r>
        <w:rPr>
          <w:b/>
        </w:rPr>
        <w:fldChar w:fldCharType="separate"/>
      </w:r>
      <w:r w:rsidR="00766923">
        <w:rPr>
          <w:b/>
          <w:noProof/>
        </w:rPr>
        <w:t>30</w:t>
      </w:r>
      <w:r>
        <w:rPr>
          <w:b/>
        </w:rPr>
        <w:fldChar w:fldCharType="end"/>
      </w:r>
      <w:bookmarkEnd w:id="451"/>
      <w:r>
        <w:t>: Plot of Posterior Densitites</w:t>
      </w:r>
      <w:bookmarkEnd w:id="450"/>
    </w:p>
    <w:p w14:paraId="358C6858" w14:textId="77777777" w:rsidR="003D7440" w:rsidRDefault="003D7440">
      <w:pPr>
        <w:spacing w:before="0" w:after="200" w:line="240" w:lineRule="auto"/>
        <w:ind w:firstLine="0"/>
        <w:rPr>
          <w:rFonts w:eastAsia="Times New Roman" w:cs="Arial"/>
          <w:b/>
          <w:bCs/>
          <w:iCs/>
        </w:rPr>
      </w:pPr>
      <w:bookmarkStart w:id="452" w:name="appendix-d"/>
      <w:bookmarkEnd w:id="443"/>
      <w:r>
        <w:br w:type="page"/>
      </w:r>
    </w:p>
    <w:p w14:paraId="78593DE2" w14:textId="7E484502" w:rsidR="0033629A" w:rsidRDefault="004409CB" w:rsidP="00411E2D">
      <w:pPr>
        <w:pStyle w:val="Heading2"/>
      </w:pPr>
      <w:bookmarkStart w:id="453" w:name="_Toc107939136"/>
      <w:r>
        <w:lastRenderedPageBreak/>
        <w:t>Appendix D</w:t>
      </w:r>
      <w:bookmarkEnd w:id="453"/>
    </w:p>
    <w:p w14:paraId="12A80C54" w14:textId="77777777" w:rsidR="0033629A" w:rsidRDefault="004409CB">
      <w:pPr>
        <w:pStyle w:val="FirstParagraph"/>
      </w:pPr>
      <w:r>
        <w:t>A reference list of all R packages used for this dissertation:</w:t>
      </w:r>
    </w:p>
    <w:p w14:paraId="53EDA47E" w14:textId="77777777" w:rsidR="003347F7" w:rsidRPr="00B60FC3" w:rsidRDefault="004409CB">
      <w:pPr>
        <w:widowControl w:val="0"/>
        <w:autoSpaceDE w:val="0"/>
        <w:autoSpaceDN w:val="0"/>
        <w:adjustRightInd w:val="0"/>
        <w:spacing w:after="0"/>
        <w:ind w:left="720" w:hanging="720"/>
      </w:pPr>
      <w:r w:rsidRPr="00B60FC3">
        <w:t xml:space="preserve">Arel-Bundock, V. (2022). </w:t>
      </w:r>
      <w:r w:rsidRPr="00B60FC3">
        <w:rPr>
          <w:i/>
          <w:iCs/>
        </w:rPr>
        <w:t>Modelsummary: Summary tables and plots for statistical models and data: Beautiful, customizable, and publication-ready</w:t>
      </w:r>
      <w:r w:rsidRPr="00B60FC3">
        <w:t xml:space="preserve"> [Manual]. https://CRAN.R-project.org/package=modelsummary</w:t>
      </w:r>
    </w:p>
    <w:p w14:paraId="5ECC5588" w14:textId="77777777" w:rsidR="003347F7" w:rsidRPr="00B60FC3" w:rsidRDefault="004409CB">
      <w:pPr>
        <w:widowControl w:val="0"/>
        <w:autoSpaceDE w:val="0"/>
        <w:autoSpaceDN w:val="0"/>
        <w:adjustRightInd w:val="0"/>
        <w:spacing w:after="0"/>
        <w:ind w:left="720" w:hanging="720"/>
      </w:pPr>
      <w:r w:rsidRPr="00B60FC3">
        <w:t xml:space="preserve">Bates, D., Mächler, M., Bolker, B., &amp; Walker, S. (2015). Fitting linear mixed-effects models using lme4. </w:t>
      </w:r>
      <w:r w:rsidRPr="00B60FC3">
        <w:rPr>
          <w:i/>
          <w:iCs/>
        </w:rPr>
        <w:t>Journal of Statistical Software</w:t>
      </w:r>
      <w:r w:rsidRPr="00B60FC3">
        <w:t xml:space="preserve">, </w:t>
      </w:r>
      <w:r w:rsidRPr="00B60FC3">
        <w:rPr>
          <w:i/>
          <w:iCs/>
        </w:rPr>
        <w:t>67</w:t>
      </w:r>
      <w:r w:rsidRPr="00B60FC3">
        <w:t>(1), 1–48. https://doi.org/10.18637/jss.v067.i01</w:t>
      </w:r>
    </w:p>
    <w:p w14:paraId="5FFA217D" w14:textId="77777777" w:rsidR="003347F7" w:rsidRPr="00B60FC3" w:rsidRDefault="004409CB">
      <w:pPr>
        <w:widowControl w:val="0"/>
        <w:autoSpaceDE w:val="0"/>
        <w:autoSpaceDN w:val="0"/>
        <w:adjustRightInd w:val="0"/>
        <w:spacing w:after="0"/>
        <w:ind w:left="720" w:hanging="720"/>
      </w:pPr>
      <w:r w:rsidRPr="00B60FC3">
        <w:t xml:space="preserve">Bolker, B., &amp; Robinson, D. (2022). </w:t>
      </w:r>
      <w:proofErr w:type="gramStart"/>
      <w:r w:rsidRPr="00B60FC3">
        <w:rPr>
          <w:i/>
          <w:iCs/>
        </w:rPr>
        <w:t>broom.mixed</w:t>
      </w:r>
      <w:proofErr w:type="gramEnd"/>
      <w:r w:rsidRPr="00B60FC3">
        <w:rPr>
          <w:i/>
          <w:iCs/>
        </w:rPr>
        <w:t>: Tidying methods for mixed models</w:t>
      </w:r>
      <w:r w:rsidRPr="00B60FC3">
        <w:t xml:space="preserve"> [Manual]. https://CRAN.R-project.org/package=broom.mixed</w:t>
      </w:r>
    </w:p>
    <w:p w14:paraId="19E3A582" w14:textId="77777777" w:rsidR="003347F7" w:rsidRPr="00B60FC3" w:rsidRDefault="004409CB">
      <w:pPr>
        <w:widowControl w:val="0"/>
        <w:autoSpaceDE w:val="0"/>
        <w:autoSpaceDN w:val="0"/>
        <w:adjustRightInd w:val="0"/>
        <w:spacing w:after="0"/>
        <w:ind w:left="720" w:hanging="720"/>
      </w:pPr>
      <w:r w:rsidRPr="00B60FC3">
        <w:t xml:space="preserve">Caro, D. H., &amp; Biecek, P. (2017). intsvy: An R package for analyzing international large-scale assessment data. </w:t>
      </w:r>
      <w:r w:rsidRPr="00B60FC3">
        <w:rPr>
          <w:i/>
          <w:iCs/>
        </w:rPr>
        <w:t>Journal of Statistical Software</w:t>
      </w:r>
      <w:r w:rsidRPr="00B60FC3">
        <w:t xml:space="preserve">, </w:t>
      </w:r>
      <w:r w:rsidRPr="00B60FC3">
        <w:rPr>
          <w:i/>
          <w:iCs/>
        </w:rPr>
        <w:t>81</w:t>
      </w:r>
      <w:r w:rsidRPr="00B60FC3">
        <w:t>(7), 1–44. https://doi.org/10.18637/jss.v081.i07</w:t>
      </w:r>
    </w:p>
    <w:p w14:paraId="4D5131AF" w14:textId="77777777" w:rsidR="003347F7" w:rsidRPr="00B60FC3" w:rsidRDefault="004409CB">
      <w:pPr>
        <w:widowControl w:val="0"/>
        <w:autoSpaceDE w:val="0"/>
        <w:autoSpaceDN w:val="0"/>
        <w:adjustRightInd w:val="0"/>
        <w:spacing w:after="0"/>
        <w:ind w:left="720" w:hanging="720"/>
      </w:pPr>
      <w:r w:rsidRPr="00B60FC3">
        <w:t xml:space="preserve">Erler, N. S., Rizopoulos, D., &amp; Lesaffre, E. M. E. H. (2021). JointAI: Joint analysis and imputation of incomplete data in R. </w:t>
      </w:r>
      <w:r w:rsidRPr="00B60FC3">
        <w:rPr>
          <w:i/>
          <w:iCs/>
        </w:rPr>
        <w:t>Journal of Statistical Software</w:t>
      </w:r>
      <w:r w:rsidRPr="00B60FC3">
        <w:t xml:space="preserve">, </w:t>
      </w:r>
      <w:r w:rsidRPr="00B60FC3">
        <w:rPr>
          <w:i/>
          <w:iCs/>
        </w:rPr>
        <w:t>100</w:t>
      </w:r>
      <w:r w:rsidRPr="00B60FC3">
        <w:t>(20), 1–56. https://doi.org/10.18637/jss.v100.i20</w:t>
      </w:r>
    </w:p>
    <w:p w14:paraId="3EEBEF06" w14:textId="77777777" w:rsidR="003347F7" w:rsidRPr="00B60FC3" w:rsidRDefault="004409CB">
      <w:pPr>
        <w:widowControl w:val="0"/>
        <w:autoSpaceDE w:val="0"/>
        <w:autoSpaceDN w:val="0"/>
        <w:adjustRightInd w:val="0"/>
        <w:spacing w:after="0"/>
        <w:ind w:left="720" w:hanging="720"/>
      </w:pPr>
      <w:r w:rsidRPr="00B60FC3">
        <w:t xml:space="preserve">Firke, S. (2021). </w:t>
      </w:r>
      <w:r w:rsidRPr="00B60FC3">
        <w:rPr>
          <w:i/>
          <w:iCs/>
        </w:rPr>
        <w:t>janitor: Simple tools for examining and cleaning dirty data</w:t>
      </w:r>
      <w:r w:rsidRPr="00B60FC3">
        <w:t xml:space="preserve"> [Manual]. https://CRAN.R-project.org/package=janitor</w:t>
      </w:r>
    </w:p>
    <w:p w14:paraId="7C3D9AF5" w14:textId="77777777" w:rsidR="003347F7" w:rsidRPr="00B60FC3" w:rsidRDefault="004409CB">
      <w:pPr>
        <w:widowControl w:val="0"/>
        <w:autoSpaceDE w:val="0"/>
        <w:autoSpaceDN w:val="0"/>
        <w:adjustRightInd w:val="0"/>
        <w:spacing w:after="0"/>
        <w:ind w:left="720" w:hanging="720"/>
      </w:pPr>
      <w:r w:rsidRPr="00B60FC3">
        <w:t xml:space="preserve">Gohel, D. (2022a). </w:t>
      </w:r>
      <w:r w:rsidRPr="00B60FC3">
        <w:rPr>
          <w:i/>
          <w:iCs/>
        </w:rPr>
        <w:t>flextable: Functions for tabular reporting</w:t>
      </w:r>
      <w:r w:rsidRPr="00B60FC3">
        <w:t xml:space="preserve"> [Manual]. https://CRAN.R-project.org/package=flextable</w:t>
      </w:r>
    </w:p>
    <w:p w14:paraId="626EAAC7" w14:textId="77777777" w:rsidR="003347F7" w:rsidRPr="00B60FC3" w:rsidRDefault="004409CB">
      <w:pPr>
        <w:widowControl w:val="0"/>
        <w:autoSpaceDE w:val="0"/>
        <w:autoSpaceDN w:val="0"/>
        <w:adjustRightInd w:val="0"/>
        <w:spacing w:after="0"/>
        <w:ind w:left="720" w:hanging="720"/>
      </w:pPr>
      <w:r w:rsidRPr="00B60FC3">
        <w:t xml:space="preserve">Gohel, D. (2022b). </w:t>
      </w:r>
      <w:r w:rsidRPr="00B60FC3">
        <w:rPr>
          <w:i/>
          <w:iCs/>
        </w:rPr>
        <w:t>officer: Manipulation of microsoft word and PowerPoint documents</w:t>
      </w:r>
      <w:r w:rsidRPr="00B60FC3">
        <w:t xml:space="preserve"> [Manual]. https://CRAN.R-project.org/package=officer</w:t>
      </w:r>
    </w:p>
    <w:p w14:paraId="4A9A8536" w14:textId="77777777" w:rsidR="003347F7" w:rsidRPr="00B60FC3" w:rsidRDefault="004409CB">
      <w:pPr>
        <w:widowControl w:val="0"/>
        <w:autoSpaceDE w:val="0"/>
        <w:autoSpaceDN w:val="0"/>
        <w:adjustRightInd w:val="0"/>
        <w:spacing w:after="0"/>
        <w:ind w:left="720" w:hanging="720"/>
      </w:pPr>
      <w:r w:rsidRPr="00B60FC3">
        <w:t xml:space="preserve">Gohel, D., &amp; Ross, N. (2022). </w:t>
      </w:r>
      <w:r w:rsidRPr="00B60FC3">
        <w:rPr>
          <w:i/>
          <w:iCs/>
        </w:rPr>
        <w:t xml:space="preserve">officedown: Enhanced “R markdown” format for “word” and </w:t>
      </w:r>
      <w:r w:rsidRPr="00B60FC3">
        <w:rPr>
          <w:i/>
          <w:iCs/>
        </w:rPr>
        <w:lastRenderedPageBreak/>
        <w:t>“PowerPoint”</w:t>
      </w:r>
      <w:r w:rsidRPr="00B60FC3">
        <w:t xml:space="preserve"> [Manual]. https://CRAN.R-project.org/package=officedown</w:t>
      </w:r>
    </w:p>
    <w:p w14:paraId="24F53831" w14:textId="77777777" w:rsidR="003347F7" w:rsidRPr="00B60FC3" w:rsidRDefault="004409CB">
      <w:pPr>
        <w:widowControl w:val="0"/>
        <w:autoSpaceDE w:val="0"/>
        <w:autoSpaceDN w:val="0"/>
        <w:adjustRightInd w:val="0"/>
        <w:spacing w:after="0"/>
        <w:ind w:left="720" w:hanging="720"/>
      </w:pPr>
      <w:r w:rsidRPr="00B60FC3">
        <w:t xml:space="preserve">Grund, S., Robitzsch, A., &amp; Luedtke, O. (2021). </w:t>
      </w:r>
      <w:r w:rsidRPr="00B60FC3">
        <w:rPr>
          <w:i/>
          <w:iCs/>
        </w:rPr>
        <w:t>mitml: Tools for multiple imputation in multilevel modeling</w:t>
      </w:r>
      <w:r w:rsidRPr="00B60FC3">
        <w:t xml:space="preserve"> [Manual]. https://CRAN.R-project.org/package=mitml</w:t>
      </w:r>
    </w:p>
    <w:p w14:paraId="6E7985E4" w14:textId="77777777" w:rsidR="003347F7" w:rsidRPr="00B60FC3" w:rsidRDefault="004409CB">
      <w:pPr>
        <w:widowControl w:val="0"/>
        <w:autoSpaceDE w:val="0"/>
        <w:autoSpaceDN w:val="0"/>
        <w:adjustRightInd w:val="0"/>
        <w:spacing w:after="0"/>
        <w:ind w:left="720" w:hanging="720"/>
      </w:pPr>
      <w:r w:rsidRPr="00B60FC3">
        <w:t xml:space="preserve">Harrell Jr, F. E. (2021). </w:t>
      </w:r>
      <w:r w:rsidRPr="00B60FC3">
        <w:rPr>
          <w:i/>
          <w:iCs/>
        </w:rPr>
        <w:t>Hmisc: Harrell miscellaneous</w:t>
      </w:r>
      <w:r w:rsidRPr="00B60FC3">
        <w:t xml:space="preserve"> [Manual]. https://CRAN.R-project.org/package=Hmisc</w:t>
      </w:r>
    </w:p>
    <w:p w14:paraId="471270B7" w14:textId="77777777" w:rsidR="003347F7" w:rsidRPr="00B60FC3" w:rsidRDefault="004409CB">
      <w:pPr>
        <w:widowControl w:val="0"/>
        <w:autoSpaceDE w:val="0"/>
        <w:autoSpaceDN w:val="0"/>
        <w:adjustRightInd w:val="0"/>
        <w:spacing w:after="0"/>
        <w:ind w:left="720" w:hanging="720"/>
      </w:pPr>
      <w:r w:rsidRPr="00B60FC3">
        <w:t xml:space="preserve">Harrison, E., Drake, T., &amp; Ots, R. (2021). </w:t>
      </w:r>
      <w:r w:rsidRPr="00B60FC3">
        <w:rPr>
          <w:i/>
          <w:iCs/>
        </w:rPr>
        <w:t>finalfit: Quickly create elegant regression results tables and plots when modelling</w:t>
      </w:r>
      <w:r w:rsidRPr="00B60FC3">
        <w:t xml:space="preserve"> [Manual]. https://CRAN.R-project.org/package=finalfit</w:t>
      </w:r>
    </w:p>
    <w:p w14:paraId="297B041C" w14:textId="77777777" w:rsidR="003347F7" w:rsidRPr="00B60FC3" w:rsidRDefault="004409CB">
      <w:pPr>
        <w:widowControl w:val="0"/>
        <w:autoSpaceDE w:val="0"/>
        <w:autoSpaceDN w:val="0"/>
        <w:adjustRightInd w:val="0"/>
        <w:spacing w:after="0"/>
        <w:ind w:left="720" w:hanging="720"/>
      </w:pPr>
      <w:r w:rsidRPr="00B60FC3">
        <w:t xml:space="preserve">Koller, M. (2016). robustlmm: An R package for robust estimation of linear mixed-effects models. </w:t>
      </w:r>
      <w:r w:rsidRPr="00B60FC3">
        <w:rPr>
          <w:i/>
          <w:iCs/>
        </w:rPr>
        <w:t>Journal of Statistical Software</w:t>
      </w:r>
      <w:r w:rsidRPr="00B60FC3">
        <w:t xml:space="preserve">, </w:t>
      </w:r>
      <w:r w:rsidRPr="00B60FC3">
        <w:rPr>
          <w:i/>
          <w:iCs/>
        </w:rPr>
        <w:t>75</w:t>
      </w:r>
      <w:r w:rsidRPr="00B60FC3">
        <w:t>(6), 1–24. https://doi.org/10.18637/jss.v075.i06</w:t>
      </w:r>
    </w:p>
    <w:p w14:paraId="6F5961AA" w14:textId="77777777" w:rsidR="003347F7" w:rsidRPr="00B60FC3" w:rsidRDefault="004409CB">
      <w:pPr>
        <w:widowControl w:val="0"/>
        <w:autoSpaceDE w:val="0"/>
        <w:autoSpaceDN w:val="0"/>
        <w:adjustRightInd w:val="0"/>
        <w:spacing w:after="0"/>
        <w:ind w:left="720" w:hanging="720"/>
      </w:pPr>
      <w:r w:rsidRPr="00B60FC3">
        <w:t xml:space="preserve">Kuhn, M., Jackson, S., &amp; Cimentada, J. (2020). </w:t>
      </w:r>
      <w:r w:rsidRPr="00B60FC3">
        <w:rPr>
          <w:i/>
          <w:iCs/>
        </w:rPr>
        <w:t>corrr: Correlations in R</w:t>
      </w:r>
      <w:r w:rsidRPr="00B60FC3">
        <w:t xml:space="preserve"> [Manual]. https://CRAN.R-project.org/package=corrr</w:t>
      </w:r>
    </w:p>
    <w:p w14:paraId="53049923" w14:textId="77777777" w:rsidR="003347F7" w:rsidRPr="00B60FC3" w:rsidRDefault="004409CB">
      <w:pPr>
        <w:widowControl w:val="0"/>
        <w:autoSpaceDE w:val="0"/>
        <w:autoSpaceDN w:val="0"/>
        <w:adjustRightInd w:val="0"/>
        <w:spacing w:after="0"/>
        <w:ind w:left="720" w:hanging="720"/>
      </w:pPr>
      <w:r w:rsidRPr="00B60FC3">
        <w:t xml:space="preserve">Kuznetsova, A., Brockhoff, P. B., &amp; Christensen, R. H. B. (2017). lmerTest package: Tests in linear mixed effects models. </w:t>
      </w:r>
      <w:r w:rsidRPr="00B60FC3">
        <w:rPr>
          <w:i/>
          <w:iCs/>
        </w:rPr>
        <w:t>Journal of Statistical Software</w:t>
      </w:r>
      <w:r w:rsidRPr="00B60FC3">
        <w:t xml:space="preserve">, </w:t>
      </w:r>
      <w:r w:rsidRPr="00B60FC3">
        <w:rPr>
          <w:i/>
          <w:iCs/>
        </w:rPr>
        <w:t>82</w:t>
      </w:r>
      <w:r w:rsidRPr="00B60FC3">
        <w:t>(13), 1–26. https://doi.org/10.18637/jss.v082.i13</w:t>
      </w:r>
    </w:p>
    <w:p w14:paraId="7273C095" w14:textId="77777777" w:rsidR="003347F7" w:rsidRPr="00B60FC3" w:rsidRDefault="004409CB">
      <w:pPr>
        <w:widowControl w:val="0"/>
        <w:autoSpaceDE w:val="0"/>
        <w:autoSpaceDN w:val="0"/>
        <w:adjustRightInd w:val="0"/>
        <w:spacing w:after="0"/>
        <w:ind w:left="720" w:hanging="720"/>
      </w:pPr>
      <w:r w:rsidRPr="00B60FC3">
        <w:t xml:space="preserve">Loy, A., &amp; Hofmann, H. (2014). HLMdiag: A suite of diagnostics for hierarchical linear models in R. </w:t>
      </w:r>
      <w:r w:rsidRPr="00B60FC3">
        <w:rPr>
          <w:i/>
          <w:iCs/>
        </w:rPr>
        <w:t>Journal of Statistical Software</w:t>
      </w:r>
      <w:r w:rsidRPr="00B60FC3">
        <w:t xml:space="preserve">, </w:t>
      </w:r>
      <w:r w:rsidRPr="00B60FC3">
        <w:rPr>
          <w:i/>
          <w:iCs/>
        </w:rPr>
        <w:t>56</w:t>
      </w:r>
      <w:r w:rsidRPr="00B60FC3">
        <w:t>(5), 1–28.</w:t>
      </w:r>
    </w:p>
    <w:p w14:paraId="5DB01168" w14:textId="77777777" w:rsidR="003347F7" w:rsidRPr="00B60FC3" w:rsidRDefault="004409CB">
      <w:pPr>
        <w:widowControl w:val="0"/>
        <w:autoSpaceDE w:val="0"/>
        <w:autoSpaceDN w:val="0"/>
        <w:adjustRightInd w:val="0"/>
        <w:spacing w:after="0"/>
        <w:ind w:left="720" w:hanging="720"/>
      </w:pPr>
      <w:r w:rsidRPr="00B60FC3">
        <w:t xml:space="preserve">Lüdecke, D. (2018). ggeffects: Tidy data frames of marginal effects from regression models. </w:t>
      </w:r>
      <w:r w:rsidRPr="00B60FC3">
        <w:rPr>
          <w:i/>
          <w:iCs/>
        </w:rPr>
        <w:t xml:space="preserve">Journal of </w:t>
      </w:r>
      <w:proofErr w:type="gramStart"/>
      <w:r w:rsidRPr="00B60FC3">
        <w:rPr>
          <w:i/>
          <w:iCs/>
        </w:rPr>
        <w:t>Open Source</w:t>
      </w:r>
      <w:proofErr w:type="gramEnd"/>
      <w:r w:rsidRPr="00B60FC3">
        <w:rPr>
          <w:i/>
          <w:iCs/>
        </w:rPr>
        <w:t xml:space="preserve"> Software</w:t>
      </w:r>
      <w:r w:rsidRPr="00B60FC3">
        <w:t xml:space="preserve">, </w:t>
      </w:r>
      <w:r w:rsidRPr="00B60FC3">
        <w:rPr>
          <w:i/>
          <w:iCs/>
        </w:rPr>
        <w:t>3</w:t>
      </w:r>
      <w:r w:rsidRPr="00B60FC3">
        <w:t>(26), 772. https://doi.org/10.21105/joss.00772</w:t>
      </w:r>
    </w:p>
    <w:p w14:paraId="4698B798" w14:textId="77777777" w:rsidR="003347F7" w:rsidRPr="00B60FC3" w:rsidRDefault="004409CB">
      <w:pPr>
        <w:widowControl w:val="0"/>
        <w:autoSpaceDE w:val="0"/>
        <w:autoSpaceDN w:val="0"/>
        <w:adjustRightInd w:val="0"/>
        <w:spacing w:after="0"/>
        <w:ind w:left="720" w:hanging="720"/>
      </w:pPr>
      <w:r w:rsidRPr="00B60FC3">
        <w:t xml:space="preserve">Lüdecke, D. (2021). </w:t>
      </w:r>
      <w:r w:rsidRPr="00B60FC3">
        <w:rPr>
          <w:i/>
          <w:iCs/>
        </w:rPr>
        <w:t>sjPlot: Data visualization for statistics in social science</w:t>
      </w:r>
      <w:r w:rsidRPr="00B60FC3">
        <w:t xml:space="preserve"> [Manual]. https://CRAN.R-project.org/package=sjPlot</w:t>
      </w:r>
    </w:p>
    <w:p w14:paraId="6BC822E0" w14:textId="77777777" w:rsidR="003347F7" w:rsidRPr="00B60FC3" w:rsidRDefault="004409CB">
      <w:pPr>
        <w:widowControl w:val="0"/>
        <w:autoSpaceDE w:val="0"/>
        <w:autoSpaceDN w:val="0"/>
        <w:adjustRightInd w:val="0"/>
        <w:spacing w:after="0"/>
        <w:ind w:left="720" w:hanging="720"/>
      </w:pPr>
      <w:r w:rsidRPr="00B60FC3">
        <w:lastRenderedPageBreak/>
        <w:t xml:space="preserve">Lüdecke, D., Ben-Shachar, M. S., Patil, I., Waggoner, P., &amp; Makowski, D. (2021). performance: An R package for assessment, </w:t>
      </w:r>
      <w:proofErr w:type="gramStart"/>
      <w:r w:rsidRPr="00B60FC3">
        <w:t>comparison</w:t>
      </w:r>
      <w:proofErr w:type="gramEnd"/>
      <w:r w:rsidRPr="00B60FC3">
        <w:t xml:space="preserve"> and testing of statistical models. </w:t>
      </w:r>
      <w:r w:rsidRPr="00B60FC3">
        <w:rPr>
          <w:i/>
          <w:iCs/>
        </w:rPr>
        <w:t xml:space="preserve">Journal of </w:t>
      </w:r>
      <w:proofErr w:type="gramStart"/>
      <w:r w:rsidRPr="00B60FC3">
        <w:rPr>
          <w:i/>
          <w:iCs/>
        </w:rPr>
        <w:t>Open Source</w:t>
      </w:r>
      <w:proofErr w:type="gramEnd"/>
      <w:r w:rsidRPr="00B60FC3">
        <w:rPr>
          <w:i/>
          <w:iCs/>
        </w:rPr>
        <w:t xml:space="preserve"> Software</w:t>
      </w:r>
      <w:r w:rsidRPr="00B60FC3">
        <w:t xml:space="preserve">, </w:t>
      </w:r>
      <w:r w:rsidRPr="00B60FC3">
        <w:rPr>
          <w:i/>
          <w:iCs/>
        </w:rPr>
        <w:t>6</w:t>
      </w:r>
      <w:r w:rsidRPr="00B60FC3">
        <w:t>(60), 3139. https://doi.org/10.21105/joss.03139</w:t>
      </w:r>
    </w:p>
    <w:p w14:paraId="77EED159" w14:textId="77777777" w:rsidR="003347F7" w:rsidRPr="00B60FC3" w:rsidRDefault="004409CB">
      <w:pPr>
        <w:widowControl w:val="0"/>
        <w:autoSpaceDE w:val="0"/>
        <w:autoSpaceDN w:val="0"/>
        <w:adjustRightInd w:val="0"/>
        <w:spacing w:after="0"/>
        <w:ind w:left="720" w:hanging="720"/>
      </w:pPr>
      <w:r w:rsidRPr="00B60FC3">
        <w:t xml:space="preserve">Neuwirth, E. (2022). </w:t>
      </w:r>
      <w:r w:rsidRPr="00B60FC3">
        <w:rPr>
          <w:i/>
          <w:iCs/>
        </w:rPr>
        <w:t>RColorBrewer: ColorBrewer palettes</w:t>
      </w:r>
      <w:r w:rsidRPr="00B60FC3">
        <w:t xml:space="preserve"> [Manual]. https://CRAN.R-project.org/package=RColorBrewer</w:t>
      </w:r>
    </w:p>
    <w:p w14:paraId="1FE24BC7" w14:textId="77777777" w:rsidR="003347F7" w:rsidRPr="00B60FC3" w:rsidRDefault="004409CB">
      <w:pPr>
        <w:widowControl w:val="0"/>
        <w:autoSpaceDE w:val="0"/>
        <w:autoSpaceDN w:val="0"/>
        <w:adjustRightInd w:val="0"/>
        <w:spacing w:after="0"/>
        <w:ind w:left="720" w:hanging="720"/>
      </w:pPr>
      <w:r w:rsidRPr="00B60FC3">
        <w:t xml:space="preserve">Pedersen, T. L. (2020). </w:t>
      </w:r>
      <w:r w:rsidRPr="00B60FC3">
        <w:rPr>
          <w:i/>
          <w:iCs/>
        </w:rPr>
        <w:t>patchwork: The composer of plots</w:t>
      </w:r>
      <w:r w:rsidRPr="00B60FC3">
        <w:t xml:space="preserve"> [Manual]. https://CRAN.R-project.org/package=patchwork</w:t>
      </w:r>
    </w:p>
    <w:p w14:paraId="4781E24A" w14:textId="77777777" w:rsidR="003347F7" w:rsidRPr="00B60FC3" w:rsidRDefault="004409CB">
      <w:pPr>
        <w:widowControl w:val="0"/>
        <w:autoSpaceDE w:val="0"/>
        <w:autoSpaceDN w:val="0"/>
        <w:adjustRightInd w:val="0"/>
        <w:spacing w:after="0"/>
        <w:ind w:left="720" w:hanging="720"/>
      </w:pPr>
      <w:r w:rsidRPr="00B60FC3">
        <w:t xml:space="preserve">Pustejovsky, J. (2022). </w:t>
      </w:r>
      <w:r w:rsidRPr="00B60FC3">
        <w:rPr>
          <w:i/>
          <w:iCs/>
        </w:rPr>
        <w:t>clubSandwich: Cluster-robust (sandwich) variance estimators with small-sample corrections</w:t>
      </w:r>
      <w:r w:rsidRPr="00B60FC3">
        <w:t xml:space="preserve"> [Manual]. https://CRAN.R-project.org/package=clubSandwich</w:t>
      </w:r>
    </w:p>
    <w:p w14:paraId="5CD31848" w14:textId="77777777" w:rsidR="003347F7" w:rsidRPr="00B60FC3" w:rsidRDefault="004409CB">
      <w:pPr>
        <w:widowControl w:val="0"/>
        <w:autoSpaceDE w:val="0"/>
        <w:autoSpaceDN w:val="0"/>
        <w:adjustRightInd w:val="0"/>
        <w:spacing w:after="0"/>
        <w:ind w:left="720" w:hanging="720"/>
      </w:pPr>
      <w:r w:rsidRPr="00B60FC3">
        <w:t xml:space="preserve">Revelle, W. (2022). </w:t>
      </w:r>
      <w:r w:rsidRPr="00B60FC3">
        <w:rPr>
          <w:i/>
          <w:iCs/>
        </w:rPr>
        <w:t>psych: Procedures for psychological, psychometric, and personality research</w:t>
      </w:r>
      <w:r w:rsidRPr="00B60FC3">
        <w:t xml:space="preserve"> [Manual]. https://CRAN.R-project.org/package=psych</w:t>
      </w:r>
    </w:p>
    <w:p w14:paraId="29577579" w14:textId="77777777" w:rsidR="003347F7" w:rsidRPr="00B60FC3" w:rsidRDefault="004409CB">
      <w:pPr>
        <w:widowControl w:val="0"/>
        <w:autoSpaceDE w:val="0"/>
        <w:autoSpaceDN w:val="0"/>
        <w:adjustRightInd w:val="0"/>
        <w:spacing w:after="0"/>
        <w:ind w:left="720" w:hanging="720"/>
      </w:pPr>
      <w:r w:rsidRPr="00B60FC3">
        <w:t xml:space="preserve">Rocconi, L., &amp; Schmidt, A. (n.d.). </w:t>
      </w:r>
      <w:r w:rsidRPr="00B60FC3">
        <w:rPr>
          <w:i/>
          <w:iCs/>
        </w:rPr>
        <w:t>mlmhelpr: Multilevel/Mixed model helper functions</w:t>
      </w:r>
      <w:r w:rsidRPr="00B60FC3">
        <w:t xml:space="preserve"> [Manual]. https://github.com/lrocconi/mlmhelpr</w:t>
      </w:r>
    </w:p>
    <w:p w14:paraId="1B426B57" w14:textId="77777777" w:rsidR="003347F7" w:rsidRPr="00B60FC3" w:rsidRDefault="004409CB">
      <w:pPr>
        <w:widowControl w:val="0"/>
        <w:autoSpaceDE w:val="0"/>
        <w:autoSpaceDN w:val="0"/>
        <w:adjustRightInd w:val="0"/>
        <w:spacing w:after="0"/>
        <w:ind w:left="720" w:hanging="720"/>
      </w:pPr>
      <w:r w:rsidRPr="00B60FC3">
        <w:t xml:space="preserve">van Buuren, S., &amp; Groothuis-Oudshoorn, K. (2011). mice: Multivariate imputation by chained equations in R. </w:t>
      </w:r>
      <w:r w:rsidRPr="00B60FC3">
        <w:rPr>
          <w:i/>
          <w:iCs/>
        </w:rPr>
        <w:t>Journal of Statistical Software</w:t>
      </w:r>
      <w:r w:rsidRPr="00B60FC3">
        <w:t xml:space="preserve">, </w:t>
      </w:r>
      <w:r w:rsidRPr="00B60FC3">
        <w:rPr>
          <w:i/>
          <w:iCs/>
        </w:rPr>
        <w:t>45</w:t>
      </w:r>
      <w:r w:rsidRPr="00B60FC3">
        <w:t>(3), 1–67. https://doi.org/10.18637/jss.v045.i03</w:t>
      </w:r>
    </w:p>
    <w:p w14:paraId="5E1CADEA" w14:textId="77777777" w:rsidR="003347F7" w:rsidRPr="00B60FC3" w:rsidRDefault="004409CB">
      <w:pPr>
        <w:widowControl w:val="0"/>
        <w:autoSpaceDE w:val="0"/>
        <w:autoSpaceDN w:val="0"/>
        <w:adjustRightInd w:val="0"/>
        <w:spacing w:after="0"/>
        <w:ind w:left="720" w:hanging="720"/>
      </w:pPr>
      <w:r w:rsidRPr="00B60FC3">
        <w:t xml:space="preserve">Wei, T., &amp; Simko, V. (2021). </w:t>
      </w:r>
      <w:r w:rsidRPr="00B60FC3">
        <w:rPr>
          <w:i/>
          <w:iCs/>
        </w:rPr>
        <w:t>R package “corrplot”: Visualization of a correlation matrix</w:t>
      </w:r>
      <w:r w:rsidRPr="00B60FC3">
        <w:t xml:space="preserve"> [Manual]. https://github.com/taiyun/corrplot</w:t>
      </w:r>
    </w:p>
    <w:p w14:paraId="0D48C486" w14:textId="77777777" w:rsidR="003347F7" w:rsidRPr="00B60FC3" w:rsidRDefault="004409CB">
      <w:pPr>
        <w:widowControl w:val="0"/>
        <w:autoSpaceDE w:val="0"/>
        <w:autoSpaceDN w:val="0"/>
        <w:adjustRightInd w:val="0"/>
        <w:spacing w:after="0"/>
        <w:ind w:left="720" w:hanging="720"/>
      </w:pPr>
      <w:r w:rsidRPr="00B60FC3">
        <w:t xml:space="preserve">Wickham, H., Averick, M., Bryan, J., Chang, W., McGowan, L. D., François, R., Grolemund, G., Hayes, A., Henry, L., Hester, J., Kuhn, M., Pedersen, T. L., Miller, E., Bache, S. M., Müller, K., Ooms, J., Robinson, D., Seidel, D. P., Spinu, V., … Yutani, H. (2019). </w:t>
      </w:r>
      <w:r w:rsidRPr="00B60FC3">
        <w:lastRenderedPageBreak/>
        <w:t xml:space="preserve">Welcome to the tidyverse. </w:t>
      </w:r>
      <w:r w:rsidRPr="00B60FC3">
        <w:rPr>
          <w:i/>
          <w:iCs/>
        </w:rPr>
        <w:t xml:space="preserve">Journal of </w:t>
      </w:r>
      <w:proofErr w:type="gramStart"/>
      <w:r w:rsidRPr="00B60FC3">
        <w:rPr>
          <w:i/>
          <w:iCs/>
        </w:rPr>
        <w:t>Open Source</w:t>
      </w:r>
      <w:proofErr w:type="gramEnd"/>
      <w:r w:rsidRPr="00B60FC3">
        <w:rPr>
          <w:i/>
          <w:iCs/>
        </w:rPr>
        <w:t xml:space="preserve"> Software</w:t>
      </w:r>
      <w:r w:rsidRPr="00B60FC3">
        <w:t xml:space="preserve">, </w:t>
      </w:r>
      <w:r w:rsidRPr="00B60FC3">
        <w:rPr>
          <w:i/>
          <w:iCs/>
        </w:rPr>
        <w:t>4</w:t>
      </w:r>
      <w:r w:rsidRPr="00B60FC3">
        <w:t>(43), 1686. https://doi.org/10.21105/joss.01686</w:t>
      </w:r>
    </w:p>
    <w:p w14:paraId="3BA80C57" w14:textId="77777777" w:rsidR="003347F7" w:rsidRPr="00B60FC3" w:rsidRDefault="004409CB">
      <w:pPr>
        <w:widowControl w:val="0"/>
        <w:autoSpaceDE w:val="0"/>
        <w:autoSpaceDN w:val="0"/>
        <w:adjustRightInd w:val="0"/>
        <w:spacing w:after="0"/>
        <w:ind w:left="720" w:hanging="720"/>
      </w:pPr>
      <w:r w:rsidRPr="00B60FC3">
        <w:t xml:space="preserve">Wickham, H., &amp; Bryan, J. (2022). </w:t>
      </w:r>
      <w:r w:rsidRPr="00B60FC3">
        <w:rPr>
          <w:i/>
          <w:iCs/>
        </w:rPr>
        <w:t>readxl: Read excel files</w:t>
      </w:r>
      <w:r w:rsidRPr="00B60FC3">
        <w:t xml:space="preserve"> [Manual]. https://CRAN.R-project.org/package=readxl</w:t>
      </w:r>
    </w:p>
    <w:p w14:paraId="38EE4045" w14:textId="77777777" w:rsidR="003347F7" w:rsidRPr="00B60FC3" w:rsidRDefault="004409CB">
      <w:pPr>
        <w:widowControl w:val="0"/>
        <w:autoSpaceDE w:val="0"/>
        <w:autoSpaceDN w:val="0"/>
        <w:adjustRightInd w:val="0"/>
        <w:spacing w:after="0"/>
        <w:ind w:left="720" w:hanging="720"/>
      </w:pPr>
      <w:r w:rsidRPr="00B60FC3">
        <w:t xml:space="preserve">Wickham, H., Miller, E., &amp; Smith, D. (2022). </w:t>
      </w:r>
      <w:r w:rsidRPr="00B60FC3">
        <w:rPr>
          <w:i/>
          <w:iCs/>
        </w:rPr>
        <w:t>haven: Import and export “SPSS”, “stata” and “SAS” files</w:t>
      </w:r>
      <w:r w:rsidRPr="00B60FC3">
        <w:t xml:space="preserve"> [Manual]. https://CRAN.R-project.org/package=haven</w:t>
      </w:r>
    </w:p>
    <w:p w14:paraId="272468AA" w14:textId="77777777" w:rsidR="003347F7" w:rsidRPr="00B60FC3" w:rsidRDefault="004409CB">
      <w:pPr>
        <w:widowControl w:val="0"/>
        <w:autoSpaceDE w:val="0"/>
        <w:autoSpaceDN w:val="0"/>
        <w:adjustRightInd w:val="0"/>
        <w:spacing w:after="0"/>
        <w:ind w:left="720" w:hanging="720"/>
      </w:pPr>
      <w:r w:rsidRPr="00B60FC3">
        <w:t xml:space="preserve">Xie, Y. (2014). knitr: A comprehensive tool for reproducible research in R. In V. Stodden, F. Leisch, &amp; R. D. Peng (Eds.), </w:t>
      </w:r>
      <w:r w:rsidRPr="00B60FC3">
        <w:rPr>
          <w:i/>
          <w:iCs/>
        </w:rPr>
        <w:t>Implementing reproducible computational research</w:t>
      </w:r>
      <w:r w:rsidRPr="00B60FC3">
        <w:t>. Chapman and Hall/CRC. http://www.crcpress.com/product/isbn/9781466561595</w:t>
      </w:r>
    </w:p>
    <w:p w14:paraId="3AD0142E" w14:textId="77777777" w:rsidR="003347F7" w:rsidRPr="00B60FC3" w:rsidRDefault="004409CB">
      <w:pPr>
        <w:widowControl w:val="0"/>
        <w:autoSpaceDE w:val="0"/>
        <w:autoSpaceDN w:val="0"/>
        <w:adjustRightInd w:val="0"/>
        <w:spacing w:after="0"/>
        <w:ind w:left="720" w:hanging="720"/>
      </w:pPr>
      <w:r w:rsidRPr="00B60FC3">
        <w:t xml:space="preserve">Xie, Y. (2015). </w:t>
      </w:r>
      <w:r w:rsidRPr="00B60FC3">
        <w:rPr>
          <w:i/>
          <w:iCs/>
        </w:rPr>
        <w:t>Dynamic documents with R and knitr</w:t>
      </w:r>
      <w:r w:rsidRPr="00B60FC3">
        <w:t xml:space="preserve"> (2nd ed.). Chapman and Hall/CRC. https://yihui.org/knitr/</w:t>
      </w:r>
    </w:p>
    <w:p w14:paraId="5BA2FB0E" w14:textId="77777777" w:rsidR="003347F7" w:rsidRPr="00B60FC3" w:rsidRDefault="004409CB">
      <w:pPr>
        <w:widowControl w:val="0"/>
        <w:autoSpaceDE w:val="0"/>
        <w:autoSpaceDN w:val="0"/>
        <w:adjustRightInd w:val="0"/>
        <w:spacing w:after="0"/>
        <w:ind w:left="720" w:hanging="720"/>
      </w:pPr>
      <w:r w:rsidRPr="00B60FC3">
        <w:t xml:space="preserve">Xie, Y. (2022). </w:t>
      </w:r>
      <w:r w:rsidRPr="00B60FC3">
        <w:rPr>
          <w:i/>
          <w:iCs/>
        </w:rPr>
        <w:t>knitr: A general-purpose package for dynamic report generation in R</w:t>
      </w:r>
      <w:r w:rsidRPr="00B60FC3">
        <w:t xml:space="preserve"> [Manual]. https://yihui.org/knitr/</w:t>
      </w:r>
    </w:p>
    <w:p w14:paraId="168639D4" w14:textId="77777777" w:rsidR="0018722A" w:rsidRPr="00B60FC3" w:rsidRDefault="004409CB">
      <w:pPr>
        <w:widowControl w:val="0"/>
        <w:autoSpaceDE w:val="0"/>
        <w:autoSpaceDN w:val="0"/>
        <w:adjustRightInd w:val="0"/>
        <w:spacing w:after="0"/>
        <w:ind w:left="720" w:hanging="720"/>
      </w:pPr>
      <w:r w:rsidRPr="00B60FC3">
        <w:t xml:space="preserve">Yasumoto, A. (2022). </w:t>
      </w:r>
      <w:r w:rsidRPr="00B60FC3">
        <w:rPr>
          <w:i/>
          <w:iCs/>
        </w:rPr>
        <w:t>ftExtra: Extensions for “flextable”</w:t>
      </w:r>
      <w:r w:rsidRPr="00B60FC3">
        <w:t xml:space="preserve"> [Manual]. https://CRAN.R-project.org/package=ftExtra</w:t>
      </w:r>
    </w:p>
    <w:p w14:paraId="36654984" w14:textId="77777777" w:rsidR="0033629A" w:rsidRDefault="004409CB">
      <w:pPr>
        <w:pStyle w:val="BodyText"/>
      </w:pPr>
      <w:r>
        <w:br w:type="page"/>
      </w:r>
    </w:p>
    <w:p w14:paraId="66C21C13" w14:textId="77777777" w:rsidR="0033629A" w:rsidRDefault="004409CB">
      <w:pPr>
        <w:pStyle w:val="Heading1"/>
      </w:pPr>
      <w:bookmarkStart w:id="454" w:name="_Toc107939137"/>
      <w:bookmarkStart w:id="455" w:name="vita"/>
      <w:bookmarkEnd w:id="430"/>
      <w:bookmarkEnd w:id="452"/>
      <w:r>
        <w:lastRenderedPageBreak/>
        <w:t>VITA</w:t>
      </w:r>
      <w:bookmarkEnd w:id="454"/>
    </w:p>
    <w:p w14:paraId="3FBBFDE9" w14:textId="77777777" w:rsidR="0033629A" w:rsidRDefault="004409CB">
      <w:pPr>
        <w:pStyle w:val="FirstParagraph"/>
      </w:pPr>
      <w:r>
        <w:t xml:space="preserve">Anthony Schmidt was born in New York and raised in Florida. He earned a bachelor’s degree in anthropology from the University of South Florida in 2006. After graduating, Anthony moved to Busan, South Korea to teach English as a foreign language. There, he began a distance education </w:t>
      </w:r>
      <w:proofErr w:type="gramStart"/>
      <w:r>
        <w:t>Master’s</w:t>
      </w:r>
      <w:proofErr w:type="gramEnd"/>
      <w:r>
        <w:t xml:space="preserve"> program in language, literacy, and cultural education from Indiana University, Bloomington. Anthony taught middle school and eventually university courses at Pukyong National University before returning to the United States in 2014 to take a position at the University of Tennesee, Knoxville’s English Language Institute (ELI).</w:t>
      </w:r>
    </w:p>
    <w:p w14:paraId="2A08BAE6" w14:textId="77777777" w:rsidR="0033629A" w:rsidRDefault="004409CB">
      <w:pPr>
        <w:pStyle w:val="BodyText"/>
      </w:pPr>
      <w:r>
        <w:t>In 2018, while working full-time at the ELI, Anthony began graduate coursework in the College of Education, Health, and Human Sciences. He then applied and was admitted to the Evaluation, Statistics, and Methodology (then Measurement) program. In 2019, while continuing coursework, Anthony change careers and became a data visualization designer at the College and University Professional Association for Human Resources. In 2021, Anthony took a position as a data scientist at Amplify Education, where he currently works at the time of writing.</w:t>
      </w:r>
      <w:bookmarkEnd w:id="455"/>
    </w:p>
    <w:sectPr w:rsidR="0033629A" w:rsidSect="00753BF0">
      <w:headerReference w:type="even" r:id="rId313"/>
      <w:headerReference w:type="default" r:id="rId314"/>
      <w:footerReference w:type="even" r:id="rId315"/>
      <w:footerReference w:type="default" r:id="rId316"/>
      <w:headerReference w:type="first" r:id="rId317"/>
      <w:footerReference w:type="first" r:id="rId318"/>
      <w:pgSz w:w="11952" w:h="1684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FB4A2" w14:textId="77777777" w:rsidR="00710174" w:rsidRDefault="00710174">
      <w:pPr>
        <w:spacing w:before="0" w:after="0" w:line="240" w:lineRule="auto"/>
      </w:pPr>
      <w:r>
        <w:separator/>
      </w:r>
    </w:p>
  </w:endnote>
  <w:endnote w:type="continuationSeparator" w:id="0">
    <w:p w14:paraId="52D99176" w14:textId="77777777" w:rsidR="00710174" w:rsidRDefault="0071017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5546264"/>
      <w:docPartObj>
        <w:docPartGallery w:val="Page Numbers (Bottom of Page)"/>
        <w:docPartUnique/>
      </w:docPartObj>
    </w:sdtPr>
    <w:sdtEndPr>
      <w:rPr>
        <w:noProof/>
      </w:rPr>
    </w:sdtEndPr>
    <w:sdtContent>
      <w:p w14:paraId="0A9346C4" w14:textId="2B0C9675" w:rsidR="00C666C8" w:rsidRDefault="004409CB" w:rsidP="00B813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FD4C" w14:textId="77777777" w:rsidR="00573905" w:rsidRDefault="0071017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529715"/>
      <w:docPartObj>
        <w:docPartGallery w:val="Page Numbers (Bottom of Page)"/>
        <w:docPartUnique/>
      </w:docPartObj>
    </w:sdtPr>
    <w:sdtEndPr>
      <w:rPr>
        <w:noProof/>
      </w:rPr>
    </w:sdtEndPr>
    <w:sdtContent>
      <w:p w14:paraId="046492B8" w14:textId="6ACE77F8" w:rsidR="00C666C8" w:rsidRDefault="004409CB" w:rsidP="009E35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D78B5" w14:textId="77777777" w:rsidR="00573905" w:rsidRDefault="0071017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5198B" w14:textId="77777777" w:rsidR="00573905" w:rsidRDefault="0071017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9555928"/>
      <w:docPartObj>
        <w:docPartGallery w:val="Page Numbers (Bottom of Page)"/>
        <w:docPartUnique/>
      </w:docPartObj>
    </w:sdtPr>
    <w:sdtEndPr>
      <w:rPr>
        <w:noProof/>
      </w:rPr>
    </w:sdtEndPr>
    <w:sdtContent>
      <w:p w14:paraId="1E5A24D0" w14:textId="3A754132" w:rsidR="00C666C8" w:rsidRDefault="004409CB" w:rsidP="009E3575">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52918" w14:textId="77777777" w:rsidR="00573905" w:rsidRDefault="0071017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8CC43" w14:textId="77777777" w:rsidR="00573905" w:rsidRDefault="0071017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1509391"/>
      <w:docPartObj>
        <w:docPartGallery w:val="Page Numbers (Bottom of Page)"/>
        <w:docPartUnique/>
      </w:docPartObj>
    </w:sdtPr>
    <w:sdtEndPr>
      <w:rPr>
        <w:noProof/>
      </w:rPr>
    </w:sdtEndPr>
    <w:sdtContent>
      <w:p w14:paraId="51D7B040" w14:textId="37899496" w:rsidR="00C666C8" w:rsidRDefault="004409CB" w:rsidP="00B32B4D">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38CDD" w14:textId="77777777" w:rsidR="00573905" w:rsidRDefault="0071017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2329B" w14:textId="77777777" w:rsidR="00573905" w:rsidRDefault="007101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3F930" w14:textId="77777777" w:rsidR="00573905" w:rsidRDefault="0071017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002204"/>
      <w:docPartObj>
        <w:docPartGallery w:val="Page Numbers (Bottom of Page)"/>
        <w:docPartUnique/>
      </w:docPartObj>
    </w:sdtPr>
    <w:sdtEndPr>
      <w:rPr>
        <w:noProof/>
      </w:rPr>
    </w:sdtEndPr>
    <w:sdtContent>
      <w:p w14:paraId="79E71FB9" w14:textId="1814E728" w:rsidR="00C666C8" w:rsidRDefault="004409CB" w:rsidP="00E20A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3253D" w14:textId="77777777" w:rsidR="00573905" w:rsidRDefault="0071017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A81CF" w14:textId="77777777" w:rsidR="00573905" w:rsidRDefault="0071017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8461754"/>
      <w:docPartObj>
        <w:docPartGallery w:val="Page Numbers (Bottom of Page)"/>
        <w:docPartUnique/>
      </w:docPartObj>
    </w:sdtPr>
    <w:sdtEndPr>
      <w:rPr>
        <w:noProof/>
      </w:rPr>
    </w:sdtEndPr>
    <w:sdtContent>
      <w:p w14:paraId="00A6D9C5" w14:textId="4B4E77DE" w:rsidR="00C666C8" w:rsidRDefault="004409CB" w:rsidP="00E20A8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ADE0A" w14:textId="77777777" w:rsidR="00573905" w:rsidRDefault="0071017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A6707" w14:textId="77777777" w:rsidR="00573905" w:rsidRDefault="0071017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335506"/>
      <w:docPartObj>
        <w:docPartGallery w:val="Page Numbers (Bottom of Page)"/>
        <w:docPartUnique/>
      </w:docPartObj>
    </w:sdtPr>
    <w:sdtEndPr>
      <w:rPr>
        <w:noProof/>
      </w:rPr>
    </w:sdtEndPr>
    <w:sdtContent>
      <w:p w14:paraId="3A6DB198" w14:textId="391ED5AE" w:rsidR="00C666C8" w:rsidRDefault="004409CB" w:rsidP="00A100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673CB" w14:textId="77777777" w:rsidR="00573905" w:rsidRDefault="0071017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46A2F" w14:textId="77777777" w:rsidR="00573905" w:rsidRDefault="0071017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7813814"/>
      <w:docPartObj>
        <w:docPartGallery w:val="Page Numbers (Bottom of Page)"/>
        <w:docPartUnique/>
      </w:docPartObj>
    </w:sdtPr>
    <w:sdtEndPr>
      <w:rPr>
        <w:noProof/>
      </w:rPr>
    </w:sdtEndPr>
    <w:sdtContent>
      <w:p w14:paraId="5AECA675" w14:textId="4EB1B75D" w:rsidR="00C666C8" w:rsidRDefault="004409CB" w:rsidP="00A100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9151848"/>
      <w:docPartObj>
        <w:docPartGallery w:val="Page Numbers (Bottom of Page)"/>
        <w:docPartUnique/>
      </w:docPartObj>
    </w:sdtPr>
    <w:sdtEndPr>
      <w:rPr>
        <w:noProof/>
      </w:rPr>
    </w:sdtEndPr>
    <w:sdtContent>
      <w:p w14:paraId="58F33C5D" w14:textId="65D59348" w:rsidR="00C666C8" w:rsidRDefault="004409CB" w:rsidP="00B813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33E77" w14:textId="77777777" w:rsidR="00573905" w:rsidRDefault="0071017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BAD9" w14:textId="77777777" w:rsidR="00573905" w:rsidRDefault="0071017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395306"/>
      <w:docPartObj>
        <w:docPartGallery w:val="Page Numbers (Bottom of Page)"/>
        <w:docPartUnique/>
      </w:docPartObj>
    </w:sdtPr>
    <w:sdtEndPr>
      <w:rPr>
        <w:noProof/>
      </w:rPr>
    </w:sdtEndPr>
    <w:sdtContent>
      <w:p w14:paraId="55915030" w14:textId="0C432E1B" w:rsidR="00C666C8" w:rsidRDefault="004409CB" w:rsidP="00A100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16CA" w14:textId="77777777" w:rsidR="00573905" w:rsidRDefault="0071017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E7037" w14:textId="77777777" w:rsidR="00573905" w:rsidRDefault="0071017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6668010"/>
      <w:docPartObj>
        <w:docPartGallery w:val="Page Numbers (Bottom of Page)"/>
        <w:docPartUnique/>
      </w:docPartObj>
    </w:sdtPr>
    <w:sdtEndPr>
      <w:rPr>
        <w:noProof/>
      </w:rPr>
    </w:sdtEndPr>
    <w:sdtContent>
      <w:p w14:paraId="3799A00F" w14:textId="5E5BB648" w:rsidR="00C666C8" w:rsidRDefault="004409CB" w:rsidP="00A1002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D025C" w14:textId="77777777" w:rsidR="00573905" w:rsidRDefault="0071017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2D13C" w14:textId="77777777" w:rsidR="00573905" w:rsidRDefault="0071017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777845"/>
      <w:docPartObj>
        <w:docPartGallery w:val="Page Numbers (Bottom of Page)"/>
        <w:docPartUnique/>
      </w:docPartObj>
    </w:sdtPr>
    <w:sdtEndPr>
      <w:rPr>
        <w:noProof/>
      </w:rPr>
    </w:sdtEndPr>
    <w:sdtContent>
      <w:p w14:paraId="5AE5F553" w14:textId="4D3B124F" w:rsidR="00C666C8" w:rsidRDefault="004409CB" w:rsidP="00133A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FB469" w14:textId="77777777" w:rsidR="00573905" w:rsidRDefault="0071017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A2DC" w14:textId="77777777" w:rsidR="00573905" w:rsidRDefault="0071017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DDB6D" w14:textId="77777777" w:rsidR="00573905" w:rsidRDefault="00710174">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7765703"/>
      <w:docPartObj>
        <w:docPartGallery w:val="Page Numbers (Bottom of Page)"/>
        <w:docPartUnique/>
      </w:docPartObj>
    </w:sdtPr>
    <w:sdtEndPr>
      <w:rPr>
        <w:noProof/>
      </w:rPr>
    </w:sdtEndPr>
    <w:sdtContent>
      <w:p w14:paraId="264AE864" w14:textId="6229250F" w:rsidR="00C666C8" w:rsidRDefault="004409CB" w:rsidP="00133A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F2B23" w14:textId="77777777" w:rsidR="00573905" w:rsidRDefault="0071017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CA248" w14:textId="77777777" w:rsidR="00573905" w:rsidRDefault="0071017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8716808"/>
      <w:docPartObj>
        <w:docPartGallery w:val="Page Numbers (Bottom of Page)"/>
        <w:docPartUnique/>
      </w:docPartObj>
    </w:sdtPr>
    <w:sdtEndPr>
      <w:rPr>
        <w:noProof/>
      </w:rPr>
    </w:sdtEndPr>
    <w:sdtContent>
      <w:p w14:paraId="79152DF2" w14:textId="4A678E48" w:rsidR="00C666C8" w:rsidRDefault="004409CB" w:rsidP="00B813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9374C" w14:textId="77777777" w:rsidR="00573905" w:rsidRDefault="0071017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784D6" w14:textId="77777777" w:rsidR="00573905" w:rsidRDefault="0071017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B9E94" w14:textId="77777777" w:rsidR="00573905" w:rsidRDefault="007101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6B8D4" w14:textId="77777777" w:rsidR="00710174" w:rsidRDefault="00710174">
      <w:r>
        <w:separator/>
      </w:r>
    </w:p>
  </w:footnote>
  <w:footnote w:type="continuationSeparator" w:id="0">
    <w:p w14:paraId="153F90F8" w14:textId="77777777" w:rsidR="00710174" w:rsidRDefault="00710174">
      <w:r>
        <w:continuationSeparator/>
      </w:r>
    </w:p>
  </w:footnote>
  <w:footnote w:id="1">
    <w:p w14:paraId="418C01B9" w14:textId="77777777" w:rsidR="0033629A" w:rsidRDefault="004409CB">
      <w:pPr>
        <w:pStyle w:val="FootnoteText"/>
      </w:pPr>
      <w:r>
        <w:rPr>
          <w:rStyle w:val="FootnoteReference"/>
        </w:rPr>
        <w:footnoteRef/>
      </w:r>
      <w:r>
        <w:t xml:space="preserve"> Data based on 2015 Wittgenstein Projection: Mean years of school. Age 25+. Total</w:t>
      </w:r>
    </w:p>
  </w:footnote>
  <w:footnote w:id="2">
    <w:p w14:paraId="332ADBF7" w14:textId="77777777" w:rsidR="0033629A" w:rsidRDefault="004409CB">
      <w:pPr>
        <w:pStyle w:val="FootnoteText"/>
      </w:pPr>
      <w:r>
        <w:rPr>
          <w:rStyle w:val="FootnoteReference"/>
        </w:rPr>
        <w:footnoteRef/>
      </w:r>
      <w:r>
        <w:t xml:space="preserve"> Global South generally refers to low- and middle-income countries (as designated by the UN) in Africa, Asia, the Caribbean, and Latin America. It is seen as a more appropriate alternative for “Third World” and “less developed” country (</w:t>
      </w:r>
      <w:hyperlink w:anchor="ref-mitlin2013">
        <w:r>
          <w:rPr>
            <w:rStyle w:val="Hyperlink"/>
          </w:rPr>
          <w:t>Mitlin &amp; Satterthwaite, 2013</w:t>
        </w:r>
      </w:hyperlink>
      <w:r>
        <w:t>). The Global North would refer to higher income countries, such as the United States and most countries in Europe.</w:t>
      </w:r>
    </w:p>
  </w:footnote>
  <w:footnote w:id="3">
    <w:p w14:paraId="0E4570B2" w14:textId="77777777" w:rsidR="0033629A" w:rsidRDefault="004409CB">
      <w:pPr>
        <w:pStyle w:val="FootnoteText"/>
      </w:pPr>
      <w:r>
        <w:rPr>
          <w:rStyle w:val="FootnoteReference"/>
        </w:rPr>
        <w:footnoteRef/>
      </w:r>
      <w:r>
        <w:t xml:space="preserve"> 10 plausible values were generated for each student starting in 2015</w:t>
      </w:r>
    </w:p>
  </w:footnote>
  <w:footnote w:id="4">
    <w:p w14:paraId="1901079A" w14:textId="77777777" w:rsidR="0033629A" w:rsidRDefault="004409CB">
      <w:pPr>
        <w:pStyle w:val="FootnoteText"/>
      </w:pPr>
      <w:r>
        <w:rPr>
          <w:rStyle w:val="FootnoteReference"/>
        </w:rPr>
        <w:footnoteRef/>
      </w:r>
      <w:r>
        <w:t xml:space="preserve"> </w:t>
      </w:r>
      <w:hyperlink r:id="rId1">
        <w:r>
          <w:rPr>
            <w:rStyle w:val="Hyperlink"/>
          </w:rPr>
          <w:t>https://www.iea.org/countries/kosovo</w:t>
        </w:r>
      </w:hyperlink>
      <w:r>
        <w:t>. Note: For years in which both had data, valyes between the Global Carbon Atlas and International Energy Agency were fairly consistent</w:t>
      </w:r>
    </w:p>
  </w:footnote>
  <w:footnote w:id="5">
    <w:p w14:paraId="578D557E" w14:textId="77777777" w:rsidR="0033629A" w:rsidRDefault="004409CB">
      <w:pPr>
        <w:pStyle w:val="FootnoteText"/>
      </w:pPr>
      <w:r w:rsidRPr="008A6446">
        <w:rPr>
          <w:rStyle w:val="FootnoteReference"/>
          <w:color w:val="000000" w:themeColor="text1"/>
        </w:rPr>
        <w:footnoteRef/>
      </w:r>
      <w:r w:rsidRPr="008A6446">
        <w:rPr>
          <w:color w:val="000000" w:themeColor="text1"/>
        </w:rPr>
        <w:t xml:space="preserve"> </w:t>
      </w:r>
      <w:hyperlink r:id="rId2">
        <w:r w:rsidRPr="008A6446">
          <w:rPr>
            <w:rStyle w:val="Hyperlink"/>
            <w:color w:val="000000" w:themeColor="text1"/>
          </w:rPr>
          <w:t>https://eng.stat.gov.tw/point.asp?index=9</w:t>
        </w:r>
      </w:hyperlink>
    </w:p>
  </w:footnote>
  <w:footnote w:id="6">
    <w:p w14:paraId="6415A59A" w14:textId="77777777" w:rsidR="0033629A" w:rsidRDefault="004409CB">
      <w:pPr>
        <w:pStyle w:val="FootnoteText"/>
      </w:pPr>
      <w:r>
        <w:rPr>
          <w:rStyle w:val="FootnoteReference"/>
        </w:rPr>
        <w:footnoteRef/>
      </w:r>
      <w:r>
        <w:t xml:space="preserve"> Their code may be found at </w:t>
      </w:r>
      <w:hyperlink r:id="rId3">
        <w:r w:rsidRPr="00D37D1D">
          <w:rPr>
            <w:rStyle w:val="Hyperlink"/>
            <w:color w:val="000000" w:themeColor="text1"/>
          </w:rPr>
          <w:t>https://osf.io/6ebna/</w:t>
        </w:r>
      </w:hyperlink>
    </w:p>
  </w:footnote>
  <w:footnote w:id="7">
    <w:p w14:paraId="16182BB3" w14:textId="77777777" w:rsidR="003B22F8" w:rsidRDefault="003B22F8" w:rsidP="003B22F8">
      <w:pPr>
        <w:pStyle w:val="FootnoteText"/>
      </w:pPr>
      <w:r>
        <w:rPr>
          <w:rStyle w:val="FootnoteReference"/>
        </w:rPr>
        <w:footnoteRef/>
      </w:r>
      <w:r>
        <w:t xml:space="preserve"> Liechtenstein was removed from the analysis due to missing data for most World Bank-derived variables</w:t>
      </w:r>
    </w:p>
  </w:footnote>
  <w:footnote w:id="8">
    <w:p w14:paraId="17757EB9" w14:textId="77777777" w:rsidR="00EC66B6" w:rsidRDefault="00EC66B6" w:rsidP="00EC66B6">
      <w:pPr>
        <w:pStyle w:val="FootnoteText"/>
      </w:pPr>
      <w:r>
        <w:rPr>
          <w:rStyle w:val="FootnoteReference"/>
        </w:rPr>
        <w:footnoteRef/>
      </w:r>
      <w:r>
        <w:t xml:space="preserve"> These dimensions include: power distance, individualism vs. collectivism, uncertainty avoidance, masculinity vs. femininity, long-term vs. short-term orientation, and indulgence vs. restraint</w:t>
      </w:r>
    </w:p>
  </w:footnote>
  <w:footnote w:id="9">
    <w:p w14:paraId="2A208B00" w14:textId="77777777" w:rsidR="0033629A" w:rsidRDefault="004409CB">
      <w:pPr>
        <w:pStyle w:val="FootnoteText"/>
      </w:pPr>
      <w:r>
        <w:rPr>
          <w:rStyle w:val="FootnoteReference"/>
        </w:rPr>
        <w:footnoteRef/>
      </w:r>
      <w:r>
        <w:t xml:space="preserve"> Region was tested as covariate and possible level-3 grouping variable, with countries nested within regions. However, in both instances, its inclusion caused model convergence issues, lending further evidence that it is not appropriate for the current models.</w:t>
      </w:r>
    </w:p>
  </w:footnote>
  <w:footnote w:id="10">
    <w:p w14:paraId="3D814A27" w14:textId="77777777" w:rsidR="0033629A" w:rsidRDefault="004409CB">
      <w:pPr>
        <w:pStyle w:val="FootnoteText"/>
      </w:pPr>
      <w:r>
        <w:rPr>
          <w:rStyle w:val="FootnoteReference"/>
        </w:rPr>
        <w:footnoteRef/>
      </w:r>
      <w:r>
        <w:t xml:space="preserve"> Quadratic fixed and random effects were added to Models 3 and 4 as a form of sensitivity analysis. The results of these models do not change the statistical conclusions or interpretations. In addition, model diagnostics did not suggest an improvement in fit over Model 3, the conditional growth model. Thus, keeping the less well-fit model is further justified.</w:t>
      </w:r>
    </w:p>
  </w:footnote>
  <w:footnote w:id="11">
    <w:p w14:paraId="394069DC" w14:textId="77777777" w:rsidR="001179F5" w:rsidRPr="00186B85" w:rsidRDefault="001179F5" w:rsidP="001179F5">
      <w:pPr>
        <w:pStyle w:val="FootnoteText"/>
        <w:rPr>
          <w:color w:val="000000" w:themeColor="text1"/>
        </w:rPr>
      </w:pPr>
      <w:r w:rsidRPr="00186B85">
        <w:rPr>
          <w:rStyle w:val="FootnoteReference"/>
          <w:color w:val="000000" w:themeColor="text1"/>
        </w:rPr>
        <w:footnoteRef/>
      </w:r>
      <w:r w:rsidRPr="00186B85">
        <w:rPr>
          <w:color w:val="000000" w:themeColor="text1"/>
        </w:rPr>
        <w:t xml:space="preserve"> Calculated with the </w:t>
      </w:r>
      <w:r w:rsidRPr="00186B85">
        <w:rPr>
          <w:rStyle w:val="VerbatimChar"/>
          <w:color w:val="000000" w:themeColor="text1"/>
        </w:rPr>
        <w:t>HLMdiag</w:t>
      </w:r>
      <w:r w:rsidRPr="00186B85">
        <w:rPr>
          <w:color w:val="000000" w:themeColor="text1"/>
        </w:rPr>
        <w:t xml:space="preserve"> R package using the Empirical Bayes method (</w:t>
      </w:r>
      <w:hyperlink w:anchor="ref-loy2014">
        <w:r w:rsidRPr="00186B85">
          <w:rPr>
            <w:rStyle w:val="Hyperlink"/>
            <w:color w:val="000000" w:themeColor="text1"/>
          </w:rPr>
          <w:t>Loy &amp; Hofmann, 2014</w:t>
        </w:r>
      </w:hyperlink>
      <w:r w:rsidRPr="00186B85">
        <w:rPr>
          <w:color w:val="000000" w:themeColor="text1"/>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A1B39" w14:textId="77777777" w:rsidR="00573905" w:rsidRDefault="0071017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2732B" w14:textId="77777777" w:rsidR="00573905" w:rsidRDefault="0071017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19653" w14:textId="77777777" w:rsidR="00573905" w:rsidRDefault="00710174">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9C2BE" w14:textId="77777777" w:rsidR="00573905" w:rsidRDefault="0071017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8AF16" w14:textId="77777777" w:rsidR="00573905" w:rsidRDefault="00710174">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9222D" w14:textId="77777777" w:rsidR="00573905" w:rsidRDefault="0071017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A13A6" w14:textId="77777777" w:rsidR="00573905" w:rsidRDefault="0071017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0B27B" w14:textId="77777777" w:rsidR="00573905" w:rsidRDefault="00710174">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B586" w14:textId="77777777" w:rsidR="00573905" w:rsidRDefault="00710174">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F302" w14:textId="77777777" w:rsidR="00573905" w:rsidRDefault="00710174">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674D" w14:textId="77777777" w:rsidR="00573905" w:rsidRDefault="007101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54D27" w14:textId="77777777" w:rsidR="00573905" w:rsidRDefault="00710174">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5922" w14:textId="77777777" w:rsidR="00573905" w:rsidRDefault="0071017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E81D" w14:textId="77777777" w:rsidR="00573905" w:rsidRDefault="00710174">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EBE1" w14:textId="77777777" w:rsidR="00573905" w:rsidRDefault="00710174">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04633" w14:textId="77777777" w:rsidR="00573905" w:rsidRDefault="00710174">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7315D" w14:textId="77777777" w:rsidR="00573905" w:rsidRDefault="00710174">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02E89" w14:textId="77777777" w:rsidR="00573905" w:rsidRDefault="00710174">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D8556B" w14:textId="77777777" w:rsidR="00573905" w:rsidRDefault="00710174">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7A3538" w14:textId="77777777" w:rsidR="00573905" w:rsidRDefault="00710174">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CE016" w14:textId="77777777" w:rsidR="00573905" w:rsidRDefault="00710174">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7B504" w14:textId="77777777" w:rsidR="00573905" w:rsidRDefault="007101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6EFE7" w14:textId="77777777" w:rsidR="00573905" w:rsidRDefault="00710174">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39257" w14:textId="77777777" w:rsidR="00573905" w:rsidRDefault="00710174">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37FB9" w14:textId="77777777" w:rsidR="00573905" w:rsidRDefault="00710174">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1B62" w14:textId="77777777" w:rsidR="00573905" w:rsidRDefault="00710174">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ADEF7" w14:textId="77777777" w:rsidR="00573905" w:rsidRDefault="00710174">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D249A" w14:textId="77777777" w:rsidR="00573905" w:rsidRDefault="00710174">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536EF" w14:textId="77777777" w:rsidR="00573905" w:rsidRDefault="00710174">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E7841" w14:textId="77777777" w:rsidR="00573905" w:rsidRDefault="00710174">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60DAC" w14:textId="77777777" w:rsidR="00573905" w:rsidRDefault="00710174">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B6878" w14:textId="77777777" w:rsidR="00573905" w:rsidRDefault="00710174">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3B891" w14:textId="77777777" w:rsidR="00573905" w:rsidRDefault="007101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4B45F" w14:textId="77777777" w:rsidR="00573905" w:rsidRDefault="00710174">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BE9EC" w14:textId="77777777" w:rsidR="00573905" w:rsidRDefault="00710174">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F3B0" w14:textId="77777777" w:rsidR="00573905" w:rsidRDefault="00710174">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52614" w14:textId="77777777" w:rsidR="00573905" w:rsidRDefault="0071017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B9D74" w14:textId="77777777" w:rsidR="00573905" w:rsidRDefault="0071017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CE4F4D" w14:textId="77777777" w:rsidR="00573905" w:rsidRDefault="0071017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14FFD" w14:textId="77777777" w:rsidR="00573905" w:rsidRDefault="0071017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6FC33" w14:textId="77777777" w:rsidR="00573905" w:rsidRDefault="0071017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B80CF" w14:textId="77777777" w:rsidR="00573905" w:rsidRDefault="007101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C2EAE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2A02F8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700735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8225AF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12890A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E1CAEE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C762B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E66D35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19C177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521D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0D665BA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0000A991"/>
    <w:multiLevelType w:val="multilevel"/>
    <w:tmpl w:val="64743F5C"/>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12" w15:restartNumberingAfterBreak="0">
    <w:nsid w:val="00A99411"/>
    <w:multiLevelType w:val="multilevel"/>
    <w:tmpl w:val="B2168414"/>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13" w15:restartNumberingAfterBreak="0">
    <w:nsid w:val="2C1AE401"/>
    <w:multiLevelType w:val="multilevel"/>
    <w:tmpl w:val="2318B83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56267329">
    <w:abstractNumId w:val="13"/>
  </w:num>
  <w:num w:numId="2" w16cid:durableId="1797792059">
    <w:abstractNumId w:val="9"/>
  </w:num>
  <w:num w:numId="3" w16cid:durableId="442068104">
    <w:abstractNumId w:val="7"/>
  </w:num>
  <w:num w:numId="4" w16cid:durableId="1913000206">
    <w:abstractNumId w:val="6"/>
  </w:num>
  <w:num w:numId="5" w16cid:durableId="1268654362">
    <w:abstractNumId w:val="5"/>
  </w:num>
  <w:num w:numId="6" w16cid:durableId="1247155097">
    <w:abstractNumId w:val="4"/>
  </w:num>
  <w:num w:numId="7" w16cid:durableId="1242251695">
    <w:abstractNumId w:val="8"/>
  </w:num>
  <w:num w:numId="8" w16cid:durableId="747192964">
    <w:abstractNumId w:val="3"/>
  </w:num>
  <w:num w:numId="9" w16cid:durableId="76630825">
    <w:abstractNumId w:val="2"/>
  </w:num>
  <w:num w:numId="10" w16cid:durableId="1097797488">
    <w:abstractNumId w:val="1"/>
  </w:num>
  <w:num w:numId="11" w16cid:durableId="1477455032">
    <w:abstractNumId w:val="0"/>
  </w:num>
  <w:num w:numId="12" w16cid:durableId="1924144484">
    <w:abstractNumId w:val="10"/>
  </w:num>
  <w:num w:numId="13" w16cid:durableId="4120926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193930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02941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QyMDcwtzQzsTAwNDBR0lEKTi0uzszPAykwNKsFADiAPXktAAAA"/>
  </w:docVars>
  <w:rsids>
    <w:rsidRoot w:val="0033629A"/>
    <w:rsid w:val="000028FD"/>
    <w:rsid w:val="00011B94"/>
    <w:rsid w:val="00026214"/>
    <w:rsid w:val="00093E6D"/>
    <w:rsid w:val="000B5467"/>
    <w:rsid w:val="000C4931"/>
    <w:rsid w:val="000C6D0E"/>
    <w:rsid w:val="000E50F7"/>
    <w:rsid w:val="000E51D4"/>
    <w:rsid w:val="000F0643"/>
    <w:rsid w:val="001179F5"/>
    <w:rsid w:val="00133A77"/>
    <w:rsid w:val="00147980"/>
    <w:rsid w:val="00176ACA"/>
    <w:rsid w:val="001826CE"/>
    <w:rsid w:val="00186B85"/>
    <w:rsid w:val="001B3C29"/>
    <w:rsid w:val="001B638A"/>
    <w:rsid w:val="001C6E7A"/>
    <w:rsid w:val="001C782B"/>
    <w:rsid w:val="001D188E"/>
    <w:rsid w:val="002320C8"/>
    <w:rsid w:val="00252DEA"/>
    <w:rsid w:val="00262BF8"/>
    <w:rsid w:val="0027063A"/>
    <w:rsid w:val="0029768D"/>
    <w:rsid w:val="002A4E8A"/>
    <w:rsid w:val="00304462"/>
    <w:rsid w:val="003172DE"/>
    <w:rsid w:val="0033629A"/>
    <w:rsid w:val="00370382"/>
    <w:rsid w:val="00371DDA"/>
    <w:rsid w:val="003851A7"/>
    <w:rsid w:val="00393988"/>
    <w:rsid w:val="003A304C"/>
    <w:rsid w:val="003B22F8"/>
    <w:rsid w:val="003B7D0F"/>
    <w:rsid w:val="003C442A"/>
    <w:rsid w:val="003D3FA2"/>
    <w:rsid w:val="003D7440"/>
    <w:rsid w:val="003E1682"/>
    <w:rsid w:val="003E16DC"/>
    <w:rsid w:val="003E35B4"/>
    <w:rsid w:val="003E609A"/>
    <w:rsid w:val="003E65F6"/>
    <w:rsid w:val="00411E2D"/>
    <w:rsid w:val="004179C6"/>
    <w:rsid w:val="004409CB"/>
    <w:rsid w:val="00456F43"/>
    <w:rsid w:val="00457577"/>
    <w:rsid w:val="004650EB"/>
    <w:rsid w:val="00470330"/>
    <w:rsid w:val="00475694"/>
    <w:rsid w:val="004937DC"/>
    <w:rsid w:val="004943BA"/>
    <w:rsid w:val="004C213E"/>
    <w:rsid w:val="004D0B6D"/>
    <w:rsid w:val="004E17BE"/>
    <w:rsid w:val="0050133F"/>
    <w:rsid w:val="0052325D"/>
    <w:rsid w:val="005255AE"/>
    <w:rsid w:val="00586429"/>
    <w:rsid w:val="005917AC"/>
    <w:rsid w:val="005A468D"/>
    <w:rsid w:val="005B43BB"/>
    <w:rsid w:val="005B7C1C"/>
    <w:rsid w:val="005E3BFA"/>
    <w:rsid w:val="005E7E3B"/>
    <w:rsid w:val="005F48D4"/>
    <w:rsid w:val="00652338"/>
    <w:rsid w:val="0066637F"/>
    <w:rsid w:val="00667062"/>
    <w:rsid w:val="006A5B7F"/>
    <w:rsid w:val="00710174"/>
    <w:rsid w:val="00750F57"/>
    <w:rsid w:val="00751AA8"/>
    <w:rsid w:val="00753BF0"/>
    <w:rsid w:val="00766923"/>
    <w:rsid w:val="00781BB7"/>
    <w:rsid w:val="00806472"/>
    <w:rsid w:val="0082789D"/>
    <w:rsid w:val="008333B2"/>
    <w:rsid w:val="008562F1"/>
    <w:rsid w:val="00872A6D"/>
    <w:rsid w:val="008A6446"/>
    <w:rsid w:val="009170BB"/>
    <w:rsid w:val="009362A5"/>
    <w:rsid w:val="0095248D"/>
    <w:rsid w:val="00976A34"/>
    <w:rsid w:val="00977EA8"/>
    <w:rsid w:val="00993683"/>
    <w:rsid w:val="009B28B7"/>
    <w:rsid w:val="009C0CD9"/>
    <w:rsid w:val="009C3230"/>
    <w:rsid w:val="009E3272"/>
    <w:rsid w:val="009E3575"/>
    <w:rsid w:val="00A10028"/>
    <w:rsid w:val="00A12A24"/>
    <w:rsid w:val="00A15210"/>
    <w:rsid w:val="00A1525B"/>
    <w:rsid w:val="00A1728E"/>
    <w:rsid w:val="00A639DA"/>
    <w:rsid w:val="00A81FE1"/>
    <w:rsid w:val="00A96279"/>
    <w:rsid w:val="00AB0014"/>
    <w:rsid w:val="00AB0842"/>
    <w:rsid w:val="00AB68BB"/>
    <w:rsid w:val="00B01696"/>
    <w:rsid w:val="00B32B4D"/>
    <w:rsid w:val="00B53352"/>
    <w:rsid w:val="00B5444F"/>
    <w:rsid w:val="00B61029"/>
    <w:rsid w:val="00B713AA"/>
    <w:rsid w:val="00B7360D"/>
    <w:rsid w:val="00B8133B"/>
    <w:rsid w:val="00B81787"/>
    <w:rsid w:val="00BA658C"/>
    <w:rsid w:val="00BD3973"/>
    <w:rsid w:val="00BE5443"/>
    <w:rsid w:val="00BE5913"/>
    <w:rsid w:val="00C018B3"/>
    <w:rsid w:val="00C02808"/>
    <w:rsid w:val="00C12CAA"/>
    <w:rsid w:val="00C455C1"/>
    <w:rsid w:val="00C501E7"/>
    <w:rsid w:val="00C601B2"/>
    <w:rsid w:val="00CA2C47"/>
    <w:rsid w:val="00CB2249"/>
    <w:rsid w:val="00CB621A"/>
    <w:rsid w:val="00CD0910"/>
    <w:rsid w:val="00CF734C"/>
    <w:rsid w:val="00D01347"/>
    <w:rsid w:val="00D37D1D"/>
    <w:rsid w:val="00D4405D"/>
    <w:rsid w:val="00D52E9A"/>
    <w:rsid w:val="00D70E49"/>
    <w:rsid w:val="00D75CA4"/>
    <w:rsid w:val="00D90255"/>
    <w:rsid w:val="00DE6159"/>
    <w:rsid w:val="00E072BD"/>
    <w:rsid w:val="00E20A86"/>
    <w:rsid w:val="00E314BA"/>
    <w:rsid w:val="00E66544"/>
    <w:rsid w:val="00E82CCB"/>
    <w:rsid w:val="00E909F1"/>
    <w:rsid w:val="00EC616A"/>
    <w:rsid w:val="00EC66B6"/>
    <w:rsid w:val="00EE0A55"/>
    <w:rsid w:val="00EE5E4D"/>
    <w:rsid w:val="00F13844"/>
    <w:rsid w:val="00F67E89"/>
    <w:rsid w:val="00FA13E6"/>
    <w:rsid w:val="00FA4138"/>
    <w:rsid w:val="00FA6FC5"/>
    <w:rsid w:val="00FB72D7"/>
    <w:rsid w:val="00FE7C0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772E6"/>
  <w15:docId w15:val="{DF707B01-EE30-4BEB-8657-9F5480706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062D"/>
    <w:pPr>
      <w:spacing w:before="180" w:after="180" w:line="480" w:lineRule="auto"/>
      <w:ind w:firstLine="720"/>
    </w:pPr>
    <w:rPr>
      <w:rFonts w:ascii="Times New Roman" w:hAnsi="Times New Roman" w:cs="Times New Roman"/>
    </w:rPr>
  </w:style>
  <w:style w:type="paragraph" w:styleId="Heading1">
    <w:name w:val="heading 1"/>
    <w:basedOn w:val="Normal"/>
    <w:next w:val="BodyText"/>
    <w:uiPriority w:val="9"/>
    <w:qFormat/>
    <w:rsid w:val="00124660"/>
    <w:pPr>
      <w:spacing w:before="0" w:after="0" w:line="360" w:lineRule="auto"/>
      <w:ind w:firstLine="0"/>
      <w:jc w:val="center"/>
      <w:outlineLvl w:val="0"/>
    </w:pPr>
    <w:rPr>
      <w:rFonts w:eastAsia="Times New Roman" w:cs="Arial"/>
      <w:b/>
      <w:sz w:val="28"/>
      <w:lang w:val="en-CA"/>
    </w:rPr>
  </w:style>
  <w:style w:type="paragraph" w:styleId="Heading2">
    <w:name w:val="heading 2"/>
    <w:basedOn w:val="Normal"/>
    <w:next w:val="BodyText"/>
    <w:uiPriority w:val="9"/>
    <w:unhideWhenUsed/>
    <w:qFormat/>
    <w:rsid w:val="00381DE1"/>
    <w:pPr>
      <w:keepNext/>
      <w:spacing w:before="240" w:after="60" w:line="240" w:lineRule="auto"/>
      <w:ind w:firstLine="0"/>
      <w:jc w:val="center"/>
      <w:outlineLvl w:val="1"/>
    </w:pPr>
    <w:rPr>
      <w:rFonts w:eastAsia="Times New Roman" w:cs="Arial"/>
      <w:b/>
      <w:bCs/>
      <w:iCs/>
    </w:rPr>
  </w:style>
  <w:style w:type="paragraph" w:styleId="Heading3">
    <w:name w:val="heading 3"/>
    <w:basedOn w:val="Normal"/>
    <w:next w:val="BodyText"/>
    <w:uiPriority w:val="9"/>
    <w:unhideWhenUsed/>
    <w:qFormat/>
    <w:rsid w:val="00124660"/>
    <w:pPr>
      <w:keepNext/>
      <w:spacing w:before="240" w:after="60" w:line="240" w:lineRule="auto"/>
      <w:ind w:firstLine="0"/>
      <w:outlineLvl w:val="2"/>
    </w:pPr>
    <w:rPr>
      <w:rFonts w:eastAsia="Times New Roman" w:cs="Arial"/>
      <w:b/>
      <w:bCs/>
      <w:i/>
      <w:szCs w:val="26"/>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
      <w:bCs/>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24660"/>
  </w:style>
  <w:style w:type="paragraph" w:customStyle="1" w:styleId="FirstParagraph">
    <w:name w:val="First Paragraph"/>
    <w:basedOn w:val="BodyText"/>
    <w:next w:val="BodyText"/>
    <w:qFormat/>
    <w:rsid w:val="00124660"/>
  </w:style>
  <w:style w:type="paragraph" w:customStyle="1" w:styleId="Compact">
    <w:name w:val="Compact"/>
    <w:basedOn w:val="BodyText"/>
    <w:qFormat/>
    <w:pPr>
      <w:spacing w:before="36" w:after="36"/>
    </w:pPr>
  </w:style>
  <w:style w:type="paragraph" w:styleId="Title">
    <w:name w:val="Title"/>
    <w:basedOn w:val="Normal"/>
    <w:next w:val="BodyText"/>
    <w:qFormat/>
    <w:rsid w:val="00381DE1"/>
    <w:pPr>
      <w:spacing w:before="0" w:after="0" w:line="240" w:lineRule="auto"/>
      <w:ind w:firstLine="0"/>
      <w:jc w:val="center"/>
    </w:pPr>
    <w:rPr>
      <w:rFonts w:eastAsia="Times New Roman"/>
      <w:b/>
      <w:sz w:val="28"/>
      <w:lang w:val="en-CA"/>
    </w:rPr>
  </w:style>
  <w:style w:type="paragraph" w:styleId="Subtitle">
    <w:name w:val="Subtitle"/>
    <w:basedOn w:val="Normal"/>
    <w:next w:val="BodyText"/>
    <w:qFormat/>
    <w:rsid w:val="00C666C8"/>
    <w:pPr>
      <w:spacing w:before="0" w:after="0" w:line="240" w:lineRule="auto"/>
      <w:ind w:firstLine="0"/>
      <w:jc w:val="center"/>
    </w:pPr>
    <w:rPr>
      <w:rFonts w:ascii="Arial" w:eastAsia="Times New Roman" w:hAnsi="Arial" w:cs="Arial"/>
      <w:b/>
      <w:sz w:val="28"/>
      <w:lang w:val="en-CA"/>
    </w:rPr>
  </w:style>
  <w:style w:type="paragraph" w:customStyle="1" w:styleId="Author">
    <w:name w:val="Author"/>
    <w:basedOn w:val="Normal"/>
    <w:next w:val="BodyText"/>
    <w:qFormat/>
    <w:rsid w:val="00C666C8"/>
    <w:pPr>
      <w:spacing w:before="0" w:after="0" w:line="240" w:lineRule="auto"/>
      <w:ind w:firstLine="0"/>
      <w:jc w:val="center"/>
    </w:pPr>
    <w:rPr>
      <w:rFonts w:ascii="Arial" w:eastAsia="Times New Roman" w:hAnsi="Arial" w:cs="Arial"/>
      <w:b/>
      <w:sz w:val="28"/>
      <w:lang w:val="en-CA"/>
    </w:rPr>
  </w:style>
  <w:style w:type="paragraph" w:styleId="Date">
    <w:name w:val="Date"/>
    <w:next w:val="BodyText"/>
    <w:qFormat/>
    <w:rsid w:val="002B438F"/>
    <w:pPr>
      <w:keepNext/>
      <w:keepLines/>
      <w:jc w:val="center"/>
    </w:pPr>
    <w:rPr>
      <w:rFonts w:ascii="Times New Roman" w:hAnsi="Times New Roman" w:cs="Times New Roman"/>
      <w:i/>
      <w:iCs/>
    </w:r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rsid w:val="00D86635"/>
    <w:pPr>
      <w:spacing w:before="100" w:after="100"/>
      <w:ind w:left="720" w:firstLine="0"/>
    </w:pPr>
    <w:rPr>
      <w:rFonts w:eastAsiaTheme="majorEastAsia" w:cstheme="majorBidi"/>
      <w:bCs/>
      <w:szCs w:val="20"/>
    </w:rPr>
  </w:style>
  <w:style w:type="paragraph" w:styleId="FootnoteText">
    <w:name w:val="footnote text"/>
    <w:basedOn w:val="Normal"/>
    <w:uiPriority w:val="9"/>
    <w:unhideWhenUsed/>
    <w:qFormat/>
    <w:rsid w:val="0061673B"/>
    <w:pPr>
      <w:spacing w:line="240" w:lineRule="auto"/>
      <w:ind w:firstLine="0"/>
    </w:pPr>
    <w:rPr>
      <w:sz w:val="20"/>
    </w:rPr>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rsid w:val="005F0063"/>
    <w:pPr>
      <w:keepNext/>
      <w:spacing w:before="0" w:after="240" w:line="240" w:lineRule="auto"/>
      <w:ind w:firstLine="0"/>
    </w:pPr>
    <w:rPr>
      <w:sz w:val="20"/>
    </w:rPr>
  </w:style>
  <w:style w:type="paragraph" w:customStyle="1" w:styleId="ImageCaption">
    <w:name w:val="Image Caption"/>
    <w:basedOn w:val="Caption"/>
    <w:rsid w:val="00641E4A"/>
    <w:pPr>
      <w:spacing w:after="240" w:line="240" w:lineRule="auto"/>
      <w:ind w:firstLine="0"/>
    </w:pPr>
    <w:rPr>
      <w:sz w:val="20"/>
    </w:rPr>
  </w:style>
  <w:style w:type="paragraph" w:customStyle="1" w:styleId="Figure">
    <w:name w:val="Figure"/>
    <w:basedOn w:val="Normal"/>
    <w:rsid w:val="00AC6C1C"/>
    <w:pPr>
      <w:spacing w:line="240" w:lineRule="auto"/>
      <w:ind w:left="-720" w:firstLine="0"/>
    </w:pPr>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sid w:val="005E7E3B"/>
    <w:rPr>
      <w:rFonts w:ascii="Times New Roman" w:hAnsi="Times New Roman" w:cs="Times New Roman"/>
      <w:noProof/>
      <w:color w:val="17365D" w:themeColor="text2" w:themeShade="BF"/>
      <w:u w:val="single"/>
    </w:rPr>
  </w:style>
  <w:style w:type="paragraph" w:styleId="TOCHeading">
    <w:name w:val="TOC Heading"/>
    <w:basedOn w:val="Heading1"/>
    <w:next w:val="BodyText"/>
    <w:uiPriority w:val="39"/>
    <w:unhideWhenUsed/>
    <w:qFormat/>
    <w:rsid w:val="009831FD"/>
    <w:pPr>
      <w:spacing w:before="240" w:line="259" w:lineRule="auto"/>
      <w:outlineLvl w:val="9"/>
    </w:pPr>
    <w:rPr>
      <w:rFonts w:eastAsiaTheme="minorHAnsi"/>
    </w:rPr>
  </w:style>
  <w:style w:type="paragraph" w:customStyle="1" w:styleId="SourceCode">
    <w:name w:val="Source Code"/>
    <w:basedOn w:val="Normal"/>
    <w:link w:val="VerbatimChar"/>
    <w:pPr>
      <w:shd w:val="clear" w:color="auto" w:fill="F8F8F8"/>
      <w:wordWrap w:val="0"/>
    </w:pPr>
  </w:style>
  <w:style w:type="character" w:customStyle="1" w:styleId="KeywordTok">
    <w:name w:val="KeywordTok"/>
    <w:basedOn w:val="VerbatimChar"/>
    <w:rPr>
      <w:rFonts w:ascii="Consolas" w:hAnsi="Consolas"/>
      <w:b/>
      <w:color w:val="204A87"/>
      <w:sz w:val="22"/>
      <w:shd w:val="clear" w:color="auto" w:fill="F8F8F8"/>
    </w:rPr>
  </w:style>
  <w:style w:type="character" w:customStyle="1" w:styleId="DataTypeTok">
    <w:name w:val="DataTypeTok"/>
    <w:basedOn w:val="VerbatimChar"/>
    <w:rPr>
      <w:rFonts w:ascii="Consolas" w:hAnsi="Consolas"/>
      <w:color w:val="204A87"/>
      <w:sz w:val="22"/>
      <w:shd w:val="clear" w:color="auto" w:fill="F8F8F8"/>
    </w:rPr>
  </w:style>
  <w:style w:type="character" w:customStyle="1" w:styleId="DecValTok">
    <w:name w:val="DecValTok"/>
    <w:basedOn w:val="VerbatimChar"/>
    <w:rPr>
      <w:rFonts w:ascii="Consolas" w:hAnsi="Consolas"/>
      <w:color w:val="0000CF"/>
      <w:sz w:val="22"/>
      <w:shd w:val="clear" w:color="auto" w:fill="F8F8F8"/>
    </w:rPr>
  </w:style>
  <w:style w:type="character" w:customStyle="1" w:styleId="BaseNTok">
    <w:name w:val="BaseNTok"/>
    <w:basedOn w:val="VerbatimChar"/>
    <w:rPr>
      <w:rFonts w:ascii="Consolas" w:hAnsi="Consolas"/>
      <w:color w:val="0000CF"/>
      <w:sz w:val="22"/>
      <w:shd w:val="clear" w:color="auto" w:fill="F8F8F8"/>
    </w:rPr>
  </w:style>
  <w:style w:type="character" w:customStyle="1" w:styleId="FloatTok">
    <w:name w:val="FloatTok"/>
    <w:basedOn w:val="VerbatimChar"/>
    <w:rPr>
      <w:rFonts w:ascii="Consolas" w:hAnsi="Consolas"/>
      <w:color w:val="0000CF"/>
      <w:sz w:val="22"/>
      <w:shd w:val="clear" w:color="auto" w:fill="F8F8F8"/>
    </w:rPr>
  </w:style>
  <w:style w:type="character" w:customStyle="1" w:styleId="ConstantTok">
    <w:name w:val="ConstantTok"/>
    <w:basedOn w:val="VerbatimChar"/>
    <w:rPr>
      <w:rFonts w:ascii="Consolas" w:hAnsi="Consolas"/>
      <w:color w:val="000000"/>
      <w:sz w:val="22"/>
      <w:shd w:val="clear" w:color="auto" w:fill="F8F8F8"/>
    </w:rPr>
  </w:style>
  <w:style w:type="character" w:customStyle="1" w:styleId="CharTok">
    <w:name w:val="CharTok"/>
    <w:basedOn w:val="VerbatimChar"/>
    <w:rPr>
      <w:rFonts w:ascii="Consolas" w:hAnsi="Consolas"/>
      <w:color w:val="4E9A06"/>
      <w:sz w:val="22"/>
      <w:shd w:val="clear" w:color="auto" w:fill="F8F8F8"/>
    </w:rPr>
  </w:style>
  <w:style w:type="character" w:customStyle="1" w:styleId="SpecialCharTok">
    <w:name w:val="SpecialCharTok"/>
    <w:basedOn w:val="VerbatimChar"/>
    <w:rPr>
      <w:rFonts w:ascii="Consolas" w:hAnsi="Consolas"/>
      <w:color w:val="000000"/>
      <w:sz w:val="22"/>
      <w:shd w:val="clear" w:color="auto" w:fill="F8F8F8"/>
    </w:rPr>
  </w:style>
  <w:style w:type="character" w:customStyle="1" w:styleId="StringTok">
    <w:name w:val="StringTok"/>
    <w:basedOn w:val="VerbatimChar"/>
    <w:rPr>
      <w:rFonts w:ascii="Consolas" w:hAnsi="Consolas"/>
      <w:color w:val="4E9A06"/>
      <w:sz w:val="22"/>
      <w:shd w:val="clear" w:color="auto" w:fill="F8F8F8"/>
    </w:rPr>
  </w:style>
  <w:style w:type="character" w:customStyle="1" w:styleId="VerbatimStringTok">
    <w:name w:val="VerbatimStringTok"/>
    <w:basedOn w:val="VerbatimChar"/>
    <w:rPr>
      <w:rFonts w:ascii="Consolas" w:hAnsi="Consolas"/>
      <w:color w:val="4E9A06"/>
      <w:sz w:val="22"/>
      <w:shd w:val="clear" w:color="auto" w:fill="F8F8F8"/>
    </w:rPr>
  </w:style>
  <w:style w:type="character" w:customStyle="1" w:styleId="SpecialStringTok">
    <w:name w:val="SpecialStringTok"/>
    <w:basedOn w:val="VerbatimChar"/>
    <w:rPr>
      <w:rFonts w:ascii="Consolas" w:hAnsi="Consolas"/>
      <w:color w:val="4E9A06"/>
      <w:sz w:val="22"/>
      <w:shd w:val="clear" w:color="auto" w:fill="F8F8F8"/>
    </w:rPr>
  </w:style>
  <w:style w:type="character" w:customStyle="1" w:styleId="ImportTok">
    <w:name w:val="ImportTok"/>
    <w:basedOn w:val="VerbatimChar"/>
    <w:rPr>
      <w:rFonts w:ascii="Consolas" w:hAnsi="Consolas"/>
      <w:sz w:val="22"/>
      <w:shd w:val="clear" w:color="auto" w:fill="F8F8F8"/>
    </w:rPr>
  </w:style>
  <w:style w:type="character" w:customStyle="1" w:styleId="CommentTok">
    <w:name w:val="CommentTok"/>
    <w:basedOn w:val="VerbatimChar"/>
    <w:rPr>
      <w:rFonts w:ascii="Consolas" w:hAnsi="Consolas"/>
      <w:i/>
      <w:color w:val="8F5902"/>
      <w:sz w:val="22"/>
      <w:shd w:val="clear" w:color="auto" w:fill="F8F8F8"/>
    </w:rPr>
  </w:style>
  <w:style w:type="character" w:customStyle="1" w:styleId="DocumentationTok">
    <w:name w:val="DocumentationTok"/>
    <w:basedOn w:val="VerbatimChar"/>
    <w:rPr>
      <w:rFonts w:ascii="Consolas" w:hAnsi="Consolas"/>
      <w:b/>
      <w:i/>
      <w:color w:val="8F5902"/>
      <w:sz w:val="22"/>
      <w:shd w:val="clear" w:color="auto" w:fill="F8F8F8"/>
    </w:rPr>
  </w:style>
  <w:style w:type="character" w:customStyle="1" w:styleId="AnnotationTok">
    <w:name w:val="AnnotationTok"/>
    <w:basedOn w:val="VerbatimChar"/>
    <w:rPr>
      <w:rFonts w:ascii="Consolas" w:hAnsi="Consolas"/>
      <w:b/>
      <w:i/>
      <w:color w:val="8F5902"/>
      <w:sz w:val="22"/>
      <w:shd w:val="clear" w:color="auto" w:fill="F8F8F8"/>
    </w:rPr>
  </w:style>
  <w:style w:type="character" w:customStyle="1" w:styleId="CommentVarTok">
    <w:name w:val="CommentVarTok"/>
    <w:basedOn w:val="VerbatimChar"/>
    <w:rPr>
      <w:rFonts w:ascii="Consolas" w:hAnsi="Consolas"/>
      <w:b/>
      <w:i/>
      <w:color w:val="8F5902"/>
      <w:sz w:val="22"/>
      <w:shd w:val="clear" w:color="auto" w:fill="F8F8F8"/>
    </w:rPr>
  </w:style>
  <w:style w:type="character" w:customStyle="1" w:styleId="OtherTok">
    <w:name w:val="OtherTok"/>
    <w:basedOn w:val="VerbatimChar"/>
    <w:rPr>
      <w:rFonts w:ascii="Consolas" w:hAnsi="Consolas"/>
      <w:color w:val="8F5902"/>
      <w:sz w:val="22"/>
      <w:shd w:val="clear" w:color="auto" w:fill="F8F8F8"/>
    </w:rPr>
  </w:style>
  <w:style w:type="character" w:customStyle="1" w:styleId="FunctionTok">
    <w:name w:val="FunctionTok"/>
    <w:basedOn w:val="VerbatimChar"/>
    <w:rPr>
      <w:rFonts w:ascii="Consolas" w:hAnsi="Consolas"/>
      <w:color w:val="000000"/>
      <w:sz w:val="22"/>
      <w:shd w:val="clear" w:color="auto" w:fill="F8F8F8"/>
    </w:rPr>
  </w:style>
  <w:style w:type="character" w:customStyle="1" w:styleId="VariableTok">
    <w:name w:val="VariableTok"/>
    <w:basedOn w:val="VerbatimChar"/>
    <w:rPr>
      <w:rFonts w:ascii="Consolas" w:hAnsi="Consolas"/>
      <w:color w:val="000000"/>
      <w:sz w:val="22"/>
      <w:shd w:val="clear" w:color="auto" w:fill="F8F8F8"/>
    </w:rPr>
  </w:style>
  <w:style w:type="character" w:customStyle="1" w:styleId="ControlFlowTok">
    <w:name w:val="ControlFlowTok"/>
    <w:basedOn w:val="VerbatimChar"/>
    <w:rPr>
      <w:rFonts w:ascii="Consolas" w:hAnsi="Consolas"/>
      <w:b/>
      <w:color w:val="204A87"/>
      <w:sz w:val="22"/>
      <w:shd w:val="clear" w:color="auto" w:fill="F8F8F8"/>
    </w:rPr>
  </w:style>
  <w:style w:type="character" w:customStyle="1" w:styleId="OperatorTok">
    <w:name w:val="OperatorTok"/>
    <w:basedOn w:val="VerbatimChar"/>
    <w:rPr>
      <w:rFonts w:ascii="Consolas" w:hAnsi="Consolas"/>
      <w:b/>
      <w:color w:val="CE5C00"/>
      <w:sz w:val="22"/>
      <w:shd w:val="clear" w:color="auto" w:fill="F8F8F8"/>
    </w:rPr>
  </w:style>
  <w:style w:type="character" w:customStyle="1" w:styleId="BuiltInTok">
    <w:name w:val="BuiltInTok"/>
    <w:basedOn w:val="VerbatimChar"/>
    <w:rPr>
      <w:rFonts w:ascii="Consolas" w:hAnsi="Consolas"/>
      <w:sz w:val="22"/>
      <w:shd w:val="clear" w:color="auto" w:fill="F8F8F8"/>
    </w:rPr>
  </w:style>
  <w:style w:type="character" w:customStyle="1" w:styleId="ExtensionTok">
    <w:name w:val="ExtensionTok"/>
    <w:basedOn w:val="VerbatimChar"/>
    <w:rPr>
      <w:rFonts w:ascii="Consolas" w:hAnsi="Consolas"/>
      <w:sz w:val="22"/>
      <w:shd w:val="clear" w:color="auto" w:fill="F8F8F8"/>
    </w:rPr>
  </w:style>
  <w:style w:type="character" w:customStyle="1" w:styleId="PreprocessorTok">
    <w:name w:val="PreprocessorTok"/>
    <w:basedOn w:val="VerbatimChar"/>
    <w:rPr>
      <w:rFonts w:ascii="Consolas" w:hAnsi="Consolas"/>
      <w:i/>
      <w:color w:val="8F5902"/>
      <w:sz w:val="22"/>
      <w:shd w:val="clear" w:color="auto" w:fill="F8F8F8"/>
    </w:rPr>
  </w:style>
  <w:style w:type="character" w:customStyle="1" w:styleId="AttributeTok">
    <w:name w:val="AttributeTok"/>
    <w:basedOn w:val="VerbatimChar"/>
    <w:rPr>
      <w:rFonts w:ascii="Consolas" w:hAnsi="Consolas"/>
      <w:color w:val="C4A000"/>
      <w:sz w:val="22"/>
      <w:shd w:val="clear" w:color="auto" w:fill="F8F8F8"/>
    </w:rPr>
  </w:style>
  <w:style w:type="character" w:customStyle="1" w:styleId="RegionMarkerTok">
    <w:name w:val="RegionMarkerTok"/>
    <w:basedOn w:val="VerbatimChar"/>
    <w:rPr>
      <w:rFonts w:ascii="Consolas" w:hAnsi="Consolas"/>
      <w:sz w:val="22"/>
      <w:shd w:val="clear" w:color="auto" w:fill="F8F8F8"/>
    </w:rPr>
  </w:style>
  <w:style w:type="character" w:customStyle="1" w:styleId="InformationTok">
    <w:name w:val="InformationTok"/>
    <w:basedOn w:val="VerbatimChar"/>
    <w:rPr>
      <w:rFonts w:ascii="Consolas" w:hAnsi="Consolas"/>
      <w:b/>
      <w:i/>
      <w:color w:val="8F5902"/>
      <w:sz w:val="22"/>
      <w:shd w:val="clear" w:color="auto" w:fill="F8F8F8"/>
    </w:rPr>
  </w:style>
  <w:style w:type="character" w:customStyle="1" w:styleId="WarningTok">
    <w:name w:val="WarningTok"/>
    <w:basedOn w:val="VerbatimChar"/>
    <w:rPr>
      <w:rFonts w:ascii="Consolas" w:hAnsi="Consolas"/>
      <w:b/>
      <w:i/>
      <w:color w:val="8F5902"/>
      <w:sz w:val="22"/>
      <w:shd w:val="clear" w:color="auto" w:fill="F8F8F8"/>
    </w:rPr>
  </w:style>
  <w:style w:type="character" w:customStyle="1" w:styleId="AlertTok">
    <w:name w:val="AlertTok"/>
    <w:basedOn w:val="VerbatimChar"/>
    <w:rPr>
      <w:rFonts w:ascii="Consolas" w:hAnsi="Consolas"/>
      <w:color w:val="EF2929"/>
      <w:sz w:val="22"/>
      <w:shd w:val="clear" w:color="auto" w:fill="F8F8F8"/>
    </w:rPr>
  </w:style>
  <w:style w:type="character" w:customStyle="1" w:styleId="ErrorTok">
    <w:name w:val="ErrorTok"/>
    <w:basedOn w:val="VerbatimChar"/>
    <w:rPr>
      <w:rFonts w:ascii="Consolas" w:hAnsi="Consolas"/>
      <w:b/>
      <w:color w:val="A40000"/>
      <w:sz w:val="22"/>
      <w:shd w:val="clear" w:color="auto" w:fill="F8F8F8"/>
    </w:rPr>
  </w:style>
  <w:style w:type="character" w:customStyle="1" w:styleId="NormalTok">
    <w:name w:val="NormalTok"/>
    <w:basedOn w:val="VerbatimChar"/>
    <w:rPr>
      <w:rFonts w:ascii="Consolas" w:hAnsi="Consolas"/>
      <w:sz w:val="22"/>
      <w:shd w:val="clear" w:color="auto" w:fill="F8F8F8"/>
    </w:rPr>
  </w:style>
  <w:style w:type="paragraph" w:styleId="TOC1">
    <w:name w:val="toc 1"/>
    <w:basedOn w:val="Normal"/>
    <w:next w:val="Normal"/>
    <w:autoRedefine/>
    <w:uiPriority w:val="39"/>
    <w:unhideWhenUsed/>
    <w:rsid w:val="00F64181"/>
    <w:pPr>
      <w:spacing w:after="100" w:line="240" w:lineRule="auto"/>
      <w:ind w:firstLine="0"/>
    </w:pPr>
  </w:style>
  <w:style w:type="paragraph" w:styleId="TOC2">
    <w:name w:val="toc 2"/>
    <w:basedOn w:val="Normal"/>
    <w:next w:val="Normal"/>
    <w:autoRedefine/>
    <w:uiPriority w:val="39"/>
    <w:unhideWhenUsed/>
    <w:rsid w:val="00F64181"/>
    <w:pPr>
      <w:spacing w:after="100" w:line="240" w:lineRule="auto"/>
      <w:ind w:left="245" w:firstLine="0"/>
    </w:pPr>
  </w:style>
  <w:style w:type="paragraph" w:styleId="Header">
    <w:name w:val="header"/>
    <w:basedOn w:val="Normal"/>
    <w:link w:val="HeaderChar"/>
    <w:uiPriority w:val="99"/>
    <w:unhideWhenUsed/>
    <w:rsid w:val="002B438F"/>
    <w:pPr>
      <w:tabs>
        <w:tab w:val="center" w:pos="4680"/>
        <w:tab w:val="right" w:pos="9360"/>
      </w:tabs>
      <w:spacing w:after="0"/>
    </w:pPr>
  </w:style>
  <w:style w:type="character" w:customStyle="1" w:styleId="BodyTextChar">
    <w:name w:val="Body Text Char"/>
    <w:basedOn w:val="DefaultParagraphFont"/>
    <w:link w:val="BodyText"/>
    <w:rsid w:val="00124660"/>
    <w:rPr>
      <w:rFonts w:ascii="Times New Roman" w:hAnsi="Times New Roman" w:cs="Times New Roman"/>
    </w:rPr>
  </w:style>
  <w:style w:type="character" w:customStyle="1" w:styleId="HeaderChar">
    <w:name w:val="Header Char"/>
    <w:basedOn w:val="DefaultParagraphFont"/>
    <w:link w:val="Header"/>
    <w:uiPriority w:val="99"/>
    <w:rsid w:val="002B438F"/>
  </w:style>
  <w:style w:type="paragraph" w:styleId="Footer">
    <w:name w:val="footer"/>
    <w:basedOn w:val="Normal"/>
    <w:link w:val="FooterChar"/>
    <w:uiPriority w:val="99"/>
    <w:unhideWhenUsed/>
    <w:rsid w:val="002B438F"/>
    <w:pPr>
      <w:tabs>
        <w:tab w:val="center" w:pos="4680"/>
        <w:tab w:val="right" w:pos="9360"/>
      </w:tabs>
      <w:spacing w:after="0"/>
    </w:pPr>
  </w:style>
  <w:style w:type="character" w:customStyle="1" w:styleId="FooterChar">
    <w:name w:val="Footer Char"/>
    <w:basedOn w:val="DefaultParagraphFont"/>
    <w:link w:val="Footer"/>
    <w:uiPriority w:val="99"/>
    <w:rsid w:val="002B438F"/>
  </w:style>
  <w:style w:type="paragraph" w:styleId="TOC3">
    <w:name w:val="toc 3"/>
    <w:basedOn w:val="Normal"/>
    <w:next w:val="Normal"/>
    <w:autoRedefine/>
    <w:uiPriority w:val="39"/>
    <w:unhideWhenUsed/>
    <w:rsid w:val="00783EE9"/>
    <w:pPr>
      <w:spacing w:after="100" w:line="240" w:lineRule="auto"/>
      <w:ind w:left="475" w:firstLine="0"/>
    </w:pPr>
  </w:style>
  <w:style w:type="paragraph" w:customStyle="1" w:styleId="Equation">
    <w:name w:val="Equation"/>
    <w:basedOn w:val="BodyText"/>
    <w:next w:val="BodyText2"/>
    <w:qFormat/>
    <w:rsid w:val="00196596"/>
    <w:pPr>
      <w:spacing w:before="0" w:line="240" w:lineRule="auto"/>
      <w:ind w:firstLine="0"/>
      <w:jc w:val="center"/>
    </w:pPr>
    <w:rPr>
      <w:rFonts w:ascii="Cambria Math" w:eastAsia="Times New Roman" w:hAnsi="Cambria Math" w:cs="Arial"/>
      <w:i/>
    </w:rPr>
  </w:style>
  <w:style w:type="character" w:styleId="HTMLCode">
    <w:name w:val="HTML Code"/>
    <w:basedOn w:val="DefaultParagraphFont"/>
    <w:unhideWhenUsed/>
    <w:rsid w:val="00826DC3"/>
    <w:rPr>
      <w:rFonts w:ascii="Consolas" w:hAnsi="Consolas"/>
      <w:sz w:val="20"/>
      <w:szCs w:val="20"/>
    </w:rPr>
  </w:style>
  <w:style w:type="paragraph" w:styleId="BodyText2">
    <w:name w:val="Body Text 2"/>
    <w:basedOn w:val="BodyText"/>
    <w:link w:val="BodyText2Char"/>
    <w:rsid w:val="00826DC3"/>
    <w:pPr>
      <w:ind w:firstLine="0"/>
    </w:pPr>
  </w:style>
  <w:style w:type="character" w:customStyle="1" w:styleId="BodyText2Char">
    <w:name w:val="Body Text 2 Char"/>
    <w:basedOn w:val="DefaultParagraphFont"/>
    <w:link w:val="BodyText2"/>
    <w:rsid w:val="00826DC3"/>
    <w:rPr>
      <w:rFonts w:ascii="Times New Roman" w:hAnsi="Times New Roman" w:cs="Times New Roman"/>
    </w:rPr>
  </w:style>
  <w:style w:type="paragraph" w:customStyle="1" w:styleId="EquationArea">
    <w:name w:val="Equation Area"/>
    <w:basedOn w:val="BodyText"/>
    <w:next w:val="BodyText"/>
    <w:qFormat/>
    <w:rsid w:val="00EE5DD7"/>
    <w:pPr>
      <w:ind w:left="720" w:firstLine="0"/>
    </w:pPr>
  </w:style>
  <w:style w:type="character" w:styleId="FollowedHyperlink">
    <w:name w:val="FollowedHyperlink"/>
    <w:basedOn w:val="DefaultParagraphFont"/>
    <w:semiHidden/>
    <w:unhideWhenUsed/>
    <w:rsid w:val="00B7360D"/>
    <w:rPr>
      <w:color w:val="000000" w:themeColor="followedHyperlink"/>
      <w:u w:val="single"/>
    </w:rPr>
  </w:style>
  <w:style w:type="character" w:styleId="PlaceholderText">
    <w:name w:val="Placeholder Text"/>
    <w:basedOn w:val="DefaultParagraphFont"/>
    <w:semiHidden/>
    <w:rsid w:val="00C02808"/>
    <w:rPr>
      <w:color w:val="808080"/>
    </w:rPr>
  </w:style>
  <w:style w:type="character" w:styleId="CommentReference">
    <w:name w:val="annotation reference"/>
    <w:basedOn w:val="DefaultParagraphFont"/>
    <w:semiHidden/>
    <w:unhideWhenUsed/>
    <w:rsid w:val="004D0B6D"/>
    <w:rPr>
      <w:sz w:val="16"/>
      <w:szCs w:val="16"/>
    </w:rPr>
  </w:style>
  <w:style w:type="paragraph" w:styleId="CommentText">
    <w:name w:val="annotation text"/>
    <w:basedOn w:val="Normal"/>
    <w:link w:val="CommentTextChar"/>
    <w:unhideWhenUsed/>
    <w:rsid w:val="004D0B6D"/>
    <w:pPr>
      <w:spacing w:line="240" w:lineRule="auto"/>
    </w:pPr>
    <w:rPr>
      <w:sz w:val="20"/>
      <w:szCs w:val="20"/>
    </w:rPr>
  </w:style>
  <w:style w:type="character" w:customStyle="1" w:styleId="CommentTextChar">
    <w:name w:val="Comment Text Char"/>
    <w:basedOn w:val="DefaultParagraphFont"/>
    <w:link w:val="CommentText"/>
    <w:rsid w:val="004D0B6D"/>
    <w:rPr>
      <w:rFonts w:ascii="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4D0B6D"/>
    <w:rPr>
      <w:b/>
      <w:bCs/>
    </w:rPr>
  </w:style>
  <w:style w:type="character" w:customStyle="1" w:styleId="CommentSubjectChar">
    <w:name w:val="Comment Subject Char"/>
    <w:basedOn w:val="CommentTextChar"/>
    <w:link w:val="CommentSubject"/>
    <w:semiHidden/>
    <w:rsid w:val="004D0B6D"/>
    <w:rPr>
      <w:rFonts w:ascii="Times New Roman" w:hAnsi="Times New Roman" w:cs="Times New Roman"/>
      <w:b/>
      <w:bCs/>
      <w:sz w:val="20"/>
      <w:szCs w:val="20"/>
    </w:rPr>
  </w:style>
  <w:style w:type="character" w:styleId="UnresolvedMention">
    <w:name w:val="Unresolved Mention"/>
    <w:basedOn w:val="DefaultParagraphFont"/>
    <w:uiPriority w:val="99"/>
    <w:semiHidden/>
    <w:unhideWhenUsed/>
    <w:rsid w:val="00501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6084/m9.figshare.16729084.v1" TargetMode="External"/><Relationship Id="rId299" Type="http://schemas.openxmlformats.org/officeDocument/2006/relationships/hyperlink" Target="https://doi.org/10.1038/s41560-019-0541-9" TargetMode="External"/><Relationship Id="rId21" Type="http://schemas.openxmlformats.org/officeDocument/2006/relationships/header" Target="header5.xml"/><Relationship Id="rId63" Type="http://schemas.openxmlformats.org/officeDocument/2006/relationships/footer" Target="footer18.xml"/><Relationship Id="rId159" Type="http://schemas.openxmlformats.org/officeDocument/2006/relationships/hyperlink" Target="https://doi.org/10.1146/annurev.energy.30.050504.144444" TargetMode="External"/><Relationship Id="rId170" Type="http://schemas.openxmlformats.org/officeDocument/2006/relationships/hyperlink" Target="https://doi.org/10.1016/j.gloenvcha.2019.102003" TargetMode="External"/><Relationship Id="rId226" Type="http://schemas.openxmlformats.org/officeDocument/2006/relationships/hyperlink" Target="https://doi.org/10.18637/jss.v056.i05" TargetMode="External"/><Relationship Id="rId268" Type="http://schemas.openxmlformats.org/officeDocument/2006/relationships/hyperlink" Target="https://doi.org/10.1080/0969594X.2018.1433633" TargetMode="External"/><Relationship Id="rId32" Type="http://schemas.openxmlformats.org/officeDocument/2006/relationships/image" Target="media/image6.jpg"/><Relationship Id="rId74" Type="http://schemas.openxmlformats.org/officeDocument/2006/relationships/footer" Target="footer22.xml"/><Relationship Id="rId128" Type="http://schemas.openxmlformats.org/officeDocument/2006/relationships/hyperlink" Target="https://doi.org/10.1787/5k41tm2gx2vd-en" TargetMode="External"/><Relationship Id="rId5" Type="http://schemas.openxmlformats.org/officeDocument/2006/relationships/webSettings" Target="webSettings.xml"/><Relationship Id="rId181" Type="http://schemas.openxmlformats.org/officeDocument/2006/relationships/hyperlink" Target="https://doi.org/10.1007/s00181-019-01664-x" TargetMode="External"/><Relationship Id="rId237" Type="http://schemas.openxmlformats.org/officeDocument/2006/relationships/hyperlink" Target="https://doi.org/10.1177/0263276409356001" TargetMode="External"/><Relationship Id="rId279" Type="http://schemas.openxmlformats.org/officeDocument/2006/relationships/hyperlink" Target="https://doi.org/10.1111/risa.12406" TargetMode="External"/><Relationship Id="rId43" Type="http://schemas.openxmlformats.org/officeDocument/2006/relationships/hyperlink" Target="https://github.com/acircleda/dissertation" TargetMode="External"/><Relationship Id="rId139" Type="http://schemas.openxmlformats.org/officeDocument/2006/relationships/hyperlink" Target="https://doi.org/10.18637/jss.v081.i07" TargetMode="External"/><Relationship Id="rId290" Type="http://schemas.openxmlformats.org/officeDocument/2006/relationships/hyperlink" Target="https://doi.org/10.1007/s10584-014-1228-7" TargetMode="External"/><Relationship Id="rId304" Type="http://schemas.openxmlformats.org/officeDocument/2006/relationships/hyperlink" Target="https://doi.org/10.1007/s10584-020-02811-5" TargetMode="External"/><Relationship Id="rId85" Type="http://schemas.openxmlformats.org/officeDocument/2006/relationships/header" Target="header28.xml"/><Relationship Id="rId150" Type="http://schemas.openxmlformats.org/officeDocument/2006/relationships/hyperlink" Target="https://doi.org/10.1111/joes.12217" TargetMode="External"/><Relationship Id="rId192" Type="http://schemas.openxmlformats.org/officeDocument/2006/relationships/hyperlink" Target="https://doi.org/10.1002/cb.336" TargetMode="External"/><Relationship Id="rId206" Type="http://schemas.openxmlformats.org/officeDocument/2006/relationships/hyperlink" Target="https://doi.org/10.1038/nclimate1547" TargetMode="External"/><Relationship Id="rId248" Type="http://schemas.openxmlformats.org/officeDocument/2006/relationships/hyperlink" Target="https://doi.org/10.1080/14733285.2020.1812535" TargetMode="External"/><Relationship Id="rId12" Type="http://schemas.openxmlformats.org/officeDocument/2006/relationships/footer" Target="footer3.xml"/><Relationship Id="rId108" Type="http://schemas.openxmlformats.org/officeDocument/2006/relationships/header" Target="header38.xml"/><Relationship Id="rId315" Type="http://schemas.openxmlformats.org/officeDocument/2006/relationships/footer" Target="footer40.xml"/><Relationship Id="rId54" Type="http://schemas.openxmlformats.org/officeDocument/2006/relationships/footer" Target="footer14.xml"/><Relationship Id="rId96" Type="http://schemas.openxmlformats.org/officeDocument/2006/relationships/footer" Target="footer33.xml"/><Relationship Id="rId161" Type="http://schemas.openxmlformats.org/officeDocument/2006/relationships/hyperlink" Target="https://doi.org/10.1016/j.apgeog.2010.10.011" TargetMode="External"/><Relationship Id="rId217" Type="http://schemas.openxmlformats.org/officeDocument/2006/relationships/hyperlink" Target="https://doi.org/10.1038/s41558-019-0463-3" TargetMode="External"/><Relationship Id="rId259" Type="http://schemas.openxmlformats.org/officeDocument/2006/relationships/hyperlink" Target="https://doi.org/10.1126/science.1103618" TargetMode="External"/><Relationship Id="rId23" Type="http://schemas.openxmlformats.org/officeDocument/2006/relationships/footer" Target="footer6.xml"/><Relationship Id="rId119" Type="http://schemas.openxmlformats.org/officeDocument/2006/relationships/hyperlink" Target="https://doi.org/10.1007/s10584-019-02463-0" TargetMode="External"/><Relationship Id="rId270" Type="http://schemas.openxmlformats.org/officeDocument/2006/relationships/hyperlink" Target="https://doi.org/10.3390/socsci8080231" TargetMode="External"/><Relationship Id="rId65" Type="http://schemas.openxmlformats.org/officeDocument/2006/relationships/header" Target="header20.xml"/><Relationship Id="rId130" Type="http://schemas.openxmlformats.org/officeDocument/2006/relationships/hyperlink" Target="https://doi.org/10.1007/s10669-009-9253-1" TargetMode="External"/><Relationship Id="rId172" Type="http://schemas.openxmlformats.org/officeDocument/2006/relationships/hyperlink" Target="https://doi.org/10.5194/essd-2021-386" TargetMode="External"/><Relationship Id="rId228" Type="http://schemas.openxmlformats.org/officeDocument/2006/relationships/hyperlink" Target="https://doi.org/10.21105/joss.03139" TargetMode="External"/><Relationship Id="rId13" Type="http://schemas.openxmlformats.org/officeDocument/2006/relationships/header" Target="header3.xml"/><Relationship Id="rId109" Type="http://schemas.openxmlformats.org/officeDocument/2006/relationships/footer" Target="footer37.xml"/><Relationship Id="rId260" Type="http://schemas.openxmlformats.org/officeDocument/2006/relationships/hyperlink" Target="https://doi.org/10.3390/su12177030" TargetMode="External"/><Relationship Id="rId281" Type="http://schemas.openxmlformats.org/officeDocument/2006/relationships/hyperlink" Target="https://doi.org/10.1111/1758-5899.12256" TargetMode="External"/><Relationship Id="rId316" Type="http://schemas.openxmlformats.org/officeDocument/2006/relationships/footer" Target="footer41.xml"/><Relationship Id="rId34" Type="http://schemas.openxmlformats.org/officeDocument/2006/relationships/image" Target="media/image8.jpg"/><Relationship Id="rId55" Type="http://schemas.openxmlformats.org/officeDocument/2006/relationships/header" Target="header15.xml"/><Relationship Id="rId76" Type="http://schemas.openxmlformats.org/officeDocument/2006/relationships/header" Target="header24.xml"/><Relationship Id="rId97" Type="http://schemas.openxmlformats.org/officeDocument/2006/relationships/image" Target="media/image22.jpg"/><Relationship Id="rId120" Type="http://schemas.openxmlformats.org/officeDocument/2006/relationships/hyperlink" Target="https://doi.org/10.2307/2095968" TargetMode="External"/><Relationship Id="rId141" Type="http://schemas.openxmlformats.org/officeDocument/2006/relationships/hyperlink" Target="https://doi.org/10.1007/978-94-007-4458-5_12" TargetMode="External"/><Relationship Id="rId7" Type="http://schemas.openxmlformats.org/officeDocument/2006/relationships/endnotes" Target="endnotes.xml"/><Relationship Id="rId162" Type="http://schemas.openxmlformats.org/officeDocument/2006/relationships/hyperlink" Target="https://doi.org/10.1890/1540-9295(2007)5%5b13:DTHEF%5d2.0.CO;2" TargetMode="External"/><Relationship Id="rId183" Type="http://schemas.openxmlformats.org/officeDocument/2006/relationships/hyperlink" Target="https://doi.org/10.1371/journal.pone.0138208" TargetMode="External"/><Relationship Id="rId218" Type="http://schemas.openxmlformats.org/officeDocument/2006/relationships/hyperlink" Target="https://doi.org/10.1016/j.gloenvcha.2018.10.002" TargetMode="External"/><Relationship Id="rId239" Type="http://schemas.openxmlformats.org/officeDocument/2006/relationships/hyperlink" Target="https://doi.org/10.1080/23251042.2020.1736364" TargetMode="External"/><Relationship Id="rId250" Type="http://schemas.openxmlformats.org/officeDocument/2006/relationships/hyperlink" Target="https://doi.org/10.1177/0891243204273612" TargetMode="External"/><Relationship Id="rId271" Type="http://schemas.openxmlformats.org/officeDocument/2006/relationships/hyperlink" Target="https://doi.org/10.1111/jasp.12737" TargetMode="External"/><Relationship Id="rId292" Type="http://schemas.openxmlformats.org/officeDocument/2006/relationships/hyperlink" Target="https://doi.org/10.1093/acrefore/9780190228620.013.301" TargetMode="External"/><Relationship Id="rId306" Type="http://schemas.openxmlformats.org/officeDocument/2006/relationships/hyperlink" Target="https://doi.org/10.1016/S0921-8009(03)00188-5" TargetMode="External"/><Relationship Id="rId24" Type="http://schemas.openxmlformats.org/officeDocument/2006/relationships/header" Target="header6.xml"/><Relationship Id="rId45" Type="http://schemas.openxmlformats.org/officeDocument/2006/relationships/header" Target="header11.xml"/><Relationship Id="rId66" Type="http://schemas.openxmlformats.org/officeDocument/2006/relationships/footer" Target="footer19.xml"/><Relationship Id="rId87" Type="http://schemas.openxmlformats.org/officeDocument/2006/relationships/footer" Target="footer28.xml"/><Relationship Id="rId110" Type="http://schemas.openxmlformats.org/officeDocument/2006/relationships/footer" Target="footer38.xml"/><Relationship Id="rId131" Type="http://schemas.openxmlformats.org/officeDocument/2006/relationships/hyperlink" Target="https://doi.org/10.1287/mksc.1120.0727" TargetMode="External"/><Relationship Id="rId152" Type="http://schemas.openxmlformats.org/officeDocument/2006/relationships/hyperlink" Target="https://doi.org/10.1038/s41558-020-00930-6" TargetMode="External"/><Relationship Id="rId173" Type="http://schemas.openxmlformats.org/officeDocument/2006/relationships/hyperlink" Target="https://doi.org/10.1080/10627197.2015.1093926" TargetMode="External"/><Relationship Id="rId194" Type="http://schemas.openxmlformats.org/officeDocument/2006/relationships/hyperlink" Target="https://doi.org/10.1016/j.joule.2017.07.005" TargetMode="External"/><Relationship Id="rId208" Type="http://schemas.openxmlformats.org/officeDocument/2006/relationships/hyperlink" Target="https://doi.org/10.1177/23780231211020536" TargetMode="External"/><Relationship Id="rId229" Type="http://schemas.openxmlformats.org/officeDocument/2006/relationships/hyperlink" Target="https://doi.org/10.1088/1748-9326/ac2966" TargetMode="External"/><Relationship Id="rId240" Type="http://schemas.openxmlformats.org/officeDocument/2006/relationships/hyperlink" Target="https://doi.org/10.1007/s11211-015-0241-y" TargetMode="External"/><Relationship Id="rId261" Type="http://schemas.openxmlformats.org/officeDocument/2006/relationships/hyperlink" Target="https://doi.org/10.1080/08941920.2014.911996" TargetMode="External"/><Relationship Id="rId14" Type="http://schemas.openxmlformats.org/officeDocument/2006/relationships/footer" Target="footer4.xml"/><Relationship Id="rId35" Type="http://schemas.openxmlformats.org/officeDocument/2006/relationships/image" Target="media/image9.jpg"/><Relationship Id="rId56" Type="http://schemas.openxmlformats.org/officeDocument/2006/relationships/footer" Target="footer15.xml"/><Relationship Id="rId77" Type="http://schemas.openxmlformats.org/officeDocument/2006/relationships/footer" Target="footer24.xml"/><Relationship Id="rId100" Type="http://schemas.openxmlformats.org/officeDocument/2006/relationships/header" Target="header34.xml"/><Relationship Id="rId282" Type="http://schemas.openxmlformats.org/officeDocument/2006/relationships/hyperlink" Target="https://doi.org/10.1002/sce.21050" TargetMode="External"/><Relationship Id="rId317" Type="http://schemas.openxmlformats.org/officeDocument/2006/relationships/header" Target="header42.xml"/><Relationship Id="rId8" Type="http://schemas.openxmlformats.org/officeDocument/2006/relationships/footer" Target="footer1.xml"/><Relationship Id="rId98" Type="http://schemas.openxmlformats.org/officeDocument/2006/relationships/image" Target="media/image23.jpg"/><Relationship Id="rId121" Type="http://schemas.openxmlformats.org/officeDocument/2006/relationships/hyperlink" Target="https://doi.org/10.1504/IJGW.2017.084789" TargetMode="External"/><Relationship Id="rId142" Type="http://schemas.openxmlformats.org/officeDocument/2006/relationships/hyperlink" Target="https://doi.org/10.1162/10881980052541927" TargetMode="External"/><Relationship Id="rId163" Type="http://schemas.openxmlformats.org/officeDocument/2006/relationships/hyperlink" Target="https://doi.org/10.1080/13676260902866512" TargetMode="External"/><Relationship Id="rId184" Type="http://schemas.openxmlformats.org/officeDocument/2006/relationships/hyperlink" Target="https://doi.org/10.1007/978-3-030-32898-6_16" TargetMode="External"/><Relationship Id="rId219" Type="http://schemas.openxmlformats.org/officeDocument/2006/relationships/hyperlink" Target="https://doi.org/10.1002/wcc.641" TargetMode="External"/><Relationship Id="rId230" Type="http://schemas.openxmlformats.org/officeDocument/2006/relationships/hyperlink" Target="https://doi.org/10.1177/0146167292181001" TargetMode="External"/><Relationship Id="rId251" Type="http://schemas.openxmlformats.org/officeDocument/2006/relationships/hyperlink" Target="https://doi.org/10.1111/j.1539-6924.1999.tb00421.x" TargetMode="External"/><Relationship Id="rId25" Type="http://schemas.openxmlformats.org/officeDocument/2006/relationships/footer" Target="footer7.xml"/><Relationship Id="rId46" Type="http://schemas.openxmlformats.org/officeDocument/2006/relationships/footer" Target="footer10.xml"/><Relationship Id="rId67" Type="http://schemas.openxmlformats.org/officeDocument/2006/relationships/footer" Target="footer20.xml"/><Relationship Id="rId272" Type="http://schemas.openxmlformats.org/officeDocument/2006/relationships/hyperlink" Target="https://doi.org/10.2307/2940928" TargetMode="External"/><Relationship Id="rId293" Type="http://schemas.openxmlformats.org/officeDocument/2006/relationships/hyperlink" Target="https://doi.org/10.1068/a46285" TargetMode="External"/><Relationship Id="rId307" Type="http://schemas.openxmlformats.org/officeDocument/2006/relationships/hyperlink" Target="https://doi.org/10.1016/j.resconrec.2019.104660" TargetMode="External"/><Relationship Id="rId88" Type="http://schemas.openxmlformats.org/officeDocument/2006/relationships/footer" Target="footer29.xml"/><Relationship Id="rId111" Type="http://schemas.openxmlformats.org/officeDocument/2006/relationships/header" Target="header39.xml"/><Relationship Id="rId132" Type="http://schemas.openxmlformats.org/officeDocument/2006/relationships/hyperlink" Target="https://doi.org/10.1038/nenergy.2016.91" TargetMode="External"/><Relationship Id="rId153" Type="http://schemas.openxmlformats.org/officeDocument/2006/relationships/hyperlink" Target="https://doi.org/10.1037/0893-3200.19.2.294" TargetMode="External"/><Relationship Id="rId174" Type="http://schemas.openxmlformats.org/officeDocument/2006/relationships/hyperlink" Target="https://doi.org/10.3389/fpsyg.2019.00718" TargetMode="External"/><Relationship Id="rId195" Type="http://schemas.openxmlformats.org/officeDocument/2006/relationships/hyperlink" Target="https://doi.org/10.1039/C5EE01283J" TargetMode="External"/><Relationship Id="rId209" Type="http://schemas.openxmlformats.org/officeDocument/2006/relationships/hyperlink" Target="https://doi.org/10.2139/ssrn.2714320" TargetMode="External"/><Relationship Id="rId220" Type="http://schemas.openxmlformats.org/officeDocument/2006/relationships/hyperlink" Target="https://doi.org/10.1007/s10763-012-9396-2" TargetMode="External"/><Relationship Id="rId241" Type="http://schemas.openxmlformats.org/officeDocument/2006/relationships/hyperlink" Target="https://doi.org/10.1080/15456870.2012.637027" TargetMode="External"/><Relationship Id="rId15" Type="http://schemas.openxmlformats.org/officeDocument/2006/relationships/image" Target="media/image1.png"/><Relationship Id="rId36" Type="http://schemas.openxmlformats.org/officeDocument/2006/relationships/image" Target="media/image10.jpg"/><Relationship Id="rId57" Type="http://schemas.openxmlformats.org/officeDocument/2006/relationships/image" Target="media/image18.jpg"/><Relationship Id="rId262" Type="http://schemas.openxmlformats.org/officeDocument/2006/relationships/hyperlink" Target="https://doi.org/10.1016/j.envsci.2018.09.004" TargetMode="External"/><Relationship Id="rId283" Type="http://schemas.openxmlformats.org/officeDocument/2006/relationships/hyperlink" Target="https://doi.org/10.1111/ssqu.12795" TargetMode="External"/><Relationship Id="rId318" Type="http://schemas.openxmlformats.org/officeDocument/2006/relationships/footer" Target="footer42.xml"/><Relationship Id="rId78" Type="http://schemas.openxmlformats.org/officeDocument/2006/relationships/header" Target="header25.xml"/><Relationship Id="rId99" Type="http://schemas.openxmlformats.org/officeDocument/2006/relationships/image" Target="media/image24.jpg"/><Relationship Id="rId101" Type="http://schemas.openxmlformats.org/officeDocument/2006/relationships/header" Target="header35.xml"/><Relationship Id="rId122" Type="http://schemas.openxmlformats.org/officeDocument/2006/relationships/hyperlink" Target="https://doi.org/10.1111/j.1728-4457.2011.00412.x" TargetMode="External"/><Relationship Id="rId143" Type="http://schemas.openxmlformats.org/officeDocument/2006/relationships/hyperlink" Target="https://doi.org/10.1080/13504622.2020.1733494" TargetMode="External"/><Relationship Id="rId164" Type="http://schemas.openxmlformats.org/officeDocument/2006/relationships/hyperlink" Target="https://doi.org/10.1073/pnas.1704882114" TargetMode="External"/><Relationship Id="rId185" Type="http://schemas.openxmlformats.org/officeDocument/2006/relationships/hyperlink" Target="https://doi.org/10.1016/j.jclepro.2019.04.291" TargetMode="External"/><Relationship Id="rId9" Type="http://schemas.openxmlformats.org/officeDocument/2006/relationships/header" Target="header1.xml"/><Relationship Id="rId210" Type="http://schemas.openxmlformats.org/officeDocument/2006/relationships/hyperlink" Target="https://doi.org/10.18637/jss.v082.i13" TargetMode="External"/><Relationship Id="rId26" Type="http://schemas.openxmlformats.org/officeDocument/2006/relationships/image" Target="media/image5.jpg"/><Relationship Id="rId231" Type="http://schemas.openxmlformats.org/officeDocument/2006/relationships/hyperlink" Target="https://doi.org/10.1016/j.wasman.2011.07.023" TargetMode="External"/><Relationship Id="rId252" Type="http://schemas.openxmlformats.org/officeDocument/2006/relationships/hyperlink" Target="https://doi.org/10.1787/9789264167872-en" TargetMode="External"/><Relationship Id="rId273" Type="http://schemas.openxmlformats.org/officeDocument/2006/relationships/hyperlink" Target="https://doi.org/10.1037/1082-989X.7.2.147" TargetMode="External"/><Relationship Id="rId294" Type="http://schemas.openxmlformats.org/officeDocument/2006/relationships/hyperlink" Target="https://doi.org/10.1177/0963662511410268" TargetMode="External"/><Relationship Id="rId308" Type="http://schemas.openxmlformats.org/officeDocument/2006/relationships/hyperlink" Target="https://doi.org/10.1080/00207659.2018.1560982" TargetMode="External"/><Relationship Id="rId47" Type="http://schemas.openxmlformats.org/officeDocument/2006/relationships/footer" Target="footer11.xml"/><Relationship Id="rId68" Type="http://schemas.openxmlformats.org/officeDocument/2006/relationships/header" Target="header21.xml"/><Relationship Id="rId89" Type="http://schemas.openxmlformats.org/officeDocument/2006/relationships/header" Target="header30.xml"/><Relationship Id="rId112" Type="http://schemas.openxmlformats.org/officeDocument/2006/relationships/footer" Target="footer39.xml"/><Relationship Id="rId133" Type="http://schemas.openxmlformats.org/officeDocument/2006/relationships/hyperlink" Target="https://doi.org/10.1111/j.1741-5446.2008.00300.x" TargetMode="External"/><Relationship Id="rId154" Type="http://schemas.openxmlformats.org/officeDocument/2006/relationships/hyperlink" Target="https://doi.org/10.1016/j.jenvp.2015.03.005" TargetMode="External"/><Relationship Id="rId175" Type="http://schemas.openxmlformats.org/officeDocument/2006/relationships/hyperlink" Target="https://doi.org/10.1177/0013916506292014" TargetMode="External"/><Relationship Id="rId196" Type="http://schemas.openxmlformats.org/officeDocument/2006/relationships/hyperlink" Target="https://doi.org/10.1016/j.econedurev.2017.09.007" TargetMode="External"/><Relationship Id="rId200" Type="http://schemas.openxmlformats.org/officeDocument/2006/relationships/hyperlink" Target="https://doi.org/10.1007/s13412-015-0234-z" TargetMode="External"/><Relationship Id="rId16" Type="http://schemas.openxmlformats.org/officeDocument/2006/relationships/image" Target="media/image2.png"/><Relationship Id="rId221" Type="http://schemas.openxmlformats.org/officeDocument/2006/relationships/hyperlink" Target="https://doi.org/10.1016/j.scitotenv.2018.06.140" TargetMode="External"/><Relationship Id="rId242" Type="http://schemas.openxmlformats.org/officeDocument/2006/relationships/hyperlink" Target="https://doi.org/10.1177/1070496511435670" TargetMode="External"/><Relationship Id="rId263" Type="http://schemas.openxmlformats.org/officeDocument/2006/relationships/hyperlink" Target="https://doi.org/10.1016/j.biocon.2019.05.013" TargetMode="External"/><Relationship Id="rId284" Type="http://schemas.openxmlformats.org/officeDocument/2006/relationships/hyperlink" Target="https://doi.org/10.1016/j.esr.2021.100656" TargetMode="External"/><Relationship Id="rId319" Type="http://schemas.openxmlformats.org/officeDocument/2006/relationships/fontTable" Target="fontTable.xml"/><Relationship Id="rId37" Type="http://schemas.openxmlformats.org/officeDocument/2006/relationships/image" Target="media/image11.jpg"/><Relationship Id="rId58" Type="http://schemas.openxmlformats.org/officeDocument/2006/relationships/header" Target="header16.xml"/><Relationship Id="rId79" Type="http://schemas.openxmlformats.org/officeDocument/2006/relationships/header" Target="header26.xml"/><Relationship Id="rId102" Type="http://schemas.openxmlformats.org/officeDocument/2006/relationships/footer" Target="footer34.xml"/><Relationship Id="rId123" Type="http://schemas.openxmlformats.org/officeDocument/2006/relationships/hyperlink" Target="https://doi.org/10.1080/1350462980040304" TargetMode="External"/><Relationship Id="rId144" Type="http://schemas.openxmlformats.org/officeDocument/2006/relationships/hyperlink" Target="https://doi.org/10.1007/s11336-006-1560-6" TargetMode="External"/><Relationship Id="rId90" Type="http://schemas.openxmlformats.org/officeDocument/2006/relationships/footer" Target="footer30.xml"/><Relationship Id="rId165" Type="http://schemas.openxmlformats.org/officeDocument/2006/relationships/hyperlink" Target="https://doi.org/10.3238/arztebl.2009.0335" TargetMode="External"/><Relationship Id="rId186" Type="http://schemas.openxmlformats.org/officeDocument/2006/relationships/hyperlink" Target="https://doi.org/10.5408/13-049.1" TargetMode="External"/><Relationship Id="rId211" Type="http://schemas.openxmlformats.org/officeDocument/2006/relationships/hyperlink" Target="https://doi.org/10.1177/1094428114541701" TargetMode="External"/><Relationship Id="rId232" Type="http://schemas.openxmlformats.org/officeDocument/2006/relationships/hyperlink" Target="https://doi.org/10.2139/ssrn.3918955" TargetMode="External"/><Relationship Id="rId253" Type="http://schemas.openxmlformats.org/officeDocument/2006/relationships/hyperlink" Target="https://doi.org/10.1787/b25efab8-en" TargetMode="External"/><Relationship Id="rId274" Type="http://schemas.openxmlformats.org/officeDocument/2006/relationships/hyperlink" Target="https://edarxiv.org/d5bku/" TargetMode="External"/><Relationship Id="rId295" Type="http://schemas.openxmlformats.org/officeDocument/2006/relationships/hyperlink" Target="https://doi.org/10.18637/jss.v045.i03" TargetMode="External"/><Relationship Id="rId309" Type="http://schemas.openxmlformats.org/officeDocument/2006/relationships/hyperlink" Target="https://doi.org/10.1002/tea.21648" TargetMode="External"/><Relationship Id="rId27" Type="http://schemas.openxmlformats.org/officeDocument/2006/relationships/header" Target="header7.xml"/><Relationship Id="rId48" Type="http://schemas.openxmlformats.org/officeDocument/2006/relationships/header" Target="header12.xml"/><Relationship Id="rId69" Type="http://schemas.openxmlformats.org/officeDocument/2006/relationships/footer" Target="footer21.xml"/><Relationship Id="rId113" Type="http://schemas.openxmlformats.org/officeDocument/2006/relationships/image" Target="media/image26.jpg"/><Relationship Id="rId134" Type="http://schemas.openxmlformats.org/officeDocument/2006/relationships/hyperlink" Target="https://doi.org/10.1080/09500693.2019.1680903" TargetMode="External"/><Relationship Id="rId320" Type="http://schemas.openxmlformats.org/officeDocument/2006/relationships/theme" Target="theme/theme1.xml"/><Relationship Id="rId80" Type="http://schemas.openxmlformats.org/officeDocument/2006/relationships/footer" Target="footer25.xml"/><Relationship Id="rId155" Type="http://schemas.openxmlformats.org/officeDocument/2006/relationships/hyperlink" Target="https://doi.org/10.3197/096327113X13581561725194" TargetMode="External"/><Relationship Id="rId176" Type="http://schemas.openxmlformats.org/officeDocument/2006/relationships/hyperlink" Target="https://doi.org/10.3389/fpsyg.2021.662604" TargetMode="External"/><Relationship Id="rId197" Type="http://schemas.openxmlformats.org/officeDocument/2006/relationships/hyperlink" Target="https://doi.org/10.1038/nclimate2110" TargetMode="External"/><Relationship Id="rId201" Type="http://schemas.openxmlformats.org/officeDocument/2006/relationships/hyperlink" Target="https://doi.org/10.1016/j.ecolecon.2010.08.008" TargetMode="External"/><Relationship Id="rId222" Type="http://schemas.openxmlformats.org/officeDocument/2006/relationships/hyperlink" Target="https://doi.org/10.3390/su12072985" TargetMode="External"/><Relationship Id="rId243" Type="http://schemas.openxmlformats.org/officeDocument/2006/relationships/hyperlink" Target="https://doi.org/10.1080/1533015X.2013.795827" TargetMode="External"/><Relationship Id="rId264" Type="http://schemas.openxmlformats.org/officeDocument/2006/relationships/hyperlink" Target="https://doi.org/10.1016/j.jsp.2009.09.002" TargetMode="External"/><Relationship Id="rId285" Type="http://schemas.openxmlformats.org/officeDocument/2006/relationships/hyperlink" Target="https://doi.org/10.1016/j.erss.2021.102150" TargetMode="External"/><Relationship Id="rId17" Type="http://schemas.openxmlformats.org/officeDocument/2006/relationships/image" Target="media/image3.png"/><Relationship Id="rId38" Type="http://schemas.openxmlformats.org/officeDocument/2006/relationships/image" Target="media/image12.jpg"/><Relationship Id="rId59" Type="http://schemas.openxmlformats.org/officeDocument/2006/relationships/header" Target="header17.xml"/><Relationship Id="rId103" Type="http://schemas.openxmlformats.org/officeDocument/2006/relationships/footer" Target="footer35.xml"/><Relationship Id="rId124" Type="http://schemas.openxmlformats.org/officeDocument/2006/relationships/hyperlink" Target="https://doi.org/10.1016/j.jclepro.2018.02.008" TargetMode="External"/><Relationship Id="rId310" Type="http://schemas.openxmlformats.org/officeDocument/2006/relationships/image" Target="media/image28.jpg"/><Relationship Id="rId70" Type="http://schemas.openxmlformats.org/officeDocument/2006/relationships/image" Target="media/image19.jpg"/><Relationship Id="rId91" Type="http://schemas.openxmlformats.org/officeDocument/2006/relationships/header" Target="header31.xml"/><Relationship Id="rId145" Type="http://schemas.openxmlformats.org/officeDocument/2006/relationships/hyperlink" Target="https://doi.org/10.1086/230638" TargetMode="External"/><Relationship Id="rId166" Type="http://schemas.openxmlformats.org/officeDocument/2006/relationships/hyperlink" Target="https://doi.org/10.1016/j.gloenvcha.2013.05.008" TargetMode="External"/><Relationship Id="rId187" Type="http://schemas.openxmlformats.org/officeDocument/2006/relationships/hyperlink" Target="https://doi.org/10.1038/nclimate2943" TargetMode="External"/><Relationship Id="rId1" Type="http://schemas.openxmlformats.org/officeDocument/2006/relationships/customXml" Target="../customXml/item1.xml"/><Relationship Id="rId212" Type="http://schemas.openxmlformats.org/officeDocument/2006/relationships/hyperlink" Target="https://doi.org/10.1007/s40299-021-00620-7" TargetMode="External"/><Relationship Id="rId233" Type="http://schemas.openxmlformats.org/officeDocument/2006/relationships/hyperlink" Target="https://doi.org/10.1080/10455752.2011.648839" TargetMode="External"/><Relationship Id="rId254" Type="http://schemas.openxmlformats.org/officeDocument/2006/relationships/hyperlink" Target="https://doi.org/10.1787/9789264281820-en" TargetMode="External"/><Relationship Id="rId28" Type="http://schemas.openxmlformats.org/officeDocument/2006/relationships/header" Target="header8.xml"/><Relationship Id="rId49" Type="http://schemas.openxmlformats.org/officeDocument/2006/relationships/footer" Target="footer12.xml"/><Relationship Id="rId114" Type="http://schemas.openxmlformats.org/officeDocument/2006/relationships/image" Target="media/image27.jpg"/><Relationship Id="rId275" Type="http://schemas.openxmlformats.org/officeDocument/2006/relationships/hyperlink" Target="https://doi.org/10.1016/S0196-1152(02)80004-7" TargetMode="External"/><Relationship Id="rId296" Type="http://schemas.openxmlformats.org/officeDocument/2006/relationships/hyperlink" Target="https://doi.org/10.1016/j.gloenvcha.2021.102287" TargetMode="External"/><Relationship Id="rId300" Type="http://schemas.openxmlformats.org/officeDocument/2006/relationships/hyperlink" Target="https://doi.org/10.1016/j.oneear.2021.02.008" TargetMode="External"/><Relationship Id="rId60" Type="http://schemas.openxmlformats.org/officeDocument/2006/relationships/footer" Target="footer16.xml"/><Relationship Id="rId81" Type="http://schemas.openxmlformats.org/officeDocument/2006/relationships/footer" Target="footer26.xml"/><Relationship Id="rId135" Type="http://schemas.openxmlformats.org/officeDocument/2006/relationships/hyperlink" Target="https://doi.org/10.4324/9781315629841-9" TargetMode="External"/><Relationship Id="rId156" Type="http://schemas.openxmlformats.org/officeDocument/2006/relationships/hyperlink" Target="https://doi.org/10.21891/jeseh.409495" TargetMode="External"/><Relationship Id="rId177" Type="http://schemas.openxmlformats.org/officeDocument/2006/relationships/hyperlink" Target="https://doi.org/10.1088/1748-9326/abdae9" TargetMode="External"/><Relationship Id="rId198" Type="http://schemas.openxmlformats.org/officeDocument/2006/relationships/hyperlink" Target="https://doi.org/10.1525/sp.2003.50.3.374" TargetMode="External"/><Relationship Id="rId202" Type="http://schemas.openxmlformats.org/officeDocument/2006/relationships/hyperlink" Target="https://doi.org/10.1007/s11111-010-0117-x" TargetMode="External"/><Relationship Id="rId223" Type="http://schemas.openxmlformats.org/officeDocument/2006/relationships/hyperlink" Target="https://doi.org/10.1080/13504620701843301" TargetMode="External"/><Relationship Id="rId244" Type="http://schemas.openxmlformats.org/officeDocument/2006/relationships/hyperlink" Target="https://doi.org/10.1080/13504622.2017.1360842" TargetMode="External"/><Relationship Id="rId18" Type="http://schemas.openxmlformats.org/officeDocument/2006/relationships/image" Target="media/image4.png"/><Relationship Id="rId39" Type="http://schemas.openxmlformats.org/officeDocument/2006/relationships/image" Target="media/image13.jpg"/><Relationship Id="rId265" Type="http://schemas.openxmlformats.org/officeDocument/2006/relationships/hyperlink" Target="https://doi.org/10.1080/09644016.2018.1444723" TargetMode="External"/><Relationship Id="rId286" Type="http://schemas.openxmlformats.org/officeDocument/2006/relationships/hyperlink" Target="https://doi.org/10.1177/0973408220934649" TargetMode="External"/><Relationship Id="rId50" Type="http://schemas.openxmlformats.org/officeDocument/2006/relationships/image" Target="media/image17.jpg"/><Relationship Id="rId104" Type="http://schemas.openxmlformats.org/officeDocument/2006/relationships/header" Target="header36.xml"/><Relationship Id="rId125" Type="http://schemas.openxmlformats.org/officeDocument/2006/relationships/hyperlink" Target="https://doi.org/10.1086/261880" TargetMode="External"/><Relationship Id="rId146" Type="http://schemas.openxmlformats.org/officeDocument/2006/relationships/hyperlink" Target="https://doi.org/10.1007/s10763-010-9200-0" TargetMode="External"/><Relationship Id="rId167" Type="http://schemas.openxmlformats.org/officeDocument/2006/relationships/hyperlink" Target="https://doi.org/10.3390/su13073956" TargetMode="External"/><Relationship Id="rId188" Type="http://schemas.openxmlformats.org/officeDocument/2006/relationships/hyperlink" Target="https://doi.org/10.1038/s41558-018-0157-2" TargetMode="External"/><Relationship Id="rId311" Type="http://schemas.openxmlformats.org/officeDocument/2006/relationships/image" Target="media/image29.jpeg"/><Relationship Id="rId71" Type="http://schemas.openxmlformats.org/officeDocument/2006/relationships/image" Target="media/image20.jpg"/><Relationship Id="rId92" Type="http://schemas.openxmlformats.org/officeDocument/2006/relationships/header" Target="header32.xml"/><Relationship Id="rId213" Type="http://schemas.openxmlformats.org/officeDocument/2006/relationships/hyperlink" Target="https://doi.org/10.1111/j.1741-5446.2008.00298.x" TargetMode="External"/><Relationship Id="rId234" Type="http://schemas.openxmlformats.org/officeDocument/2006/relationships/hyperlink" Target="https://doi.org/10.1080/13504509.2013.830994" TargetMode="External"/><Relationship Id="rId2" Type="http://schemas.openxmlformats.org/officeDocument/2006/relationships/numbering" Target="numbering.xml"/><Relationship Id="rId29" Type="http://schemas.openxmlformats.org/officeDocument/2006/relationships/footer" Target="footer8.xml"/><Relationship Id="rId255" Type="http://schemas.openxmlformats.org/officeDocument/2006/relationships/hyperlink" Target="https://doi.org/10.1787/9789264195905-en" TargetMode="External"/><Relationship Id="rId276" Type="http://schemas.openxmlformats.org/officeDocument/2006/relationships/hyperlink" Target="https://doi.org/10.1177/0081175018786762" TargetMode="External"/><Relationship Id="rId297" Type="http://schemas.openxmlformats.org/officeDocument/2006/relationships/hyperlink" Target="https://doi.org/10.1111/j.1741-3737.2001.01185.x" TargetMode="External"/><Relationship Id="rId40" Type="http://schemas.openxmlformats.org/officeDocument/2006/relationships/image" Target="media/image14.jpg"/><Relationship Id="rId115" Type="http://schemas.openxmlformats.org/officeDocument/2006/relationships/hyperlink" Target="https://doi.org/10.1177/2053168015613360" TargetMode="External"/><Relationship Id="rId136" Type="http://schemas.openxmlformats.org/officeDocument/2006/relationships/hyperlink" Target="https://doi.org/10.1007/s11027-018-9837-5" TargetMode="External"/><Relationship Id="rId157" Type="http://schemas.openxmlformats.org/officeDocument/2006/relationships/hyperlink" Target="https://doi.org/10.1111/ejed.12140" TargetMode="External"/><Relationship Id="rId178" Type="http://schemas.openxmlformats.org/officeDocument/2006/relationships/hyperlink" Target="https://doi.org/10.1080/23251042.2019.1675567" TargetMode="External"/><Relationship Id="rId301" Type="http://schemas.openxmlformats.org/officeDocument/2006/relationships/hyperlink" Target="https://doi.org/10.1088/1748-9326/aa7541" TargetMode="External"/><Relationship Id="rId61" Type="http://schemas.openxmlformats.org/officeDocument/2006/relationships/footer" Target="footer17.xml"/><Relationship Id="rId82" Type="http://schemas.openxmlformats.org/officeDocument/2006/relationships/header" Target="header27.xml"/><Relationship Id="rId199" Type="http://schemas.openxmlformats.org/officeDocument/2006/relationships/hyperlink" Target="https://doi.org/10.1525/sop.2005.48.3.383" TargetMode="External"/><Relationship Id="rId203" Type="http://schemas.openxmlformats.org/officeDocument/2006/relationships/hyperlink" Target="https://doi.org/10.1007/s11625-017-0517-2" TargetMode="External"/><Relationship Id="rId19" Type="http://schemas.openxmlformats.org/officeDocument/2006/relationships/hyperlink" Target="http://www.globalcarbonatlas.org/" TargetMode="External"/><Relationship Id="rId224" Type="http://schemas.openxmlformats.org/officeDocument/2006/relationships/hyperlink" Target="https://doi.org/10.1111/padr.12347" TargetMode="External"/><Relationship Id="rId245" Type="http://schemas.openxmlformats.org/officeDocument/2006/relationships/hyperlink" Target="https://doi.org/10.1029/2019JD032361" TargetMode="External"/><Relationship Id="rId266" Type="http://schemas.openxmlformats.org/officeDocument/2006/relationships/hyperlink" Target="https://doi.org/10.1111/tops.12187" TargetMode="External"/><Relationship Id="rId287" Type="http://schemas.openxmlformats.org/officeDocument/2006/relationships/hyperlink" Target="https://doi.org/10.1016/j.worlddev.2004.03.004" TargetMode="External"/><Relationship Id="rId30" Type="http://schemas.openxmlformats.org/officeDocument/2006/relationships/header" Target="header9.xml"/><Relationship Id="rId105" Type="http://schemas.openxmlformats.org/officeDocument/2006/relationships/footer" Target="footer36.xml"/><Relationship Id="rId126" Type="http://schemas.openxmlformats.org/officeDocument/2006/relationships/hyperlink" Target="https://doi.org/10.1177/0022022118798505" TargetMode="External"/><Relationship Id="rId147" Type="http://schemas.openxmlformats.org/officeDocument/2006/relationships/hyperlink" Target="https://doi.org/10.2307/202118" TargetMode="External"/><Relationship Id="rId168" Type="http://schemas.openxmlformats.org/officeDocument/2006/relationships/hyperlink" Target="https://doi.org/10.1016/j.ssresearch.2012.03.008" TargetMode="External"/><Relationship Id="rId312" Type="http://schemas.openxmlformats.org/officeDocument/2006/relationships/image" Target="media/image30.jpeg"/><Relationship Id="rId51" Type="http://schemas.openxmlformats.org/officeDocument/2006/relationships/header" Target="header13.xml"/><Relationship Id="rId72" Type="http://schemas.openxmlformats.org/officeDocument/2006/relationships/header" Target="header22.xml"/><Relationship Id="rId93" Type="http://schemas.openxmlformats.org/officeDocument/2006/relationships/footer" Target="footer31.xml"/><Relationship Id="rId189" Type="http://schemas.openxmlformats.org/officeDocument/2006/relationships/hyperlink" Target="https://doi.org/10.1038/nclimate2583" TargetMode="External"/><Relationship Id="rId3" Type="http://schemas.openxmlformats.org/officeDocument/2006/relationships/styles" Target="styles.xml"/><Relationship Id="rId214" Type="http://schemas.openxmlformats.org/officeDocument/2006/relationships/hyperlink" Target="https://doi.org/10.1111/j.1545-5300.2000.39108.x" TargetMode="External"/><Relationship Id="rId235" Type="http://schemas.openxmlformats.org/officeDocument/2006/relationships/hyperlink" Target="https://doi.org/10.1038/nclimate1644" TargetMode="External"/><Relationship Id="rId256" Type="http://schemas.openxmlformats.org/officeDocument/2006/relationships/hyperlink" Target="https://doi.org/10.1787/5f07c754-en" TargetMode="External"/><Relationship Id="rId277" Type="http://schemas.openxmlformats.org/officeDocument/2006/relationships/hyperlink" Target="https://doi.org/10.1007/s11191-011-9372-1" TargetMode="External"/><Relationship Id="rId298" Type="http://schemas.openxmlformats.org/officeDocument/2006/relationships/hyperlink" Target="https://doi.org/10.1126/science.1250515" TargetMode="External"/><Relationship Id="rId116" Type="http://schemas.openxmlformats.org/officeDocument/2006/relationships/hyperlink" Target="https://doi.org/10.1080/13803611.2017.1455290" TargetMode="External"/><Relationship Id="rId137" Type="http://schemas.openxmlformats.org/officeDocument/2006/relationships/hyperlink" Target="https://doi.org/10.1007/s10956-008-9124-4" TargetMode="External"/><Relationship Id="rId158" Type="http://schemas.openxmlformats.org/officeDocument/2006/relationships/hyperlink" Target="https://doi.org/10.1526/003601107781170026" TargetMode="External"/><Relationship Id="rId302" Type="http://schemas.openxmlformats.org/officeDocument/2006/relationships/hyperlink" Target="https://doi.org/10.1371/journal.pone.0218305" TargetMode="External"/><Relationship Id="rId20" Type="http://schemas.openxmlformats.org/officeDocument/2006/relationships/header" Target="header4.xml"/><Relationship Id="rId41" Type="http://schemas.openxmlformats.org/officeDocument/2006/relationships/image" Target="media/image15.jpg"/><Relationship Id="rId62" Type="http://schemas.openxmlformats.org/officeDocument/2006/relationships/header" Target="header18.xml"/><Relationship Id="rId83" Type="http://schemas.openxmlformats.org/officeDocument/2006/relationships/footer" Target="footer27.xml"/><Relationship Id="rId179" Type="http://schemas.openxmlformats.org/officeDocument/2006/relationships/hyperlink" Target="https://doi.org/10.1016/j.joep.2011.10.001" TargetMode="External"/><Relationship Id="rId190" Type="http://schemas.openxmlformats.org/officeDocument/2006/relationships/hyperlink" Target="https://doi.org/10.1186/s12874-018-0615-6" TargetMode="External"/><Relationship Id="rId204" Type="http://schemas.openxmlformats.org/officeDocument/2006/relationships/hyperlink" Target="https://doi.org/10.4324/9780203814550" TargetMode="External"/><Relationship Id="rId225" Type="http://schemas.openxmlformats.org/officeDocument/2006/relationships/hyperlink" Target="https://doi.org/10.1787/9789264246195-en" TargetMode="External"/><Relationship Id="rId246" Type="http://schemas.openxmlformats.org/officeDocument/2006/relationships/hyperlink" Target="https://doi.org/10.1080/13504622.2014.999227" TargetMode="External"/><Relationship Id="rId267" Type="http://schemas.openxmlformats.org/officeDocument/2006/relationships/hyperlink" Target="https://doi.org/10.1080/13504622.2019.1664075" TargetMode="External"/><Relationship Id="rId288" Type="http://schemas.openxmlformats.org/officeDocument/2006/relationships/hyperlink" Target="https://doi.org/10.1007/s10584-018-2313-0" TargetMode="External"/><Relationship Id="rId106" Type="http://schemas.openxmlformats.org/officeDocument/2006/relationships/image" Target="media/image25.jpeg"/><Relationship Id="rId127" Type="http://schemas.openxmlformats.org/officeDocument/2006/relationships/hyperlink" Target="https://doi.org/10.1108/07363760810902477" TargetMode="External"/><Relationship Id="rId313" Type="http://schemas.openxmlformats.org/officeDocument/2006/relationships/header" Target="header40.xml"/><Relationship Id="rId10" Type="http://schemas.openxmlformats.org/officeDocument/2006/relationships/header" Target="header2.xml"/><Relationship Id="rId31" Type="http://schemas.openxmlformats.org/officeDocument/2006/relationships/footer" Target="footer9.xml"/><Relationship Id="rId52" Type="http://schemas.openxmlformats.org/officeDocument/2006/relationships/header" Target="header14.xml"/><Relationship Id="rId73" Type="http://schemas.openxmlformats.org/officeDocument/2006/relationships/header" Target="header23.xml"/><Relationship Id="rId94" Type="http://schemas.openxmlformats.org/officeDocument/2006/relationships/footer" Target="footer32.xml"/><Relationship Id="rId148" Type="http://schemas.openxmlformats.org/officeDocument/2006/relationships/hyperlink" Target="https://doi.org/10.23696/vdemds21" TargetMode="External"/><Relationship Id="rId169" Type="http://schemas.openxmlformats.org/officeDocument/2006/relationships/hyperlink" Target="https://doi.org/10.18637/jss.v100.i20" TargetMode="External"/><Relationship Id="rId4" Type="http://schemas.openxmlformats.org/officeDocument/2006/relationships/settings" Target="settings.xml"/><Relationship Id="rId180" Type="http://schemas.openxmlformats.org/officeDocument/2006/relationships/hyperlink" Target="https://doi.org/10.1002/ejsp.2039" TargetMode="External"/><Relationship Id="rId215" Type="http://schemas.openxmlformats.org/officeDocument/2006/relationships/hyperlink" Target="https://doi.org/10.1080/0267257X.2010.495281" TargetMode="External"/><Relationship Id="rId236" Type="http://schemas.openxmlformats.org/officeDocument/2006/relationships/hyperlink" Target="https://doi.org/10.1007/s10584-010-9946-y" TargetMode="External"/><Relationship Id="rId257" Type="http://schemas.openxmlformats.org/officeDocument/2006/relationships/hyperlink" Target="https://doi.org/10.1080/13676261.2015.1020927" TargetMode="External"/><Relationship Id="rId278" Type="http://schemas.openxmlformats.org/officeDocument/2006/relationships/hyperlink" Target="https://doi.org/10.1016/j.jclepro.2020.124867" TargetMode="External"/><Relationship Id="rId303" Type="http://schemas.openxmlformats.org/officeDocument/2006/relationships/hyperlink" Target="https://doi.org/10.1088/1748-9326/aae5d7" TargetMode="External"/><Relationship Id="rId42" Type="http://schemas.openxmlformats.org/officeDocument/2006/relationships/image" Target="media/image16.jpeg"/><Relationship Id="rId84" Type="http://schemas.openxmlformats.org/officeDocument/2006/relationships/image" Target="media/image21.jpg"/><Relationship Id="rId138" Type="http://schemas.openxmlformats.org/officeDocument/2006/relationships/hyperlink" Target="https://doi.org/10.3390/socsci10120480" TargetMode="External"/><Relationship Id="rId191" Type="http://schemas.openxmlformats.org/officeDocument/2006/relationships/hyperlink" Target="https://doi.org/10.2307/420583" TargetMode="External"/><Relationship Id="rId205" Type="http://schemas.openxmlformats.org/officeDocument/2006/relationships/hyperlink" Target="https://doi.org/10.1016/j.ecolecon.2016.12.016" TargetMode="External"/><Relationship Id="rId247" Type="http://schemas.openxmlformats.org/officeDocument/2006/relationships/hyperlink" Target="https://doi.org/10.1038/s41560-021-00900-y" TargetMode="External"/><Relationship Id="rId107" Type="http://schemas.openxmlformats.org/officeDocument/2006/relationships/header" Target="header37.xml"/><Relationship Id="rId289" Type="http://schemas.openxmlformats.org/officeDocument/2006/relationships/hyperlink" Target="https://doi.org/10.1080/13504622.2016.1177712" TargetMode="External"/><Relationship Id="rId11" Type="http://schemas.openxmlformats.org/officeDocument/2006/relationships/footer" Target="footer2.xml"/><Relationship Id="rId53" Type="http://schemas.openxmlformats.org/officeDocument/2006/relationships/footer" Target="footer13.xml"/><Relationship Id="rId149" Type="http://schemas.openxmlformats.org/officeDocument/2006/relationships/hyperlink" Target="https://doi.org/10.1371/journal.pone.0206266" TargetMode="External"/><Relationship Id="rId314" Type="http://schemas.openxmlformats.org/officeDocument/2006/relationships/header" Target="header41.xml"/><Relationship Id="rId95" Type="http://schemas.openxmlformats.org/officeDocument/2006/relationships/header" Target="header33.xml"/><Relationship Id="rId160" Type="http://schemas.openxmlformats.org/officeDocument/2006/relationships/hyperlink" Target="https://doi.org/10.1073/pnas.1417806112" TargetMode="External"/><Relationship Id="rId216" Type="http://schemas.openxmlformats.org/officeDocument/2006/relationships/hyperlink" Target="https://doi.org/10.1080/13504622.2018.1564248" TargetMode="External"/><Relationship Id="rId258" Type="http://schemas.openxmlformats.org/officeDocument/2006/relationships/hyperlink" Target="https://doi.org/10.1016/j.erss.2020.101641" TargetMode="External"/><Relationship Id="rId22" Type="http://schemas.openxmlformats.org/officeDocument/2006/relationships/footer" Target="footer5.xml"/><Relationship Id="rId64" Type="http://schemas.openxmlformats.org/officeDocument/2006/relationships/header" Target="header19.xml"/><Relationship Id="rId118" Type="http://schemas.openxmlformats.org/officeDocument/2006/relationships/hyperlink" Target="https://doi.org/10.3390/cli9060093" TargetMode="External"/><Relationship Id="rId171" Type="http://schemas.openxmlformats.org/officeDocument/2006/relationships/hyperlink" Target="https://doi.org/10.5751/ES-05377-180216" TargetMode="External"/><Relationship Id="rId227" Type="http://schemas.openxmlformats.org/officeDocument/2006/relationships/hyperlink" Target="https://doi.org/10.21105/joss.00772" TargetMode="External"/><Relationship Id="rId269" Type="http://schemas.openxmlformats.org/officeDocument/2006/relationships/hyperlink" Target="https://doi.org/10.3389/fpsyg.2020.00884" TargetMode="External"/><Relationship Id="rId33" Type="http://schemas.openxmlformats.org/officeDocument/2006/relationships/image" Target="media/image7.jpg"/><Relationship Id="rId129" Type="http://schemas.openxmlformats.org/officeDocument/2006/relationships/hyperlink" Target="https://doi.org/10.1177/2233865918815571" TargetMode="External"/><Relationship Id="rId280" Type="http://schemas.openxmlformats.org/officeDocument/2006/relationships/hyperlink" Target="https://doi.org/10.31094/2018/1" TargetMode="External"/><Relationship Id="rId75" Type="http://schemas.openxmlformats.org/officeDocument/2006/relationships/footer" Target="footer23.xml"/><Relationship Id="rId140" Type="http://schemas.openxmlformats.org/officeDocument/2006/relationships/hyperlink" Target="https://doi.org/10.1016/j.cobeha.2021.03.025" TargetMode="External"/><Relationship Id="rId182" Type="http://schemas.openxmlformats.org/officeDocument/2006/relationships/hyperlink" Target="https://doi.org/10.1007/s10584-010-9957-8" TargetMode="External"/><Relationship Id="rId6" Type="http://schemas.openxmlformats.org/officeDocument/2006/relationships/footnotes" Target="footnotes.xml"/><Relationship Id="rId238" Type="http://schemas.openxmlformats.org/officeDocument/2006/relationships/hyperlink" Target="https://doi.org/10.1177/2378023118772716" TargetMode="External"/><Relationship Id="rId291" Type="http://schemas.openxmlformats.org/officeDocument/2006/relationships/hyperlink" Target="https://doi.org/10.1007/s41297-017-0015-9" TargetMode="External"/><Relationship Id="rId305" Type="http://schemas.openxmlformats.org/officeDocument/2006/relationships/hyperlink" Target="https://doi.org/10.1016/j.eneco.2020.104907" TargetMode="External"/><Relationship Id="rId44" Type="http://schemas.openxmlformats.org/officeDocument/2006/relationships/header" Target="header10.xml"/><Relationship Id="rId86" Type="http://schemas.openxmlformats.org/officeDocument/2006/relationships/header" Target="header29.xml"/><Relationship Id="rId151" Type="http://schemas.openxmlformats.org/officeDocument/2006/relationships/hyperlink" Target="https://doi.org/10.1002/wcc.353" TargetMode="External"/><Relationship Id="rId193" Type="http://schemas.openxmlformats.org/officeDocument/2006/relationships/hyperlink" Target="https://doi.org/10.1038/s41562-018-0434-0" TargetMode="External"/><Relationship Id="rId207" Type="http://schemas.openxmlformats.org/officeDocument/2006/relationships/hyperlink" Target="https://doi.org/10.1093/sf/soz144" TargetMode="External"/><Relationship Id="rId249" Type="http://schemas.openxmlformats.org/officeDocument/2006/relationships/hyperlink" Target="https://doi.org/10.1016/j.ijdrr.2020.10161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osf.io/6ebna/" TargetMode="External"/><Relationship Id="rId2" Type="http://schemas.openxmlformats.org/officeDocument/2006/relationships/hyperlink" Target="https://eng.stat.gov.tw/point.asp?index=9" TargetMode="External"/><Relationship Id="rId1" Type="http://schemas.openxmlformats.org/officeDocument/2006/relationships/hyperlink" Target="https://www.iea.org/countries/kosovo" TargetMode="External"/></Relationships>
</file>

<file path=word/theme/theme1.xml><?xml version="1.0" encoding="utf-8"?>
<a:theme xmlns:a="http://schemas.openxmlformats.org/drawingml/2006/main" name="Office Theme">
  <a:themeElements>
    <a:clrScheme name="Custom 2">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00"/>
      </a:hlink>
      <a:folHlink>
        <a:srgbClr val="00000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49EE4-7C3B-4CDC-A5C2-1FC7DA3BC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211</Pages>
  <Words>57283</Words>
  <Characters>326519</Characters>
  <Application>Microsoft Office Word</Application>
  <DocSecurity>0</DocSecurity>
  <Lines>2720</Lines>
  <Paragraphs>766</Paragraphs>
  <ScaleCrop>false</ScaleCrop>
  <HeadingPairs>
    <vt:vector size="2" baseType="variant">
      <vt:variant>
        <vt:lpstr>Title</vt:lpstr>
      </vt:variant>
      <vt:variant>
        <vt:i4>1</vt:i4>
      </vt:variant>
    </vt:vector>
  </HeadingPairs>
  <TitlesOfParts>
    <vt:vector size="1" baseType="lpstr">
      <vt:lpstr>Science Education to the Rescue? Assessing The Relationship Between Scientific Literacy and Carbon Emissions</vt:lpstr>
    </vt:vector>
  </TitlesOfParts>
  <Company/>
  <LinksUpToDate>false</LinksUpToDate>
  <CharactersWithSpaces>383036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Education to the Rescue? Assessing The Relationship Between Scientific Literacy and Carbon Emissions</dc:title>
  <dc:creator>Anthony Schmidt</dc:creator>
  <cp:keywords/>
  <dc:description>My dissertation!</dc:description>
  <cp:lastModifiedBy>Anthony Schmidt</cp:lastModifiedBy>
  <cp:revision>2</cp:revision>
  <cp:lastPrinted>2022-07-05T23:30:00Z</cp:lastPrinted>
  <dcterms:created xsi:type="dcterms:W3CDTF">2022-07-07T23:06:00Z</dcterms:created>
  <dcterms:modified xsi:type="dcterms:W3CDTF">2022-07-07T23:06:00Z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style">
    <vt:lpwstr>apalike</vt:lpwstr>
  </property>
  <property fmtid="{D5CDD505-2E9C-101B-9397-08002B2CF9AE}" pid="3" name="bibliography">
    <vt:lpwstr>references.bib</vt:lpwstr>
  </property>
  <property fmtid="{D5CDD505-2E9C-101B-9397-08002B2CF9AE}" pid="4" name="bookdown">
    <vt:lpwstr/>
  </property>
  <property fmtid="{D5CDD505-2E9C-101B-9397-08002B2CF9AE}" pid="5" name="csl">
    <vt:lpwstr>apa.csl</vt:lpwstr>
  </property>
  <property fmtid="{D5CDD505-2E9C-101B-9397-08002B2CF9AE}" pid="6" name="documentclass">
    <vt:lpwstr>book</vt:lpwstr>
  </property>
  <property fmtid="{D5CDD505-2E9C-101B-9397-08002B2CF9AE}" pid="7" name="link-citations">
    <vt:lpwstr>yes</vt:lpwstr>
  </property>
  <property fmtid="{D5CDD505-2E9C-101B-9397-08002B2CF9AE}" pid="8" name="output">
    <vt:lpwstr/>
  </property>
  <property fmtid="{D5CDD505-2E9C-101B-9397-08002B2CF9AE}" pid="9" name="site">
    <vt:lpwstr>bookdown::bookdown_site</vt:lpwstr>
  </property>
</Properties>
</file>